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364E" w14:textId="22EBE08D" w:rsidR="00C8513E" w:rsidRPr="00CF2A03" w:rsidRDefault="00C8513E" w:rsidP="00B52F9F">
      <w:pPr>
        <w:pStyle w:val="Schedule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bookmarkStart w:id="0" w:name="_Toc64995074"/>
      <w:bookmarkStart w:id="1" w:name="_Ref59192328"/>
      <w:r w:rsidRPr="00CF2A03">
        <w:rPr>
          <w:sz w:val="24"/>
          <w:szCs w:val="24"/>
        </w:rPr>
        <w:t xml:space="preserve">Schedule </w:t>
      </w:r>
      <w:r w:rsidR="00F7599F">
        <w:rPr>
          <w:sz w:val="24"/>
          <w:szCs w:val="24"/>
        </w:rPr>
        <w:t>6</w:t>
      </w:r>
      <w:r w:rsidR="00702ABC" w:rsidRPr="00CF2A03">
        <w:rPr>
          <w:sz w:val="24"/>
          <w:szCs w:val="24"/>
        </w:rPr>
        <w:t xml:space="preserve"> </w:t>
      </w:r>
      <w:r w:rsidR="002D7F0C" w:rsidRPr="00CF2A03">
        <w:rPr>
          <w:sz w:val="24"/>
          <w:szCs w:val="24"/>
        </w:rPr>
        <w:t>–</w:t>
      </w:r>
      <w:r w:rsidRPr="00CF2A03">
        <w:rPr>
          <w:sz w:val="24"/>
          <w:szCs w:val="24"/>
        </w:rPr>
        <w:t xml:space="preserve"> </w:t>
      </w:r>
      <w:bookmarkEnd w:id="0"/>
      <w:bookmarkEnd w:id="1"/>
      <w:r w:rsidR="00091000">
        <w:rPr>
          <w:sz w:val="24"/>
          <w:szCs w:val="24"/>
        </w:rPr>
        <w:t>Tender Asses</w:t>
      </w:r>
      <w:r w:rsidR="00BF308C">
        <w:rPr>
          <w:sz w:val="24"/>
          <w:szCs w:val="24"/>
        </w:rPr>
        <w:t>sment</w:t>
      </w:r>
      <w:r w:rsidR="00091000">
        <w:rPr>
          <w:sz w:val="24"/>
          <w:szCs w:val="24"/>
        </w:rPr>
        <w:t xml:space="preserve"> Criteria</w:t>
      </w:r>
    </w:p>
    <w:p w14:paraId="4B6E64EB" w14:textId="011400D3" w:rsidR="00EF2F33" w:rsidRPr="00712A24" w:rsidRDefault="00B57CA7" w:rsidP="00712A24">
      <w:pPr>
        <w:pStyle w:val="Level2"/>
        <w:numPr>
          <w:ilvl w:val="0"/>
          <w:numId w:val="24"/>
        </w:numPr>
        <w:rPr>
          <w:szCs w:val="24"/>
        </w:rPr>
      </w:pPr>
      <w:r w:rsidRPr="00712A24">
        <w:rPr>
          <w:rFonts w:eastAsiaTheme="majorEastAsia" w:cs="Arial"/>
          <w:b/>
          <w:szCs w:val="24"/>
        </w:rPr>
        <w:t>Evaluation overview</w:t>
      </w:r>
    </w:p>
    <w:p w14:paraId="65225BD8" w14:textId="378A5AAA" w:rsidR="00EF2F33" w:rsidRPr="00972055" w:rsidRDefault="00064BA3" w:rsidP="00712A24">
      <w:pPr>
        <w:pStyle w:val="Level2"/>
        <w:numPr>
          <w:ilvl w:val="0"/>
          <w:numId w:val="0"/>
        </w:numPr>
        <w:ind w:left="720"/>
      </w:pPr>
      <w:r w:rsidRPr="00972055">
        <w:rPr>
          <w:rFonts w:cs="Arial"/>
        </w:rPr>
        <w:t xml:space="preserve">Tenders will be evaluated against a combination of </w:t>
      </w:r>
      <w:r w:rsidR="00A905FA" w:rsidRPr="00972055">
        <w:rPr>
          <w:rFonts w:cs="Arial"/>
        </w:rPr>
        <w:t xml:space="preserve">quality and pricing. </w:t>
      </w:r>
      <w:r w:rsidR="00227C7E" w:rsidRPr="00972055">
        <w:rPr>
          <w:rFonts w:cs="Arial"/>
        </w:rPr>
        <w:t>Scores for each of these will be added together af</w:t>
      </w:r>
      <w:r w:rsidR="00125B0A" w:rsidRPr="00972055">
        <w:rPr>
          <w:rFonts w:cs="Arial"/>
        </w:rPr>
        <w:t xml:space="preserve">ter applying </w:t>
      </w:r>
      <w:r w:rsidR="00A905FA" w:rsidRPr="00972055">
        <w:rPr>
          <w:rFonts w:cs="Arial"/>
        </w:rPr>
        <w:t xml:space="preserve">the </w:t>
      </w:r>
      <w:r w:rsidR="00125B0A" w:rsidRPr="00972055">
        <w:rPr>
          <w:rFonts w:cs="Arial"/>
        </w:rPr>
        <w:t xml:space="preserve">following </w:t>
      </w:r>
      <w:r w:rsidR="00A905FA" w:rsidRPr="00972055">
        <w:rPr>
          <w:rFonts w:cs="Arial"/>
        </w:rPr>
        <w:t>weighting</w:t>
      </w:r>
      <w:r w:rsidR="00125B0A" w:rsidRPr="00972055">
        <w:rPr>
          <w:rFonts w:cs="Arial"/>
        </w:rPr>
        <w:t>s</w:t>
      </w:r>
      <w:r w:rsidR="00A905FA" w:rsidRPr="00972055">
        <w:rPr>
          <w:rFonts w:cs="Arial"/>
        </w:rPr>
        <w:t>:</w:t>
      </w:r>
    </w:p>
    <w:p w14:paraId="58F0C326" w14:textId="79B2390C" w:rsidR="00F4482F" w:rsidRPr="00D83FBC" w:rsidRDefault="00F4482F" w:rsidP="00F4482F">
      <w:pPr>
        <w:pStyle w:val="ListParagraph"/>
        <w:ind w:left="1843"/>
        <w:rPr>
          <w:sz w:val="22"/>
        </w:rPr>
      </w:pPr>
      <w:r w:rsidRPr="00D83FBC">
        <w:rPr>
          <w:sz w:val="22"/>
        </w:rPr>
        <w:t>Pricing</w:t>
      </w:r>
      <w:r w:rsidR="004337C8" w:rsidRPr="00D83FBC">
        <w:rPr>
          <w:sz w:val="22"/>
        </w:rPr>
        <w:t>/commercial</w:t>
      </w:r>
      <w:r w:rsidRPr="00D83FBC">
        <w:rPr>
          <w:sz w:val="22"/>
        </w:rPr>
        <w:t xml:space="preserve"> </w:t>
      </w:r>
      <w:r w:rsidRPr="00D83FBC">
        <w:rPr>
          <w:sz w:val="22"/>
        </w:rPr>
        <w:tab/>
      </w:r>
      <w:r w:rsidR="0013272C" w:rsidRPr="00D83FBC">
        <w:rPr>
          <w:sz w:val="22"/>
        </w:rPr>
        <w:tab/>
      </w:r>
      <w:r w:rsidR="00D83FBC" w:rsidRPr="00D83FBC">
        <w:rPr>
          <w:sz w:val="22"/>
        </w:rPr>
        <w:t>30%</w:t>
      </w:r>
    </w:p>
    <w:p w14:paraId="39BCE6F6" w14:textId="6274B3DF" w:rsidR="00B57CA7" w:rsidRPr="00D83FBC" w:rsidRDefault="007F2852" w:rsidP="00712A24">
      <w:pPr>
        <w:pStyle w:val="ListParagraph"/>
        <w:ind w:left="1843"/>
      </w:pPr>
      <w:r w:rsidRPr="00D83FBC">
        <w:rPr>
          <w:sz w:val="22"/>
        </w:rPr>
        <w:t>Quality</w:t>
      </w:r>
      <w:r w:rsidR="004337C8" w:rsidRPr="00D83FBC">
        <w:rPr>
          <w:sz w:val="22"/>
        </w:rPr>
        <w:t xml:space="preserve"> </w:t>
      </w:r>
      <w:r w:rsidR="00D83FBC">
        <w:rPr>
          <w:sz w:val="22"/>
        </w:rPr>
        <w:tab/>
      </w:r>
      <w:r w:rsidR="00D83FBC">
        <w:rPr>
          <w:sz w:val="22"/>
        </w:rPr>
        <w:tab/>
      </w:r>
      <w:r w:rsidR="00D83FBC">
        <w:rPr>
          <w:sz w:val="22"/>
        </w:rPr>
        <w:tab/>
      </w:r>
      <w:r w:rsidRPr="00D83FBC">
        <w:rPr>
          <w:sz w:val="22"/>
        </w:rPr>
        <w:t xml:space="preserve"> </w:t>
      </w:r>
      <w:r w:rsidRPr="00D83FBC">
        <w:rPr>
          <w:sz w:val="22"/>
        </w:rPr>
        <w:tab/>
      </w:r>
      <w:r w:rsidR="00D83FBC" w:rsidRPr="00D83FBC">
        <w:rPr>
          <w:sz w:val="22"/>
        </w:rPr>
        <w:t>70</w:t>
      </w:r>
      <w:r w:rsidRPr="00D83FBC">
        <w:rPr>
          <w:sz w:val="22"/>
        </w:rPr>
        <w:t>%</w:t>
      </w:r>
    </w:p>
    <w:p w14:paraId="4CCFC5A0" w14:textId="2438B8DA" w:rsidR="004F4899" w:rsidRPr="00712A24" w:rsidRDefault="004F4899" w:rsidP="00712A24">
      <w:pPr>
        <w:pStyle w:val="Level2"/>
        <w:numPr>
          <w:ilvl w:val="0"/>
          <w:numId w:val="24"/>
        </w:numPr>
        <w:rPr>
          <w:b/>
          <w:szCs w:val="24"/>
        </w:rPr>
      </w:pPr>
      <w:r w:rsidRPr="00712A24">
        <w:rPr>
          <w:rFonts w:eastAsiaTheme="majorEastAsia" w:cs="Arial"/>
          <w:b/>
          <w:szCs w:val="24"/>
        </w:rPr>
        <w:t>Pricing Evaluation Process</w:t>
      </w:r>
    </w:p>
    <w:p w14:paraId="498D9634" w14:textId="6D40247F" w:rsidR="00AA6050" w:rsidRPr="00972055" w:rsidRDefault="00AA6050" w:rsidP="00712A24">
      <w:pPr>
        <w:pStyle w:val="Level2"/>
        <w:numPr>
          <w:ilvl w:val="0"/>
          <w:numId w:val="0"/>
        </w:numPr>
        <w:ind w:left="720"/>
      </w:pPr>
      <w:r w:rsidRPr="00972055">
        <w:rPr>
          <w:rFonts w:cs="Arial"/>
        </w:rPr>
        <w:t>T</w:t>
      </w:r>
      <w:r w:rsidR="004F4899" w:rsidRPr="00972055">
        <w:rPr>
          <w:rFonts w:cs="Arial"/>
        </w:rPr>
        <w:t xml:space="preserve">he lowest tendered price will be </w:t>
      </w:r>
      <w:r w:rsidRPr="00972055">
        <w:rPr>
          <w:rFonts w:cs="Arial"/>
        </w:rPr>
        <w:t>awarded the maximum available score of</w:t>
      </w:r>
      <w:r w:rsidR="00972055" w:rsidRPr="00712A24">
        <w:rPr>
          <w:rFonts w:cs="Arial"/>
        </w:rPr>
        <w:t> </w:t>
      </w:r>
      <w:r w:rsidR="004F4899" w:rsidRPr="00972055">
        <w:rPr>
          <w:rFonts w:cs="Arial"/>
        </w:rPr>
        <w:t>10, and each subsequent bid will be score</w:t>
      </w:r>
      <w:r w:rsidRPr="00972055">
        <w:rPr>
          <w:rFonts w:cs="Arial"/>
        </w:rPr>
        <w:t xml:space="preserve"> as follows:</w:t>
      </w:r>
    </w:p>
    <w:p w14:paraId="57C826A0" w14:textId="62D98404" w:rsidR="00AA6050" w:rsidRPr="00712A24" w:rsidRDefault="00AA6050" w:rsidP="00712A24">
      <w:pPr>
        <w:spacing w:after="240" w:line="240" w:lineRule="auto"/>
        <w:ind w:left="1843"/>
        <w:rPr>
          <w:rFonts w:eastAsiaTheme="majorEastAsia" w:cs="Arial"/>
          <w:bCs/>
          <w:sz w:val="22"/>
        </w:rPr>
      </w:pPr>
      <w:r w:rsidRPr="00712A24">
        <w:rPr>
          <w:rFonts w:eastAsiaTheme="majorEastAsia" w:cs="Arial"/>
          <w:bCs/>
          <w:sz w:val="22"/>
          <w:u w:val="single"/>
        </w:rPr>
        <w:t xml:space="preserve">Lowest Price Tendered </w:t>
      </w:r>
      <w:r w:rsidRPr="00712A24">
        <w:rPr>
          <w:rFonts w:eastAsiaTheme="majorEastAsia" w:cs="Arial"/>
          <w:bCs/>
          <w:sz w:val="22"/>
        </w:rPr>
        <w:t xml:space="preserve"> </w:t>
      </w:r>
      <w:proofErr w:type="gramStart"/>
      <w:r w:rsidRPr="00712A24">
        <w:rPr>
          <w:rFonts w:eastAsiaTheme="majorEastAsia" w:cs="Arial"/>
          <w:bCs/>
          <w:sz w:val="22"/>
        </w:rPr>
        <w:t>x</w:t>
      </w:r>
      <w:proofErr w:type="gramEnd"/>
      <w:r w:rsidRPr="00712A24">
        <w:rPr>
          <w:rFonts w:eastAsiaTheme="majorEastAsia" w:cs="Arial"/>
          <w:bCs/>
          <w:sz w:val="22"/>
        </w:rPr>
        <w:t xml:space="preserve">  Maximum Score Available</w:t>
      </w:r>
      <w:r w:rsidR="002B11DB" w:rsidRPr="00972055">
        <w:rPr>
          <w:rFonts w:eastAsiaTheme="majorEastAsia" w:cs="Arial"/>
          <w:bCs/>
          <w:sz w:val="22"/>
        </w:rPr>
        <w:t xml:space="preserve"> (10)</w:t>
      </w:r>
      <w:r w:rsidRPr="00712A24">
        <w:rPr>
          <w:rFonts w:eastAsiaTheme="majorEastAsia" w:cs="Arial"/>
          <w:bCs/>
          <w:sz w:val="22"/>
        </w:rPr>
        <w:br/>
      </w:r>
      <w:r w:rsidR="006E6B9A" w:rsidRPr="00712A24">
        <w:rPr>
          <w:rFonts w:eastAsiaTheme="majorEastAsia" w:cs="Arial"/>
          <w:bCs/>
          <w:sz w:val="22"/>
        </w:rPr>
        <w:t xml:space="preserve">          </w:t>
      </w:r>
      <w:r w:rsidRPr="00712A24">
        <w:rPr>
          <w:rFonts w:eastAsiaTheme="majorEastAsia" w:cs="Arial"/>
          <w:bCs/>
          <w:sz w:val="22"/>
        </w:rPr>
        <w:t>Tender price</w:t>
      </w:r>
    </w:p>
    <w:p w14:paraId="2884E91D" w14:textId="79D5F747" w:rsidR="004F4899" w:rsidRPr="00972055" w:rsidRDefault="004F4899" w:rsidP="00712A24">
      <w:pPr>
        <w:pStyle w:val="Level2"/>
        <w:numPr>
          <w:ilvl w:val="0"/>
          <w:numId w:val="0"/>
        </w:numPr>
        <w:ind w:left="720"/>
      </w:pPr>
      <w:r w:rsidRPr="00972055">
        <w:rPr>
          <w:rFonts w:cs="Arial"/>
        </w:rPr>
        <w:t>For</w:t>
      </w:r>
      <w:r w:rsidR="00CB356B" w:rsidRPr="00972055">
        <w:rPr>
          <w:rFonts w:cs="Arial"/>
        </w:rPr>
        <w:t xml:space="preserve"> </w:t>
      </w:r>
      <w:r w:rsidRPr="00972055">
        <w:rPr>
          <w:rFonts w:cs="Arial"/>
        </w:rPr>
        <w:t>example</w:t>
      </w:r>
      <w:r w:rsidR="00032CE9" w:rsidRPr="00972055">
        <w:rPr>
          <w:rFonts w:cs="Arial"/>
        </w:rPr>
        <w:t>,</w:t>
      </w:r>
      <w:r w:rsidRPr="00972055">
        <w:rPr>
          <w:rFonts w:cs="Arial"/>
        </w:rPr>
        <w:t xml:space="preserve"> a Tender which is 20% more expensive on price than the lowest tendered price will be allocated a score of 8</w:t>
      </w:r>
      <w:r w:rsidR="00EF6CA3" w:rsidRPr="00972055">
        <w:rPr>
          <w:rFonts w:cs="Arial"/>
        </w:rPr>
        <w:t>.33</w:t>
      </w:r>
      <w:r w:rsidRPr="00972055">
        <w:rPr>
          <w:rFonts w:cs="Arial"/>
        </w:rPr>
        <w:t xml:space="preserve">. </w:t>
      </w:r>
    </w:p>
    <w:p w14:paraId="674DAE4F" w14:textId="0B66093D" w:rsidR="0098034A" w:rsidRPr="00972055" w:rsidRDefault="0098034A" w:rsidP="00712A24">
      <w:pPr>
        <w:pStyle w:val="Level2"/>
        <w:numPr>
          <w:ilvl w:val="0"/>
          <w:numId w:val="0"/>
        </w:numPr>
        <w:ind w:left="720"/>
      </w:pPr>
      <w:r w:rsidRPr="00972055">
        <w:rPr>
          <w:rFonts w:cs="Arial"/>
        </w:rPr>
        <w:t xml:space="preserve">The pricing score will be </w:t>
      </w:r>
      <w:proofErr w:type="spellStart"/>
      <w:r w:rsidRPr="00972055">
        <w:rPr>
          <w:rFonts w:cs="Arial"/>
        </w:rPr>
        <w:t>weighted</w:t>
      </w:r>
      <w:proofErr w:type="spellEnd"/>
      <w:r w:rsidRPr="00972055">
        <w:rPr>
          <w:rFonts w:cs="Arial"/>
        </w:rPr>
        <w:t xml:space="preserve"> </w:t>
      </w:r>
      <w:r w:rsidR="00E677C8" w:rsidRPr="00972055">
        <w:rPr>
          <w:rFonts w:cs="Arial"/>
        </w:rPr>
        <w:t xml:space="preserve">against quality as </w:t>
      </w:r>
      <w:r w:rsidRPr="00972055">
        <w:rPr>
          <w:rFonts w:cs="Arial"/>
        </w:rPr>
        <w:t xml:space="preserve">described </w:t>
      </w:r>
      <w:r w:rsidR="00781944" w:rsidRPr="00972055">
        <w:rPr>
          <w:rFonts w:cs="Arial"/>
        </w:rPr>
        <w:t xml:space="preserve">in section 1 of this schedule </w:t>
      </w:r>
      <w:r w:rsidR="00E677C8" w:rsidRPr="00972055">
        <w:rPr>
          <w:rFonts w:cs="Arial"/>
        </w:rPr>
        <w:t xml:space="preserve"> before being </w:t>
      </w:r>
      <w:r w:rsidR="00781944" w:rsidRPr="00972055">
        <w:rPr>
          <w:rFonts w:cs="Arial"/>
        </w:rPr>
        <w:t>added to the weighted quality score.</w:t>
      </w:r>
    </w:p>
    <w:p w14:paraId="3D999079" w14:textId="087D6553" w:rsidR="005A5E34" w:rsidRPr="00712A24" w:rsidRDefault="00A91CDF" w:rsidP="00712A24">
      <w:pPr>
        <w:pStyle w:val="Level2"/>
        <w:numPr>
          <w:ilvl w:val="0"/>
          <w:numId w:val="24"/>
        </w:numPr>
        <w:rPr>
          <w:szCs w:val="24"/>
        </w:rPr>
      </w:pPr>
      <w:r w:rsidRPr="00712A24">
        <w:rPr>
          <w:rFonts w:eastAsiaTheme="majorEastAsia" w:cs="Arial"/>
          <w:b/>
          <w:szCs w:val="24"/>
        </w:rPr>
        <w:t>Quality Evaluation Assessment</w:t>
      </w:r>
    </w:p>
    <w:p w14:paraId="04CDBE1E" w14:textId="29CD6DBE" w:rsidR="00DC3629" w:rsidRPr="00CF2A03" w:rsidRDefault="00800599" w:rsidP="00F97EC0">
      <w:pPr>
        <w:pStyle w:val="Level2"/>
        <w:numPr>
          <w:ilvl w:val="0"/>
          <w:numId w:val="0"/>
        </w:numPr>
        <w:ind w:left="72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For each tender, t</w:t>
      </w:r>
      <w:r w:rsidR="00B86544">
        <w:rPr>
          <w:rFonts w:cs="Arial"/>
          <w:sz w:val="24"/>
          <w:szCs w:val="24"/>
        </w:rPr>
        <w:t>he</w:t>
      </w:r>
      <w:r w:rsidR="00B86544" w:rsidRPr="00CF2A03">
        <w:rPr>
          <w:rFonts w:cs="Arial"/>
          <w:sz w:val="24"/>
          <w:szCs w:val="24"/>
        </w:rPr>
        <w:t xml:space="preserve"> </w:t>
      </w:r>
      <w:r w:rsidR="00B86544">
        <w:rPr>
          <w:rFonts w:cs="Arial"/>
          <w:sz w:val="24"/>
          <w:szCs w:val="24"/>
        </w:rPr>
        <w:t xml:space="preserve">information </w:t>
      </w:r>
      <w:r w:rsidR="008F73E1">
        <w:rPr>
          <w:rFonts w:cs="Arial"/>
          <w:sz w:val="24"/>
          <w:szCs w:val="24"/>
        </w:rPr>
        <w:t xml:space="preserve">listed in </w:t>
      </w:r>
      <w:r w:rsidR="00C908F7">
        <w:rPr>
          <w:rFonts w:cs="Arial"/>
          <w:sz w:val="24"/>
          <w:szCs w:val="24"/>
        </w:rPr>
        <w:t xml:space="preserve">Schedule </w:t>
      </w:r>
      <w:r w:rsidR="00E32A2F">
        <w:rPr>
          <w:rFonts w:cs="Arial"/>
          <w:sz w:val="24"/>
          <w:szCs w:val="24"/>
        </w:rPr>
        <w:t>4</w:t>
      </w:r>
      <w:r w:rsidR="00F77AEF">
        <w:rPr>
          <w:rFonts w:cs="Arial"/>
          <w:sz w:val="24"/>
          <w:szCs w:val="24"/>
        </w:rPr>
        <w:t xml:space="preserve"> </w:t>
      </w:r>
      <w:r w:rsidR="00AB628C">
        <w:rPr>
          <w:rFonts w:cs="Arial"/>
          <w:sz w:val="24"/>
          <w:szCs w:val="24"/>
        </w:rPr>
        <w:t>(</w:t>
      </w:r>
      <w:r w:rsidR="009140EC">
        <w:rPr>
          <w:rFonts w:cs="Arial"/>
          <w:sz w:val="24"/>
          <w:szCs w:val="24"/>
        </w:rPr>
        <w:t>quality evidence supporting tender</w:t>
      </w:r>
      <w:r w:rsidR="00AB628C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and </w:t>
      </w:r>
      <w:r w:rsidR="008F73E1">
        <w:rPr>
          <w:rFonts w:cs="Arial"/>
          <w:sz w:val="24"/>
          <w:szCs w:val="24"/>
        </w:rPr>
        <w:t xml:space="preserve">any additional information provided by </w:t>
      </w:r>
      <w:r>
        <w:rPr>
          <w:rFonts w:cs="Arial"/>
          <w:sz w:val="24"/>
          <w:szCs w:val="24"/>
        </w:rPr>
        <w:t>the tenderer</w:t>
      </w:r>
      <w:r w:rsidR="00AB628C">
        <w:rPr>
          <w:rFonts w:cs="Arial"/>
          <w:sz w:val="24"/>
          <w:szCs w:val="24"/>
        </w:rPr>
        <w:t xml:space="preserve"> </w:t>
      </w:r>
      <w:r w:rsidR="00C908F7">
        <w:rPr>
          <w:rFonts w:cs="Arial"/>
          <w:sz w:val="24"/>
          <w:szCs w:val="24"/>
        </w:rPr>
        <w:t xml:space="preserve">will </w:t>
      </w:r>
      <w:r w:rsidR="005A5E34" w:rsidRPr="00CF2A03">
        <w:rPr>
          <w:rFonts w:cs="Arial"/>
          <w:sz w:val="24"/>
          <w:szCs w:val="24"/>
        </w:rPr>
        <w:t xml:space="preserve">be </w:t>
      </w:r>
      <w:r w:rsidR="00FB7D08">
        <w:rPr>
          <w:rFonts w:cs="Arial"/>
          <w:sz w:val="24"/>
          <w:szCs w:val="24"/>
        </w:rPr>
        <w:t xml:space="preserve">assessed against each of the quality factors listed below.  A score will be awarded for each </w:t>
      </w:r>
      <w:r w:rsidR="00443C84">
        <w:rPr>
          <w:rFonts w:cs="Arial"/>
          <w:sz w:val="24"/>
          <w:szCs w:val="24"/>
        </w:rPr>
        <w:t xml:space="preserve">of these </w:t>
      </w:r>
      <w:r w:rsidR="00762DFD">
        <w:rPr>
          <w:rFonts w:cs="Arial"/>
          <w:sz w:val="24"/>
          <w:szCs w:val="24"/>
        </w:rPr>
        <w:t>qua</w:t>
      </w:r>
      <w:r w:rsidR="00610E33">
        <w:rPr>
          <w:rFonts w:cs="Arial"/>
          <w:sz w:val="24"/>
          <w:szCs w:val="24"/>
        </w:rPr>
        <w:t xml:space="preserve">lity </w:t>
      </w:r>
      <w:r w:rsidR="00443C84">
        <w:rPr>
          <w:rFonts w:cs="Arial"/>
          <w:sz w:val="24"/>
          <w:szCs w:val="24"/>
        </w:rPr>
        <w:t xml:space="preserve">factors in accordance with </w:t>
      </w:r>
      <w:r w:rsidR="00AD2ABC">
        <w:rPr>
          <w:rFonts w:cs="Arial"/>
          <w:sz w:val="24"/>
          <w:szCs w:val="24"/>
        </w:rPr>
        <w:t>the scoring m</w:t>
      </w:r>
      <w:r w:rsidR="00DC3629" w:rsidRPr="00CF2A03">
        <w:rPr>
          <w:rFonts w:cs="Arial"/>
          <w:sz w:val="24"/>
          <w:szCs w:val="24"/>
        </w:rPr>
        <w:t xml:space="preserve">atrix set out </w:t>
      </w:r>
      <w:r w:rsidR="00C908F7">
        <w:rPr>
          <w:rFonts w:cs="Arial"/>
          <w:sz w:val="24"/>
          <w:szCs w:val="24"/>
        </w:rPr>
        <w:t>below</w:t>
      </w:r>
    </w:p>
    <w:p w14:paraId="6145B62D" w14:textId="4BD88810" w:rsidR="00DC3629" w:rsidRPr="00712A24" w:rsidRDefault="005A5E34" w:rsidP="00F97EC0">
      <w:pPr>
        <w:pStyle w:val="Level2"/>
        <w:numPr>
          <w:ilvl w:val="0"/>
          <w:numId w:val="0"/>
        </w:numPr>
        <w:ind w:left="720"/>
        <w:rPr>
          <w:rFonts w:cs="Arial"/>
          <w:sz w:val="24"/>
          <w:szCs w:val="24"/>
        </w:rPr>
      </w:pPr>
      <w:r w:rsidRPr="00CF2A03">
        <w:rPr>
          <w:rFonts w:cs="Arial"/>
          <w:sz w:val="24"/>
          <w:szCs w:val="24"/>
        </w:rPr>
        <w:t xml:space="preserve">Each </w:t>
      </w:r>
      <w:r w:rsidR="00610E33">
        <w:rPr>
          <w:rFonts w:cs="Arial"/>
          <w:sz w:val="24"/>
          <w:szCs w:val="24"/>
        </w:rPr>
        <w:t>s</w:t>
      </w:r>
      <w:r w:rsidR="00EC369B">
        <w:rPr>
          <w:rFonts w:cs="Arial"/>
          <w:sz w:val="24"/>
          <w:szCs w:val="24"/>
        </w:rPr>
        <w:t>core</w:t>
      </w:r>
      <w:r w:rsidRPr="00CF2A03">
        <w:rPr>
          <w:rFonts w:cs="Arial"/>
          <w:sz w:val="24"/>
          <w:szCs w:val="24"/>
        </w:rPr>
        <w:t xml:space="preserve"> achieved will be multiplied by the corresponding </w:t>
      </w:r>
      <w:r w:rsidR="001720FC">
        <w:rPr>
          <w:rFonts w:cs="Arial"/>
          <w:sz w:val="24"/>
          <w:szCs w:val="24"/>
        </w:rPr>
        <w:t xml:space="preserve">quality factor </w:t>
      </w:r>
      <w:r w:rsidRPr="00CF2A03">
        <w:rPr>
          <w:rFonts w:cs="Arial"/>
          <w:sz w:val="24"/>
          <w:szCs w:val="24"/>
        </w:rPr>
        <w:t xml:space="preserve">weighting </w:t>
      </w:r>
      <w:r w:rsidR="00DA562B">
        <w:rPr>
          <w:rFonts w:cs="Arial"/>
          <w:sz w:val="24"/>
          <w:szCs w:val="24"/>
        </w:rPr>
        <w:t xml:space="preserve">as tabulated below </w:t>
      </w:r>
      <w:r w:rsidRPr="00CF2A03">
        <w:rPr>
          <w:rFonts w:cs="Arial"/>
          <w:sz w:val="24"/>
          <w:szCs w:val="24"/>
        </w:rPr>
        <w:t>to provide an overall score</w:t>
      </w:r>
      <w:r w:rsidR="00706FB6" w:rsidRPr="00706FB6">
        <w:rPr>
          <w:rFonts w:cs="Arial"/>
          <w:sz w:val="24"/>
          <w:szCs w:val="24"/>
        </w:rPr>
        <w:t xml:space="preserve"> </w:t>
      </w:r>
      <w:r w:rsidR="00706FB6">
        <w:rPr>
          <w:rFonts w:cs="Arial"/>
          <w:sz w:val="24"/>
          <w:szCs w:val="24"/>
        </w:rPr>
        <w:t xml:space="preserve">for each </w:t>
      </w:r>
      <w:proofErr w:type="gramStart"/>
      <w:r w:rsidR="00706FB6">
        <w:rPr>
          <w:rFonts w:cs="Arial"/>
          <w:sz w:val="24"/>
          <w:szCs w:val="24"/>
        </w:rPr>
        <w:t>criteria</w:t>
      </w:r>
      <w:proofErr w:type="gramEnd"/>
      <w:r w:rsidRPr="00CF2A03">
        <w:rPr>
          <w:rFonts w:cs="Arial"/>
          <w:sz w:val="24"/>
          <w:szCs w:val="24"/>
        </w:rPr>
        <w:t>.</w:t>
      </w:r>
    </w:p>
    <w:p w14:paraId="210C02AE" w14:textId="7638FC69" w:rsidR="00E72272" w:rsidRDefault="005A5E34" w:rsidP="00F97EC0">
      <w:pPr>
        <w:pStyle w:val="Level2"/>
        <w:numPr>
          <w:ilvl w:val="0"/>
          <w:numId w:val="0"/>
        </w:numPr>
        <w:ind w:left="720"/>
        <w:rPr>
          <w:rFonts w:cs="Arial"/>
          <w:sz w:val="24"/>
          <w:szCs w:val="24"/>
        </w:rPr>
      </w:pPr>
      <w:r w:rsidRPr="00CF2A03">
        <w:rPr>
          <w:rFonts w:cs="Arial"/>
          <w:sz w:val="24"/>
          <w:szCs w:val="24"/>
        </w:rPr>
        <w:t xml:space="preserve">When the </w:t>
      </w:r>
      <w:r w:rsidR="00DA562B">
        <w:rPr>
          <w:rFonts w:cs="Arial"/>
          <w:sz w:val="24"/>
          <w:szCs w:val="24"/>
        </w:rPr>
        <w:t xml:space="preserve">weighted </w:t>
      </w:r>
      <w:r w:rsidRPr="00CF2A03">
        <w:rPr>
          <w:rFonts w:cs="Arial"/>
          <w:sz w:val="24"/>
          <w:szCs w:val="24"/>
        </w:rPr>
        <w:t xml:space="preserve">score for each </w:t>
      </w:r>
      <w:proofErr w:type="gramStart"/>
      <w:r w:rsidR="00C908F7">
        <w:rPr>
          <w:rFonts w:cs="Arial"/>
          <w:sz w:val="24"/>
          <w:szCs w:val="24"/>
        </w:rPr>
        <w:t>criteria</w:t>
      </w:r>
      <w:proofErr w:type="gramEnd"/>
      <w:r w:rsidRPr="00CF2A03">
        <w:rPr>
          <w:rFonts w:cs="Arial"/>
          <w:sz w:val="24"/>
          <w:szCs w:val="24"/>
        </w:rPr>
        <w:t xml:space="preserve"> has been determined they will be added together to provide a</w:t>
      </w:r>
      <w:r w:rsidR="005D614C">
        <w:rPr>
          <w:rFonts w:cs="Arial"/>
          <w:sz w:val="24"/>
          <w:szCs w:val="24"/>
        </w:rPr>
        <w:t>n overall</w:t>
      </w:r>
      <w:r w:rsidR="007A19F9">
        <w:rPr>
          <w:rFonts w:cs="Arial"/>
          <w:sz w:val="24"/>
          <w:szCs w:val="24"/>
        </w:rPr>
        <w:t xml:space="preserve"> </w:t>
      </w:r>
      <w:r w:rsidR="005D614C">
        <w:rPr>
          <w:rFonts w:cs="Arial"/>
          <w:sz w:val="24"/>
          <w:szCs w:val="24"/>
        </w:rPr>
        <w:t>q</w:t>
      </w:r>
      <w:r w:rsidRPr="00CF2A03">
        <w:rPr>
          <w:rFonts w:cs="Arial"/>
          <w:sz w:val="24"/>
          <w:szCs w:val="24"/>
        </w:rPr>
        <w:t xml:space="preserve">uality </w:t>
      </w:r>
      <w:r w:rsidR="005D614C">
        <w:rPr>
          <w:rFonts w:cs="Arial"/>
          <w:sz w:val="24"/>
          <w:szCs w:val="24"/>
        </w:rPr>
        <w:t>s</w:t>
      </w:r>
      <w:r w:rsidRPr="00CF2A03">
        <w:rPr>
          <w:rFonts w:cs="Arial"/>
          <w:sz w:val="24"/>
          <w:szCs w:val="24"/>
        </w:rPr>
        <w:t>core</w:t>
      </w:r>
      <w:r w:rsidR="007A19F9">
        <w:rPr>
          <w:rFonts w:cs="Arial"/>
          <w:sz w:val="24"/>
          <w:szCs w:val="24"/>
        </w:rPr>
        <w:t xml:space="preserve"> for </w:t>
      </w:r>
      <w:r w:rsidR="00505FF9">
        <w:rPr>
          <w:rFonts w:cs="Arial"/>
          <w:sz w:val="24"/>
          <w:szCs w:val="24"/>
        </w:rPr>
        <w:t>each tender</w:t>
      </w:r>
      <w:r w:rsidR="00E72272">
        <w:rPr>
          <w:rFonts w:cs="Arial"/>
          <w:sz w:val="24"/>
          <w:szCs w:val="24"/>
        </w:rPr>
        <w:t xml:space="preserve">.  </w:t>
      </w:r>
    </w:p>
    <w:p w14:paraId="718D199B" w14:textId="033842CE" w:rsidR="003F1EF3" w:rsidRPr="00712A24" w:rsidRDefault="003F1EF3" w:rsidP="007A19F9">
      <w:pPr>
        <w:pStyle w:val="Level2"/>
        <w:numPr>
          <w:ilvl w:val="0"/>
          <w:numId w:val="0"/>
        </w:num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a tender, including any clarifications</w:t>
      </w:r>
      <w:r w:rsidR="00CA27DF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="00CA27DF">
        <w:rPr>
          <w:rFonts w:cs="Arial"/>
          <w:sz w:val="24"/>
          <w:szCs w:val="24"/>
        </w:rPr>
        <w:t xml:space="preserve">is </w:t>
      </w:r>
      <w:r>
        <w:rPr>
          <w:rFonts w:cs="Arial"/>
          <w:sz w:val="24"/>
          <w:szCs w:val="24"/>
        </w:rPr>
        <w:t xml:space="preserve">incompatible with RAIB’s needs, </w:t>
      </w:r>
      <w:r w:rsidR="00E30B19">
        <w:rPr>
          <w:rFonts w:cs="Arial"/>
          <w:sz w:val="24"/>
          <w:szCs w:val="24"/>
        </w:rPr>
        <w:t xml:space="preserve">it will be </w:t>
      </w:r>
      <w:r w:rsidR="00D46116">
        <w:rPr>
          <w:rFonts w:cs="Arial"/>
          <w:sz w:val="24"/>
          <w:szCs w:val="24"/>
        </w:rPr>
        <w:t xml:space="preserve">rejected and </w:t>
      </w:r>
      <w:r w:rsidR="00E30B19">
        <w:rPr>
          <w:rFonts w:cs="Arial"/>
          <w:sz w:val="24"/>
          <w:szCs w:val="24"/>
        </w:rPr>
        <w:t>excluded from the tend</w:t>
      </w:r>
      <w:r w:rsidR="00D46116">
        <w:rPr>
          <w:rFonts w:cs="Arial"/>
          <w:sz w:val="24"/>
          <w:szCs w:val="24"/>
        </w:rPr>
        <w:t>er assessment process</w:t>
      </w:r>
      <w:r w:rsidR="00CA27DF">
        <w:rPr>
          <w:rFonts w:cs="Arial"/>
          <w:sz w:val="24"/>
          <w:szCs w:val="24"/>
        </w:rPr>
        <w:t>.</w:t>
      </w:r>
    </w:p>
    <w:p w14:paraId="20994B93" w14:textId="42B4D172" w:rsidR="005540FE" w:rsidRPr="00712A24" w:rsidRDefault="00DC3629" w:rsidP="00972055">
      <w:pPr>
        <w:pStyle w:val="Heading1"/>
        <w:rPr>
          <w:i/>
          <w:iCs/>
        </w:rPr>
      </w:pPr>
      <w:r w:rsidRPr="00712A24">
        <w:rPr>
          <w:i/>
          <w:iCs/>
        </w:rPr>
        <w:lastRenderedPageBreak/>
        <w:t>Scoring Matrix</w:t>
      </w:r>
    </w:p>
    <w:p w14:paraId="626DBDDF" w14:textId="625F135C" w:rsidR="00DC3629" w:rsidRDefault="00F12413" w:rsidP="00F12413">
      <w:pPr>
        <w:spacing w:after="240" w:line="240" w:lineRule="auto"/>
        <w:ind w:left="720"/>
        <w:jc w:val="both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17A5F86E" wp14:editId="714A8AB8">
            <wp:extent cx="5181600" cy="2141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14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05AD5" w14:textId="65C4163A" w:rsidR="00C8513E" w:rsidRPr="00712A24" w:rsidRDefault="008E1A0B" w:rsidP="00972055">
      <w:pPr>
        <w:pStyle w:val="Heading1"/>
        <w:rPr>
          <w:i/>
          <w:iCs/>
        </w:rPr>
      </w:pPr>
      <w:r w:rsidRPr="00712A24">
        <w:rPr>
          <w:i/>
          <w:iCs/>
        </w:rPr>
        <w:t>Q</w:t>
      </w:r>
      <w:r w:rsidR="008866D2" w:rsidRPr="00712A24">
        <w:rPr>
          <w:i/>
          <w:iCs/>
        </w:rPr>
        <w:t>uality Factors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536"/>
        <w:gridCol w:w="3260"/>
      </w:tblGrid>
      <w:tr w:rsidR="00737FAC" w14:paraId="457D0BA5" w14:textId="77777777" w:rsidTr="00712A24">
        <w:trPr>
          <w:trHeight w:val="497"/>
        </w:trPr>
        <w:tc>
          <w:tcPr>
            <w:tcW w:w="4536" w:type="dxa"/>
          </w:tcPr>
          <w:p w14:paraId="77A16EAB" w14:textId="6BC89F3B" w:rsidR="00737FAC" w:rsidRPr="00712A24" w:rsidRDefault="00737FAC" w:rsidP="00737FAC">
            <w:pPr>
              <w:spacing w:after="240"/>
              <w:jc w:val="center"/>
              <w:rPr>
                <w:rFonts w:cs="Arial"/>
                <w:b/>
                <w:bCs/>
                <w:i/>
                <w:iCs/>
                <w:color w:val="5B9BD5" w:themeColor="accent5"/>
                <w:sz w:val="2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12A24">
              <w:rPr>
                <w:rFonts w:cs="Arial"/>
                <w:b/>
                <w:bCs/>
                <w:i/>
                <w:iCs/>
                <w:sz w:val="20"/>
                <w:szCs w:val="22"/>
              </w:rPr>
              <w:t>Quality Factor</w:t>
            </w:r>
          </w:p>
        </w:tc>
        <w:tc>
          <w:tcPr>
            <w:tcW w:w="3260" w:type="dxa"/>
          </w:tcPr>
          <w:p w14:paraId="071F99D9" w14:textId="080C81BE" w:rsidR="00737FAC" w:rsidRPr="00712A24" w:rsidRDefault="00737FAC" w:rsidP="00737FAC">
            <w:pPr>
              <w:spacing w:after="240"/>
              <w:jc w:val="center"/>
              <w:rPr>
                <w:rFonts w:cs="Arial"/>
                <w:b/>
                <w:bCs/>
                <w:i/>
                <w:iCs/>
                <w:sz w:val="20"/>
              </w:rPr>
            </w:pPr>
            <w:r w:rsidRPr="00712A24">
              <w:rPr>
                <w:rFonts w:cs="Arial"/>
                <w:b/>
                <w:bCs/>
                <w:i/>
                <w:iCs/>
                <w:sz w:val="20"/>
                <w:szCs w:val="22"/>
              </w:rPr>
              <w:t>Quality Factor</w:t>
            </w:r>
            <w:r w:rsidR="00352F35" w:rsidRPr="00712A24">
              <w:rPr>
                <w:rFonts w:cs="Arial"/>
                <w:b/>
                <w:bCs/>
                <w:i/>
                <w:iCs/>
                <w:sz w:val="20"/>
                <w:szCs w:val="22"/>
              </w:rPr>
              <w:t xml:space="preserve"> weighting</w:t>
            </w:r>
          </w:p>
        </w:tc>
      </w:tr>
      <w:tr w:rsidR="00737FAC" w14:paraId="6EC6F36C" w14:textId="77777777" w:rsidTr="00712A24">
        <w:trPr>
          <w:trHeight w:val="497"/>
        </w:trPr>
        <w:tc>
          <w:tcPr>
            <w:tcW w:w="4536" w:type="dxa"/>
            <w:vAlign w:val="center"/>
          </w:tcPr>
          <w:p w14:paraId="69349088" w14:textId="78A07B5D" w:rsidR="00737FAC" w:rsidRPr="00712A24" w:rsidRDefault="00B72CC3" w:rsidP="00712A24">
            <w:pPr>
              <w:spacing w:after="240"/>
              <w:rPr>
                <w:rFonts w:cs="Arial"/>
                <w:color w:val="FF0000"/>
                <w:sz w:val="20"/>
              </w:rPr>
            </w:pPr>
            <w:r w:rsidRPr="00E17C3A">
              <w:rPr>
                <w:rStyle w:val="normaltextrun"/>
                <w:rFonts w:cs="Arial"/>
                <w:szCs w:val="24"/>
              </w:rPr>
              <w:t>Company’s greening/recycling policy</w:t>
            </w:r>
            <w:r w:rsidRPr="00E17C3A">
              <w:rPr>
                <w:rStyle w:val="eop"/>
                <w:rFonts w:cs="Arial"/>
                <w:szCs w:val="24"/>
              </w:rPr>
              <w:t> </w:t>
            </w:r>
          </w:p>
        </w:tc>
        <w:tc>
          <w:tcPr>
            <w:tcW w:w="3260" w:type="dxa"/>
          </w:tcPr>
          <w:p w14:paraId="20999836" w14:textId="7CE5BE60" w:rsidR="00737FAC" w:rsidRPr="00712A24" w:rsidRDefault="00730C32" w:rsidP="00737FAC">
            <w:pPr>
              <w:spacing w:after="240"/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72CC3" w:rsidRPr="00B72CC3">
              <w:rPr>
                <w:rFonts w:cs="Arial"/>
                <w:sz w:val="20"/>
              </w:rPr>
              <w:t>5%</w:t>
            </w:r>
          </w:p>
        </w:tc>
      </w:tr>
      <w:tr w:rsidR="00086F49" w14:paraId="42FC1603" w14:textId="77777777" w:rsidTr="00712A24">
        <w:trPr>
          <w:trHeight w:val="485"/>
        </w:trPr>
        <w:tc>
          <w:tcPr>
            <w:tcW w:w="4536" w:type="dxa"/>
            <w:vAlign w:val="center"/>
          </w:tcPr>
          <w:p w14:paraId="61755EE8" w14:textId="35B7E16D" w:rsidR="00086F49" w:rsidRPr="00712A24" w:rsidRDefault="004373DA" w:rsidP="003B69DF">
            <w:pPr>
              <w:tabs>
                <w:tab w:val="left" w:pos="-180"/>
              </w:tabs>
              <w:spacing w:after="240"/>
              <w:rPr>
                <w:rFonts w:cs="Arial"/>
                <w:color w:val="FF0000"/>
                <w:sz w:val="20"/>
              </w:rPr>
            </w:pPr>
            <w:r w:rsidRPr="004373DA">
              <w:rPr>
                <w:rFonts w:cs="Arial"/>
                <w:bCs/>
                <w:szCs w:val="24"/>
              </w:rPr>
              <w:t xml:space="preserve">Contract Management </w:t>
            </w:r>
          </w:p>
        </w:tc>
        <w:tc>
          <w:tcPr>
            <w:tcW w:w="3260" w:type="dxa"/>
          </w:tcPr>
          <w:p w14:paraId="6EC6E10A" w14:textId="72157030" w:rsidR="00086F49" w:rsidRPr="00712A24" w:rsidRDefault="00730C32" w:rsidP="003B69DF">
            <w:pPr>
              <w:spacing w:after="240" w:line="360" w:lineRule="auto"/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sz w:val="20"/>
                <w:szCs w:val="22"/>
              </w:rPr>
              <w:t>3</w:t>
            </w:r>
            <w:r w:rsidR="004373DA" w:rsidRPr="003B69DF">
              <w:rPr>
                <w:rFonts w:cs="Arial"/>
                <w:sz w:val="20"/>
                <w:szCs w:val="22"/>
              </w:rPr>
              <w:t>5</w:t>
            </w:r>
            <w:r w:rsidR="003B69DF" w:rsidRPr="003B69DF">
              <w:rPr>
                <w:rFonts w:cs="Arial"/>
                <w:sz w:val="20"/>
                <w:szCs w:val="22"/>
              </w:rPr>
              <w:t>%</w:t>
            </w:r>
          </w:p>
        </w:tc>
      </w:tr>
      <w:tr w:rsidR="00086F49" w14:paraId="29FA1AE5" w14:textId="77777777" w:rsidTr="00326C95">
        <w:trPr>
          <w:trHeight w:val="497"/>
        </w:trPr>
        <w:tc>
          <w:tcPr>
            <w:tcW w:w="4536" w:type="dxa"/>
            <w:vAlign w:val="center"/>
          </w:tcPr>
          <w:p w14:paraId="5BE53679" w14:textId="0C8D9A2A" w:rsidR="00086F49" w:rsidRPr="00712A24" w:rsidRDefault="0084461F" w:rsidP="00712A24">
            <w:pPr>
              <w:spacing w:after="240"/>
              <w:rPr>
                <w:rFonts w:cs="Arial"/>
                <w:color w:val="FF0000"/>
                <w:sz w:val="20"/>
              </w:rPr>
            </w:pPr>
            <w:r w:rsidRPr="004E0178">
              <w:rPr>
                <w:szCs w:val="24"/>
              </w:rPr>
              <w:t>Staff Training Programme</w:t>
            </w:r>
          </w:p>
        </w:tc>
        <w:tc>
          <w:tcPr>
            <w:tcW w:w="3260" w:type="dxa"/>
            <w:shd w:val="clear" w:color="auto" w:fill="auto"/>
          </w:tcPr>
          <w:p w14:paraId="0367A171" w14:textId="0456B24C" w:rsidR="00086F49" w:rsidRPr="00712A24" w:rsidRDefault="00730C32" w:rsidP="00086F49">
            <w:pPr>
              <w:spacing w:after="240"/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sz w:val="20"/>
              </w:rPr>
              <w:t>20</w:t>
            </w:r>
            <w:r w:rsidR="00326C95" w:rsidRPr="00326C95">
              <w:rPr>
                <w:rFonts w:cs="Arial"/>
                <w:sz w:val="20"/>
              </w:rPr>
              <w:t>%</w:t>
            </w:r>
          </w:p>
        </w:tc>
      </w:tr>
      <w:tr w:rsidR="00086F49" w14:paraId="2F2A3CDE" w14:textId="77777777" w:rsidTr="00272BFF">
        <w:trPr>
          <w:trHeight w:val="497"/>
        </w:trPr>
        <w:tc>
          <w:tcPr>
            <w:tcW w:w="4536" w:type="dxa"/>
            <w:vAlign w:val="center"/>
          </w:tcPr>
          <w:p w14:paraId="7AE69143" w14:textId="3CD00E66" w:rsidR="00086F49" w:rsidRPr="00712A24" w:rsidRDefault="00272BFF" w:rsidP="00712A24">
            <w:pPr>
              <w:spacing w:after="240"/>
              <w:rPr>
                <w:rFonts w:cs="Arial"/>
                <w:color w:val="FF0000"/>
                <w:sz w:val="20"/>
              </w:rPr>
            </w:pPr>
            <w:r w:rsidRPr="004E0178">
              <w:rPr>
                <w:szCs w:val="24"/>
              </w:rPr>
              <w:t>Customer Testimonials</w:t>
            </w:r>
          </w:p>
        </w:tc>
        <w:tc>
          <w:tcPr>
            <w:tcW w:w="3260" w:type="dxa"/>
            <w:shd w:val="clear" w:color="auto" w:fill="auto"/>
          </w:tcPr>
          <w:p w14:paraId="7A5FC1E1" w14:textId="41F106DB" w:rsidR="00086F49" w:rsidRPr="00712A24" w:rsidRDefault="00730C32" w:rsidP="00086F49">
            <w:pPr>
              <w:spacing w:after="240"/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sz w:val="20"/>
                <w:szCs w:val="22"/>
              </w:rPr>
              <w:t>10</w:t>
            </w:r>
            <w:r w:rsidR="00C14DD4" w:rsidRPr="00272BFF">
              <w:rPr>
                <w:rFonts w:cs="Arial"/>
                <w:sz w:val="20"/>
                <w:szCs w:val="22"/>
              </w:rPr>
              <w:t>%</w:t>
            </w:r>
          </w:p>
        </w:tc>
      </w:tr>
    </w:tbl>
    <w:p w14:paraId="3CD7E8E6" w14:textId="77777777" w:rsidR="00C854E4" w:rsidRPr="00CF2A03" w:rsidRDefault="00C854E4" w:rsidP="003E7E69">
      <w:pPr>
        <w:spacing w:after="240" w:line="240" w:lineRule="auto"/>
        <w:ind w:left="709"/>
        <w:jc w:val="both"/>
        <w:rPr>
          <w:rFonts w:cs="Arial"/>
          <w:szCs w:val="24"/>
        </w:rPr>
      </w:pPr>
    </w:p>
    <w:p w14:paraId="77A3EC91" w14:textId="78230202" w:rsidR="000F027B" w:rsidRPr="00712A24" w:rsidRDefault="000F027B" w:rsidP="000F027B">
      <w:pPr>
        <w:pStyle w:val="Level2"/>
        <w:numPr>
          <w:ilvl w:val="0"/>
          <w:numId w:val="0"/>
        </w:numPr>
        <w:ind w:left="720"/>
        <w:rPr>
          <w:rFonts w:cs="Arial"/>
          <w:b/>
        </w:rPr>
      </w:pPr>
      <w:r w:rsidRPr="00712A24">
        <w:rPr>
          <w:rFonts w:cs="Arial"/>
        </w:rPr>
        <w:t>The Consensus Marking Procedure will be used.  This is a two-step process, comprising:</w:t>
      </w:r>
    </w:p>
    <w:p w14:paraId="66B77AC6" w14:textId="77777777" w:rsidR="000F027B" w:rsidRPr="00712A24" w:rsidRDefault="000F027B" w:rsidP="000F027B">
      <w:pPr>
        <w:pStyle w:val="ListParagraph"/>
        <w:numPr>
          <w:ilvl w:val="0"/>
          <w:numId w:val="10"/>
        </w:numPr>
        <w:spacing w:after="240" w:line="240" w:lineRule="auto"/>
        <w:ind w:left="1134" w:hanging="425"/>
        <w:contextualSpacing w:val="0"/>
        <w:jc w:val="both"/>
        <w:rPr>
          <w:rFonts w:cs="Arial"/>
          <w:b/>
          <w:sz w:val="22"/>
        </w:rPr>
      </w:pPr>
      <w:r w:rsidRPr="00712A24">
        <w:rPr>
          <w:rFonts w:cs="Arial"/>
          <w:sz w:val="22"/>
        </w:rPr>
        <w:t>Independent evaluation; and</w:t>
      </w:r>
    </w:p>
    <w:p w14:paraId="27EDE0C3" w14:textId="77777777" w:rsidR="000F027B" w:rsidRPr="00712A24" w:rsidRDefault="000F027B" w:rsidP="000F027B">
      <w:pPr>
        <w:pStyle w:val="ListParagraph"/>
        <w:numPr>
          <w:ilvl w:val="0"/>
          <w:numId w:val="10"/>
        </w:numPr>
        <w:spacing w:after="240" w:line="240" w:lineRule="auto"/>
        <w:ind w:left="1134" w:hanging="425"/>
        <w:contextualSpacing w:val="0"/>
        <w:jc w:val="both"/>
        <w:rPr>
          <w:rFonts w:cs="Arial"/>
          <w:b/>
          <w:sz w:val="22"/>
        </w:rPr>
      </w:pPr>
      <w:r w:rsidRPr="00712A24">
        <w:rPr>
          <w:rFonts w:cs="Arial"/>
          <w:sz w:val="22"/>
        </w:rPr>
        <w:t>Group consensus marking.</w:t>
      </w:r>
    </w:p>
    <w:p w14:paraId="6BD462B7" w14:textId="58D1910D" w:rsidR="000F027B" w:rsidRPr="00712A24" w:rsidRDefault="000F027B" w:rsidP="00712A24">
      <w:pPr>
        <w:pStyle w:val="Level2"/>
        <w:numPr>
          <w:ilvl w:val="0"/>
          <w:numId w:val="0"/>
        </w:numPr>
        <w:ind w:left="720"/>
        <w:rPr>
          <w:rFonts w:cs="Arial"/>
        </w:rPr>
      </w:pPr>
      <w:r w:rsidRPr="00712A24">
        <w:rPr>
          <w:rFonts w:cs="Arial"/>
        </w:rPr>
        <w:t>During the independent evaluation process, each evaluator will separately (</w:t>
      </w:r>
      <w:proofErr w:type="gramStart"/>
      <w:r w:rsidRPr="00712A24">
        <w:rPr>
          <w:rFonts w:cs="Arial"/>
        </w:rPr>
        <w:t>i.e.</w:t>
      </w:r>
      <w:proofErr w:type="gramEnd"/>
      <w:r w:rsidRPr="00712A24">
        <w:rPr>
          <w:rFonts w:cs="Arial"/>
        </w:rPr>
        <w:t xml:space="preserve"> without conferring with other evaluators) scrutinise the quality of answers given by Tenderers in their Tender. Each evaluator will then allocate a mark for the answer in accordance with the Marking Scheme applicable to that question</w:t>
      </w:r>
    </w:p>
    <w:p w14:paraId="5C46741B" w14:textId="4B4D5937" w:rsidR="00A262C3" w:rsidRDefault="000F027B" w:rsidP="00712A24">
      <w:pPr>
        <w:pStyle w:val="Level2"/>
        <w:numPr>
          <w:ilvl w:val="0"/>
          <w:numId w:val="0"/>
        </w:numPr>
        <w:ind w:left="720"/>
        <w:rPr>
          <w:b/>
          <w:szCs w:val="24"/>
        </w:rPr>
      </w:pPr>
      <w:r w:rsidRPr="004D17F3">
        <w:rPr>
          <w:rFonts w:cs="Arial"/>
        </w:rPr>
        <w:t>During the meeting, the evaluators will discuss the independent marks until they reach a consensus regarding the marks that should be attributed to each Tenderer's answer to the questions.</w:t>
      </w:r>
      <w:r w:rsidR="00A262C3">
        <w:rPr>
          <w:b/>
          <w:szCs w:val="24"/>
        </w:rPr>
        <w:br w:type="page"/>
      </w:r>
    </w:p>
    <w:p w14:paraId="4BBACE75" w14:textId="7AB407D5" w:rsidR="00072165" w:rsidRPr="000E1CF5" w:rsidRDefault="00072165" w:rsidP="00063E7A">
      <w:pPr>
        <w:pStyle w:val="Level2"/>
        <w:numPr>
          <w:ilvl w:val="0"/>
          <w:numId w:val="0"/>
        </w:numPr>
        <w:ind w:left="720"/>
        <w:rPr>
          <w:rFonts w:eastAsiaTheme="majorEastAsia" w:cs="Arial"/>
          <w:b/>
          <w:szCs w:val="24"/>
        </w:rPr>
      </w:pPr>
      <w:r w:rsidRPr="000E1CF5">
        <w:rPr>
          <w:rFonts w:eastAsiaTheme="majorEastAsia" w:cs="Arial"/>
          <w:b/>
          <w:szCs w:val="24"/>
        </w:rPr>
        <w:lastRenderedPageBreak/>
        <w:t>Example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984"/>
        <w:gridCol w:w="2268"/>
        <w:gridCol w:w="2217"/>
      </w:tblGrid>
      <w:tr w:rsidR="00FA78A9" w:rsidRPr="008A2142" w14:paraId="20E5CD68" w14:textId="77777777" w:rsidTr="00712A24">
        <w:trPr>
          <w:trHeight w:val="397"/>
        </w:trPr>
        <w:tc>
          <w:tcPr>
            <w:tcW w:w="9021" w:type="dxa"/>
            <w:gridSpan w:val="4"/>
            <w:vAlign w:val="center"/>
          </w:tcPr>
          <w:p w14:paraId="3C3A3A92" w14:textId="0B5F4EE5" w:rsidR="00136560" w:rsidRPr="00712A24" w:rsidRDefault="00FA78A9" w:rsidP="00A95642">
            <w:pPr>
              <w:jc w:val="center"/>
              <w:rPr>
                <w:b/>
                <w:bCs/>
                <w:sz w:val="20"/>
              </w:rPr>
            </w:pPr>
            <w:r w:rsidRPr="00712A24">
              <w:rPr>
                <w:b/>
                <w:bCs/>
                <w:sz w:val="20"/>
              </w:rPr>
              <w:t>Pricing assessment</w:t>
            </w:r>
            <w:r w:rsidR="00C1350D">
              <w:rPr>
                <w:b/>
                <w:bCs/>
                <w:sz w:val="20"/>
              </w:rPr>
              <w:t xml:space="preserve"> – example, </w:t>
            </w:r>
          </w:p>
        </w:tc>
      </w:tr>
      <w:tr w:rsidR="00F111D8" w:rsidRPr="008A2142" w14:paraId="69E426FC" w14:textId="77777777" w:rsidTr="00712A24">
        <w:trPr>
          <w:trHeight w:val="454"/>
        </w:trPr>
        <w:tc>
          <w:tcPr>
            <w:tcW w:w="2552" w:type="dxa"/>
            <w:vAlign w:val="center"/>
          </w:tcPr>
          <w:p w14:paraId="4574B556" w14:textId="77777777" w:rsidR="00F111D8" w:rsidRPr="00712A24" w:rsidRDefault="00F111D8">
            <w:pPr>
              <w:rPr>
                <w:sz w:val="20"/>
              </w:rPr>
            </w:pPr>
            <w:r w:rsidRPr="00712A24">
              <w:rPr>
                <w:sz w:val="20"/>
              </w:rPr>
              <w:t>Potential supplier</w:t>
            </w:r>
          </w:p>
        </w:tc>
        <w:tc>
          <w:tcPr>
            <w:tcW w:w="1984" w:type="dxa"/>
            <w:vAlign w:val="center"/>
          </w:tcPr>
          <w:p w14:paraId="295D82E1" w14:textId="77777777" w:rsidR="00F111D8" w:rsidRPr="00712A24" w:rsidRDefault="00F111D8">
            <w:pPr>
              <w:jc w:val="center"/>
              <w:rPr>
                <w:sz w:val="20"/>
              </w:rPr>
            </w:pPr>
            <w:r w:rsidRPr="00712A24">
              <w:rPr>
                <w:sz w:val="20"/>
              </w:rPr>
              <w:t>Potential Supplier A</w:t>
            </w:r>
          </w:p>
        </w:tc>
        <w:tc>
          <w:tcPr>
            <w:tcW w:w="2268" w:type="dxa"/>
            <w:vAlign w:val="center"/>
          </w:tcPr>
          <w:p w14:paraId="0372B507" w14:textId="77777777" w:rsidR="00F111D8" w:rsidRPr="00712A24" w:rsidRDefault="00F111D8">
            <w:pPr>
              <w:jc w:val="center"/>
              <w:rPr>
                <w:sz w:val="20"/>
              </w:rPr>
            </w:pPr>
            <w:r w:rsidRPr="00712A24">
              <w:rPr>
                <w:sz w:val="20"/>
              </w:rPr>
              <w:t>Potential Supplier B</w:t>
            </w:r>
          </w:p>
        </w:tc>
        <w:tc>
          <w:tcPr>
            <w:tcW w:w="2217" w:type="dxa"/>
            <w:vAlign w:val="center"/>
          </w:tcPr>
          <w:p w14:paraId="6297855D" w14:textId="77777777" w:rsidR="00F111D8" w:rsidRPr="00712A24" w:rsidRDefault="00F111D8">
            <w:pPr>
              <w:jc w:val="center"/>
              <w:rPr>
                <w:sz w:val="20"/>
              </w:rPr>
            </w:pPr>
            <w:r w:rsidRPr="00712A24">
              <w:rPr>
                <w:sz w:val="20"/>
              </w:rPr>
              <w:t>Potential Supplier C</w:t>
            </w:r>
          </w:p>
        </w:tc>
      </w:tr>
      <w:tr w:rsidR="00F111D8" w:rsidRPr="008A2142" w14:paraId="284EEE59" w14:textId="77777777" w:rsidTr="00712A24">
        <w:trPr>
          <w:trHeight w:val="454"/>
        </w:trPr>
        <w:tc>
          <w:tcPr>
            <w:tcW w:w="2552" w:type="dxa"/>
            <w:vAlign w:val="center"/>
          </w:tcPr>
          <w:p w14:paraId="70B88875" w14:textId="77777777" w:rsidR="00F111D8" w:rsidRPr="00712A24" w:rsidRDefault="00F111D8">
            <w:pPr>
              <w:rPr>
                <w:sz w:val="20"/>
              </w:rPr>
            </w:pPr>
            <w:r w:rsidRPr="00712A24">
              <w:rPr>
                <w:sz w:val="20"/>
              </w:rPr>
              <w:t>Price submitted</w:t>
            </w:r>
          </w:p>
        </w:tc>
        <w:tc>
          <w:tcPr>
            <w:tcW w:w="1984" w:type="dxa"/>
            <w:vAlign w:val="center"/>
          </w:tcPr>
          <w:p w14:paraId="7257D475" w14:textId="42ABDF95" w:rsidR="00F111D8" w:rsidRPr="00712A24" w:rsidRDefault="00F111D8">
            <w:pPr>
              <w:jc w:val="center"/>
              <w:rPr>
                <w:sz w:val="20"/>
              </w:rPr>
            </w:pPr>
            <w:r w:rsidRPr="00712A24">
              <w:rPr>
                <w:sz w:val="20"/>
              </w:rPr>
              <w:t>£1</w:t>
            </w:r>
            <w:r w:rsidR="009B7FC5">
              <w:rPr>
                <w:sz w:val="20"/>
              </w:rPr>
              <w:t>0</w:t>
            </w:r>
            <w:r w:rsidRPr="00712A24">
              <w:rPr>
                <w:sz w:val="20"/>
              </w:rPr>
              <w:t>,000</w:t>
            </w:r>
          </w:p>
        </w:tc>
        <w:tc>
          <w:tcPr>
            <w:tcW w:w="2268" w:type="dxa"/>
            <w:vAlign w:val="center"/>
          </w:tcPr>
          <w:p w14:paraId="2E7E7255" w14:textId="2D3FFCA9" w:rsidR="00F111D8" w:rsidRPr="00712A24" w:rsidRDefault="00F111D8">
            <w:pPr>
              <w:jc w:val="center"/>
              <w:rPr>
                <w:sz w:val="20"/>
              </w:rPr>
            </w:pPr>
            <w:r w:rsidRPr="00712A24">
              <w:rPr>
                <w:sz w:val="20"/>
              </w:rPr>
              <w:t>£</w:t>
            </w:r>
            <w:r w:rsidR="005033CE">
              <w:rPr>
                <w:sz w:val="20"/>
              </w:rPr>
              <w:t>1</w:t>
            </w:r>
            <w:r w:rsidR="009B7FC5">
              <w:rPr>
                <w:sz w:val="20"/>
              </w:rPr>
              <w:t>2,000</w:t>
            </w:r>
          </w:p>
        </w:tc>
        <w:tc>
          <w:tcPr>
            <w:tcW w:w="2217" w:type="dxa"/>
            <w:vAlign w:val="center"/>
          </w:tcPr>
          <w:p w14:paraId="43F4FB06" w14:textId="75EF3D83" w:rsidR="00F111D8" w:rsidRPr="00712A24" w:rsidRDefault="00F111D8">
            <w:pPr>
              <w:jc w:val="center"/>
              <w:rPr>
                <w:sz w:val="20"/>
              </w:rPr>
            </w:pPr>
            <w:r w:rsidRPr="00712A24">
              <w:rPr>
                <w:sz w:val="20"/>
              </w:rPr>
              <w:t>£</w:t>
            </w:r>
            <w:r w:rsidR="009B7FC5">
              <w:rPr>
                <w:sz w:val="20"/>
              </w:rPr>
              <w:t>14.000</w:t>
            </w:r>
          </w:p>
        </w:tc>
      </w:tr>
      <w:tr w:rsidR="00F111D8" w:rsidRPr="008A2142" w14:paraId="54C48E7A" w14:textId="77777777" w:rsidTr="00712A24">
        <w:trPr>
          <w:trHeight w:val="454"/>
        </w:trPr>
        <w:tc>
          <w:tcPr>
            <w:tcW w:w="2552" w:type="dxa"/>
            <w:vAlign w:val="center"/>
          </w:tcPr>
          <w:p w14:paraId="771A85A6" w14:textId="747E7C03" w:rsidR="00F111D8" w:rsidRPr="00712A24" w:rsidRDefault="00D41655">
            <w:pPr>
              <w:rPr>
                <w:sz w:val="20"/>
              </w:rPr>
            </w:pPr>
            <w:r>
              <w:rPr>
                <w:sz w:val="20"/>
              </w:rPr>
              <w:t>Pricing score</w:t>
            </w:r>
          </w:p>
        </w:tc>
        <w:tc>
          <w:tcPr>
            <w:tcW w:w="1984" w:type="dxa"/>
            <w:vAlign w:val="center"/>
          </w:tcPr>
          <w:p w14:paraId="4F862FC8" w14:textId="0C5BEF70" w:rsidR="00F111D8" w:rsidRPr="00712A24" w:rsidRDefault="00F111D8">
            <w:pPr>
              <w:jc w:val="center"/>
              <w:rPr>
                <w:sz w:val="20"/>
              </w:rPr>
            </w:pPr>
            <w:r w:rsidRPr="00712A24">
              <w:rPr>
                <w:sz w:val="20"/>
              </w:rPr>
              <w:t>(£1</w:t>
            </w:r>
            <w:r w:rsidR="00AF74C3">
              <w:rPr>
                <w:sz w:val="20"/>
              </w:rPr>
              <w:t>0,</w:t>
            </w:r>
            <w:r w:rsidRPr="00712A24">
              <w:rPr>
                <w:sz w:val="20"/>
              </w:rPr>
              <w:t>000 / £1</w:t>
            </w:r>
            <w:r w:rsidR="00AF74C3">
              <w:rPr>
                <w:sz w:val="20"/>
              </w:rPr>
              <w:t>0</w:t>
            </w:r>
            <w:r w:rsidRPr="00712A24">
              <w:rPr>
                <w:sz w:val="20"/>
              </w:rPr>
              <w:t>,000) x 10</w:t>
            </w:r>
          </w:p>
        </w:tc>
        <w:tc>
          <w:tcPr>
            <w:tcW w:w="2268" w:type="dxa"/>
            <w:vAlign w:val="center"/>
          </w:tcPr>
          <w:p w14:paraId="69E3FCDF" w14:textId="6FEB4F18" w:rsidR="00F111D8" w:rsidRPr="00712A24" w:rsidRDefault="00F111D8">
            <w:pPr>
              <w:jc w:val="center"/>
              <w:rPr>
                <w:sz w:val="20"/>
              </w:rPr>
            </w:pPr>
            <w:r w:rsidRPr="00712A24">
              <w:rPr>
                <w:sz w:val="20"/>
              </w:rPr>
              <w:t>(£1</w:t>
            </w:r>
            <w:r w:rsidR="00AF74C3">
              <w:rPr>
                <w:sz w:val="20"/>
              </w:rPr>
              <w:t>0</w:t>
            </w:r>
            <w:r w:rsidRPr="00712A24">
              <w:rPr>
                <w:sz w:val="20"/>
              </w:rPr>
              <w:t>,000 / £</w:t>
            </w:r>
            <w:r w:rsidR="001431BB">
              <w:rPr>
                <w:sz w:val="20"/>
              </w:rPr>
              <w:t>1</w:t>
            </w:r>
            <w:r w:rsidR="00AF74C3">
              <w:rPr>
                <w:sz w:val="20"/>
              </w:rPr>
              <w:t>2,000</w:t>
            </w:r>
            <w:r w:rsidRPr="00712A24">
              <w:rPr>
                <w:sz w:val="20"/>
              </w:rPr>
              <w:t>) x 10</w:t>
            </w:r>
          </w:p>
        </w:tc>
        <w:tc>
          <w:tcPr>
            <w:tcW w:w="2217" w:type="dxa"/>
            <w:vAlign w:val="center"/>
          </w:tcPr>
          <w:p w14:paraId="6A68E275" w14:textId="3E93BEEF" w:rsidR="00F111D8" w:rsidRPr="00712A24" w:rsidRDefault="00F111D8">
            <w:pPr>
              <w:jc w:val="center"/>
              <w:rPr>
                <w:sz w:val="20"/>
              </w:rPr>
            </w:pPr>
            <w:r w:rsidRPr="00712A24">
              <w:rPr>
                <w:sz w:val="20"/>
              </w:rPr>
              <w:t>(£1</w:t>
            </w:r>
            <w:r w:rsidR="00E6459D">
              <w:rPr>
                <w:sz w:val="20"/>
              </w:rPr>
              <w:t>0</w:t>
            </w:r>
            <w:r w:rsidRPr="00712A24">
              <w:rPr>
                <w:sz w:val="20"/>
              </w:rPr>
              <w:t>,000 / £</w:t>
            </w:r>
            <w:r w:rsidR="00E6459D">
              <w:rPr>
                <w:sz w:val="20"/>
              </w:rPr>
              <w:t>14,000</w:t>
            </w:r>
            <w:r w:rsidRPr="00712A24">
              <w:rPr>
                <w:sz w:val="20"/>
              </w:rPr>
              <w:t>) x 10</w:t>
            </w:r>
          </w:p>
        </w:tc>
      </w:tr>
      <w:tr w:rsidR="00F111D8" w:rsidRPr="008A2142" w14:paraId="6F0EF1D4" w14:textId="77777777" w:rsidTr="00712A24">
        <w:trPr>
          <w:trHeight w:val="454"/>
        </w:trPr>
        <w:tc>
          <w:tcPr>
            <w:tcW w:w="2552" w:type="dxa"/>
            <w:vAlign w:val="center"/>
          </w:tcPr>
          <w:p w14:paraId="139AAE59" w14:textId="77777777" w:rsidR="00F111D8" w:rsidRPr="00712A24" w:rsidRDefault="00F111D8">
            <w:pPr>
              <w:rPr>
                <w:sz w:val="20"/>
              </w:rPr>
            </w:pPr>
            <w:r w:rsidRPr="00712A24">
              <w:rPr>
                <w:sz w:val="20"/>
              </w:rPr>
              <w:t>Pricing score awarded</w:t>
            </w:r>
          </w:p>
        </w:tc>
        <w:tc>
          <w:tcPr>
            <w:tcW w:w="1984" w:type="dxa"/>
            <w:vAlign w:val="center"/>
          </w:tcPr>
          <w:p w14:paraId="301F3F82" w14:textId="42912A4B" w:rsidR="00F111D8" w:rsidRPr="00712A24" w:rsidRDefault="00D41655">
            <w:pPr>
              <w:jc w:val="center"/>
              <w:rPr>
                <w:sz w:val="20"/>
              </w:rPr>
            </w:pPr>
            <w:r w:rsidRPr="00712A24">
              <w:rPr>
                <w:sz w:val="20"/>
              </w:rPr>
              <w:t>10</w:t>
            </w:r>
          </w:p>
        </w:tc>
        <w:tc>
          <w:tcPr>
            <w:tcW w:w="2268" w:type="dxa"/>
            <w:vAlign w:val="center"/>
          </w:tcPr>
          <w:p w14:paraId="39D43A64" w14:textId="5C42ED7F" w:rsidR="00F111D8" w:rsidRPr="00712A24" w:rsidRDefault="00D41655">
            <w:pPr>
              <w:jc w:val="center"/>
              <w:rPr>
                <w:sz w:val="20"/>
              </w:rPr>
            </w:pPr>
            <w:r w:rsidRPr="00712A24">
              <w:rPr>
                <w:sz w:val="20"/>
              </w:rPr>
              <w:t>8</w:t>
            </w:r>
            <w:r w:rsidR="00AE5BB8">
              <w:rPr>
                <w:sz w:val="20"/>
              </w:rPr>
              <w:t>.33</w:t>
            </w:r>
          </w:p>
        </w:tc>
        <w:tc>
          <w:tcPr>
            <w:tcW w:w="2217" w:type="dxa"/>
            <w:vAlign w:val="center"/>
          </w:tcPr>
          <w:p w14:paraId="1DD0D1D7" w14:textId="124EB71A" w:rsidR="00F111D8" w:rsidRPr="00712A24" w:rsidRDefault="00AA6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7.14</w:t>
            </w:r>
          </w:p>
        </w:tc>
      </w:tr>
      <w:tr w:rsidR="002A150E" w:rsidRPr="008A2142" w14:paraId="7E4020EB" w14:textId="77777777" w:rsidTr="00712A24">
        <w:trPr>
          <w:trHeight w:val="454"/>
        </w:trPr>
        <w:tc>
          <w:tcPr>
            <w:tcW w:w="2552" w:type="dxa"/>
            <w:vAlign w:val="center"/>
          </w:tcPr>
          <w:p w14:paraId="32B68E4F" w14:textId="3D857B1F" w:rsidR="002A150E" w:rsidRPr="00D90398" w:rsidRDefault="002A150E">
            <w:pPr>
              <w:rPr>
                <w:b/>
                <w:bCs/>
                <w:sz w:val="20"/>
              </w:rPr>
            </w:pPr>
            <w:r w:rsidRPr="00D90398">
              <w:rPr>
                <w:b/>
                <w:bCs/>
                <w:sz w:val="20"/>
              </w:rPr>
              <w:t xml:space="preserve">Weighted pricing score </w:t>
            </w:r>
            <w:r w:rsidR="00886D1B">
              <w:rPr>
                <w:b/>
                <w:bCs/>
                <w:sz w:val="20"/>
              </w:rPr>
              <w:br/>
            </w:r>
            <w:r w:rsidRPr="00D90398">
              <w:rPr>
                <w:b/>
                <w:bCs/>
                <w:sz w:val="20"/>
              </w:rPr>
              <w:t xml:space="preserve">(35% </w:t>
            </w:r>
            <w:r w:rsidR="00072165">
              <w:rPr>
                <w:b/>
                <w:bCs/>
                <w:sz w:val="20"/>
              </w:rPr>
              <w:t xml:space="preserve">weighting </w:t>
            </w:r>
            <w:r w:rsidR="007C0360">
              <w:rPr>
                <w:b/>
                <w:bCs/>
                <w:sz w:val="20"/>
              </w:rPr>
              <w:t>in this example</w:t>
            </w:r>
            <w:r w:rsidRPr="00D90398">
              <w:rPr>
                <w:b/>
                <w:bCs/>
                <w:sz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207E3C6D" w14:textId="01D3A13F" w:rsidR="002A150E" w:rsidRPr="00544CC5" w:rsidRDefault="00D4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3.5</w:t>
            </w:r>
            <w:r w:rsidR="009B4183">
              <w:rPr>
                <w:b/>
                <w:bCs/>
                <w:sz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25E0DF44" w14:textId="3602437D" w:rsidR="002A150E" w:rsidRPr="00544CC5" w:rsidRDefault="00D73D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2.91</w:t>
            </w:r>
          </w:p>
        </w:tc>
        <w:tc>
          <w:tcPr>
            <w:tcW w:w="2217" w:type="dxa"/>
            <w:vAlign w:val="center"/>
          </w:tcPr>
          <w:p w14:paraId="3EE1F9FC" w14:textId="4EC59F7A" w:rsidR="002A150E" w:rsidRPr="00544CC5" w:rsidRDefault="00DA69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2.50</w:t>
            </w:r>
          </w:p>
        </w:tc>
      </w:tr>
    </w:tbl>
    <w:p w14:paraId="67C25F2B" w14:textId="3EF0B8D6" w:rsidR="00886D1B" w:rsidRDefault="00886D1B">
      <w:pPr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3"/>
        <w:gridCol w:w="998"/>
        <w:gridCol w:w="993"/>
        <w:gridCol w:w="1134"/>
        <w:gridCol w:w="847"/>
        <w:gridCol w:w="1003"/>
        <w:gridCol w:w="1075"/>
      </w:tblGrid>
      <w:tr w:rsidR="00FA78A9" w14:paraId="7AD6572E" w14:textId="77777777" w:rsidTr="00712A24">
        <w:trPr>
          <w:trHeight w:val="381"/>
        </w:trPr>
        <w:tc>
          <w:tcPr>
            <w:tcW w:w="9016" w:type="dxa"/>
            <w:gridSpan w:val="8"/>
            <w:vAlign w:val="center"/>
          </w:tcPr>
          <w:p w14:paraId="6B962A01" w14:textId="21F33C5C" w:rsidR="00E47E14" w:rsidRPr="004A5C3F" w:rsidRDefault="00FA78A9" w:rsidP="00712A24">
            <w:pPr>
              <w:jc w:val="center"/>
              <w:rPr>
                <w:sz w:val="20"/>
              </w:rPr>
            </w:pPr>
            <w:r w:rsidRPr="00712A24">
              <w:rPr>
                <w:b/>
                <w:bCs/>
                <w:sz w:val="20"/>
              </w:rPr>
              <w:t>Quality assessment</w:t>
            </w:r>
            <w:r w:rsidR="005B2B9F">
              <w:rPr>
                <w:b/>
                <w:bCs/>
                <w:sz w:val="20"/>
              </w:rPr>
              <w:t xml:space="preserve"> – example, </w:t>
            </w:r>
          </w:p>
        </w:tc>
      </w:tr>
      <w:tr w:rsidR="002A0095" w14:paraId="19A7F536" w14:textId="77777777" w:rsidTr="00712A24">
        <w:trPr>
          <w:trHeight w:val="454"/>
        </w:trPr>
        <w:tc>
          <w:tcPr>
            <w:tcW w:w="2263" w:type="dxa"/>
          </w:tcPr>
          <w:p w14:paraId="0FDD9A5D" w14:textId="77777777" w:rsidR="002A0095" w:rsidRDefault="002A0095" w:rsidP="00712A24">
            <w:pPr>
              <w:rPr>
                <w:b/>
                <w:szCs w:val="24"/>
              </w:rPr>
            </w:pPr>
          </w:p>
        </w:tc>
        <w:tc>
          <w:tcPr>
            <w:tcW w:w="703" w:type="dxa"/>
          </w:tcPr>
          <w:p w14:paraId="437796E9" w14:textId="77777777" w:rsidR="002A0095" w:rsidRDefault="002A0095" w:rsidP="00712A24">
            <w:pPr>
              <w:rPr>
                <w:b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3DF54F13" w14:textId="2139654B" w:rsidR="002A0095" w:rsidRDefault="002A0095" w:rsidP="00712A24">
            <w:pPr>
              <w:rPr>
                <w:b/>
                <w:szCs w:val="24"/>
              </w:rPr>
            </w:pPr>
            <w:r w:rsidRPr="004A5C3F">
              <w:rPr>
                <w:sz w:val="20"/>
              </w:rPr>
              <w:t>Potential Supplier A</w:t>
            </w:r>
          </w:p>
        </w:tc>
        <w:tc>
          <w:tcPr>
            <w:tcW w:w="1981" w:type="dxa"/>
            <w:gridSpan w:val="2"/>
            <w:vAlign w:val="center"/>
          </w:tcPr>
          <w:p w14:paraId="75B5A183" w14:textId="31EFBC06" w:rsidR="002A0095" w:rsidRDefault="002A0095" w:rsidP="00712A24">
            <w:pPr>
              <w:rPr>
                <w:b/>
                <w:szCs w:val="24"/>
              </w:rPr>
            </w:pPr>
            <w:r w:rsidRPr="004A5C3F">
              <w:rPr>
                <w:sz w:val="20"/>
              </w:rPr>
              <w:t>Potential Supplier B</w:t>
            </w:r>
          </w:p>
        </w:tc>
        <w:tc>
          <w:tcPr>
            <w:tcW w:w="2078" w:type="dxa"/>
            <w:gridSpan w:val="2"/>
            <w:vAlign w:val="center"/>
          </w:tcPr>
          <w:p w14:paraId="6F5E8F2F" w14:textId="550CFA7C" w:rsidR="002A0095" w:rsidRDefault="002A0095" w:rsidP="00712A24">
            <w:pPr>
              <w:rPr>
                <w:b/>
                <w:szCs w:val="24"/>
              </w:rPr>
            </w:pPr>
            <w:r w:rsidRPr="004A5C3F">
              <w:rPr>
                <w:sz w:val="20"/>
              </w:rPr>
              <w:t>Potential Supplier C</w:t>
            </w:r>
          </w:p>
        </w:tc>
      </w:tr>
      <w:tr w:rsidR="002A0095" w14:paraId="6BA90E52" w14:textId="77777777" w:rsidTr="00712A24">
        <w:trPr>
          <w:cantSplit/>
          <w:trHeight w:val="1134"/>
        </w:trPr>
        <w:tc>
          <w:tcPr>
            <w:tcW w:w="2263" w:type="dxa"/>
            <w:vAlign w:val="center"/>
          </w:tcPr>
          <w:p w14:paraId="5B76EB43" w14:textId="783BC0E1" w:rsidR="002A0095" w:rsidRDefault="002A0095" w:rsidP="00712A24">
            <w:pPr>
              <w:rPr>
                <w:b/>
                <w:szCs w:val="24"/>
              </w:rPr>
            </w:pPr>
            <w:r w:rsidRPr="004A5C3F">
              <w:rPr>
                <w:bCs/>
                <w:sz w:val="20"/>
              </w:rPr>
              <w:t>Quality factor</w:t>
            </w:r>
          </w:p>
        </w:tc>
        <w:tc>
          <w:tcPr>
            <w:tcW w:w="703" w:type="dxa"/>
            <w:textDirection w:val="btLr"/>
            <w:vAlign w:val="center"/>
          </w:tcPr>
          <w:p w14:paraId="7C2C5096" w14:textId="6396858B" w:rsidR="002A0095" w:rsidRDefault="002A0095" w:rsidP="00712A24">
            <w:pPr>
              <w:ind w:left="113" w:right="113"/>
              <w:rPr>
                <w:b/>
                <w:szCs w:val="24"/>
              </w:rPr>
            </w:pPr>
            <w:r w:rsidRPr="004A5C3F">
              <w:rPr>
                <w:bCs/>
                <w:sz w:val="20"/>
              </w:rPr>
              <w:t>Factor weighting</w:t>
            </w:r>
          </w:p>
        </w:tc>
        <w:tc>
          <w:tcPr>
            <w:tcW w:w="998" w:type="dxa"/>
            <w:textDirection w:val="btLr"/>
            <w:vAlign w:val="center"/>
          </w:tcPr>
          <w:p w14:paraId="4B1C963C" w14:textId="2BEF21E4" w:rsidR="002A0095" w:rsidRPr="00712A24" w:rsidRDefault="002A0095" w:rsidP="00712A24">
            <w:pPr>
              <w:ind w:left="113" w:right="113"/>
              <w:rPr>
                <w:bCs/>
                <w:sz w:val="20"/>
              </w:rPr>
            </w:pPr>
            <w:r w:rsidRPr="002A0095">
              <w:rPr>
                <w:bCs/>
                <w:sz w:val="20"/>
              </w:rPr>
              <w:t>matrix score</w:t>
            </w:r>
          </w:p>
        </w:tc>
        <w:tc>
          <w:tcPr>
            <w:tcW w:w="993" w:type="dxa"/>
            <w:textDirection w:val="btLr"/>
            <w:vAlign w:val="center"/>
          </w:tcPr>
          <w:p w14:paraId="22BC4C7F" w14:textId="51B83943" w:rsidR="002A0095" w:rsidRPr="00712A24" w:rsidRDefault="002A0095" w:rsidP="00712A24">
            <w:pPr>
              <w:ind w:left="113" w:right="113"/>
              <w:rPr>
                <w:bCs/>
                <w:sz w:val="20"/>
              </w:rPr>
            </w:pPr>
            <w:r w:rsidRPr="00712A24">
              <w:rPr>
                <w:bCs/>
                <w:sz w:val="20"/>
                <w:szCs w:val="22"/>
              </w:rPr>
              <w:t>criteria score</w:t>
            </w:r>
          </w:p>
        </w:tc>
        <w:tc>
          <w:tcPr>
            <w:tcW w:w="1134" w:type="dxa"/>
            <w:textDirection w:val="btLr"/>
            <w:vAlign w:val="center"/>
          </w:tcPr>
          <w:p w14:paraId="2CCF6FAA" w14:textId="4AD43E24" w:rsidR="002A0095" w:rsidRPr="00712A24" w:rsidRDefault="002A0095" w:rsidP="00712A24">
            <w:pPr>
              <w:ind w:left="113" w:right="113"/>
              <w:rPr>
                <w:bCs/>
                <w:sz w:val="20"/>
              </w:rPr>
            </w:pPr>
            <w:r w:rsidRPr="004A5C3F">
              <w:rPr>
                <w:bCs/>
                <w:sz w:val="20"/>
              </w:rPr>
              <w:t>matrix score</w:t>
            </w:r>
          </w:p>
        </w:tc>
        <w:tc>
          <w:tcPr>
            <w:tcW w:w="847" w:type="dxa"/>
            <w:textDirection w:val="btLr"/>
            <w:vAlign w:val="center"/>
          </w:tcPr>
          <w:p w14:paraId="2CFBAA32" w14:textId="4B60BC4D" w:rsidR="002A0095" w:rsidRPr="00712A24" w:rsidRDefault="002A0095" w:rsidP="00712A24">
            <w:pPr>
              <w:ind w:left="113" w:right="113"/>
              <w:rPr>
                <w:bCs/>
                <w:sz w:val="20"/>
              </w:rPr>
            </w:pPr>
            <w:r w:rsidRPr="004A5C3F">
              <w:rPr>
                <w:bCs/>
                <w:sz w:val="20"/>
              </w:rPr>
              <w:t>criteria score</w:t>
            </w:r>
          </w:p>
        </w:tc>
        <w:tc>
          <w:tcPr>
            <w:tcW w:w="1003" w:type="dxa"/>
            <w:textDirection w:val="btLr"/>
            <w:vAlign w:val="center"/>
          </w:tcPr>
          <w:p w14:paraId="4DBD070C" w14:textId="1A638EEB" w:rsidR="002A0095" w:rsidRPr="00712A24" w:rsidRDefault="002A0095" w:rsidP="00712A24">
            <w:pPr>
              <w:ind w:left="113" w:right="113"/>
              <w:rPr>
                <w:bCs/>
                <w:sz w:val="20"/>
              </w:rPr>
            </w:pPr>
            <w:r w:rsidRPr="004A5C3F">
              <w:rPr>
                <w:bCs/>
                <w:sz w:val="20"/>
              </w:rPr>
              <w:t>matrix score</w:t>
            </w:r>
          </w:p>
        </w:tc>
        <w:tc>
          <w:tcPr>
            <w:tcW w:w="1075" w:type="dxa"/>
            <w:textDirection w:val="btLr"/>
            <w:vAlign w:val="center"/>
          </w:tcPr>
          <w:p w14:paraId="67C42AC1" w14:textId="786E9AD8" w:rsidR="002A0095" w:rsidRPr="00712A24" w:rsidRDefault="002A0095" w:rsidP="00712A24">
            <w:pPr>
              <w:ind w:left="113" w:right="113"/>
              <w:rPr>
                <w:bCs/>
                <w:sz w:val="20"/>
              </w:rPr>
            </w:pPr>
            <w:r w:rsidRPr="004A5C3F">
              <w:rPr>
                <w:bCs/>
                <w:sz w:val="20"/>
              </w:rPr>
              <w:t>criteria score</w:t>
            </w:r>
          </w:p>
        </w:tc>
      </w:tr>
      <w:tr w:rsidR="00D24C60" w14:paraId="41242A65" w14:textId="77777777" w:rsidTr="00712A24">
        <w:trPr>
          <w:trHeight w:val="454"/>
        </w:trPr>
        <w:tc>
          <w:tcPr>
            <w:tcW w:w="2263" w:type="dxa"/>
            <w:vAlign w:val="center"/>
          </w:tcPr>
          <w:p w14:paraId="4F974252" w14:textId="5F0E30C1" w:rsidR="00D24C60" w:rsidRPr="00712A24" w:rsidRDefault="00035BB2" w:rsidP="00712A24">
            <w:pPr>
              <w:rPr>
                <w:bCs/>
                <w:sz w:val="20"/>
              </w:rPr>
            </w:pPr>
            <w:r w:rsidRPr="00035BB2">
              <w:rPr>
                <w:bCs/>
                <w:sz w:val="20"/>
              </w:rPr>
              <w:t>Company’s greening/recycling policy</w:t>
            </w:r>
          </w:p>
        </w:tc>
        <w:tc>
          <w:tcPr>
            <w:tcW w:w="703" w:type="dxa"/>
            <w:vAlign w:val="center"/>
          </w:tcPr>
          <w:p w14:paraId="78D8183B" w14:textId="77B7D1E6" w:rsidR="00D24C60" w:rsidRPr="00712A24" w:rsidRDefault="00035BB2" w:rsidP="00712A2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  <w:r w:rsidR="00D24C60" w:rsidRPr="00712A24">
              <w:rPr>
                <w:bCs/>
                <w:sz w:val="20"/>
              </w:rPr>
              <w:t>%</w:t>
            </w:r>
          </w:p>
        </w:tc>
        <w:tc>
          <w:tcPr>
            <w:tcW w:w="998" w:type="dxa"/>
            <w:vAlign w:val="center"/>
          </w:tcPr>
          <w:p w14:paraId="15268479" w14:textId="2E02ED30" w:rsidR="00D24C60" w:rsidRPr="00712A24" w:rsidRDefault="00D24C60" w:rsidP="00712A24">
            <w:pPr>
              <w:jc w:val="center"/>
              <w:rPr>
                <w:bCs/>
                <w:sz w:val="20"/>
              </w:rPr>
            </w:pPr>
            <w:r w:rsidRPr="00712A24">
              <w:rPr>
                <w:bCs/>
                <w:sz w:val="20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01B4E54F" w14:textId="3F222E1B" w:rsidR="00D24C60" w:rsidRPr="00712A24" w:rsidRDefault="00D24C60" w:rsidP="00712A24">
            <w:pPr>
              <w:jc w:val="center"/>
              <w:rPr>
                <w:bCs/>
                <w:sz w:val="20"/>
              </w:rPr>
            </w:pPr>
            <w:r w:rsidRPr="00712A24">
              <w:rPr>
                <w:bCs/>
                <w:sz w:val="20"/>
                <w:szCs w:val="22"/>
              </w:rPr>
              <w:t>1.</w:t>
            </w:r>
            <w:r w:rsidR="004A3751">
              <w:rPr>
                <w:bCs/>
                <w:sz w:val="20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13CDC8E4" w14:textId="1C81B6C5" w:rsidR="00D24C60" w:rsidRPr="00712A24" w:rsidRDefault="00D24C60" w:rsidP="00712A24">
            <w:pPr>
              <w:jc w:val="center"/>
              <w:rPr>
                <w:bCs/>
                <w:sz w:val="20"/>
              </w:rPr>
            </w:pPr>
            <w:r w:rsidRPr="00712A24">
              <w:rPr>
                <w:bCs/>
                <w:sz w:val="20"/>
                <w:szCs w:val="22"/>
              </w:rPr>
              <w:t>5</w:t>
            </w:r>
          </w:p>
        </w:tc>
        <w:tc>
          <w:tcPr>
            <w:tcW w:w="847" w:type="dxa"/>
            <w:vAlign w:val="center"/>
          </w:tcPr>
          <w:p w14:paraId="58A0875B" w14:textId="5A9BDCAD" w:rsidR="00D24C60" w:rsidRPr="00712A24" w:rsidRDefault="00B90F12" w:rsidP="00712A2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1.75</w:t>
            </w:r>
          </w:p>
        </w:tc>
        <w:tc>
          <w:tcPr>
            <w:tcW w:w="1003" w:type="dxa"/>
            <w:vAlign w:val="center"/>
          </w:tcPr>
          <w:p w14:paraId="21758534" w14:textId="0D4D906B" w:rsidR="00D24C60" w:rsidRPr="00712A24" w:rsidRDefault="00D24C60" w:rsidP="00712A24">
            <w:pPr>
              <w:jc w:val="center"/>
              <w:rPr>
                <w:bCs/>
                <w:sz w:val="20"/>
              </w:rPr>
            </w:pPr>
            <w:r w:rsidRPr="00712A24">
              <w:rPr>
                <w:bCs/>
                <w:sz w:val="20"/>
                <w:szCs w:val="22"/>
              </w:rPr>
              <w:t>3</w:t>
            </w:r>
          </w:p>
        </w:tc>
        <w:tc>
          <w:tcPr>
            <w:tcW w:w="1075" w:type="dxa"/>
            <w:vAlign w:val="center"/>
          </w:tcPr>
          <w:p w14:paraId="3483D8E2" w14:textId="55831CC3" w:rsidR="00D24C60" w:rsidRPr="00712A24" w:rsidRDefault="00D24C60" w:rsidP="00712A24">
            <w:pPr>
              <w:jc w:val="center"/>
              <w:rPr>
                <w:bCs/>
                <w:sz w:val="20"/>
              </w:rPr>
            </w:pPr>
            <w:r w:rsidRPr="00712A24">
              <w:rPr>
                <w:bCs/>
                <w:sz w:val="20"/>
                <w:szCs w:val="22"/>
              </w:rPr>
              <w:t>1.</w:t>
            </w:r>
            <w:r w:rsidR="00B90F12">
              <w:rPr>
                <w:bCs/>
                <w:sz w:val="20"/>
                <w:szCs w:val="22"/>
              </w:rPr>
              <w:t>05</w:t>
            </w:r>
          </w:p>
        </w:tc>
      </w:tr>
      <w:tr w:rsidR="00D24C60" w14:paraId="0743B69C" w14:textId="77777777" w:rsidTr="00712A24">
        <w:trPr>
          <w:trHeight w:val="454"/>
        </w:trPr>
        <w:tc>
          <w:tcPr>
            <w:tcW w:w="2263" w:type="dxa"/>
            <w:vAlign w:val="center"/>
          </w:tcPr>
          <w:p w14:paraId="237B4BCB" w14:textId="5EB1B60D" w:rsidR="00D24C60" w:rsidRPr="00712A24" w:rsidRDefault="00C81BFA" w:rsidP="00712A24">
            <w:pPr>
              <w:rPr>
                <w:bCs/>
                <w:sz w:val="20"/>
              </w:rPr>
            </w:pPr>
            <w:r w:rsidRPr="00C81BFA">
              <w:rPr>
                <w:bCs/>
                <w:sz w:val="20"/>
              </w:rPr>
              <w:t xml:space="preserve">Contract Management </w:t>
            </w:r>
          </w:p>
        </w:tc>
        <w:tc>
          <w:tcPr>
            <w:tcW w:w="703" w:type="dxa"/>
            <w:vAlign w:val="center"/>
          </w:tcPr>
          <w:p w14:paraId="4C178230" w14:textId="03DDEDF8" w:rsidR="00D24C60" w:rsidRPr="00712A24" w:rsidRDefault="00C81BFA" w:rsidP="00712A2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35%</w:t>
            </w:r>
          </w:p>
        </w:tc>
        <w:tc>
          <w:tcPr>
            <w:tcW w:w="998" w:type="dxa"/>
            <w:vAlign w:val="center"/>
          </w:tcPr>
          <w:p w14:paraId="3CEA444E" w14:textId="65555F41" w:rsidR="00D24C60" w:rsidRPr="00712A24" w:rsidRDefault="00D24C60" w:rsidP="00712A24">
            <w:pPr>
              <w:jc w:val="center"/>
              <w:rPr>
                <w:bCs/>
                <w:sz w:val="20"/>
              </w:rPr>
            </w:pPr>
            <w:r w:rsidRPr="00712A24">
              <w:rPr>
                <w:bCs/>
                <w:sz w:val="20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024B2826" w14:textId="5246AFA7" w:rsidR="00D24C60" w:rsidRPr="00712A24" w:rsidRDefault="00882504" w:rsidP="00712A2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1.75</w:t>
            </w:r>
          </w:p>
        </w:tc>
        <w:tc>
          <w:tcPr>
            <w:tcW w:w="1134" w:type="dxa"/>
            <w:vAlign w:val="center"/>
          </w:tcPr>
          <w:p w14:paraId="184FFC0B" w14:textId="613E71E2" w:rsidR="00D24C60" w:rsidRPr="00712A24" w:rsidRDefault="00D24C60" w:rsidP="00712A24">
            <w:pPr>
              <w:jc w:val="center"/>
              <w:rPr>
                <w:bCs/>
                <w:sz w:val="20"/>
              </w:rPr>
            </w:pPr>
            <w:r w:rsidRPr="00712A24">
              <w:rPr>
                <w:bCs/>
                <w:sz w:val="20"/>
                <w:szCs w:val="22"/>
              </w:rPr>
              <w:t>8</w:t>
            </w:r>
          </w:p>
        </w:tc>
        <w:tc>
          <w:tcPr>
            <w:tcW w:w="847" w:type="dxa"/>
            <w:vAlign w:val="center"/>
          </w:tcPr>
          <w:p w14:paraId="4F84FB5A" w14:textId="0F2A11CD" w:rsidR="00D24C60" w:rsidRPr="00712A24" w:rsidRDefault="00153925" w:rsidP="00712A2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2.8</w:t>
            </w:r>
          </w:p>
        </w:tc>
        <w:tc>
          <w:tcPr>
            <w:tcW w:w="1003" w:type="dxa"/>
            <w:vAlign w:val="center"/>
          </w:tcPr>
          <w:p w14:paraId="3BAB95DF" w14:textId="55F31544" w:rsidR="00D24C60" w:rsidRPr="00712A24" w:rsidRDefault="00D24C60" w:rsidP="00712A24">
            <w:pPr>
              <w:jc w:val="center"/>
              <w:rPr>
                <w:bCs/>
                <w:sz w:val="20"/>
              </w:rPr>
            </w:pPr>
            <w:r w:rsidRPr="00712A24">
              <w:rPr>
                <w:bCs/>
                <w:sz w:val="20"/>
                <w:szCs w:val="22"/>
              </w:rPr>
              <w:t>8</w:t>
            </w:r>
          </w:p>
        </w:tc>
        <w:tc>
          <w:tcPr>
            <w:tcW w:w="1075" w:type="dxa"/>
            <w:vAlign w:val="center"/>
          </w:tcPr>
          <w:p w14:paraId="40A14E40" w14:textId="4961ED3D" w:rsidR="00D24C60" w:rsidRPr="00712A24" w:rsidRDefault="00153925" w:rsidP="00712A2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2"/>
              </w:rPr>
              <w:t>2</w:t>
            </w:r>
            <w:r w:rsidR="00D24C60" w:rsidRPr="00712A24">
              <w:rPr>
                <w:bCs/>
                <w:sz w:val="20"/>
                <w:szCs w:val="22"/>
              </w:rPr>
              <w:t>.8</w:t>
            </w:r>
          </w:p>
        </w:tc>
      </w:tr>
      <w:tr w:rsidR="0085150C" w14:paraId="5A6CE2E9" w14:textId="77777777" w:rsidTr="00712A24">
        <w:trPr>
          <w:trHeight w:val="454"/>
        </w:trPr>
        <w:tc>
          <w:tcPr>
            <w:tcW w:w="2263" w:type="dxa"/>
          </w:tcPr>
          <w:p w14:paraId="06229E7B" w14:textId="5FB97350" w:rsidR="0085150C" w:rsidRPr="008E54B7" w:rsidRDefault="008E54B7" w:rsidP="00712A24">
            <w:pPr>
              <w:rPr>
                <w:sz w:val="20"/>
              </w:rPr>
            </w:pPr>
            <w:r w:rsidRPr="008E54B7">
              <w:rPr>
                <w:sz w:val="20"/>
              </w:rPr>
              <w:t>Staff Training Programme</w:t>
            </w:r>
          </w:p>
        </w:tc>
        <w:tc>
          <w:tcPr>
            <w:tcW w:w="703" w:type="dxa"/>
          </w:tcPr>
          <w:p w14:paraId="792689E1" w14:textId="5DAA2D81" w:rsidR="0085150C" w:rsidRPr="00712A24" w:rsidRDefault="0077773F" w:rsidP="0077773F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20</w:t>
            </w:r>
            <w:r>
              <w:rPr>
                <w:bCs/>
                <w:sz w:val="20"/>
              </w:rPr>
              <w:t>%</w:t>
            </w:r>
          </w:p>
        </w:tc>
        <w:tc>
          <w:tcPr>
            <w:tcW w:w="998" w:type="dxa"/>
            <w:vAlign w:val="center"/>
          </w:tcPr>
          <w:p w14:paraId="56847B97" w14:textId="7FADE5ED" w:rsidR="0085150C" w:rsidRPr="00712A24" w:rsidRDefault="0077773F" w:rsidP="007777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33863DA0" w14:textId="0B7A780D" w:rsidR="0085150C" w:rsidRPr="00712A24" w:rsidRDefault="0058107A" w:rsidP="00712A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FF700F0" w14:textId="15F55D1C" w:rsidR="0085150C" w:rsidRPr="00712A24" w:rsidRDefault="004842C5" w:rsidP="00712A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47" w:type="dxa"/>
            <w:vAlign w:val="center"/>
          </w:tcPr>
          <w:p w14:paraId="01EBBA8D" w14:textId="2AAE461D" w:rsidR="0085150C" w:rsidRPr="00712A24" w:rsidRDefault="0058107A" w:rsidP="00712A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003" w:type="dxa"/>
            <w:vAlign w:val="center"/>
          </w:tcPr>
          <w:p w14:paraId="4B607203" w14:textId="0306578B" w:rsidR="0085150C" w:rsidRPr="00712A24" w:rsidRDefault="00364450" w:rsidP="00712A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5" w:type="dxa"/>
            <w:vAlign w:val="center"/>
          </w:tcPr>
          <w:p w14:paraId="4E02BF2C" w14:textId="26FA1763" w:rsidR="0085150C" w:rsidRPr="00712A24" w:rsidRDefault="0058107A" w:rsidP="00712A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</w:tr>
      <w:tr w:rsidR="0085150C" w14:paraId="5D86B271" w14:textId="77777777" w:rsidTr="00712A24">
        <w:trPr>
          <w:trHeight w:val="454"/>
        </w:trPr>
        <w:tc>
          <w:tcPr>
            <w:tcW w:w="2263" w:type="dxa"/>
          </w:tcPr>
          <w:p w14:paraId="2C01A273" w14:textId="309070D6" w:rsidR="0085150C" w:rsidRPr="00712A24" w:rsidRDefault="00293F18" w:rsidP="00712A24">
            <w:pPr>
              <w:rPr>
                <w:sz w:val="20"/>
              </w:rPr>
            </w:pPr>
            <w:r>
              <w:rPr>
                <w:sz w:val="20"/>
              </w:rPr>
              <w:t>Customer Testimonials</w:t>
            </w:r>
          </w:p>
        </w:tc>
        <w:tc>
          <w:tcPr>
            <w:tcW w:w="703" w:type="dxa"/>
          </w:tcPr>
          <w:p w14:paraId="55C1F084" w14:textId="35CBC3EA" w:rsidR="0085150C" w:rsidRPr="00712A24" w:rsidRDefault="00293F18" w:rsidP="00712A24">
            <w:pPr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998" w:type="dxa"/>
            <w:vAlign w:val="center"/>
          </w:tcPr>
          <w:p w14:paraId="0C34D086" w14:textId="6527A705" w:rsidR="0085150C" w:rsidRPr="00712A24" w:rsidRDefault="00293F18" w:rsidP="00293F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61304C9D" w14:textId="3D0CCFDB" w:rsidR="0085150C" w:rsidRPr="00712A24" w:rsidRDefault="0058107A" w:rsidP="00712A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1134" w:type="dxa"/>
            <w:vAlign w:val="center"/>
          </w:tcPr>
          <w:p w14:paraId="14F81C1F" w14:textId="51023665" w:rsidR="0085150C" w:rsidRPr="00712A24" w:rsidRDefault="00293F18" w:rsidP="00712A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7" w:type="dxa"/>
            <w:vAlign w:val="center"/>
          </w:tcPr>
          <w:p w14:paraId="0D5B991F" w14:textId="45B058A5" w:rsidR="0085150C" w:rsidRPr="00712A24" w:rsidRDefault="0058107A" w:rsidP="00712A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1003" w:type="dxa"/>
            <w:vAlign w:val="center"/>
          </w:tcPr>
          <w:p w14:paraId="0E0DF529" w14:textId="5CED8F24" w:rsidR="0085150C" w:rsidRPr="00712A24" w:rsidRDefault="00293F18" w:rsidP="00712A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5" w:type="dxa"/>
            <w:vAlign w:val="center"/>
          </w:tcPr>
          <w:p w14:paraId="4882D087" w14:textId="0AFB6BEE" w:rsidR="0085150C" w:rsidRPr="00712A24" w:rsidRDefault="0058107A" w:rsidP="00712A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</w:tr>
      <w:tr w:rsidR="00D24C60" w14:paraId="5D35C2F7" w14:textId="77777777" w:rsidTr="00712A24">
        <w:trPr>
          <w:trHeight w:val="454"/>
        </w:trPr>
        <w:tc>
          <w:tcPr>
            <w:tcW w:w="2263" w:type="dxa"/>
          </w:tcPr>
          <w:p w14:paraId="474A1825" w14:textId="59BDB875" w:rsidR="00D24C60" w:rsidRPr="00712A24" w:rsidRDefault="00D24C60" w:rsidP="00712A24">
            <w:pPr>
              <w:rPr>
                <w:sz w:val="20"/>
              </w:rPr>
            </w:pPr>
            <w:r w:rsidRPr="00712A24">
              <w:rPr>
                <w:rFonts w:cstheme="minorBidi"/>
                <w:sz w:val="20"/>
              </w:rPr>
              <w:t>Overall quality score awarded</w:t>
            </w:r>
          </w:p>
        </w:tc>
        <w:tc>
          <w:tcPr>
            <w:tcW w:w="703" w:type="dxa"/>
          </w:tcPr>
          <w:p w14:paraId="008D1904" w14:textId="77777777" w:rsidR="00D24C60" w:rsidRPr="00712A24" w:rsidRDefault="00D24C60" w:rsidP="00712A24">
            <w:pPr>
              <w:rPr>
                <w:sz w:val="20"/>
              </w:rPr>
            </w:pPr>
          </w:p>
        </w:tc>
        <w:tc>
          <w:tcPr>
            <w:tcW w:w="998" w:type="dxa"/>
            <w:vAlign w:val="center"/>
          </w:tcPr>
          <w:p w14:paraId="40054C33" w14:textId="77777777" w:rsidR="00D24C60" w:rsidRPr="00712A24" w:rsidRDefault="00D24C60" w:rsidP="00712A24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26491EA4" w14:textId="3AFCDFCE" w:rsidR="00D24C60" w:rsidRPr="00712A24" w:rsidRDefault="00531DC5" w:rsidP="00712A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4.95</w:t>
            </w:r>
          </w:p>
        </w:tc>
        <w:tc>
          <w:tcPr>
            <w:tcW w:w="1134" w:type="dxa"/>
            <w:vAlign w:val="center"/>
          </w:tcPr>
          <w:p w14:paraId="5E293DE9" w14:textId="77777777" w:rsidR="00D24C60" w:rsidRPr="00712A24" w:rsidRDefault="00D24C60" w:rsidP="00712A24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  <w:vAlign w:val="center"/>
          </w:tcPr>
          <w:p w14:paraId="6F3906A8" w14:textId="025037CA" w:rsidR="00D24C60" w:rsidRPr="00712A24" w:rsidRDefault="00D24C60" w:rsidP="00712A24">
            <w:pPr>
              <w:jc w:val="center"/>
              <w:rPr>
                <w:sz w:val="20"/>
              </w:rPr>
            </w:pPr>
            <w:r w:rsidRPr="00712A24">
              <w:rPr>
                <w:sz w:val="20"/>
                <w:szCs w:val="22"/>
              </w:rPr>
              <w:t>6.</w:t>
            </w:r>
            <w:r w:rsidR="002361E2">
              <w:rPr>
                <w:sz w:val="20"/>
                <w:szCs w:val="22"/>
              </w:rPr>
              <w:t>55</w:t>
            </w:r>
          </w:p>
        </w:tc>
        <w:tc>
          <w:tcPr>
            <w:tcW w:w="1003" w:type="dxa"/>
            <w:vAlign w:val="center"/>
          </w:tcPr>
          <w:p w14:paraId="79C15443" w14:textId="77777777" w:rsidR="00D24C60" w:rsidRPr="00712A24" w:rsidRDefault="00D24C60" w:rsidP="00712A24">
            <w:pPr>
              <w:jc w:val="center"/>
              <w:rPr>
                <w:sz w:val="20"/>
              </w:rPr>
            </w:pPr>
          </w:p>
        </w:tc>
        <w:tc>
          <w:tcPr>
            <w:tcW w:w="1075" w:type="dxa"/>
            <w:vAlign w:val="center"/>
          </w:tcPr>
          <w:p w14:paraId="08CA8AA6" w14:textId="6E45C5F1" w:rsidR="00D24C60" w:rsidRPr="00712A24" w:rsidRDefault="008736EE" w:rsidP="00712A2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5.85</w:t>
            </w:r>
          </w:p>
        </w:tc>
      </w:tr>
      <w:tr w:rsidR="009C06E7" w14:paraId="18019759" w14:textId="77777777" w:rsidTr="00712A24">
        <w:trPr>
          <w:trHeight w:val="454"/>
        </w:trPr>
        <w:tc>
          <w:tcPr>
            <w:tcW w:w="2966" w:type="dxa"/>
            <w:gridSpan w:val="2"/>
          </w:tcPr>
          <w:p w14:paraId="08CF8E20" w14:textId="289D3658" w:rsidR="009C06E7" w:rsidRPr="00347295" w:rsidRDefault="009C06E7" w:rsidP="00712A24">
            <w:pPr>
              <w:rPr>
                <w:b/>
                <w:bCs/>
                <w:sz w:val="20"/>
              </w:rPr>
            </w:pPr>
            <w:r w:rsidRPr="00712A24">
              <w:rPr>
                <w:b/>
                <w:bCs/>
                <w:sz w:val="20"/>
              </w:rPr>
              <w:t>Weighted overall quality score (</w:t>
            </w:r>
            <w:r w:rsidR="001B1278" w:rsidRPr="00347295">
              <w:rPr>
                <w:b/>
                <w:bCs/>
                <w:sz w:val="20"/>
              </w:rPr>
              <w:t>65</w:t>
            </w:r>
            <w:r w:rsidRPr="00712A24">
              <w:rPr>
                <w:b/>
                <w:bCs/>
                <w:sz w:val="20"/>
              </w:rPr>
              <w:t>%</w:t>
            </w:r>
            <w:r w:rsidR="00072165">
              <w:rPr>
                <w:b/>
                <w:bCs/>
                <w:sz w:val="20"/>
              </w:rPr>
              <w:t xml:space="preserve"> weighting</w:t>
            </w:r>
            <w:r w:rsidRPr="00347295">
              <w:rPr>
                <w:b/>
                <w:bCs/>
                <w:sz w:val="20"/>
              </w:rPr>
              <w:t xml:space="preserve"> in this example</w:t>
            </w:r>
            <w:r w:rsidRPr="00712A24">
              <w:rPr>
                <w:b/>
                <w:bCs/>
                <w:sz w:val="20"/>
              </w:rPr>
              <w:t>)</w:t>
            </w:r>
          </w:p>
        </w:tc>
        <w:tc>
          <w:tcPr>
            <w:tcW w:w="998" w:type="dxa"/>
          </w:tcPr>
          <w:p w14:paraId="1D8C14F4" w14:textId="77777777" w:rsidR="009C06E7" w:rsidRPr="00712A24" w:rsidRDefault="009C06E7" w:rsidP="00712A24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20C9861" w14:textId="4A707B4A" w:rsidR="009C06E7" w:rsidRPr="00712A24" w:rsidRDefault="003B6ACF" w:rsidP="00712A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3.21</w:t>
            </w:r>
          </w:p>
        </w:tc>
        <w:tc>
          <w:tcPr>
            <w:tcW w:w="1134" w:type="dxa"/>
            <w:vAlign w:val="center"/>
          </w:tcPr>
          <w:p w14:paraId="583E7C81" w14:textId="77777777" w:rsidR="009C06E7" w:rsidRPr="00712A24" w:rsidRDefault="009C06E7" w:rsidP="00712A2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Align w:val="center"/>
          </w:tcPr>
          <w:p w14:paraId="703B54B3" w14:textId="1B21EB66" w:rsidR="009C06E7" w:rsidRPr="00712A24" w:rsidRDefault="00245C36" w:rsidP="00712A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4.25</w:t>
            </w:r>
          </w:p>
        </w:tc>
        <w:tc>
          <w:tcPr>
            <w:tcW w:w="1003" w:type="dxa"/>
            <w:vAlign w:val="center"/>
          </w:tcPr>
          <w:p w14:paraId="2F2D5030" w14:textId="77777777" w:rsidR="009C06E7" w:rsidRPr="00712A24" w:rsidRDefault="009C06E7" w:rsidP="00712A2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75" w:type="dxa"/>
            <w:vAlign w:val="center"/>
          </w:tcPr>
          <w:p w14:paraId="786A1055" w14:textId="0FEAEDA7" w:rsidR="009C06E7" w:rsidRPr="00712A24" w:rsidRDefault="009B7FC5" w:rsidP="00712A2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3.80</w:t>
            </w:r>
          </w:p>
        </w:tc>
      </w:tr>
    </w:tbl>
    <w:p w14:paraId="6F8724BE" w14:textId="77777777" w:rsidR="00BE20B5" w:rsidRDefault="00BE20B5" w:rsidP="00F44C65">
      <w:pPr>
        <w:spacing w:after="240" w:line="240" w:lineRule="auto"/>
        <w:rPr>
          <w:b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2358"/>
      </w:tblGrid>
      <w:tr w:rsidR="006F3166" w:rsidRPr="004A5C3F" w14:paraId="0EA81AD5" w14:textId="77777777" w:rsidTr="00712A24">
        <w:trPr>
          <w:trHeight w:val="567"/>
        </w:trPr>
        <w:tc>
          <w:tcPr>
            <w:tcW w:w="9021" w:type="dxa"/>
            <w:gridSpan w:val="4"/>
            <w:vAlign w:val="center"/>
          </w:tcPr>
          <w:p w14:paraId="1D563125" w14:textId="54A3D143" w:rsidR="00E47E14" w:rsidRPr="004A5C3F" w:rsidRDefault="006F3166" w:rsidP="00A9564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Combined</w:t>
            </w:r>
            <w:r w:rsidRPr="004A5C3F">
              <w:rPr>
                <w:b/>
                <w:bCs/>
                <w:sz w:val="20"/>
              </w:rPr>
              <w:t xml:space="preserve"> assessment</w:t>
            </w:r>
            <w:r w:rsidR="00C1350D">
              <w:rPr>
                <w:b/>
                <w:bCs/>
                <w:sz w:val="20"/>
              </w:rPr>
              <w:t xml:space="preserve"> – example, </w:t>
            </w:r>
          </w:p>
        </w:tc>
      </w:tr>
      <w:tr w:rsidR="006F3166" w:rsidRPr="004A5C3F" w14:paraId="26358238" w14:textId="77777777" w:rsidTr="00712A24">
        <w:trPr>
          <w:trHeight w:val="454"/>
        </w:trPr>
        <w:tc>
          <w:tcPr>
            <w:tcW w:w="2552" w:type="dxa"/>
            <w:vAlign w:val="center"/>
          </w:tcPr>
          <w:p w14:paraId="621A19CF" w14:textId="4A45E184" w:rsidR="006F3166" w:rsidRPr="004A5C3F" w:rsidRDefault="006F3166" w:rsidP="005C54B3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E5CF3C7" w14:textId="77777777" w:rsidR="006F3166" w:rsidRPr="004A5C3F" w:rsidRDefault="006F3166" w:rsidP="005C54B3">
            <w:pPr>
              <w:jc w:val="center"/>
              <w:rPr>
                <w:sz w:val="20"/>
              </w:rPr>
            </w:pPr>
            <w:r w:rsidRPr="004A5C3F">
              <w:rPr>
                <w:sz w:val="20"/>
              </w:rPr>
              <w:t>Potential Supplier A</w:t>
            </w:r>
          </w:p>
        </w:tc>
        <w:tc>
          <w:tcPr>
            <w:tcW w:w="1985" w:type="dxa"/>
            <w:vAlign w:val="center"/>
          </w:tcPr>
          <w:p w14:paraId="6F00E5B8" w14:textId="77777777" w:rsidR="006F3166" w:rsidRPr="004A5C3F" w:rsidRDefault="006F3166" w:rsidP="005C54B3">
            <w:pPr>
              <w:jc w:val="center"/>
              <w:rPr>
                <w:sz w:val="20"/>
              </w:rPr>
            </w:pPr>
            <w:r w:rsidRPr="004A5C3F">
              <w:rPr>
                <w:sz w:val="20"/>
              </w:rPr>
              <w:t>Potential Supplier B</w:t>
            </w:r>
          </w:p>
        </w:tc>
        <w:tc>
          <w:tcPr>
            <w:tcW w:w="2358" w:type="dxa"/>
            <w:vAlign w:val="center"/>
          </w:tcPr>
          <w:p w14:paraId="1079A82D" w14:textId="77777777" w:rsidR="006F3166" w:rsidRPr="004A5C3F" w:rsidRDefault="006F3166" w:rsidP="005C54B3">
            <w:pPr>
              <w:jc w:val="center"/>
              <w:rPr>
                <w:sz w:val="20"/>
              </w:rPr>
            </w:pPr>
            <w:r w:rsidRPr="004A5C3F">
              <w:rPr>
                <w:sz w:val="20"/>
              </w:rPr>
              <w:t>Potential Supplier C</w:t>
            </w:r>
          </w:p>
        </w:tc>
      </w:tr>
      <w:tr w:rsidR="00EE33F5" w:rsidRPr="004A5C3F" w14:paraId="7DC260C1" w14:textId="77777777" w:rsidTr="00712A24">
        <w:trPr>
          <w:trHeight w:val="454"/>
        </w:trPr>
        <w:tc>
          <w:tcPr>
            <w:tcW w:w="2552" w:type="dxa"/>
            <w:vAlign w:val="center"/>
          </w:tcPr>
          <w:p w14:paraId="6DD156D6" w14:textId="48B7408C" w:rsidR="00EE33F5" w:rsidRPr="004A5C3F" w:rsidRDefault="00EE33F5" w:rsidP="005C54B3">
            <w:pPr>
              <w:rPr>
                <w:sz w:val="20"/>
              </w:rPr>
            </w:pPr>
            <w:r>
              <w:rPr>
                <w:sz w:val="20"/>
              </w:rPr>
              <w:t>Weighted pricing score</w:t>
            </w:r>
          </w:p>
        </w:tc>
        <w:tc>
          <w:tcPr>
            <w:tcW w:w="2126" w:type="dxa"/>
            <w:vAlign w:val="center"/>
          </w:tcPr>
          <w:p w14:paraId="12FD4E4D" w14:textId="2EDD9646" w:rsidR="00EE33F5" w:rsidRPr="00712A24" w:rsidRDefault="00EE33F5" w:rsidP="005C54B3">
            <w:pPr>
              <w:jc w:val="center"/>
              <w:rPr>
                <w:b/>
                <w:bCs/>
                <w:sz w:val="20"/>
              </w:rPr>
            </w:pPr>
            <w:r w:rsidRPr="00C935E3">
              <w:rPr>
                <w:b/>
                <w:bCs/>
                <w:sz w:val="20"/>
              </w:rPr>
              <w:t>3.5</w:t>
            </w:r>
            <w:r w:rsidR="009B4183">
              <w:rPr>
                <w:b/>
                <w:bCs/>
                <w:sz w:val="20"/>
              </w:rPr>
              <w:t>0</w:t>
            </w:r>
          </w:p>
        </w:tc>
        <w:tc>
          <w:tcPr>
            <w:tcW w:w="1985" w:type="dxa"/>
            <w:vAlign w:val="center"/>
          </w:tcPr>
          <w:p w14:paraId="1AB18B82" w14:textId="17FC60B2" w:rsidR="00EE33F5" w:rsidRPr="00712A24" w:rsidRDefault="00EE33F5" w:rsidP="005C54B3">
            <w:pPr>
              <w:jc w:val="center"/>
              <w:rPr>
                <w:b/>
                <w:bCs/>
                <w:sz w:val="20"/>
              </w:rPr>
            </w:pPr>
            <w:r w:rsidRPr="00C935E3">
              <w:rPr>
                <w:b/>
                <w:bCs/>
                <w:sz w:val="20"/>
              </w:rPr>
              <w:t>2.</w:t>
            </w:r>
            <w:r w:rsidR="009B4183">
              <w:rPr>
                <w:b/>
                <w:bCs/>
                <w:sz w:val="20"/>
              </w:rPr>
              <w:t>91</w:t>
            </w:r>
          </w:p>
        </w:tc>
        <w:tc>
          <w:tcPr>
            <w:tcW w:w="2358" w:type="dxa"/>
            <w:vAlign w:val="center"/>
          </w:tcPr>
          <w:p w14:paraId="2841C229" w14:textId="7896CA3C" w:rsidR="00EE33F5" w:rsidRPr="00712A24" w:rsidRDefault="00031339" w:rsidP="005C54B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2.50</w:t>
            </w:r>
          </w:p>
        </w:tc>
      </w:tr>
      <w:tr w:rsidR="006F3166" w:rsidRPr="004A5C3F" w14:paraId="6D9CC978" w14:textId="77777777" w:rsidTr="00712A24">
        <w:trPr>
          <w:trHeight w:val="454"/>
        </w:trPr>
        <w:tc>
          <w:tcPr>
            <w:tcW w:w="2552" w:type="dxa"/>
            <w:vAlign w:val="center"/>
          </w:tcPr>
          <w:p w14:paraId="2506BF5B" w14:textId="6BAD2114" w:rsidR="006F3166" w:rsidRPr="004A5C3F" w:rsidRDefault="004C47FF" w:rsidP="005C54B3">
            <w:pPr>
              <w:rPr>
                <w:sz w:val="20"/>
              </w:rPr>
            </w:pPr>
            <w:r w:rsidRPr="004C47FF">
              <w:rPr>
                <w:sz w:val="20"/>
              </w:rPr>
              <w:t>Weighted overall quality score</w:t>
            </w:r>
          </w:p>
        </w:tc>
        <w:tc>
          <w:tcPr>
            <w:tcW w:w="2126" w:type="dxa"/>
            <w:vAlign w:val="center"/>
          </w:tcPr>
          <w:p w14:paraId="0EE7C7A0" w14:textId="400654A7" w:rsidR="006F3166" w:rsidRPr="00712A24" w:rsidRDefault="00DA69A2" w:rsidP="005C54B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3.21</w:t>
            </w:r>
          </w:p>
        </w:tc>
        <w:tc>
          <w:tcPr>
            <w:tcW w:w="1985" w:type="dxa"/>
            <w:vAlign w:val="center"/>
          </w:tcPr>
          <w:p w14:paraId="6CE1F620" w14:textId="1B79B022" w:rsidR="006F3166" w:rsidRPr="00712A24" w:rsidRDefault="00EE33F5" w:rsidP="005C54B3">
            <w:pPr>
              <w:jc w:val="center"/>
              <w:rPr>
                <w:b/>
                <w:bCs/>
                <w:sz w:val="20"/>
              </w:rPr>
            </w:pPr>
            <w:r w:rsidRPr="00712A24">
              <w:rPr>
                <w:b/>
                <w:bCs/>
                <w:sz w:val="20"/>
              </w:rPr>
              <w:t>4.</w:t>
            </w:r>
            <w:r w:rsidR="00031339">
              <w:rPr>
                <w:b/>
                <w:bCs/>
                <w:sz w:val="20"/>
              </w:rPr>
              <w:t>25</w:t>
            </w:r>
          </w:p>
        </w:tc>
        <w:tc>
          <w:tcPr>
            <w:tcW w:w="2358" w:type="dxa"/>
            <w:vAlign w:val="center"/>
          </w:tcPr>
          <w:p w14:paraId="33AC21E3" w14:textId="7DDD21D3" w:rsidR="004C47FF" w:rsidRPr="00712A24" w:rsidRDefault="00EF5818" w:rsidP="005C54B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3.80</w:t>
            </w:r>
          </w:p>
        </w:tc>
      </w:tr>
      <w:tr w:rsidR="006F3166" w:rsidRPr="004A5C3F" w14:paraId="1692107C" w14:textId="77777777" w:rsidTr="00712A24">
        <w:trPr>
          <w:trHeight w:val="454"/>
        </w:trPr>
        <w:tc>
          <w:tcPr>
            <w:tcW w:w="2552" w:type="dxa"/>
            <w:vAlign w:val="center"/>
          </w:tcPr>
          <w:p w14:paraId="32E9EFCA" w14:textId="6870553E" w:rsidR="006F3166" w:rsidRPr="004A5C3F" w:rsidRDefault="004C47FF" w:rsidP="005C54B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53A0E123" w14:textId="0AC5F073" w:rsidR="006F3166" w:rsidRPr="00C935E3" w:rsidRDefault="00C935E3" w:rsidP="005C54B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  <w:r w:rsidR="009B4183">
              <w:rPr>
                <w:b/>
                <w:bCs/>
                <w:sz w:val="20"/>
              </w:rPr>
              <w:t>71</w:t>
            </w:r>
          </w:p>
        </w:tc>
        <w:tc>
          <w:tcPr>
            <w:tcW w:w="1985" w:type="dxa"/>
            <w:vAlign w:val="center"/>
          </w:tcPr>
          <w:p w14:paraId="5DE9E3DD" w14:textId="1C19BA33" w:rsidR="006F3166" w:rsidRPr="00C935E3" w:rsidRDefault="00347295" w:rsidP="005C54B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</w:t>
            </w:r>
            <w:r w:rsidR="00031339">
              <w:rPr>
                <w:b/>
                <w:bCs/>
                <w:sz w:val="20"/>
              </w:rPr>
              <w:t>16</w:t>
            </w:r>
          </w:p>
        </w:tc>
        <w:tc>
          <w:tcPr>
            <w:tcW w:w="2358" w:type="dxa"/>
            <w:vAlign w:val="center"/>
          </w:tcPr>
          <w:p w14:paraId="70D7818E" w14:textId="72A9B2E4" w:rsidR="006F3166" w:rsidRPr="00C935E3" w:rsidRDefault="00347295" w:rsidP="005C54B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6.3</w:t>
            </w:r>
          </w:p>
        </w:tc>
      </w:tr>
      <w:tr w:rsidR="006F3166" w:rsidRPr="004A5C3F" w14:paraId="19445C27" w14:textId="77777777" w:rsidTr="00712A24">
        <w:trPr>
          <w:trHeight w:val="454"/>
        </w:trPr>
        <w:tc>
          <w:tcPr>
            <w:tcW w:w="2552" w:type="dxa"/>
            <w:vAlign w:val="center"/>
          </w:tcPr>
          <w:p w14:paraId="7C8F2E19" w14:textId="5B086DC5" w:rsidR="006F3166" w:rsidRPr="004A5C3F" w:rsidRDefault="004C47FF" w:rsidP="005C54B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Outcome</w:t>
            </w:r>
          </w:p>
        </w:tc>
        <w:tc>
          <w:tcPr>
            <w:tcW w:w="2126" w:type="dxa"/>
            <w:vAlign w:val="center"/>
          </w:tcPr>
          <w:p w14:paraId="1BE8791C" w14:textId="1507CBA9" w:rsidR="006F3166" w:rsidRPr="004A5C3F" w:rsidRDefault="006F3166" w:rsidP="005C54B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07ADCBF" w14:textId="5587C278" w:rsidR="006F3166" w:rsidRPr="004A5C3F" w:rsidRDefault="00EA3955" w:rsidP="005C54B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winner</w:t>
            </w:r>
          </w:p>
        </w:tc>
        <w:tc>
          <w:tcPr>
            <w:tcW w:w="2358" w:type="dxa"/>
            <w:vAlign w:val="center"/>
          </w:tcPr>
          <w:p w14:paraId="4473605B" w14:textId="43280640" w:rsidR="006F3166" w:rsidRPr="004A5C3F" w:rsidRDefault="006F3166" w:rsidP="005C54B3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02313109" w14:textId="77777777" w:rsidR="00FA78A9" w:rsidRPr="00CF2A03" w:rsidRDefault="00FA78A9" w:rsidP="005C54B3">
      <w:pPr>
        <w:spacing w:after="240" w:line="240" w:lineRule="auto"/>
        <w:rPr>
          <w:b/>
          <w:szCs w:val="24"/>
        </w:rPr>
      </w:pPr>
    </w:p>
    <w:sectPr w:rsidR="00FA78A9" w:rsidRPr="00CF2A0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C042" w14:textId="77777777" w:rsidR="001D488B" w:rsidRDefault="001D488B" w:rsidP="00702ABC">
      <w:pPr>
        <w:spacing w:after="0" w:line="240" w:lineRule="auto"/>
      </w:pPr>
      <w:r>
        <w:separator/>
      </w:r>
    </w:p>
  </w:endnote>
  <w:endnote w:type="continuationSeparator" w:id="0">
    <w:p w14:paraId="16E73BCA" w14:textId="77777777" w:rsidR="001D488B" w:rsidRDefault="001D488B" w:rsidP="00702ABC">
      <w:pPr>
        <w:spacing w:after="0" w:line="240" w:lineRule="auto"/>
      </w:pPr>
      <w:r>
        <w:continuationSeparator/>
      </w:r>
    </w:p>
  </w:endnote>
  <w:endnote w:type="continuationNotice" w:id="1">
    <w:p w14:paraId="11D8B30C" w14:textId="77777777" w:rsidR="001D488B" w:rsidRDefault="001D4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5F07" w14:textId="0235195D" w:rsidR="00C3345D" w:rsidRPr="00C52B84" w:rsidRDefault="00C3345D" w:rsidP="00C3345D">
    <w:pPr>
      <w:pStyle w:val="Footer"/>
      <w:rPr>
        <w:rFonts w:cs="Arial"/>
        <w:sz w:val="20"/>
        <w:szCs w:val="20"/>
      </w:rPr>
    </w:pPr>
    <w:r w:rsidRPr="00C52B84">
      <w:rPr>
        <w:rFonts w:cs="Arial"/>
        <w:sz w:val="20"/>
        <w:szCs w:val="20"/>
      </w:rPr>
      <w:fldChar w:fldCharType="begin"/>
    </w:r>
    <w:r w:rsidRPr="00C52B84">
      <w:rPr>
        <w:rFonts w:cs="Arial"/>
        <w:sz w:val="20"/>
        <w:szCs w:val="20"/>
      </w:rPr>
      <w:instrText xml:space="preserve"> FILENAME \* MERGEFORMAT </w:instrText>
    </w:r>
    <w:r w:rsidRPr="00C52B84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Form K03.6 Schedule 6 Tender Evaluation Criteria</w:t>
    </w:r>
    <w:r w:rsidRPr="00C52B84">
      <w:rPr>
        <w:rFonts w:cs="Arial"/>
        <w:sz w:val="20"/>
        <w:szCs w:val="20"/>
      </w:rPr>
      <w:fldChar w:fldCharType="end"/>
    </w:r>
    <w:r w:rsidRPr="00C52B84">
      <w:rPr>
        <w:rFonts w:cs="Arial"/>
        <w:sz w:val="20"/>
        <w:szCs w:val="20"/>
      </w:rPr>
      <w:tab/>
    </w:r>
    <w:r w:rsidRPr="00C52B84">
      <w:rPr>
        <w:rFonts w:cs="Arial"/>
        <w:sz w:val="20"/>
        <w:szCs w:val="20"/>
      </w:rPr>
      <w:tab/>
      <w:t xml:space="preserve">Page </w:t>
    </w:r>
    <w:r w:rsidRPr="00C52B84">
      <w:rPr>
        <w:rFonts w:cs="Arial"/>
        <w:sz w:val="20"/>
        <w:szCs w:val="20"/>
      </w:rPr>
      <w:fldChar w:fldCharType="begin"/>
    </w:r>
    <w:r w:rsidRPr="00C52B84">
      <w:rPr>
        <w:rFonts w:cs="Arial"/>
        <w:sz w:val="20"/>
        <w:szCs w:val="20"/>
      </w:rPr>
      <w:instrText xml:space="preserve"> PAGE   \* MERGEFORMAT </w:instrText>
    </w:r>
    <w:r w:rsidRPr="00C52B84">
      <w:rPr>
        <w:rFonts w:cs="Arial"/>
        <w:sz w:val="20"/>
        <w:szCs w:val="20"/>
      </w:rPr>
      <w:fldChar w:fldCharType="separate"/>
    </w:r>
    <w:r>
      <w:rPr>
        <w:rFonts w:cs="Arial"/>
        <w:sz w:val="20"/>
      </w:rPr>
      <w:t>2</w:t>
    </w:r>
    <w:r w:rsidRPr="00C52B84">
      <w:rPr>
        <w:rFonts w:cs="Arial"/>
        <w:sz w:val="20"/>
        <w:szCs w:val="20"/>
      </w:rPr>
      <w:fldChar w:fldCharType="end"/>
    </w:r>
    <w:r w:rsidRPr="00C52B84">
      <w:rPr>
        <w:rFonts w:cs="Arial"/>
        <w:sz w:val="20"/>
        <w:szCs w:val="20"/>
      </w:rPr>
      <w:t xml:space="preserve"> of </w:t>
    </w:r>
    <w:r w:rsidRPr="00C52B84">
      <w:rPr>
        <w:rFonts w:cs="Arial"/>
        <w:sz w:val="20"/>
        <w:szCs w:val="20"/>
      </w:rPr>
      <w:fldChar w:fldCharType="begin"/>
    </w:r>
    <w:r w:rsidRPr="00C52B84">
      <w:rPr>
        <w:rFonts w:cs="Arial"/>
        <w:sz w:val="20"/>
        <w:szCs w:val="20"/>
      </w:rPr>
      <w:instrText xml:space="preserve"> NUMPAGES   \* MERGEFORMAT </w:instrText>
    </w:r>
    <w:r w:rsidRPr="00C52B84">
      <w:rPr>
        <w:rFonts w:cs="Arial"/>
        <w:sz w:val="20"/>
        <w:szCs w:val="20"/>
      </w:rPr>
      <w:fldChar w:fldCharType="separate"/>
    </w:r>
    <w:r>
      <w:rPr>
        <w:rFonts w:cs="Arial"/>
        <w:sz w:val="20"/>
      </w:rPr>
      <w:t>2</w:t>
    </w:r>
    <w:r w:rsidRPr="00C52B84">
      <w:rPr>
        <w:rFonts w:cs="Arial"/>
        <w:sz w:val="20"/>
        <w:szCs w:val="20"/>
      </w:rPr>
      <w:fldChar w:fldCharType="end"/>
    </w:r>
  </w:p>
  <w:p w14:paraId="32706E3D" w14:textId="77777777" w:rsidR="00C3345D" w:rsidRDefault="00C3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1230" w14:textId="77777777" w:rsidR="001D488B" w:rsidRDefault="001D488B" w:rsidP="00702ABC">
      <w:pPr>
        <w:spacing w:after="0" w:line="240" w:lineRule="auto"/>
      </w:pPr>
      <w:r>
        <w:separator/>
      </w:r>
    </w:p>
  </w:footnote>
  <w:footnote w:type="continuationSeparator" w:id="0">
    <w:p w14:paraId="2A436AE6" w14:textId="77777777" w:rsidR="001D488B" w:rsidRDefault="001D488B" w:rsidP="00702ABC">
      <w:pPr>
        <w:spacing w:after="0" w:line="240" w:lineRule="auto"/>
      </w:pPr>
      <w:r>
        <w:continuationSeparator/>
      </w:r>
    </w:p>
  </w:footnote>
  <w:footnote w:type="continuationNotice" w:id="1">
    <w:p w14:paraId="0B491DF4" w14:textId="77777777" w:rsidR="001D488B" w:rsidRDefault="001D48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ACD3" w14:textId="77777777" w:rsidR="001F2D3B" w:rsidRDefault="001F2D3B" w:rsidP="00702ABC">
    <w:pPr>
      <w:pStyle w:val="Header"/>
      <w:rPr>
        <w:rFonts w:cs="Arial"/>
        <w:szCs w:val="24"/>
      </w:rPr>
    </w:pPr>
  </w:p>
  <w:p w14:paraId="37A1B29B" w14:textId="4DD9561F" w:rsidR="001F2D3B" w:rsidRDefault="001F2D3B" w:rsidP="00702ABC">
    <w:pPr>
      <w:pStyle w:val="Header"/>
      <w:rPr>
        <w:rFonts w:cs="Arial"/>
        <w:szCs w:val="24"/>
      </w:rPr>
    </w:pPr>
    <w:r>
      <w:rPr>
        <w:noProof/>
      </w:rPr>
      <w:drawing>
        <wp:inline distT="0" distB="0" distL="0" distR="0" wp14:anchorId="25C9CA5E" wp14:editId="6D38F6C2">
          <wp:extent cx="1447800" cy="4986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98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9A77B" w14:textId="77777777" w:rsidR="001F2D3B" w:rsidRDefault="001F2D3B" w:rsidP="00702ABC">
    <w:pPr>
      <w:pStyle w:val="Header"/>
      <w:rPr>
        <w:rFonts w:cs="Arial"/>
        <w:szCs w:val="24"/>
      </w:rPr>
    </w:pPr>
  </w:p>
  <w:p w14:paraId="3CF512AA" w14:textId="2BCB5D24" w:rsidR="00702ABC" w:rsidRDefault="002E378E">
    <w:pPr>
      <w:pStyle w:val="Header"/>
      <w:rPr>
        <w:rFonts w:cs="Arial"/>
        <w:b/>
        <w:bCs/>
        <w:color w:val="FF0000"/>
        <w:sz w:val="20"/>
      </w:rPr>
    </w:pPr>
    <w:r w:rsidRPr="007C33DD">
      <w:rPr>
        <w:rFonts w:cs="Arial"/>
        <w:b/>
        <w:bCs/>
        <w:sz w:val="20"/>
      </w:rPr>
      <w:t xml:space="preserve">Contract: </w:t>
    </w:r>
    <w:r w:rsidR="0035692D">
      <w:rPr>
        <w:rFonts w:cs="Arial"/>
        <w:b/>
        <w:bCs/>
        <w:sz w:val="20"/>
      </w:rPr>
      <w:t>Cleaning Services at RAIB Derby</w:t>
    </w:r>
    <w:r w:rsidRPr="007C33DD">
      <w:rPr>
        <w:rFonts w:cs="Arial"/>
        <w:b/>
        <w:bCs/>
        <w:sz w:val="20"/>
      </w:rPr>
      <w:tab/>
    </w:r>
    <w:r w:rsidRPr="007C33DD">
      <w:rPr>
        <w:rFonts w:cs="Arial"/>
        <w:b/>
        <w:bCs/>
        <w:sz w:val="20"/>
      </w:rPr>
      <w:tab/>
      <w:t xml:space="preserve">Contract Ref: </w:t>
    </w:r>
    <w:r w:rsidR="0035692D">
      <w:rPr>
        <w:rFonts w:cs="Arial"/>
        <w:b/>
        <w:bCs/>
        <w:sz w:val="20"/>
      </w:rPr>
      <w:t>RAIB 23001</w:t>
    </w:r>
  </w:p>
  <w:p w14:paraId="52411F4C" w14:textId="77777777" w:rsidR="002E378E" w:rsidRDefault="002E3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F2A0D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7D79F8"/>
    <w:multiLevelType w:val="hybridMultilevel"/>
    <w:tmpl w:val="E7A427A0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933090E"/>
    <w:multiLevelType w:val="hybridMultilevel"/>
    <w:tmpl w:val="2CB8DC86"/>
    <w:lvl w:ilvl="0" w:tplc="ACA4C4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30421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3E43F18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C9F2C94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3F4474B2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2DB84A02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B360FB68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CA0EFE8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3AFAE62A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3" w15:restartNumberingAfterBreak="0">
    <w:nsid w:val="0BAD2E78"/>
    <w:multiLevelType w:val="multilevel"/>
    <w:tmpl w:val="44C0CF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4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5463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0C5C5B"/>
    <w:multiLevelType w:val="hybridMultilevel"/>
    <w:tmpl w:val="49BAE716"/>
    <w:lvl w:ilvl="0" w:tplc="A680F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01277"/>
    <w:multiLevelType w:val="multilevel"/>
    <w:tmpl w:val="CC9C25D6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342C32B8"/>
    <w:multiLevelType w:val="hybridMultilevel"/>
    <w:tmpl w:val="16AAB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64069"/>
    <w:multiLevelType w:val="hybridMultilevel"/>
    <w:tmpl w:val="ABDC8D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972CBE"/>
    <w:multiLevelType w:val="hybridMultilevel"/>
    <w:tmpl w:val="4F6C68F8"/>
    <w:lvl w:ilvl="0" w:tplc="0809000F">
      <w:start w:val="1"/>
      <w:numFmt w:val="decimal"/>
      <w:lvlText w:val="%1."/>
      <w:lvlJc w:val="left"/>
      <w:pPr>
        <w:ind w:left="1200" w:hanging="360"/>
      </w:p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DFC0FA3"/>
    <w:multiLevelType w:val="hybridMultilevel"/>
    <w:tmpl w:val="1848E6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25763B"/>
    <w:multiLevelType w:val="multilevel"/>
    <w:tmpl w:val="2416E4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14B4C62"/>
    <w:multiLevelType w:val="multilevel"/>
    <w:tmpl w:val="19621C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4F235B"/>
    <w:multiLevelType w:val="hybridMultilevel"/>
    <w:tmpl w:val="9A3692E8"/>
    <w:lvl w:ilvl="0" w:tplc="9416B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D7142"/>
    <w:multiLevelType w:val="multilevel"/>
    <w:tmpl w:val="8644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27702BF"/>
    <w:multiLevelType w:val="hybridMultilevel"/>
    <w:tmpl w:val="2E5852E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44C6B9C"/>
    <w:multiLevelType w:val="hybridMultilevel"/>
    <w:tmpl w:val="7E4479AC"/>
    <w:lvl w:ilvl="0" w:tplc="400A44C0">
      <w:start w:val="1"/>
      <w:numFmt w:val="decimal"/>
      <w:pStyle w:val="Level2"/>
      <w:lvlText w:val="2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147113">
    <w:abstractNumId w:val="13"/>
  </w:num>
  <w:num w:numId="2" w16cid:durableId="197162367">
    <w:abstractNumId w:val="14"/>
  </w:num>
  <w:num w:numId="3" w16cid:durableId="1049451692">
    <w:abstractNumId w:val="4"/>
  </w:num>
  <w:num w:numId="4" w16cid:durableId="790243576">
    <w:abstractNumId w:val="0"/>
  </w:num>
  <w:num w:numId="5" w16cid:durableId="1810320494">
    <w:abstractNumId w:val="2"/>
  </w:num>
  <w:num w:numId="6" w16cid:durableId="1860194135">
    <w:abstractNumId w:val="9"/>
  </w:num>
  <w:num w:numId="7" w16cid:durableId="792753895">
    <w:abstractNumId w:val="12"/>
  </w:num>
  <w:num w:numId="8" w16cid:durableId="1071805982">
    <w:abstractNumId w:val="7"/>
  </w:num>
  <w:num w:numId="9" w16cid:durableId="237135026">
    <w:abstractNumId w:val="1"/>
  </w:num>
  <w:num w:numId="10" w16cid:durableId="1371951319">
    <w:abstractNumId w:val="8"/>
  </w:num>
  <w:num w:numId="11" w16cid:durableId="724523169">
    <w:abstractNumId w:val="16"/>
  </w:num>
  <w:num w:numId="12" w16cid:durableId="248271329">
    <w:abstractNumId w:val="15"/>
  </w:num>
  <w:num w:numId="13" w16cid:durableId="121653639">
    <w:abstractNumId w:val="10"/>
  </w:num>
  <w:num w:numId="14" w16cid:durableId="20180716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6227947">
    <w:abstractNumId w:val="3"/>
  </w:num>
  <w:num w:numId="16" w16cid:durableId="897474191">
    <w:abstractNumId w:val="11"/>
  </w:num>
  <w:num w:numId="17" w16cid:durableId="486938138">
    <w:abstractNumId w:val="6"/>
  </w:num>
  <w:num w:numId="18" w16cid:durableId="1171330408">
    <w:abstractNumId w:val="16"/>
  </w:num>
  <w:num w:numId="19" w16cid:durableId="1388841830">
    <w:abstractNumId w:val="16"/>
  </w:num>
  <w:num w:numId="20" w16cid:durableId="791479134">
    <w:abstractNumId w:val="16"/>
  </w:num>
  <w:num w:numId="21" w16cid:durableId="1027102342">
    <w:abstractNumId w:val="16"/>
  </w:num>
  <w:num w:numId="22" w16cid:durableId="1062875008">
    <w:abstractNumId w:val="16"/>
  </w:num>
  <w:num w:numId="23" w16cid:durableId="1515411646">
    <w:abstractNumId w:val="16"/>
  </w:num>
  <w:num w:numId="24" w16cid:durableId="2124684922">
    <w:abstractNumId w:val="5"/>
  </w:num>
  <w:num w:numId="25" w16cid:durableId="774793051">
    <w:abstractNumId w:val="16"/>
  </w:num>
  <w:num w:numId="26" w16cid:durableId="1151022037">
    <w:abstractNumId w:val="16"/>
  </w:num>
  <w:num w:numId="27" w16cid:durableId="6541406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SAuthor1stName" w:val="Emma"/>
    <w:docVar w:name="FSAuthorDept" w:val="CC40 - Projects &amp; Procurement"/>
    <w:docVar w:name="FSAuthorEmail" w:val="emma.luscombe@wbd-uk.com"/>
    <w:docVar w:name="FSAuthorExt" w:val="+44 (0)191 230 8309"/>
    <w:docVar w:name="FSAuthorFax" w:val="0345 415 5256"/>
    <w:docVar w:name="FSAuthorLogon" w:val="EMMADE"/>
    <w:docVar w:name="FSAuthorName" w:val="Emma Luscombe"/>
    <w:docVar w:name="FSAuthorOffice" w:val="St Ann's Wharf"/>
    <w:docVar w:name="FSAuthorStaffReference" w:val="EMD"/>
    <w:docVar w:name="FSAuthorSurname" w:val="Luscombe"/>
    <w:docVar w:name="FSAuthorTitle" w:val="Associate"/>
    <w:docVar w:name="FSClientName" w:val="Department for Transport"/>
    <w:docVar w:name="FSClientNumber" w:val="DEP/0009"/>
    <w:docVar w:name="FSDocClass" w:val="DOC"/>
    <w:docVar w:name="FSDocNumber" w:val="167013360"/>
    <w:docVar w:name="FSDocumentDescription" w:val="Below Threshold ITT - Schedule 6 Quality"/>
    <w:docVar w:name="FSDocVersion" w:val="2"/>
    <w:docVar w:name="FSMatterDesc" w:val="CCLL19A05 - Review of ITT Suites 2020"/>
    <w:docVar w:name="FSMatterManager" w:val="DR2X"/>
    <w:docVar w:name="FSMatterNumber" w:val="00035"/>
    <w:docVar w:name="FSTypist" w:val="SRG2"/>
    <w:docVar w:name="FSTypistExt" w:val="+44 (0)191 279 9175"/>
    <w:docVar w:name="FSTypistLogon" w:val="SRG2"/>
    <w:docVar w:name="FSTypistName" w:val="Sahana Grimaldi"/>
    <w:docVar w:name="FSTypistStaffReference" w:val="SRG2"/>
    <w:docVar w:name="zOfferToOpen" w:val="True"/>
    <w:docVar w:name="zOfferToOpenDocDatabase" w:val="Active"/>
    <w:docVar w:name="zOfferToOpenDocNo" w:val="167013360"/>
    <w:docVar w:name="zOfferToOpenDocVers" w:val="1"/>
    <w:docVar w:name="zRegisteredOfficeInFootersBad" w:val="False"/>
  </w:docVars>
  <w:rsids>
    <w:rsidRoot w:val="00C8513E"/>
    <w:rsid w:val="00007A68"/>
    <w:rsid w:val="000250D1"/>
    <w:rsid w:val="00031339"/>
    <w:rsid w:val="00032CE9"/>
    <w:rsid w:val="00033C29"/>
    <w:rsid w:val="00035BB2"/>
    <w:rsid w:val="00035DB4"/>
    <w:rsid w:val="00043D4C"/>
    <w:rsid w:val="0005718A"/>
    <w:rsid w:val="00057B18"/>
    <w:rsid w:val="00063AAC"/>
    <w:rsid w:val="00064BA3"/>
    <w:rsid w:val="00070A98"/>
    <w:rsid w:val="00072165"/>
    <w:rsid w:val="0007725B"/>
    <w:rsid w:val="00082803"/>
    <w:rsid w:val="00086F49"/>
    <w:rsid w:val="00091000"/>
    <w:rsid w:val="0009157A"/>
    <w:rsid w:val="000974A1"/>
    <w:rsid w:val="000C773C"/>
    <w:rsid w:val="000D024B"/>
    <w:rsid w:val="000D0512"/>
    <w:rsid w:val="000D6B38"/>
    <w:rsid w:val="000D6C9D"/>
    <w:rsid w:val="000E1CF5"/>
    <w:rsid w:val="000E2262"/>
    <w:rsid w:val="000E4553"/>
    <w:rsid w:val="000F027B"/>
    <w:rsid w:val="000F589D"/>
    <w:rsid w:val="00113A13"/>
    <w:rsid w:val="001245FE"/>
    <w:rsid w:val="00125B0A"/>
    <w:rsid w:val="00127F5D"/>
    <w:rsid w:val="0013272C"/>
    <w:rsid w:val="00136560"/>
    <w:rsid w:val="0014040D"/>
    <w:rsid w:val="001431BB"/>
    <w:rsid w:val="00152F00"/>
    <w:rsid w:val="00153925"/>
    <w:rsid w:val="00156B96"/>
    <w:rsid w:val="00157E5D"/>
    <w:rsid w:val="001720FC"/>
    <w:rsid w:val="00173ECD"/>
    <w:rsid w:val="001763D0"/>
    <w:rsid w:val="0018502D"/>
    <w:rsid w:val="00190A36"/>
    <w:rsid w:val="001A453F"/>
    <w:rsid w:val="001B1278"/>
    <w:rsid w:val="001B7A8D"/>
    <w:rsid w:val="001C1F5B"/>
    <w:rsid w:val="001C798D"/>
    <w:rsid w:val="001D488B"/>
    <w:rsid w:val="001F2D3B"/>
    <w:rsid w:val="002006FA"/>
    <w:rsid w:val="00202E71"/>
    <w:rsid w:val="0022510C"/>
    <w:rsid w:val="00227C7E"/>
    <w:rsid w:val="00235477"/>
    <w:rsid w:val="002361E2"/>
    <w:rsid w:val="00245C36"/>
    <w:rsid w:val="00266D2D"/>
    <w:rsid w:val="00272BFF"/>
    <w:rsid w:val="00273D2F"/>
    <w:rsid w:val="00276D48"/>
    <w:rsid w:val="00280AF4"/>
    <w:rsid w:val="00281E08"/>
    <w:rsid w:val="00286463"/>
    <w:rsid w:val="00293F18"/>
    <w:rsid w:val="00295190"/>
    <w:rsid w:val="002A0095"/>
    <w:rsid w:val="002A13BA"/>
    <w:rsid w:val="002A150E"/>
    <w:rsid w:val="002B10EE"/>
    <w:rsid w:val="002B11DB"/>
    <w:rsid w:val="002B4900"/>
    <w:rsid w:val="002D7F0C"/>
    <w:rsid w:val="002E378E"/>
    <w:rsid w:val="002F5246"/>
    <w:rsid w:val="0030480F"/>
    <w:rsid w:val="00310F30"/>
    <w:rsid w:val="0031552A"/>
    <w:rsid w:val="00326C95"/>
    <w:rsid w:val="00330D28"/>
    <w:rsid w:val="00347295"/>
    <w:rsid w:val="00352F35"/>
    <w:rsid w:val="00355BDE"/>
    <w:rsid w:val="00355DF2"/>
    <w:rsid w:val="0035692D"/>
    <w:rsid w:val="00364450"/>
    <w:rsid w:val="00364A4F"/>
    <w:rsid w:val="003662C5"/>
    <w:rsid w:val="00367F07"/>
    <w:rsid w:val="00374DE0"/>
    <w:rsid w:val="0038609C"/>
    <w:rsid w:val="003968E1"/>
    <w:rsid w:val="003A3E58"/>
    <w:rsid w:val="003B69DF"/>
    <w:rsid w:val="003B6ACF"/>
    <w:rsid w:val="003C3F4E"/>
    <w:rsid w:val="003D42E5"/>
    <w:rsid w:val="003D6B87"/>
    <w:rsid w:val="003E7E69"/>
    <w:rsid w:val="003F1EF3"/>
    <w:rsid w:val="003F2E2F"/>
    <w:rsid w:val="003F363F"/>
    <w:rsid w:val="003F53E6"/>
    <w:rsid w:val="004141EB"/>
    <w:rsid w:val="0043059B"/>
    <w:rsid w:val="004337C8"/>
    <w:rsid w:val="004373DA"/>
    <w:rsid w:val="00443C84"/>
    <w:rsid w:val="0047456E"/>
    <w:rsid w:val="00474D9C"/>
    <w:rsid w:val="004818D6"/>
    <w:rsid w:val="00481932"/>
    <w:rsid w:val="004842C5"/>
    <w:rsid w:val="0049223B"/>
    <w:rsid w:val="0049644D"/>
    <w:rsid w:val="004A3751"/>
    <w:rsid w:val="004B0A66"/>
    <w:rsid w:val="004B3045"/>
    <w:rsid w:val="004C1AC5"/>
    <w:rsid w:val="004C27CD"/>
    <w:rsid w:val="004C3592"/>
    <w:rsid w:val="004C47FF"/>
    <w:rsid w:val="004C5466"/>
    <w:rsid w:val="004D0DF6"/>
    <w:rsid w:val="004D17F3"/>
    <w:rsid w:val="004D4109"/>
    <w:rsid w:val="004D76A8"/>
    <w:rsid w:val="004D7E60"/>
    <w:rsid w:val="004E0FCA"/>
    <w:rsid w:val="004F4899"/>
    <w:rsid w:val="004F69E9"/>
    <w:rsid w:val="00501CA3"/>
    <w:rsid w:val="005033CE"/>
    <w:rsid w:val="00505908"/>
    <w:rsid w:val="00505FF9"/>
    <w:rsid w:val="00531DC5"/>
    <w:rsid w:val="005334D2"/>
    <w:rsid w:val="00534591"/>
    <w:rsid w:val="00536A23"/>
    <w:rsid w:val="00544CC5"/>
    <w:rsid w:val="00546AA7"/>
    <w:rsid w:val="005540FE"/>
    <w:rsid w:val="0058107A"/>
    <w:rsid w:val="005938DA"/>
    <w:rsid w:val="005A5E34"/>
    <w:rsid w:val="005A627A"/>
    <w:rsid w:val="005B2B9F"/>
    <w:rsid w:val="005C4285"/>
    <w:rsid w:val="005C54B3"/>
    <w:rsid w:val="005D614C"/>
    <w:rsid w:val="005E0223"/>
    <w:rsid w:val="00601144"/>
    <w:rsid w:val="00610E33"/>
    <w:rsid w:val="00611225"/>
    <w:rsid w:val="006117C5"/>
    <w:rsid w:val="006160A3"/>
    <w:rsid w:val="006167A3"/>
    <w:rsid w:val="00645D0D"/>
    <w:rsid w:val="00662E3E"/>
    <w:rsid w:val="00670445"/>
    <w:rsid w:val="006750BA"/>
    <w:rsid w:val="00675943"/>
    <w:rsid w:val="00675EB6"/>
    <w:rsid w:val="00676468"/>
    <w:rsid w:val="00680E92"/>
    <w:rsid w:val="0069379E"/>
    <w:rsid w:val="006A0C75"/>
    <w:rsid w:val="006D6854"/>
    <w:rsid w:val="006D6C31"/>
    <w:rsid w:val="006E6B9A"/>
    <w:rsid w:val="006F3166"/>
    <w:rsid w:val="006F47D6"/>
    <w:rsid w:val="006F6381"/>
    <w:rsid w:val="00702ABC"/>
    <w:rsid w:val="00705075"/>
    <w:rsid w:val="00706FB6"/>
    <w:rsid w:val="00712A24"/>
    <w:rsid w:val="00714198"/>
    <w:rsid w:val="00730BA9"/>
    <w:rsid w:val="00730C32"/>
    <w:rsid w:val="0073305B"/>
    <w:rsid w:val="00737FAC"/>
    <w:rsid w:val="00747E4E"/>
    <w:rsid w:val="00762CDE"/>
    <w:rsid w:val="00762DFD"/>
    <w:rsid w:val="00766EF8"/>
    <w:rsid w:val="00767869"/>
    <w:rsid w:val="00774B76"/>
    <w:rsid w:val="0077773F"/>
    <w:rsid w:val="00781944"/>
    <w:rsid w:val="0079131D"/>
    <w:rsid w:val="0079524A"/>
    <w:rsid w:val="00796B9E"/>
    <w:rsid w:val="007A19F9"/>
    <w:rsid w:val="007A35BC"/>
    <w:rsid w:val="007B2C21"/>
    <w:rsid w:val="007C0360"/>
    <w:rsid w:val="007C3FAB"/>
    <w:rsid w:val="007C5E51"/>
    <w:rsid w:val="007C60D5"/>
    <w:rsid w:val="007C79CE"/>
    <w:rsid w:val="007D1ED9"/>
    <w:rsid w:val="007E5F3C"/>
    <w:rsid w:val="007E6D8E"/>
    <w:rsid w:val="007F2852"/>
    <w:rsid w:val="00800599"/>
    <w:rsid w:val="00812753"/>
    <w:rsid w:val="00823726"/>
    <w:rsid w:val="008345EF"/>
    <w:rsid w:val="008436C3"/>
    <w:rsid w:val="0084461F"/>
    <w:rsid w:val="00845034"/>
    <w:rsid w:val="008455EA"/>
    <w:rsid w:val="00851384"/>
    <w:rsid w:val="0085150C"/>
    <w:rsid w:val="00856C77"/>
    <w:rsid w:val="008736EE"/>
    <w:rsid w:val="00876E78"/>
    <w:rsid w:val="008818FF"/>
    <w:rsid w:val="00882504"/>
    <w:rsid w:val="008866D2"/>
    <w:rsid w:val="00886D1B"/>
    <w:rsid w:val="008A2142"/>
    <w:rsid w:val="008A7ED4"/>
    <w:rsid w:val="008B1E91"/>
    <w:rsid w:val="008B2B7A"/>
    <w:rsid w:val="008C2CD6"/>
    <w:rsid w:val="008D4D4E"/>
    <w:rsid w:val="008D716C"/>
    <w:rsid w:val="008E1A0B"/>
    <w:rsid w:val="008E323B"/>
    <w:rsid w:val="008E54B7"/>
    <w:rsid w:val="008F5D50"/>
    <w:rsid w:val="008F73E1"/>
    <w:rsid w:val="00905743"/>
    <w:rsid w:val="009059F1"/>
    <w:rsid w:val="009140EC"/>
    <w:rsid w:val="00927802"/>
    <w:rsid w:val="00944BA8"/>
    <w:rsid w:val="009548B1"/>
    <w:rsid w:val="00956DF3"/>
    <w:rsid w:val="00964ECD"/>
    <w:rsid w:val="00972055"/>
    <w:rsid w:val="0098034A"/>
    <w:rsid w:val="00995BB2"/>
    <w:rsid w:val="009A1DB8"/>
    <w:rsid w:val="009B3C83"/>
    <w:rsid w:val="009B4183"/>
    <w:rsid w:val="009B7FC5"/>
    <w:rsid w:val="009C06E7"/>
    <w:rsid w:val="009C096C"/>
    <w:rsid w:val="009C7E60"/>
    <w:rsid w:val="009E2D24"/>
    <w:rsid w:val="00A00EA1"/>
    <w:rsid w:val="00A02DA1"/>
    <w:rsid w:val="00A1397B"/>
    <w:rsid w:val="00A14722"/>
    <w:rsid w:val="00A21364"/>
    <w:rsid w:val="00A2391F"/>
    <w:rsid w:val="00A262C3"/>
    <w:rsid w:val="00A27BC2"/>
    <w:rsid w:val="00A369AA"/>
    <w:rsid w:val="00A37F93"/>
    <w:rsid w:val="00A422DB"/>
    <w:rsid w:val="00A44F77"/>
    <w:rsid w:val="00A52A0D"/>
    <w:rsid w:val="00A54F06"/>
    <w:rsid w:val="00A6716F"/>
    <w:rsid w:val="00A70818"/>
    <w:rsid w:val="00A905FA"/>
    <w:rsid w:val="00A91CDF"/>
    <w:rsid w:val="00A933B6"/>
    <w:rsid w:val="00A94162"/>
    <w:rsid w:val="00A95642"/>
    <w:rsid w:val="00AA2211"/>
    <w:rsid w:val="00AA6050"/>
    <w:rsid w:val="00AA64D1"/>
    <w:rsid w:val="00AB01A5"/>
    <w:rsid w:val="00AB020A"/>
    <w:rsid w:val="00AB0622"/>
    <w:rsid w:val="00AB2F1E"/>
    <w:rsid w:val="00AB628C"/>
    <w:rsid w:val="00AD2ABC"/>
    <w:rsid w:val="00AD4A19"/>
    <w:rsid w:val="00AE5BB8"/>
    <w:rsid w:val="00AE6318"/>
    <w:rsid w:val="00AF4E23"/>
    <w:rsid w:val="00AF74C3"/>
    <w:rsid w:val="00B015C4"/>
    <w:rsid w:val="00B04E26"/>
    <w:rsid w:val="00B07877"/>
    <w:rsid w:val="00B10E73"/>
    <w:rsid w:val="00B14C0F"/>
    <w:rsid w:val="00B213C0"/>
    <w:rsid w:val="00B23118"/>
    <w:rsid w:val="00B252CB"/>
    <w:rsid w:val="00B41133"/>
    <w:rsid w:val="00B52F9F"/>
    <w:rsid w:val="00B57CA7"/>
    <w:rsid w:val="00B72CC3"/>
    <w:rsid w:val="00B77F23"/>
    <w:rsid w:val="00B83CF7"/>
    <w:rsid w:val="00B851F8"/>
    <w:rsid w:val="00B86544"/>
    <w:rsid w:val="00B90F12"/>
    <w:rsid w:val="00BA0B2E"/>
    <w:rsid w:val="00BA5009"/>
    <w:rsid w:val="00BE20B5"/>
    <w:rsid w:val="00BF13E1"/>
    <w:rsid w:val="00BF14A5"/>
    <w:rsid w:val="00BF308C"/>
    <w:rsid w:val="00C06594"/>
    <w:rsid w:val="00C07682"/>
    <w:rsid w:val="00C1350D"/>
    <w:rsid w:val="00C14DD4"/>
    <w:rsid w:val="00C2554A"/>
    <w:rsid w:val="00C25662"/>
    <w:rsid w:val="00C31464"/>
    <w:rsid w:val="00C326DB"/>
    <w:rsid w:val="00C3345D"/>
    <w:rsid w:val="00C6627A"/>
    <w:rsid w:val="00C81BFA"/>
    <w:rsid w:val="00C826CA"/>
    <w:rsid w:val="00C8513E"/>
    <w:rsid w:val="00C854E4"/>
    <w:rsid w:val="00C9047A"/>
    <w:rsid w:val="00C908F7"/>
    <w:rsid w:val="00C90987"/>
    <w:rsid w:val="00C935E3"/>
    <w:rsid w:val="00CA27DF"/>
    <w:rsid w:val="00CB356B"/>
    <w:rsid w:val="00CC361B"/>
    <w:rsid w:val="00CC6A73"/>
    <w:rsid w:val="00CF20F4"/>
    <w:rsid w:val="00CF2A03"/>
    <w:rsid w:val="00CF4608"/>
    <w:rsid w:val="00CF7C0D"/>
    <w:rsid w:val="00D01F7F"/>
    <w:rsid w:val="00D04D76"/>
    <w:rsid w:val="00D061FC"/>
    <w:rsid w:val="00D2255F"/>
    <w:rsid w:val="00D24C60"/>
    <w:rsid w:val="00D376B4"/>
    <w:rsid w:val="00D41655"/>
    <w:rsid w:val="00D46116"/>
    <w:rsid w:val="00D51F95"/>
    <w:rsid w:val="00D5254A"/>
    <w:rsid w:val="00D71B1E"/>
    <w:rsid w:val="00D73DA2"/>
    <w:rsid w:val="00D75C46"/>
    <w:rsid w:val="00D8124D"/>
    <w:rsid w:val="00D83FBC"/>
    <w:rsid w:val="00D90398"/>
    <w:rsid w:val="00DA17A5"/>
    <w:rsid w:val="00DA562B"/>
    <w:rsid w:val="00DA69A2"/>
    <w:rsid w:val="00DB4BCF"/>
    <w:rsid w:val="00DC3629"/>
    <w:rsid w:val="00DC6366"/>
    <w:rsid w:val="00DD1A79"/>
    <w:rsid w:val="00DD275C"/>
    <w:rsid w:val="00DF1A36"/>
    <w:rsid w:val="00DF1D51"/>
    <w:rsid w:val="00E01945"/>
    <w:rsid w:val="00E06EA7"/>
    <w:rsid w:val="00E21E79"/>
    <w:rsid w:val="00E264F3"/>
    <w:rsid w:val="00E30B19"/>
    <w:rsid w:val="00E30D11"/>
    <w:rsid w:val="00E32A2F"/>
    <w:rsid w:val="00E37B0F"/>
    <w:rsid w:val="00E47E14"/>
    <w:rsid w:val="00E6459D"/>
    <w:rsid w:val="00E677C8"/>
    <w:rsid w:val="00E72272"/>
    <w:rsid w:val="00E77E23"/>
    <w:rsid w:val="00E80DD6"/>
    <w:rsid w:val="00E865E1"/>
    <w:rsid w:val="00EA3955"/>
    <w:rsid w:val="00EC2C9E"/>
    <w:rsid w:val="00EC2DD7"/>
    <w:rsid w:val="00EC369B"/>
    <w:rsid w:val="00EC4513"/>
    <w:rsid w:val="00EC6BCF"/>
    <w:rsid w:val="00EE20DC"/>
    <w:rsid w:val="00EE33F5"/>
    <w:rsid w:val="00EE6C45"/>
    <w:rsid w:val="00EF2F33"/>
    <w:rsid w:val="00EF5818"/>
    <w:rsid w:val="00EF6CA3"/>
    <w:rsid w:val="00F111D8"/>
    <w:rsid w:val="00F12413"/>
    <w:rsid w:val="00F16793"/>
    <w:rsid w:val="00F25330"/>
    <w:rsid w:val="00F27640"/>
    <w:rsid w:val="00F3035A"/>
    <w:rsid w:val="00F32831"/>
    <w:rsid w:val="00F421C7"/>
    <w:rsid w:val="00F4482F"/>
    <w:rsid w:val="00F44C65"/>
    <w:rsid w:val="00F527DB"/>
    <w:rsid w:val="00F6158F"/>
    <w:rsid w:val="00F7599F"/>
    <w:rsid w:val="00F77AEF"/>
    <w:rsid w:val="00F96B8E"/>
    <w:rsid w:val="00F97EC0"/>
    <w:rsid w:val="00FA2D82"/>
    <w:rsid w:val="00FA6BC7"/>
    <w:rsid w:val="00FA78A9"/>
    <w:rsid w:val="00FB2F0E"/>
    <w:rsid w:val="00FB5B4E"/>
    <w:rsid w:val="00FB7D08"/>
    <w:rsid w:val="00FC4362"/>
    <w:rsid w:val="00FC5C98"/>
    <w:rsid w:val="00FC7885"/>
    <w:rsid w:val="00FD36F8"/>
    <w:rsid w:val="00FD7FF4"/>
    <w:rsid w:val="00FE7582"/>
    <w:rsid w:val="00FF6734"/>
    <w:rsid w:val="028DB8AA"/>
    <w:rsid w:val="56B7D8FF"/>
    <w:rsid w:val="6F380697"/>
    <w:rsid w:val="70D3D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2BD5A"/>
  <w15:chartTrackingRefBased/>
  <w15:docId w15:val="{E3CF3FB8-9657-48B2-80FE-8882EA56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6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2055"/>
    <w:pPr>
      <w:keepNext/>
      <w:spacing w:after="240" w:line="240" w:lineRule="auto"/>
      <w:ind w:left="720"/>
      <w:outlineLvl w:val="0"/>
    </w:pPr>
    <w:rPr>
      <w:rFonts w:eastAsiaTheme="majorEastAsia" w:cs="Arial"/>
      <w:b/>
      <w:sz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A5E34"/>
    <w:pPr>
      <w:keepNext/>
      <w:keepLines/>
      <w:tabs>
        <w:tab w:val="left" w:pos="-180"/>
      </w:tabs>
      <w:spacing w:after="240" w:line="240" w:lineRule="auto"/>
      <w:outlineLvl w:val="1"/>
    </w:pPr>
    <w:rPr>
      <w:rFonts w:eastAsiaTheme="majorEastAsia" w:cs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611225"/>
    <w:pPr>
      <w:keepNext/>
      <w:tabs>
        <w:tab w:val="left" w:pos="0"/>
      </w:tabs>
      <w:overflowPunct w:val="0"/>
      <w:autoSpaceDE w:val="0"/>
      <w:autoSpaceDN w:val="0"/>
      <w:adjustRightInd w:val="0"/>
      <w:spacing w:before="240" w:after="240" w:line="240" w:lineRule="auto"/>
      <w:textAlignment w:val="baseline"/>
      <w:outlineLvl w:val="2"/>
    </w:pPr>
    <w:rPr>
      <w:rFonts w:eastAsia="Times New Roman" w:cs="Times New Roman"/>
      <w:b/>
      <w:sz w:val="2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5E34"/>
    <w:rPr>
      <w:rFonts w:ascii="Arial" w:eastAsiaTheme="majorEastAsia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72055"/>
    <w:rPr>
      <w:rFonts w:ascii="Arial" w:eastAsiaTheme="majorEastAsia" w:hAnsi="Arial" w:cs="Arial"/>
      <w:b/>
    </w:rPr>
  </w:style>
  <w:style w:type="paragraph" w:customStyle="1" w:styleId="Parasubclause1">
    <w:name w:val="Para subclause 1"/>
    <w:aliases w:val="BIWS Heading 2"/>
    <w:basedOn w:val="Normal"/>
    <w:rsid w:val="00C8513E"/>
    <w:pPr>
      <w:spacing w:before="240" w:after="120" w:line="300" w:lineRule="atLeast"/>
      <w:ind w:left="720"/>
      <w:jc w:val="both"/>
    </w:pPr>
    <w:rPr>
      <w:rFonts w:eastAsia="Arial Unicode MS" w:cs="Arial"/>
      <w:color w:val="000000"/>
      <w:szCs w:val="20"/>
    </w:rPr>
  </w:style>
  <w:style w:type="paragraph" w:customStyle="1" w:styleId="Schedule">
    <w:name w:val="Schedule"/>
    <w:qFormat/>
    <w:rsid w:val="00C8513E"/>
    <w:pPr>
      <w:numPr>
        <w:numId w:val="3"/>
      </w:numPr>
      <w:spacing w:before="240" w:after="240" w:line="240" w:lineRule="atLeast"/>
      <w:ind w:left="3762"/>
    </w:pPr>
    <w:rPr>
      <w:rFonts w:ascii="Arial" w:eastAsia="Arial Unicode MS" w:hAnsi="Arial" w:cs="Arial"/>
      <w:b/>
      <w:color w:val="000000"/>
      <w:lang w:val="en-US"/>
    </w:rPr>
  </w:style>
  <w:style w:type="paragraph" w:customStyle="1" w:styleId="Part">
    <w:name w:val="Part"/>
    <w:basedOn w:val="Normal"/>
    <w:qFormat/>
    <w:rsid w:val="00C8513E"/>
    <w:pPr>
      <w:numPr>
        <w:ilvl w:val="1"/>
        <w:numId w:val="3"/>
      </w:numPr>
      <w:spacing w:before="240" w:after="240" w:line="300" w:lineRule="atLeast"/>
    </w:pPr>
    <w:rPr>
      <w:rFonts w:eastAsia="Arial Unicode MS" w:cs="Arial"/>
      <w:b/>
      <w:color w:val="000000"/>
      <w:szCs w:val="20"/>
    </w:rPr>
  </w:style>
  <w:style w:type="paragraph" w:customStyle="1" w:styleId="AdditionalTitle">
    <w:name w:val="Additional Title"/>
    <w:basedOn w:val="Normal"/>
    <w:qFormat/>
    <w:rsid w:val="00C8513E"/>
    <w:pPr>
      <w:spacing w:after="120" w:line="300" w:lineRule="atLeast"/>
    </w:pPr>
    <w:rPr>
      <w:rFonts w:eastAsia="Arial Unicode MS" w:cs="Arial"/>
      <w:b/>
      <w:color w:val="000000"/>
      <w:szCs w:val="20"/>
    </w:rPr>
  </w:style>
  <w:style w:type="paragraph" w:customStyle="1" w:styleId="ScheduleUntitledsubclause1">
    <w:name w:val="Schedule Untitled subclause 1"/>
    <w:basedOn w:val="Normal"/>
    <w:rsid w:val="00C8513E"/>
    <w:pPr>
      <w:numPr>
        <w:ilvl w:val="3"/>
        <w:numId w:val="3"/>
      </w:numPr>
      <w:spacing w:before="280" w:after="120" w:line="300" w:lineRule="atLeast"/>
      <w:jc w:val="both"/>
      <w:outlineLvl w:val="1"/>
    </w:pPr>
    <w:rPr>
      <w:rFonts w:eastAsia="Arial Unicode MS" w:cs="Arial"/>
      <w:color w:val="000000"/>
      <w:szCs w:val="20"/>
    </w:rPr>
  </w:style>
  <w:style w:type="paragraph" w:customStyle="1" w:styleId="ScheduleUntitledsubclause2">
    <w:name w:val="Schedule Untitled subclause 2"/>
    <w:basedOn w:val="Normal"/>
    <w:rsid w:val="00C8513E"/>
    <w:pPr>
      <w:numPr>
        <w:ilvl w:val="4"/>
        <w:numId w:val="3"/>
      </w:numPr>
      <w:spacing w:after="120" w:line="300" w:lineRule="atLeast"/>
      <w:jc w:val="both"/>
      <w:outlineLvl w:val="2"/>
    </w:pPr>
    <w:rPr>
      <w:rFonts w:eastAsia="Arial Unicode MS" w:cs="Arial"/>
      <w:color w:val="000000"/>
      <w:szCs w:val="20"/>
    </w:rPr>
  </w:style>
  <w:style w:type="paragraph" w:customStyle="1" w:styleId="ScheduleUntitledsubclause3">
    <w:name w:val="Schedule Untitled subclause 3"/>
    <w:basedOn w:val="Normal"/>
    <w:rsid w:val="00C8513E"/>
    <w:pPr>
      <w:numPr>
        <w:ilvl w:val="5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 w:cs="Arial"/>
      <w:color w:val="00000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C85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13E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3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13E"/>
    <w:rPr>
      <w:rFonts w:ascii="Arial" w:hAnsi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11225"/>
    <w:rPr>
      <w:rFonts w:ascii="Arial" w:eastAsia="Times New Roman" w:hAnsi="Arial" w:cs="Times New Roman"/>
      <w:b/>
      <w:sz w:val="26"/>
      <w:szCs w:val="20"/>
    </w:rPr>
  </w:style>
  <w:style w:type="character" w:styleId="Strong">
    <w:name w:val="Strong"/>
    <w:qFormat/>
    <w:rsid w:val="00611225"/>
    <w:rPr>
      <w:b/>
      <w:bCs/>
    </w:rPr>
  </w:style>
  <w:style w:type="paragraph" w:customStyle="1" w:styleId="Default">
    <w:name w:val="Default"/>
    <w:rsid w:val="006112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Bullet2">
    <w:name w:val="List Bullet 2"/>
    <w:basedOn w:val="Normal"/>
    <w:rsid w:val="00611225"/>
    <w:pPr>
      <w:numPr>
        <w:numId w:val="4"/>
      </w:numPr>
      <w:spacing w:before="120" w:after="120" w:line="240" w:lineRule="auto"/>
      <w:ind w:left="641" w:hanging="357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702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B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02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ABC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5A5E34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5A5E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2D7F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qFormat/>
    <w:rsid w:val="00BF13E1"/>
    <w:pPr>
      <w:numPr>
        <w:numId w:val="11"/>
      </w:numPr>
      <w:spacing w:after="240" w:line="240" w:lineRule="auto"/>
    </w:pPr>
    <w:rPr>
      <w:sz w:val="22"/>
    </w:rPr>
  </w:style>
  <w:style w:type="paragraph" w:styleId="Revision">
    <w:name w:val="Revision"/>
    <w:hidden/>
    <w:uiPriority w:val="99"/>
    <w:semiHidden/>
    <w:rsid w:val="00035DB4"/>
    <w:pPr>
      <w:spacing w:after="0" w:line="240" w:lineRule="auto"/>
    </w:pPr>
    <w:rPr>
      <w:rFonts w:ascii="Arial" w:hAnsi="Arial"/>
      <w:sz w:val="24"/>
    </w:rPr>
  </w:style>
  <w:style w:type="character" w:customStyle="1" w:styleId="normaltextrun">
    <w:name w:val="normaltextrun"/>
    <w:rsid w:val="00B72CC3"/>
  </w:style>
  <w:style w:type="character" w:customStyle="1" w:styleId="eop">
    <w:name w:val="eop"/>
    <w:rsid w:val="00B7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5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To xmlns="15ff3d39-6e7b-4d70-9b7c-8d9fe85d0f29" xsi:nil="true"/>
    <TaxCatchAll xmlns="15ff3d39-6e7b-4d70-9b7c-8d9fe85d0f29" xsi:nil="true"/>
    <dlc_EmailSubject xmlns="15ff3d39-6e7b-4d70-9b7c-8d9fe85d0f29" xsi:nil="true"/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fbc0cef46b3d4d6395b82fcdde9518fe xmlns="99a4d6c6-ce51-4eb0-b677-b94713792112">
      <Terms xmlns="http://schemas.microsoft.com/office/infopath/2007/PartnerControls"/>
    </fbc0cef46b3d4d6395b82fcdde9518fe>
    <m52312fbb7e94b9e8a7225c3c6f70a07 xmlns="99a4d6c6-ce51-4eb0-b677-b94713792112">
      <Terms xmlns="http://schemas.microsoft.com/office/infopath/2007/PartnerControls"/>
    </m52312fbb7e94b9e8a7225c3c6f70a07>
    <dlc_EmailReceivedUTC xmlns="15ff3d39-6e7b-4d70-9b7c-8d9fe85d0f29" xsi:nil="true"/>
    <lcf76f155ced4ddcb4097134ff3c332f xmlns="e9262fc6-5e87-4e1a-a2ac-09b3d5621a7f">
      <Terms xmlns="http://schemas.microsoft.com/office/infopath/2007/PartnerControls"/>
    </lcf76f155ced4ddcb4097134ff3c332f>
    <_Flow_SignoffStatus xmlns="e9262fc6-5e87-4e1a-a2ac-09b3d5621a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7078C88574498EC04F48A554611C" ma:contentTypeVersion="17" ma:contentTypeDescription="Create a new document." ma:contentTypeScope="" ma:versionID="6157f11161eda0bd6bfcec24e767e5e1">
  <xsd:schema xmlns:xsd="http://www.w3.org/2001/XMLSchema" xmlns:xs="http://www.w3.org/2001/XMLSchema" xmlns:p="http://schemas.microsoft.com/office/2006/metadata/properties" xmlns:ns2="99a4d6c6-ce51-4eb0-b677-b94713792112" xmlns:ns3="15ff3d39-6e7b-4d70-9b7c-8d9fe85d0f29" xmlns:ns4="e9262fc6-5e87-4e1a-a2ac-09b3d5621a7f" targetNamespace="http://schemas.microsoft.com/office/2006/metadata/properties" ma:root="true" ma:fieldsID="8ce58318abe4a83a6c6420280e527c9c" ns2:_="" ns3:_="" ns4:_="">
    <xsd:import namespace="99a4d6c6-ce51-4eb0-b677-b94713792112"/>
    <xsd:import namespace="15ff3d39-6e7b-4d70-9b7c-8d9fe85d0f29"/>
    <xsd:import namespace="e9262fc6-5e87-4e1a-a2ac-09b3d5621a7f"/>
    <xsd:element name="properties">
      <xsd:complexType>
        <xsd:sequence>
          <xsd:element name="documentManagement">
            <xsd:complexType>
              <xsd:all>
                <xsd:element ref="ns2:m52312fbb7e94b9e8a7225c3c6f70a07" minOccurs="0"/>
                <xsd:element ref="ns2:fbc0cef46b3d4d6395b82fcdde9518fe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_Flow_SignoffStatu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4d6c6-ce51-4eb0-b677-b94713792112" elementFormDefault="qualified">
    <xsd:import namespace="http://schemas.microsoft.com/office/2006/documentManagement/types"/>
    <xsd:import namespace="http://schemas.microsoft.com/office/infopath/2007/PartnerControls"/>
    <xsd:element name="m52312fbb7e94b9e8a7225c3c6f70a07" ma:index="8" nillable="true" ma:taxonomy="true" ma:internalName="m52312fbb7e94b9e8a7225c3c6f70a07" ma:taxonomyFieldName="FinancialYear" ma:displayName="Financial Year" ma:readOnly="false" ma:fieldId="{652312fb-b7e9-4b9e-8a72-25c3c6f70a07}" ma:sspId="5de26ec3-896b-4bef-bed1-ad194f885b2b" ma:termSetId="9f67df4e-e334-4dbf-9f84-70af3e267a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c0cef46b3d4d6395b82fcdde9518fe" ma:index="10" nillable="true" ma:taxonomy="true" ma:internalName="fbc0cef46b3d4d6395b82fcdde9518fe" ma:taxonomyFieldName="CustomTag" ma:displayName="Custom Tag" ma:fieldId="{fbc0cef4-6b3d-4d63-95b8-2fcdde9518fe}" ma:sspId="5de26ec3-896b-4bef-bed1-ad194f885b2b" ma:termSetId="7cba71b9-fe7a-43fe-a4e6-6ad96ba5172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Historical_x0020_Importance" ma:index="12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3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14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5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6" nillable="true" ma:displayName="Date Received" ma:description="" ma:internalName="dlc_EmailReceivedUTC">
      <xsd:simpleType>
        <xsd:restriction base="dms:DateTime"/>
      </xsd:simpleType>
    </xsd:element>
    <xsd:element name="dlc_EmailSentUTC" ma:index="17" nillable="true" ma:displayName="Date Sent" ma:description="" ma:internalName="dlc_EmailSentUTC">
      <xsd:simpleType>
        <xsd:restriction base="dms:DateTime"/>
      </xsd:simpleType>
    </xsd:element>
    <xsd:element name="dlc_EmailFrom" ma:index="18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19" nillable="true" ma:displayName="Email Subject" ma:description="" ma:internalName="dlc_EmailSubject">
      <xsd:simpleType>
        <xsd:restriction base="dms:Note"/>
      </xsd:simpleType>
    </xsd:element>
    <xsd:element name="dlc_EmailTo" ma:index="20" nillable="true" ma:displayName="To" ma:description="" ma:internalName="dlc_EmailTo">
      <xsd:simpleType>
        <xsd:restriction base="dms:Note"/>
      </xsd:simpleType>
    </xsd:element>
    <xsd:element name="TaxCatchAll" ma:index="21" nillable="true" ma:displayName="Taxonomy Catch All Column" ma:hidden="true" ma:list="{d7a98a2a-a04f-4a7c-a0b3-18e6a7f64cf0}" ma:internalName="TaxCatchAll" ma:showField="CatchAllData" ma:web="99a4d6c6-ce51-4eb0-b677-b94713792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62fc6-5e87-4e1a-a2ac-09b3d5621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1C585-DA90-47E1-B536-01D6EF9474CD}">
  <ds:schemaRefs>
    <ds:schemaRef ds:uri="http://purl.org/dc/elements/1.1/"/>
    <ds:schemaRef ds:uri="http://schemas.microsoft.com/office/2006/metadata/properties"/>
    <ds:schemaRef ds:uri="99a4d6c6-ce51-4eb0-b677-b94713792112"/>
    <ds:schemaRef ds:uri="http://purl.org/dc/terms/"/>
    <ds:schemaRef ds:uri="b644569b-02b0-48e7-b971-e4e74c206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5ff3d39-6e7b-4d70-9b7c-8d9fe85d0f29"/>
    <ds:schemaRef ds:uri="http://www.w3.org/XML/1998/namespace"/>
    <ds:schemaRef ds:uri="http://purl.org/dc/dcmitype/"/>
    <ds:schemaRef ds:uri="e9262fc6-5e87-4e1a-a2ac-09b3d5621a7f"/>
  </ds:schemaRefs>
</ds:datastoreItem>
</file>

<file path=customXml/itemProps2.xml><?xml version="1.0" encoding="utf-8"?>
<ds:datastoreItem xmlns:ds="http://schemas.openxmlformats.org/officeDocument/2006/customXml" ds:itemID="{C36EFDD8-2634-4D15-8F19-FF97F357D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5356-1F12-4E15-87F1-2688BB23A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4d6c6-ce51-4eb0-b677-b94713792112"/>
    <ds:schemaRef ds:uri="15ff3d39-6e7b-4d70-9b7c-8d9fe85d0f29"/>
    <ds:schemaRef ds:uri="e9262fc6-5e87-4e1a-a2ac-09b3d5621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45618-6492-4FFE-9FA6-FDA2895D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dc:description/>
  <cp:lastModifiedBy>Colin Ryan</cp:lastModifiedBy>
  <cp:revision>52</cp:revision>
  <dcterms:created xsi:type="dcterms:W3CDTF">2023-04-24T10:24:00Z</dcterms:created>
  <dcterms:modified xsi:type="dcterms:W3CDTF">2023-05-11T10:44:00Z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0x010100962C7078C88574498EC04F48A554611C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DocRef">
    <vt:lpwstr>AC_167013360_2</vt:lpwstr>
  </property>
  <property fmtid="{D5CDD505-2E9C-101B-9397-08002B2CF9AE}" pid="8" name="WSFooter">
    <vt:lpwstr>Active\167013360\2</vt:lpwstr>
  </property>
  <property fmtid="{D5CDD505-2E9C-101B-9397-08002B2CF9AE}" pid="9" name="MediaServiceImageTags">
    <vt:lpwstr/>
  </property>
</Properties>
</file>