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F2271" w14:textId="77777777" w:rsidR="007F3A84" w:rsidRPr="00815910" w:rsidRDefault="007F3A84"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Pricewaterhouse Coopers</w:t>
      </w:r>
      <w:r w:rsidRPr="00815910">
        <w:rPr>
          <w:rFonts w:ascii="Arial" w:eastAsia="Times New Roman" w:hAnsi="Arial" w:cs="Arial"/>
          <w:lang w:eastAsia="en-GB"/>
        </w:rPr>
        <w:t xml:space="preserve"> LLP</w:t>
      </w:r>
    </w:p>
    <w:p w14:paraId="20D937CC" w14:textId="77777777" w:rsidR="007F3A84" w:rsidRPr="00815910" w:rsidRDefault="007F3A84"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7</w:t>
      </w:r>
      <w:r w:rsidRPr="00815910">
        <w:rPr>
          <w:rFonts w:ascii="Arial" w:eastAsia="Times New Roman" w:hAnsi="Arial" w:cs="Arial"/>
          <w:lang w:eastAsia="en-GB"/>
        </w:rPr>
        <w:t xml:space="preserve"> </w:t>
      </w:r>
      <w:r>
        <w:rPr>
          <w:rFonts w:ascii="Arial" w:eastAsia="Times New Roman" w:hAnsi="Arial" w:cs="Arial"/>
          <w:lang w:eastAsia="en-GB"/>
        </w:rPr>
        <w:t>More London Riverside</w:t>
      </w:r>
    </w:p>
    <w:p w14:paraId="483E526B" w14:textId="77777777" w:rsidR="007F3A84" w:rsidRPr="00815910" w:rsidRDefault="007F3A84" w:rsidP="007F3A84">
      <w:pPr>
        <w:tabs>
          <w:tab w:val="center" w:pos="4153"/>
          <w:tab w:val="right" w:pos="8306"/>
        </w:tabs>
        <w:spacing w:after="120" w:line="240" w:lineRule="atLeast"/>
        <w:rPr>
          <w:rFonts w:ascii="Arial" w:eastAsia="Times New Roman" w:hAnsi="Arial" w:cs="Arial"/>
          <w:lang w:eastAsia="en-GB"/>
        </w:rPr>
      </w:pPr>
      <w:r w:rsidRPr="00815910">
        <w:rPr>
          <w:rFonts w:ascii="Arial" w:eastAsia="Times New Roman" w:hAnsi="Arial" w:cs="Arial"/>
          <w:lang w:eastAsia="en-GB"/>
        </w:rPr>
        <w:t>London</w:t>
      </w:r>
    </w:p>
    <w:p w14:paraId="19ECAD63" w14:textId="77777777" w:rsidR="007F3A84" w:rsidRPr="00815910" w:rsidRDefault="007F3A84" w:rsidP="007F3A84">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SE1 2RT</w:t>
      </w:r>
    </w:p>
    <w:p w14:paraId="2752EB50" w14:textId="3C779796" w:rsidR="0084655D" w:rsidRPr="009F3D7F" w:rsidRDefault="0084655D" w:rsidP="0084655D">
      <w:pPr>
        <w:tabs>
          <w:tab w:val="center" w:pos="4153"/>
          <w:tab w:val="right" w:pos="8306"/>
        </w:tabs>
        <w:spacing w:after="120" w:line="240" w:lineRule="atLeast"/>
        <w:rPr>
          <w:rFonts w:ascii="Arial" w:eastAsia="Times New Roman" w:hAnsi="Arial" w:cs="Arial"/>
          <w:b/>
          <w:lang w:eastAsia="en-GB"/>
        </w:rPr>
      </w:pP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33B5B7BF" w:rsidR="00426F1E" w:rsidRPr="00F9372D"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F9372D">
        <w:rPr>
          <w:rFonts w:ascii="Arial" w:eastAsia="Times New Roman" w:hAnsi="Arial" w:cs="Arial"/>
          <w:b/>
          <w:lang w:eastAsia="en-GB"/>
        </w:rPr>
        <w:t>Redacted Text</w:t>
      </w:r>
    </w:p>
    <w:p w14:paraId="0E425FB9" w14:textId="6AB65452" w:rsidR="0084655D" w:rsidRPr="00F9372D" w:rsidRDefault="00F9372D"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4AF1B3A7" w:rsidR="0084655D" w:rsidRPr="007F3A84"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84655D">
        <w:rPr>
          <w:rFonts w:ascii="Arial" w:eastAsia="Times New Roman" w:hAnsi="Arial" w:cs="Arial"/>
        </w:rPr>
        <w:t xml:space="preserve">Date: </w:t>
      </w:r>
      <w:r w:rsidR="007F3A84">
        <w:rPr>
          <w:rFonts w:ascii="Arial" w:eastAsia="Times New Roman" w:hAnsi="Arial" w:cs="Arial"/>
        </w:rPr>
        <w:t xml:space="preserve"> 16</w:t>
      </w:r>
      <w:r w:rsidR="007F3A84" w:rsidRPr="007F3A84">
        <w:rPr>
          <w:rFonts w:ascii="Arial" w:eastAsia="Times New Roman" w:hAnsi="Arial" w:cs="Arial"/>
          <w:vertAlign w:val="superscript"/>
        </w:rPr>
        <w:t>th</w:t>
      </w:r>
      <w:r w:rsidR="007F3A84">
        <w:rPr>
          <w:rFonts w:ascii="Arial" w:eastAsia="Times New Roman" w:hAnsi="Arial" w:cs="Arial"/>
        </w:rPr>
        <w:t xml:space="preserve"> April </w:t>
      </w:r>
      <w:r w:rsidR="007F3A84" w:rsidRPr="007F3A84">
        <w:rPr>
          <w:rFonts w:ascii="Arial" w:eastAsia="Times New Roman" w:hAnsi="Arial" w:cs="Arial"/>
        </w:rPr>
        <w:t>2018</w:t>
      </w:r>
      <w:r w:rsidRPr="007F3A84">
        <w:rPr>
          <w:rFonts w:ascii="Arial" w:eastAsia="Times New Roman" w:hAnsi="Arial" w:cs="Arial"/>
        </w:rPr>
        <w:t xml:space="preserve"> </w:t>
      </w:r>
    </w:p>
    <w:p w14:paraId="3547D31E" w14:textId="0BF13835" w:rsidR="0084655D" w:rsidRPr="007F3A84" w:rsidRDefault="00426F1E" w:rsidP="00A31772">
      <w:pPr>
        <w:spacing w:after="120" w:line="240" w:lineRule="atLeast"/>
        <w:ind w:left="5760" w:right="-46"/>
        <w:rPr>
          <w:rFonts w:ascii="Arial" w:eastAsia="Times New Roman" w:hAnsi="Arial" w:cs="Arial"/>
        </w:rPr>
      </w:pPr>
      <w:r w:rsidRPr="007F3A84">
        <w:rPr>
          <w:rFonts w:ascii="Arial" w:eastAsia="Times New Roman" w:hAnsi="Arial" w:cs="Arial"/>
        </w:rPr>
        <w:t xml:space="preserve">Procurement </w:t>
      </w:r>
      <w:r w:rsidR="0084655D" w:rsidRPr="007F3A84">
        <w:rPr>
          <w:rFonts w:ascii="Arial" w:eastAsia="Times New Roman" w:hAnsi="Arial" w:cs="Arial"/>
        </w:rPr>
        <w:t xml:space="preserve">ref: </w:t>
      </w:r>
      <w:r w:rsidR="007F3A84" w:rsidRPr="007F3A84">
        <w:rPr>
          <w:rFonts w:ascii="Arial" w:eastAsia="Times New Roman" w:hAnsi="Arial" w:cs="Arial"/>
        </w:rPr>
        <w:t>CCCC18A25</w:t>
      </w:r>
    </w:p>
    <w:p w14:paraId="1F7AEBCF" w14:textId="3E4609A0" w:rsidR="0084655D" w:rsidRPr="0084655D" w:rsidRDefault="0084655D" w:rsidP="0084655D">
      <w:pPr>
        <w:spacing w:after="120" w:line="240" w:lineRule="atLeast"/>
        <w:jc w:val="both"/>
        <w:rPr>
          <w:rFonts w:ascii="Arial" w:eastAsia="Times New Roman" w:hAnsi="Arial" w:cs="Arial"/>
        </w:rPr>
      </w:pPr>
      <w:r w:rsidRPr="007F3A84">
        <w:rPr>
          <w:rFonts w:ascii="Arial" w:eastAsia="Times New Roman" w:hAnsi="Arial" w:cs="Arial"/>
        </w:rPr>
        <w:t>Dear Sir</w:t>
      </w:r>
      <w:r w:rsidR="00935571" w:rsidRPr="007F3A84">
        <w:rPr>
          <w:rFonts w:ascii="Arial" w:eastAsia="Times New Roman" w:hAnsi="Arial" w:cs="Arial"/>
        </w:rPr>
        <w:t>/Madam</w:t>
      </w:r>
      <w:r w:rsidRPr="007F3A84">
        <w:rPr>
          <w:rFonts w:ascii="Arial" w:eastAsia="Times New Roman" w:hAnsi="Arial" w:cs="Arial"/>
        </w:rPr>
        <w:t>,</w:t>
      </w:r>
    </w:p>
    <w:p w14:paraId="49B529BB" w14:textId="0E69B30A"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w:t>
      </w:r>
      <w:r w:rsidR="00871B1D">
        <w:rPr>
          <w:rFonts w:ascii="Arial" w:eastAsia="Times New Roman" w:hAnsi="Arial" w:cs="Arial"/>
          <w:b/>
          <w:bCs/>
          <w:spacing w:val="-4"/>
          <w:u w:val="single"/>
          <w:lang w:val="en-US"/>
        </w:rPr>
        <w:t>d of contract for the Provision of Consultancy for Accounting Support</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26E731B" w14:textId="77777777" w:rsidR="00871B1D" w:rsidRPr="00B56971" w:rsidRDefault="00871B1D" w:rsidP="00871B1D">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 for the above Procurement, I am writing to advise that the procurement is now complete.</w:t>
      </w:r>
      <w:r>
        <w:rPr>
          <w:rFonts w:ascii="Arial" w:hAnsi="Arial" w:cs="Arial"/>
          <w:color w:val="auto"/>
          <w:sz w:val="22"/>
          <w:szCs w:val="22"/>
        </w:rPr>
        <w:t xml:space="preserve"> </w:t>
      </w:r>
    </w:p>
    <w:p w14:paraId="02429413" w14:textId="77777777" w:rsidR="00871B1D" w:rsidRPr="00B56971" w:rsidRDefault="00871B1D" w:rsidP="00871B1D">
      <w:pPr>
        <w:pStyle w:val="BasicParagraph"/>
        <w:spacing w:line="240" w:lineRule="auto"/>
        <w:jc w:val="both"/>
        <w:rPr>
          <w:rFonts w:ascii="Arial" w:hAnsi="Arial" w:cs="Arial"/>
          <w:color w:val="auto"/>
          <w:sz w:val="22"/>
          <w:szCs w:val="22"/>
        </w:rPr>
      </w:pPr>
    </w:p>
    <w:p w14:paraId="4F375865" w14:textId="77777777" w:rsidR="00871B1D" w:rsidRDefault="00871B1D" w:rsidP="00871B1D">
      <w:pPr>
        <w:spacing w:after="0" w:line="240" w:lineRule="auto"/>
        <w:jc w:val="both"/>
        <w:rPr>
          <w:rFonts w:ascii="Arial" w:hAnsi="Arial" w:cs="Arial"/>
        </w:rPr>
      </w:pPr>
      <w:r w:rsidRPr="00F25935">
        <w:rPr>
          <w:rFonts w:ascii="Arial" w:eastAsiaTheme="minorEastAsia" w:hAnsi="Arial" w:cs="Arial"/>
        </w:rPr>
        <w:t xml:space="preserve">I am pleased to inform you that your company ranked first in our evaluation and therefore we would like to award the contract to you. </w:t>
      </w:r>
    </w:p>
    <w:p w14:paraId="1946FD14" w14:textId="77777777" w:rsidR="00871B1D" w:rsidRDefault="00871B1D" w:rsidP="00871B1D">
      <w:pPr>
        <w:spacing w:after="0" w:line="240" w:lineRule="auto"/>
        <w:jc w:val="both"/>
        <w:rPr>
          <w:rFonts w:ascii="Arial" w:hAnsi="Arial" w:cs="Arial"/>
        </w:rPr>
      </w:pPr>
    </w:p>
    <w:p w14:paraId="53679F56" w14:textId="77777777" w:rsidR="00871B1D" w:rsidRPr="00F25935" w:rsidRDefault="00871B1D" w:rsidP="00871B1D">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Pr>
          <w:rFonts w:ascii="Arial" w:eastAsiaTheme="minorEastAsia" w:hAnsi="Arial" w:cs="Arial"/>
        </w:rPr>
        <w:t>A</w:t>
      </w:r>
      <w:r w:rsidRPr="006A421C">
        <w:rPr>
          <w:rFonts w:ascii="Arial" w:eastAsiaTheme="minorEastAsia" w:hAnsi="Arial" w:cs="Arial"/>
        </w:rPr>
        <w:t>ppendix</w:t>
      </w:r>
      <w:r>
        <w:rPr>
          <w:rFonts w:ascii="Arial" w:eastAsiaTheme="minorEastAsia" w:hAnsi="Arial" w:cs="Arial"/>
        </w:rPr>
        <w:t xml:space="preserve"> 1 </w:t>
      </w:r>
      <w:r w:rsidRPr="006A421C">
        <w:rPr>
          <w:rFonts w:ascii="Arial" w:eastAsiaTheme="minorEastAsia" w:hAnsi="Arial" w:cs="Arial"/>
        </w:rPr>
        <w:t>provides detailed feedback on your submitted proposal.</w:t>
      </w:r>
    </w:p>
    <w:p w14:paraId="4958937D" w14:textId="77777777" w:rsidR="00871B1D" w:rsidRPr="00F25935" w:rsidRDefault="00871B1D" w:rsidP="00871B1D">
      <w:pPr>
        <w:spacing w:after="0" w:line="240" w:lineRule="auto"/>
        <w:jc w:val="both"/>
        <w:rPr>
          <w:rFonts w:ascii="Arial" w:eastAsiaTheme="minorEastAsia" w:hAnsi="Arial" w:cs="Arial"/>
        </w:rPr>
      </w:pPr>
    </w:p>
    <w:p w14:paraId="661EF5CE" w14:textId="1E6246E7" w:rsidR="00871B1D" w:rsidRDefault="00871B1D" w:rsidP="00871B1D">
      <w:pPr>
        <w:spacing w:after="0" w:line="240" w:lineRule="auto"/>
        <w:jc w:val="both"/>
        <w:rPr>
          <w:rFonts w:ascii="Arial" w:eastAsiaTheme="minorEastAsia" w:hAnsi="Arial" w:cs="Arial"/>
        </w:rPr>
      </w:pPr>
      <w:r w:rsidRPr="00F25935">
        <w:rPr>
          <w:rFonts w:ascii="Arial" w:eastAsiaTheme="minorEastAsia" w:hAnsi="Arial" w:cs="Arial"/>
        </w:rPr>
        <w:t xml:space="preserve">The </w:t>
      </w:r>
      <w:r>
        <w:rPr>
          <w:rFonts w:ascii="Arial" w:eastAsiaTheme="minorEastAsia" w:hAnsi="Arial" w:cs="Arial"/>
        </w:rPr>
        <w:t>call-off contract shall commence 18</w:t>
      </w:r>
      <w:r w:rsidRPr="00D57F8D">
        <w:rPr>
          <w:rFonts w:ascii="Arial" w:eastAsiaTheme="minorEastAsia" w:hAnsi="Arial" w:cs="Arial"/>
          <w:vertAlign w:val="superscript"/>
        </w:rPr>
        <w:t>th</w:t>
      </w:r>
      <w:r>
        <w:rPr>
          <w:rFonts w:ascii="Arial" w:eastAsiaTheme="minorEastAsia" w:hAnsi="Arial" w:cs="Arial"/>
        </w:rPr>
        <w:t xml:space="preserve"> day of April 2018 and the Expiry Date will be 11</w:t>
      </w:r>
      <w:r w:rsidRPr="00871B1D">
        <w:rPr>
          <w:rFonts w:ascii="Arial" w:eastAsiaTheme="minorEastAsia" w:hAnsi="Arial" w:cs="Arial"/>
          <w:vertAlign w:val="superscript"/>
        </w:rPr>
        <w:t>th</w:t>
      </w:r>
      <w:r>
        <w:rPr>
          <w:rFonts w:ascii="Arial" w:eastAsiaTheme="minorEastAsia" w:hAnsi="Arial" w:cs="Arial"/>
        </w:rPr>
        <w:t xml:space="preserve"> day of July 2018, with</w:t>
      </w:r>
      <w:r w:rsidR="00D708C4">
        <w:rPr>
          <w:rFonts w:ascii="Arial" w:eastAsiaTheme="minorEastAsia" w:hAnsi="Arial" w:cs="Arial"/>
        </w:rPr>
        <w:t xml:space="preserve"> an option to extend for up to </w:t>
      </w:r>
      <w:r>
        <w:rPr>
          <w:rFonts w:ascii="Arial" w:eastAsiaTheme="minorEastAsia" w:hAnsi="Arial" w:cs="Arial"/>
        </w:rPr>
        <w:t xml:space="preserve">2 months. </w:t>
      </w:r>
      <w:r w:rsidRPr="00D57F8D">
        <w:rPr>
          <w:rFonts w:ascii="Arial" w:eastAsiaTheme="minorEastAsia" w:hAnsi="Arial" w:cs="Arial"/>
        </w:rPr>
        <w:t>The total contract value shall not exceed £</w:t>
      </w:r>
      <w:r w:rsidR="00D708C4">
        <w:rPr>
          <w:rFonts w:ascii="Arial" w:eastAsiaTheme="minorEastAsia" w:hAnsi="Arial" w:cs="Arial"/>
        </w:rPr>
        <w:t>72,264</w:t>
      </w:r>
      <w:r w:rsidRPr="00D57F8D">
        <w:rPr>
          <w:rFonts w:ascii="Arial" w:eastAsiaTheme="minorEastAsia" w:hAnsi="Arial" w:cs="Arial"/>
        </w:rPr>
        <w:t>.00 (exc VAT) including all extension options.</w:t>
      </w:r>
    </w:p>
    <w:p w14:paraId="4CC8C00B" w14:textId="77777777" w:rsidR="00871B1D" w:rsidRPr="00F25935" w:rsidRDefault="00871B1D" w:rsidP="00871B1D">
      <w:pPr>
        <w:spacing w:after="0" w:line="240" w:lineRule="auto"/>
        <w:jc w:val="both"/>
        <w:rPr>
          <w:rFonts w:ascii="Arial" w:eastAsiaTheme="minorEastAsia" w:hAnsi="Arial" w:cs="Arial"/>
        </w:rPr>
      </w:pPr>
    </w:p>
    <w:p w14:paraId="4C7C4887" w14:textId="77777777" w:rsidR="00871B1D" w:rsidRDefault="00871B1D" w:rsidP="00871B1D">
      <w:pPr>
        <w:spacing w:after="0" w:line="240" w:lineRule="auto"/>
        <w:jc w:val="both"/>
        <w:rPr>
          <w:rFonts w:ascii="Arial" w:eastAsiaTheme="minorEastAsia" w:hAnsi="Arial" w:cs="Arial"/>
        </w:rPr>
      </w:pPr>
      <w:r>
        <w:rPr>
          <w:rFonts w:ascii="Arial" w:eastAsiaTheme="minorEastAsia" w:hAnsi="Arial" w:cs="Arial"/>
        </w:rPr>
        <w:t>This procurement activity was under RM3745 Management Consultancy Framework Lot 2- Finance, and the framework Terms and Conditions shall apply. A copy of the contract is provided with this Award Letter and includes</w:t>
      </w:r>
      <w:r w:rsidRPr="00F25935">
        <w:rPr>
          <w:rFonts w:ascii="Arial" w:eastAsiaTheme="minorEastAsia" w:hAnsi="Arial" w:cs="Arial"/>
        </w:rPr>
        <w:t xml:space="preserve"> </w:t>
      </w:r>
      <w:r>
        <w:rPr>
          <w:rFonts w:ascii="Arial" w:eastAsiaTheme="minorEastAsia" w:hAnsi="Arial" w:cs="Arial"/>
        </w:rPr>
        <w:t xml:space="preserve">those framework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56F73769" w14:textId="77777777" w:rsidR="00871B1D" w:rsidRDefault="00871B1D" w:rsidP="00871B1D">
      <w:pPr>
        <w:spacing w:after="0" w:line="240" w:lineRule="auto"/>
        <w:jc w:val="both"/>
        <w:rPr>
          <w:rFonts w:ascii="Arial" w:eastAsiaTheme="minorEastAsia" w:hAnsi="Arial" w:cs="Arial"/>
        </w:rPr>
      </w:pPr>
    </w:p>
    <w:p w14:paraId="6515A536" w14:textId="77777777" w:rsidR="00871B1D" w:rsidRPr="00F25935" w:rsidRDefault="00871B1D" w:rsidP="00871B1D">
      <w:pPr>
        <w:spacing w:after="0" w:line="240" w:lineRule="auto"/>
        <w:jc w:val="both"/>
        <w:rPr>
          <w:rFonts w:ascii="Arial" w:eastAsiaTheme="minorEastAsia" w:hAnsi="Arial" w:cs="Arial"/>
        </w:rPr>
      </w:pPr>
      <w:r>
        <w:rPr>
          <w:rFonts w:ascii="Arial" w:eastAsiaTheme="minorEastAsia" w:hAnsi="Arial" w:cs="Arial"/>
        </w:rPr>
        <w:t>Please print and sign a copy</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Pr="00F25935">
        <w:rPr>
          <w:rFonts w:ascii="Arial" w:eastAsiaTheme="minorEastAsia" w:hAnsi="Arial" w:cs="Arial"/>
        </w:rPr>
        <w:t xml:space="preserve">  They in turn will </w:t>
      </w:r>
      <w:r>
        <w:rPr>
          <w:rFonts w:ascii="Arial" w:eastAsiaTheme="minorEastAsia" w:hAnsi="Arial" w:cs="Arial"/>
        </w:rPr>
        <w:t>manage its ratification</w:t>
      </w:r>
      <w:r w:rsidRPr="00F25935">
        <w:rPr>
          <w:rFonts w:ascii="Arial" w:eastAsiaTheme="minorEastAsia" w:hAnsi="Arial" w:cs="Arial"/>
        </w:rPr>
        <w:t xml:space="preserve"> and return a copy for your records. </w:t>
      </w:r>
    </w:p>
    <w:p w14:paraId="0A70024E" w14:textId="77777777" w:rsidR="00871B1D" w:rsidRPr="00F25935" w:rsidRDefault="00871B1D" w:rsidP="00871B1D">
      <w:pPr>
        <w:tabs>
          <w:tab w:val="left" w:pos="7995"/>
        </w:tabs>
        <w:spacing w:after="0" w:line="240" w:lineRule="auto"/>
        <w:jc w:val="both"/>
        <w:rPr>
          <w:rFonts w:ascii="Arial" w:eastAsiaTheme="minorEastAsia" w:hAnsi="Arial" w:cs="Arial"/>
        </w:rPr>
      </w:pPr>
      <w:r>
        <w:rPr>
          <w:rFonts w:ascii="Arial" w:eastAsiaTheme="minorEastAsia" w:hAnsi="Arial" w:cs="Arial"/>
        </w:rPr>
        <w:tab/>
      </w:r>
    </w:p>
    <w:p w14:paraId="06151D37" w14:textId="0C7577F9" w:rsidR="00871B1D" w:rsidRPr="00F25935" w:rsidRDefault="00871B1D" w:rsidP="00871B1D">
      <w:pPr>
        <w:spacing w:after="0" w:line="240" w:lineRule="auto"/>
        <w:jc w:val="both"/>
        <w:rPr>
          <w:rFonts w:ascii="Arial" w:eastAsiaTheme="minorEastAsia" w:hAnsi="Arial" w:cs="Arial"/>
        </w:rPr>
      </w:pPr>
      <w:r>
        <w:rPr>
          <w:rFonts w:ascii="Arial" w:eastAsiaTheme="minorEastAsia" w:hAnsi="Arial" w:cs="Arial"/>
        </w:rPr>
        <w:t>Please</w:t>
      </w:r>
      <w:r w:rsidRPr="00F25935">
        <w:rPr>
          <w:rFonts w:ascii="Arial" w:eastAsiaTheme="minorEastAsia" w:hAnsi="Arial" w:cs="Arial"/>
        </w:rPr>
        <w:t xml:space="preserve"> </w:t>
      </w:r>
      <w:r>
        <w:rPr>
          <w:rFonts w:ascii="Arial" w:eastAsiaTheme="minorEastAsia" w:hAnsi="Arial" w:cs="Arial"/>
        </w:rPr>
        <w:t>ensure that the</w:t>
      </w:r>
      <w:r w:rsidRPr="00F25935">
        <w:rPr>
          <w:rFonts w:ascii="Arial" w:eastAsiaTheme="minorEastAsia" w:hAnsi="Arial" w:cs="Arial"/>
        </w:rPr>
        <w:t xml:space="preserve"> signed copy of the contract is submit</w:t>
      </w:r>
      <w:r>
        <w:rPr>
          <w:rFonts w:ascii="Arial" w:eastAsiaTheme="minorEastAsia" w:hAnsi="Arial" w:cs="Arial"/>
        </w:rPr>
        <w:t>ted via the e-sourcing suite by</w:t>
      </w:r>
      <w:r w:rsidRPr="00F25935">
        <w:rPr>
          <w:rFonts w:ascii="Arial" w:eastAsiaTheme="minorEastAsia" w:hAnsi="Arial" w:cs="Arial"/>
        </w:rPr>
        <w:t xml:space="preserve"> </w:t>
      </w:r>
      <w:r>
        <w:rPr>
          <w:rFonts w:ascii="Arial" w:eastAsiaTheme="minorEastAsia" w:hAnsi="Arial" w:cs="Arial"/>
        </w:rPr>
        <w:t xml:space="preserve">11:00 on </w:t>
      </w:r>
      <w:r w:rsidR="00D708C4">
        <w:rPr>
          <w:rFonts w:ascii="Arial" w:eastAsiaTheme="minorEastAsia" w:hAnsi="Arial" w:cs="Arial"/>
        </w:rPr>
        <w:t>Tuesday 17</w:t>
      </w:r>
      <w:r w:rsidR="00D708C4" w:rsidRPr="00D708C4">
        <w:rPr>
          <w:rFonts w:ascii="Arial" w:eastAsiaTheme="minorEastAsia" w:hAnsi="Arial" w:cs="Arial"/>
          <w:vertAlign w:val="superscript"/>
        </w:rPr>
        <w:t>th</w:t>
      </w:r>
      <w:r w:rsidR="00D708C4">
        <w:rPr>
          <w:rFonts w:ascii="Arial" w:eastAsiaTheme="minorEastAsia" w:hAnsi="Arial" w:cs="Arial"/>
        </w:rPr>
        <w:t xml:space="preserve"> April</w:t>
      </w:r>
      <w:r>
        <w:rPr>
          <w:rFonts w:ascii="Arial" w:eastAsiaTheme="minorEastAsia" w:hAnsi="Arial" w:cs="Arial"/>
        </w:rPr>
        <w:t xml:space="preserve"> 2018.</w:t>
      </w:r>
    </w:p>
    <w:p w14:paraId="730E8744" w14:textId="77777777" w:rsidR="00871B1D" w:rsidRPr="00B56971" w:rsidRDefault="00871B1D" w:rsidP="00871B1D">
      <w:pPr>
        <w:pStyle w:val="BasicParagraph"/>
        <w:tabs>
          <w:tab w:val="left" w:pos="567"/>
        </w:tabs>
        <w:spacing w:line="240" w:lineRule="auto"/>
        <w:jc w:val="both"/>
        <w:rPr>
          <w:rFonts w:ascii="Arial" w:hAnsi="Arial" w:cs="Arial"/>
          <w:color w:val="auto"/>
          <w:sz w:val="22"/>
          <w:szCs w:val="22"/>
        </w:rPr>
      </w:pPr>
    </w:p>
    <w:p w14:paraId="0F683610" w14:textId="77777777" w:rsidR="00871B1D" w:rsidRDefault="00871B1D" w:rsidP="00871B1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2BEECF1E" w14:textId="77777777" w:rsidR="00871B1D" w:rsidRPr="003047BD" w:rsidRDefault="00871B1D" w:rsidP="00871B1D">
      <w:pPr>
        <w:spacing w:after="0" w:line="240" w:lineRule="auto"/>
        <w:jc w:val="both"/>
        <w:rPr>
          <w:rFonts w:ascii="Arial" w:hAnsi="Arial" w:cs="Arial"/>
        </w:rPr>
      </w:pPr>
    </w:p>
    <w:p w14:paraId="038C7A6F" w14:textId="77777777" w:rsidR="00871B1D" w:rsidRPr="0084655D" w:rsidRDefault="00871B1D" w:rsidP="00871B1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3667"/>
        <w:gridCol w:w="1668"/>
        <w:gridCol w:w="4763"/>
      </w:tblGrid>
      <w:tr w:rsidR="00871B1D" w:rsidRPr="0084655D" w14:paraId="44023F74" w14:textId="77777777" w:rsidTr="00861BB0">
        <w:trPr>
          <w:cantSplit/>
        </w:trPr>
        <w:tc>
          <w:tcPr>
            <w:tcW w:w="5335" w:type="dxa"/>
            <w:gridSpan w:val="2"/>
          </w:tcPr>
          <w:p w14:paraId="3F41A135" w14:textId="49E41B7A" w:rsidR="00871B1D" w:rsidRPr="009041C6" w:rsidRDefault="00871B1D" w:rsidP="00E92A41">
            <w:pPr>
              <w:spacing w:after="120" w:line="240" w:lineRule="atLeast"/>
              <w:ind w:right="3"/>
              <w:jc w:val="both"/>
              <w:rPr>
                <w:rFonts w:ascii="Arial" w:eastAsia="Times New Roman" w:hAnsi="Arial" w:cs="Arial"/>
              </w:rPr>
            </w:pPr>
            <w:r w:rsidRPr="009041C6">
              <w:rPr>
                <w:rFonts w:ascii="Arial" w:eastAsia="Times New Roman" w:hAnsi="Arial" w:cs="Arial"/>
              </w:rPr>
              <w:t xml:space="preserve">Signed for and on behalf of </w:t>
            </w:r>
            <w:r w:rsidR="00E92A41">
              <w:rPr>
                <w:rFonts w:ascii="Arial" w:eastAsia="Times New Roman" w:hAnsi="Arial" w:cs="Arial"/>
                <w:bCs/>
              </w:rPr>
              <w:t>Ministry of Defence</w:t>
            </w:r>
          </w:p>
        </w:tc>
        <w:tc>
          <w:tcPr>
            <w:tcW w:w="4763" w:type="dxa"/>
          </w:tcPr>
          <w:p w14:paraId="53D24086" w14:textId="77777777" w:rsidR="00871B1D" w:rsidRPr="009041C6" w:rsidRDefault="00871B1D" w:rsidP="00861BB0">
            <w:pPr>
              <w:spacing w:after="120" w:line="240" w:lineRule="atLeast"/>
              <w:ind w:right="3"/>
              <w:jc w:val="both"/>
              <w:rPr>
                <w:rFonts w:ascii="Arial" w:eastAsia="Times New Roman" w:hAnsi="Arial" w:cs="Arial"/>
              </w:rPr>
            </w:pPr>
          </w:p>
        </w:tc>
      </w:tr>
      <w:tr w:rsidR="00871B1D" w:rsidRPr="0084655D" w14:paraId="3B37D160" w14:textId="77777777" w:rsidTr="00861BB0">
        <w:tc>
          <w:tcPr>
            <w:tcW w:w="3667" w:type="dxa"/>
          </w:tcPr>
          <w:p w14:paraId="254918C3" w14:textId="2CDCB262" w:rsidR="00871B1D" w:rsidRPr="00F9372D" w:rsidRDefault="00F9372D" w:rsidP="00861BB0">
            <w:pPr>
              <w:spacing w:after="120" w:line="240" w:lineRule="atLeast"/>
              <w:ind w:right="3"/>
              <w:rPr>
                <w:rFonts w:ascii="Arial" w:eastAsia="Times New Roman" w:hAnsi="Arial" w:cs="Arial"/>
                <w:b/>
              </w:rPr>
            </w:pPr>
            <w:r>
              <w:rPr>
                <w:rFonts w:ascii="Arial" w:eastAsia="Times New Roman" w:hAnsi="Arial" w:cs="Arial"/>
              </w:rPr>
              <w:lastRenderedPageBreak/>
              <w:t xml:space="preserve">Name: </w:t>
            </w:r>
            <w:r>
              <w:rPr>
                <w:rFonts w:ascii="Arial" w:eastAsia="Times New Roman" w:hAnsi="Arial" w:cs="Arial"/>
                <w:b/>
              </w:rPr>
              <w:t>Redacted Text</w:t>
            </w:r>
          </w:p>
          <w:p w14:paraId="0047BF98" w14:textId="77777777" w:rsidR="00871B1D" w:rsidRPr="009041C6" w:rsidRDefault="00871B1D" w:rsidP="00861BB0">
            <w:pPr>
              <w:spacing w:after="120" w:line="240" w:lineRule="atLeast"/>
              <w:ind w:right="3"/>
              <w:rPr>
                <w:rFonts w:ascii="Arial" w:eastAsia="Times New Roman" w:hAnsi="Arial" w:cs="Arial"/>
              </w:rPr>
            </w:pPr>
            <w:r>
              <w:rPr>
                <w:rFonts w:ascii="Arial" w:eastAsia="Times New Roman" w:hAnsi="Arial" w:cs="Arial"/>
              </w:rPr>
              <w:t>Category Executive</w:t>
            </w:r>
          </w:p>
        </w:tc>
        <w:tc>
          <w:tcPr>
            <w:tcW w:w="1668" w:type="dxa"/>
          </w:tcPr>
          <w:p w14:paraId="5B8DDA06" w14:textId="77777777" w:rsidR="00871B1D" w:rsidRPr="009041C6" w:rsidRDefault="00871B1D" w:rsidP="00861BB0">
            <w:pPr>
              <w:spacing w:after="120" w:line="240" w:lineRule="atLeast"/>
              <w:ind w:right="3"/>
              <w:rPr>
                <w:rFonts w:ascii="Arial" w:eastAsia="Times New Roman" w:hAnsi="Arial" w:cs="Arial"/>
              </w:rPr>
            </w:pPr>
          </w:p>
        </w:tc>
        <w:tc>
          <w:tcPr>
            <w:tcW w:w="4763" w:type="dxa"/>
          </w:tcPr>
          <w:p w14:paraId="6BF1EDAC" w14:textId="77777777" w:rsidR="00871B1D" w:rsidRPr="009041C6" w:rsidRDefault="00871B1D" w:rsidP="00861BB0">
            <w:pPr>
              <w:spacing w:after="120" w:line="240" w:lineRule="atLeast"/>
              <w:ind w:right="3"/>
              <w:rPr>
                <w:rFonts w:ascii="Arial" w:eastAsia="Times New Roman" w:hAnsi="Arial" w:cs="Arial"/>
              </w:rPr>
            </w:pPr>
          </w:p>
        </w:tc>
      </w:tr>
      <w:tr w:rsidR="00871B1D" w:rsidRPr="0084655D" w14:paraId="4FF10DE8" w14:textId="77777777" w:rsidTr="00861BB0">
        <w:tc>
          <w:tcPr>
            <w:tcW w:w="3667" w:type="dxa"/>
          </w:tcPr>
          <w:p w14:paraId="67682D4F" w14:textId="09D36A10" w:rsidR="00871B1D" w:rsidRPr="00F9372D" w:rsidRDefault="00871B1D" w:rsidP="00F9372D">
            <w:pPr>
              <w:spacing w:after="120" w:line="240" w:lineRule="atLeast"/>
              <w:ind w:right="3"/>
              <w:jc w:val="both"/>
              <w:rPr>
                <w:rFonts w:ascii="Arial" w:eastAsia="Times New Roman" w:hAnsi="Arial" w:cs="Arial"/>
                <w:b/>
              </w:rPr>
            </w:pPr>
            <w:r w:rsidRPr="0084655D">
              <w:rPr>
                <w:rFonts w:ascii="Arial" w:eastAsia="Times New Roman" w:hAnsi="Arial" w:cs="Arial"/>
              </w:rPr>
              <w:t>Signature:</w:t>
            </w:r>
            <w:r>
              <w:rPr>
                <w:rFonts w:ascii="Arial" w:eastAsia="Times New Roman" w:hAnsi="Arial" w:cs="Arial"/>
              </w:rPr>
              <w:t xml:space="preserve"> </w:t>
            </w:r>
            <w:r w:rsidR="00F9372D">
              <w:rPr>
                <w:rFonts w:ascii="Arial" w:eastAsia="Times New Roman" w:hAnsi="Arial" w:cs="Arial"/>
                <w:b/>
                <w:noProof/>
                <w:lang w:eastAsia="en-GB"/>
              </w:rPr>
              <w:t>Redacted Text</w:t>
            </w:r>
            <w:bookmarkStart w:id="2" w:name="_GoBack"/>
            <w:bookmarkEnd w:id="2"/>
          </w:p>
        </w:tc>
        <w:tc>
          <w:tcPr>
            <w:tcW w:w="1668" w:type="dxa"/>
          </w:tcPr>
          <w:p w14:paraId="229F1CF2" w14:textId="77777777" w:rsidR="00871B1D" w:rsidRPr="0084655D" w:rsidRDefault="00871B1D" w:rsidP="00861BB0">
            <w:pPr>
              <w:spacing w:after="120" w:line="240" w:lineRule="atLeast"/>
              <w:ind w:right="3"/>
              <w:jc w:val="both"/>
              <w:rPr>
                <w:rFonts w:ascii="Arial" w:eastAsia="Times New Roman" w:hAnsi="Arial" w:cs="Arial"/>
              </w:rPr>
            </w:pPr>
          </w:p>
        </w:tc>
        <w:tc>
          <w:tcPr>
            <w:tcW w:w="4763" w:type="dxa"/>
          </w:tcPr>
          <w:p w14:paraId="4D26434F" w14:textId="77777777" w:rsidR="00871B1D" w:rsidRPr="0084655D" w:rsidRDefault="00871B1D" w:rsidP="00861BB0">
            <w:pPr>
              <w:spacing w:after="120" w:line="240" w:lineRule="atLeast"/>
              <w:ind w:right="3"/>
              <w:jc w:val="both"/>
              <w:rPr>
                <w:rFonts w:ascii="Arial" w:eastAsia="Times New Roman" w:hAnsi="Arial" w:cs="Arial"/>
              </w:rPr>
            </w:pPr>
          </w:p>
        </w:tc>
      </w:tr>
      <w:tr w:rsidR="00871B1D" w:rsidRPr="0084655D" w14:paraId="37D13E8B" w14:textId="77777777" w:rsidTr="00861BB0">
        <w:tc>
          <w:tcPr>
            <w:tcW w:w="3667" w:type="dxa"/>
          </w:tcPr>
          <w:p w14:paraId="6DAF5FCF" w14:textId="759D01FD" w:rsidR="00871B1D" w:rsidRPr="0084655D" w:rsidRDefault="00871B1D" w:rsidP="00A42E95">
            <w:pPr>
              <w:spacing w:after="120" w:line="240" w:lineRule="atLeast"/>
              <w:ind w:right="6"/>
              <w:jc w:val="both"/>
              <w:rPr>
                <w:rFonts w:ascii="Arial" w:eastAsia="Times New Roman" w:hAnsi="Arial" w:cs="Arial"/>
              </w:rPr>
            </w:pPr>
            <w:r w:rsidRPr="0084655D">
              <w:rPr>
                <w:rFonts w:ascii="Arial" w:eastAsia="Times New Roman" w:hAnsi="Arial" w:cs="Arial"/>
              </w:rPr>
              <w:t>Date:</w:t>
            </w:r>
            <w:r>
              <w:rPr>
                <w:rFonts w:ascii="Arial" w:eastAsia="Times New Roman" w:hAnsi="Arial" w:cs="Arial"/>
              </w:rPr>
              <w:t xml:space="preserve"> </w:t>
            </w:r>
            <w:r w:rsidR="00A42E95">
              <w:rPr>
                <w:rFonts w:ascii="Arial" w:eastAsia="Times New Roman" w:hAnsi="Arial" w:cs="Arial"/>
              </w:rPr>
              <w:t>16</w:t>
            </w:r>
            <w:r w:rsidR="00A42E95" w:rsidRPr="00A42E95">
              <w:rPr>
                <w:rFonts w:ascii="Arial" w:eastAsia="Times New Roman" w:hAnsi="Arial" w:cs="Arial"/>
                <w:vertAlign w:val="superscript"/>
              </w:rPr>
              <w:t>th</w:t>
            </w:r>
            <w:r w:rsidR="00A42E95">
              <w:rPr>
                <w:rFonts w:ascii="Arial" w:eastAsia="Times New Roman" w:hAnsi="Arial" w:cs="Arial"/>
              </w:rPr>
              <w:t xml:space="preserve"> April</w:t>
            </w:r>
            <w:r>
              <w:rPr>
                <w:rFonts w:ascii="Arial" w:eastAsia="Times New Roman" w:hAnsi="Arial" w:cs="Arial"/>
              </w:rPr>
              <w:t xml:space="preserve"> 2018</w:t>
            </w:r>
          </w:p>
        </w:tc>
        <w:tc>
          <w:tcPr>
            <w:tcW w:w="1668" w:type="dxa"/>
          </w:tcPr>
          <w:p w14:paraId="7BFB82EE" w14:textId="77777777" w:rsidR="00871B1D" w:rsidRPr="0084655D" w:rsidRDefault="00871B1D" w:rsidP="00861BB0">
            <w:pPr>
              <w:spacing w:after="120" w:line="240" w:lineRule="atLeast"/>
              <w:ind w:right="3"/>
              <w:jc w:val="both"/>
              <w:rPr>
                <w:rFonts w:ascii="Arial" w:eastAsia="Times New Roman" w:hAnsi="Arial" w:cs="Arial"/>
              </w:rPr>
            </w:pPr>
          </w:p>
        </w:tc>
        <w:tc>
          <w:tcPr>
            <w:tcW w:w="4763" w:type="dxa"/>
          </w:tcPr>
          <w:p w14:paraId="7ADAD2AD" w14:textId="77777777" w:rsidR="00871B1D" w:rsidRPr="0084655D" w:rsidRDefault="00871B1D" w:rsidP="00861BB0">
            <w:pPr>
              <w:spacing w:after="120" w:line="240" w:lineRule="atLeast"/>
              <w:ind w:right="3"/>
              <w:jc w:val="both"/>
              <w:rPr>
                <w:rFonts w:ascii="Arial" w:eastAsia="Times New Roman" w:hAnsi="Arial" w:cs="Arial"/>
              </w:rPr>
            </w:pPr>
          </w:p>
        </w:tc>
      </w:tr>
    </w:tbl>
    <w:p w14:paraId="7441A1BE" w14:textId="5A1BEAF0" w:rsidR="00D47985" w:rsidRDefault="00A42E95">
      <w:r>
        <w:t>Appendix 1:</w:t>
      </w:r>
    </w:p>
    <w:tbl>
      <w:tblPr>
        <w:tblStyle w:val="TableGrid"/>
        <w:tblW w:w="0" w:type="auto"/>
        <w:tblLook w:val="04A0" w:firstRow="1" w:lastRow="0" w:firstColumn="1" w:lastColumn="0" w:noHBand="0" w:noVBand="1"/>
      </w:tblPr>
      <w:tblGrid>
        <w:gridCol w:w="1040"/>
        <w:gridCol w:w="3964"/>
        <w:gridCol w:w="838"/>
        <w:gridCol w:w="2486"/>
        <w:gridCol w:w="1868"/>
      </w:tblGrid>
      <w:tr w:rsidR="00A42E95" w:rsidRPr="006449F5" w14:paraId="3B4F4EE3" w14:textId="77777777" w:rsidTr="00300120">
        <w:tc>
          <w:tcPr>
            <w:tcW w:w="1070" w:type="dxa"/>
            <w:shd w:val="clear" w:color="auto" w:fill="ACB9CA" w:themeFill="text2" w:themeFillTint="66"/>
            <w:vAlign w:val="center"/>
          </w:tcPr>
          <w:p w14:paraId="376B6B86" w14:textId="77777777" w:rsidR="00A42E95" w:rsidRPr="004A4CC9" w:rsidRDefault="00A42E95" w:rsidP="00300120">
            <w:pPr>
              <w:jc w:val="center"/>
              <w:rPr>
                <w:sz w:val="24"/>
              </w:rPr>
            </w:pPr>
            <w:r w:rsidRPr="004A4CC9">
              <w:rPr>
                <w:sz w:val="24"/>
              </w:rPr>
              <w:t>Number</w:t>
            </w:r>
          </w:p>
        </w:tc>
        <w:tc>
          <w:tcPr>
            <w:tcW w:w="5779" w:type="dxa"/>
            <w:shd w:val="clear" w:color="auto" w:fill="ACB9CA" w:themeFill="text2" w:themeFillTint="66"/>
            <w:vAlign w:val="center"/>
          </w:tcPr>
          <w:p w14:paraId="2F08CA73" w14:textId="77777777" w:rsidR="00A42E95" w:rsidRPr="004A4CC9" w:rsidRDefault="00A42E95" w:rsidP="00300120">
            <w:pPr>
              <w:jc w:val="center"/>
              <w:rPr>
                <w:sz w:val="24"/>
              </w:rPr>
            </w:pPr>
            <w:r w:rsidRPr="004A4CC9">
              <w:rPr>
                <w:sz w:val="24"/>
              </w:rPr>
              <w:t>Question</w:t>
            </w:r>
          </w:p>
        </w:tc>
        <w:tc>
          <w:tcPr>
            <w:tcW w:w="952" w:type="dxa"/>
            <w:shd w:val="clear" w:color="auto" w:fill="ACB9CA" w:themeFill="text2" w:themeFillTint="66"/>
            <w:vAlign w:val="center"/>
          </w:tcPr>
          <w:p w14:paraId="7F4B5E49" w14:textId="77777777" w:rsidR="00A42E95" w:rsidRPr="004A4CC9" w:rsidRDefault="00A42E95" w:rsidP="00300120">
            <w:pPr>
              <w:jc w:val="center"/>
              <w:rPr>
                <w:sz w:val="24"/>
              </w:rPr>
            </w:pPr>
            <w:r w:rsidRPr="004A4CC9">
              <w:rPr>
                <w:sz w:val="24"/>
              </w:rPr>
              <w:t>Score (out of 100)</w:t>
            </w:r>
          </w:p>
        </w:tc>
        <w:tc>
          <w:tcPr>
            <w:tcW w:w="6789" w:type="dxa"/>
            <w:gridSpan w:val="2"/>
            <w:shd w:val="clear" w:color="auto" w:fill="ACB9CA" w:themeFill="text2" w:themeFillTint="66"/>
            <w:vAlign w:val="center"/>
          </w:tcPr>
          <w:p w14:paraId="096D25C9" w14:textId="77777777" w:rsidR="00A42E95" w:rsidRPr="004A4CC9" w:rsidRDefault="00A42E95" w:rsidP="00300120">
            <w:pPr>
              <w:jc w:val="center"/>
              <w:rPr>
                <w:sz w:val="24"/>
              </w:rPr>
            </w:pPr>
            <w:r w:rsidRPr="004A4CC9">
              <w:rPr>
                <w:sz w:val="24"/>
              </w:rPr>
              <w:t>Evaluators’ Feedback</w:t>
            </w:r>
          </w:p>
        </w:tc>
      </w:tr>
      <w:tr w:rsidR="00A42E95" w:rsidRPr="006449F5" w14:paraId="767163F9" w14:textId="77777777" w:rsidTr="00300120">
        <w:trPr>
          <w:trHeight w:val="378"/>
        </w:trPr>
        <w:tc>
          <w:tcPr>
            <w:tcW w:w="12049" w:type="dxa"/>
            <w:gridSpan w:val="4"/>
            <w:shd w:val="clear" w:color="auto" w:fill="D5DCE4" w:themeFill="text2" w:themeFillTint="33"/>
            <w:vAlign w:val="center"/>
          </w:tcPr>
          <w:p w14:paraId="6C921D26" w14:textId="77777777" w:rsidR="00A42E95" w:rsidRPr="004A4CC9" w:rsidRDefault="00A42E95" w:rsidP="00300120">
            <w:pPr>
              <w:rPr>
                <w:sz w:val="24"/>
                <w:highlight w:val="yellow"/>
              </w:rPr>
            </w:pPr>
            <w:r w:rsidRPr="00790F44">
              <w:rPr>
                <w:sz w:val="24"/>
              </w:rPr>
              <w:t xml:space="preserve">4.0 – </w:t>
            </w:r>
            <w:r w:rsidRPr="00EE144C">
              <w:rPr>
                <w:sz w:val="24"/>
              </w:rPr>
              <w:t>Technical Accounting</w:t>
            </w:r>
          </w:p>
        </w:tc>
        <w:tc>
          <w:tcPr>
            <w:tcW w:w="2541" w:type="dxa"/>
            <w:shd w:val="clear" w:color="auto" w:fill="D5DCE4" w:themeFill="text2" w:themeFillTint="33"/>
            <w:vAlign w:val="center"/>
          </w:tcPr>
          <w:p w14:paraId="3C752DF8" w14:textId="77777777" w:rsidR="00A42E95" w:rsidRPr="004A4CC9" w:rsidRDefault="00A42E95" w:rsidP="00300120">
            <w:pPr>
              <w:rPr>
                <w:sz w:val="24"/>
                <w:highlight w:val="yellow"/>
              </w:rPr>
            </w:pPr>
            <w:r w:rsidRPr="0020051B">
              <w:rPr>
                <w:sz w:val="24"/>
              </w:rPr>
              <w:t>W</w:t>
            </w:r>
            <w:r>
              <w:rPr>
                <w:sz w:val="24"/>
              </w:rPr>
              <w:t>EIGHTING 60</w:t>
            </w:r>
            <w:r w:rsidRPr="0020051B">
              <w:rPr>
                <w:sz w:val="24"/>
              </w:rPr>
              <w:t>%</w:t>
            </w:r>
          </w:p>
        </w:tc>
      </w:tr>
      <w:tr w:rsidR="00A42E95" w:rsidRPr="006449F5" w14:paraId="21D37D5D" w14:textId="77777777" w:rsidTr="00300120">
        <w:tc>
          <w:tcPr>
            <w:tcW w:w="1070" w:type="dxa"/>
          </w:tcPr>
          <w:p w14:paraId="77154256" w14:textId="77777777" w:rsidR="00A42E95" w:rsidRPr="0020051B" w:rsidRDefault="00A42E95" w:rsidP="00300120">
            <w:pPr>
              <w:jc w:val="center"/>
            </w:pPr>
            <w:r>
              <w:t>4.1</w:t>
            </w:r>
          </w:p>
        </w:tc>
        <w:tc>
          <w:tcPr>
            <w:tcW w:w="5779" w:type="dxa"/>
          </w:tcPr>
          <w:p w14:paraId="059ED941" w14:textId="77777777" w:rsidR="00A42E95" w:rsidRPr="00EE144C" w:rsidRDefault="00A42E95" w:rsidP="00300120">
            <w:pPr>
              <w:rPr>
                <w:highlight w:val="yellow"/>
              </w:rPr>
            </w:pPr>
            <w:r w:rsidRPr="00EE144C">
              <w:t>Set out your delivery methodology. This should demonstrate how you will monitor the outputs and milestones required to ensure they are achieved, your understanding of the key stakeholders and how you will effectively manage these relationships.</w:t>
            </w:r>
          </w:p>
        </w:tc>
        <w:tc>
          <w:tcPr>
            <w:tcW w:w="952" w:type="dxa"/>
          </w:tcPr>
          <w:p w14:paraId="3A013767" w14:textId="77777777" w:rsidR="00A42E95" w:rsidRPr="00EB1177" w:rsidRDefault="00A42E95" w:rsidP="00300120">
            <w:r w:rsidRPr="00EB1177">
              <w:t>75</w:t>
            </w:r>
          </w:p>
        </w:tc>
        <w:tc>
          <w:tcPr>
            <w:tcW w:w="6789" w:type="dxa"/>
            <w:gridSpan w:val="2"/>
          </w:tcPr>
          <w:p w14:paraId="5BB74B60" w14:textId="77777777" w:rsidR="00A42E95" w:rsidRPr="00EB1177" w:rsidRDefault="00A42E95" w:rsidP="00300120">
            <w:pPr>
              <w:rPr>
                <w:highlight w:val="yellow"/>
              </w:rPr>
            </w:pPr>
            <w:r w:rsidRPr="00EB1177">
              <w:t>Consensus agreed. A good response. An initial plan with dates which can be amended. Key stakeholders are identified. Team shadowing may require more work. Standard process outlined but particularly liked the emphasis on skills transfer.</w:t>
            </w:r>
          </w:p>
        </w:tc>
      </w:tr>
      <w:tr w:rsidR="00A42E95" w:rsidRPr="006449F5" w14:paraId="432BA15D" w14:textId="77777777" w:rsidTr="00300120">
        <w:tc>
          <w:tcPr>
            <w:tcW w:w="1070" w:type="dxa"/>
          </w:tcPr>
          <w:p w14:paraId="497D2A4F" w14:textId="77777777" w:rsidR="00A42E95" w:rsidRPr="0020051B" w:rsidRDefault="00A42E95" w:rsidP="00300120">
            <w:pPr>
              <w:jc w:val="center"/>
            </w:pPr>
            <w:r>
              <w:t>4.2</w:t>
            </w:r>
          </w:p>
        </w:tc>
        <w:tc>
          <w:tcPr>
            <w:tcW w:w="5760" w:type="dxa"/>
          </w:tcPr>
          <w:p w14:paraId="61CCE426" w14:textId="77777777" w:rsidR="00A42E95" w:rsidRPr="00EE144C" w:rsidRDefault="00A42E95" w:rsidP="00300120">
            <w:pPr>
              <w:rPr>
                <w:highlight w:val="yellow"/>
              </w:rPr>
            </w:pPr>
            <w:r w:rsidRPr="00EE144C">
              <w:t>Demonstrate recent experience of and key achievements in delivering Government/Departmental financial accounts, and how this experience will help to deliver this contract.</w:t>
            </w:r>
          </w:p>
        </w:tc>
        <w:tc>
          <w:tcPr>
            <w:tcW w:w="952" w:type="dxa"/>
          </w:tcPr>
          <w:p w14:paraId="0C5982A4" w14:textId="77777777" w:rsidR="00A42E95" w:rsidRPr="00EB1177" w:rsidRDefault="00A42E95" w:rsidP="00300120">
            <w:r w:rsidRPr="00EB1177">
              <w:t>75</w:t>
            </w:r>
          </w:p>
        </w:tc>
        <w:tc>
          <w:tcPr>
            <w:tcW w:w="6808" w:type="dxa"/>
            <w:gridSpan w:val="2"/>
          </w:tcPr>
          <w:p w14:paraId="60F57237" w14:textId="77777777" w:rsidR="00A42E95" w:rsidRPr="00EB1177" w:rsidRDefault="00A42E95" w:rsidP="00300120">
            <w:pPr>
              <w:rPr>
                <w:highlight w:val="yellow"/>
              </w:rPr>
            </w:pPr>
            <w:r w:rsidRPr="00EB1177">
              <w:t>This response demonstrated good understanding of the requirement and Recent experience is relevant noting most of this is resource based.</w:t>
            </w:r>
          </w:p>
        </w:tc>
      </w:tr>
      <w:tr w:rsidR="00A42E95" w:rsidRPr="006449F5" w14:paraId="7B6E4346" w14:textId="77777777" w:rsidTr="00300120">
        <w:tc>
          <w:tcPr>
            <w:tcW w:w="1070" w:type="dxa"/>
          </w:tcPr>
          <w:p w14:paraId="7BDA5083" w14:textId="77777777" w:rsidR="00A42E95" w:rsidRPr="0020051B" w:rsidRDefault="00A42E95" w:rsidP="00300120">
            <w:pPr>
              <w:jc w:val="center"/>
            </w:pPr>
            <w:r>
              <w:t>4.3</w:t>
            </w:r>
          </w:p>
        </w:tc>
        <w:tc>
          <w:tcPr>
            <w:tcW w:w="5763" w:type="dxa"/>
          </w:tcPr>
          <w:p w14:paraId="014FA8BB" w14:textId="77777777" w:rsidR="00A42E95" w:rsidRPr="00EE144C" w:rsidRDefault="00A42E95" w:rsidP="00300120">
            <w:pPr>
              <w:rPr>
                <w:highlight w:val="yellow"/>
              </w:rPr>
            </w:pPr>
            <w:r w:rsidRPr="00EE144C">
              <w:t>Demonstrate recent relevant experience of working on the client's side in resolving issues and dealing with the auditors, and how this experience will help to deliver this contract.</w:t>
            </w:r>
          </w:p>
        </w:tc>
        <w:tc>
          <w:tcPr>
            <w:tcW w:w="952" w:type="dxa"/>
          </w:tcPr>
          <w:p w14:paraId="6808BA37" w14:textId="77777777" w:rsidR="00A42E95" w:rsidRPr="00EB1177" w:rsidRDefault="00A42E95" w:rsidP="00300120">
            <w:r w:rsidRPr="00EB1177">
              <w:t>75</w:t>
            </w:r>
          </w:p>
        </w:tc>
        <w:tc>
          <w:tcPr>
            <w:tcW w:w="6805" w:type="dxa"/>
            <w:gridSpan w:val="2"/>
          </w:tcPr>
          <w:p w14:paraId="31DCB73C" w14:textId="77777777" w:rsidR="00A42E95" w:rsidRPr="00EB1177" w:rsidRDefault="00A42E95" w:rsidP="00300120">
            <w:pPr>
              <w:rPr>
                <w:highlight w:val="yellow"/>
              </w:rPr>
            </w:pPr>
            <w:r w:rsidRPr="00EB1177">
              <w:t>Consensus achieved with good supporting evidence. Experience is relevant and individuals are well versed in MOD issues, and Experience of working on the client side in Department of Health.</w:t>
            </w:r>
          </w:p>
        </w:tc>
      </w:tr>
      <w:tr w:rsidR="00A42E95" w:rsidRPr="006449F5" w14:paraId="3E60E64A" w14:textId="77777777" w:rsidTr="00300120">
        <w:tc>
          <w:tcPr>
            <w:tcW w:w="1070" w:type="dxa"/>
          </w:tcPr>
          <w:p w14:paraId="5017C366" w14:textId="77777777" w:rsidR="00A42E95" w:rsidRPr="0020051B" w:rsidRDefault="00A42E95" w:rsidP="00300120">
            <w:pPr>
              <w:jc w:val="center"/>
            </w:pPr>
            <w:r>
              <w:t>4.4</w:t>
            </w:r>
          </w:p>
        </w:tc>
        <w:tc>
          <w:tcPr>
            <w:tcW w:w="5779" w:type="dxa"/>
          </w:tcPr>
          <w:p w14:paraId="3AAFFA58" w14:textId="77777777" w:rsidR="00A42E95" w:rsidRPr="00EE144C" w:rsidRDefault="00A42E95" w:rsidP="00300120">
            <w:pPr>
              <w:rPr>
                <w:highlight w:val="yellow"/>
              </w:rPr>
            </w:pPr>
            <w:r w:rsidRPr="00EE144C">
              <w:t>Set out your proposed team and their suitability to deliver the service referring to their qualifications, knowledge and recent expertise in the areas of government accounting, departmental resource account production, consolidation, application of the FRem and HMT's Consolidated Budgetary Guidance.</w:t>
            </w:r>
          </w:p>
        </w:tc>
        <w:tc>
          <w:tcPr>
            <w:tcW w:w="952" w:type="dxa"/>
          </w:tcPr>
          <w:p w14:paraId="0C23D717" w14:textId="77777777" w:rsidR="00A42E95" w:rsidRPr="00EB1177" w:rsidRDefault="00A42E95" w:rsidP="00300120">
            <w:r w:rsidRPr="00EB1177">
              <w:t>100</w:t>
            </w:r>
          </w:p>
        </w:tc>
        <w:tc>
          <w:tcPr>
            <w:tcW w:w="6789" w:type="dxa"/>
            <w:gridSpan w:val="2"/>
          </w:tcPr>
          <w:p w14:paraId="55FF4E04" w14:textId="77777777" w:rsidR="00A42E95" w:rsidRPr="00EB1177" w:rsidRDefault="00A42E95" w:rsidP="00300120">
            <w:pPr>
              <w:rPr>
                <w:highlight w:val="yellow"/>
              </w:rPr>
            </w:pPr>
            <w:r w:rsidRPr="00EB1177">
              <w:t>An excellent comprehensive response that meets the requirements. Proposed team are of appropriate size and experience with comprehensive table of skills and CVs</w:t>
            </w:r>
          </w:p>
        </w:tc>
      </w:tr>
      <w:tr w:rsidR="00A42E95" w:rsidRPr="006449F5" w14:paraId="7F5A883A" w14:textId="77777777" w:rsidTr="00300120">
        <w:tc>
          <w:tcPr>
            <w:tcW w:w="1070" w:type="dxa"/>
          </w:tcPr>
          <w:p w14:paraId="266F81DF" w14:textId="77777777" w:rsidR="00A42E95" w:rsidRPr="0020051B" w:rsidRDefault="00A42E95" w:rsidP="00300120">
            <w:pPr>
              <w:jc w:val="center"/>
            </w:pPr>
            <w:r>
              <w:t>4.5</w:t>
            </w:r>
          </w:p>
        </w:tc>
        <w:tc>
          <w:tcPr>
            <w:tcW w:w="5779" w:type="dxa"/>
          </w:tcPr>
          <w:p w14:paraId="1ED60B73" w14:textId="77777777" w:rsidR="00A42E95" w:rsidRPr="00EE144C" w:rsidRDefault="00A42E95" w:rsidP="00300120">
            <w:pPr>
              <w:rPr>
                <w:highlight w:val="yellow"/>
              </w:rPr>
            </w:pPr>
            <w:r w:rsidRPr="00EE144C">
              <w:t>Demonstrate your experience of interpreting and implementing IFRS9, 15 or other relevant accounting standard, and how this experience will help to deliver this contract.</w:t>
            </w:r>
          </w:p>
        </w:tc>
        <w:tc>
          <w:tcPr>
            <w:tcW w:w="952" w:type="dxa"/>
          </w:tcPr>
          <w:p w14:paraId="1482008A" w14:textId="77777777" w:rsidR="00A42E95" w:rsidRPr="00EB1177" w:rsidRDefault="00A42E95" w:rsidP="00300120">
            <w:r w:rsidRPr="00EB1177">
              <w:t>75</w:t>
            </w:r>
          </w:p>
        </w:tc>
        <w:tc>
          <w:tcPr>
            <w:tcW w:w="6789" w:type="dxa"/>
            <w:gridSpan w:val="2"/>
          </w:tcPr>
          <w:p w14:paraId="5A5B65BA" w14:textId="77777777" w:rsidR="00A42E95" w:rsidRPr="00EB1177" w:rsidRDefault="00A42E95" w:rsidP="00300120">
            <w:pPr>
              <w:rPr>
                <w:highlight w:val="yellow"/>
              </w:rPr>
            </w:pPr>
            <w:r w:rsidRPr="00EB1177">
              <w:t>A good response that meets the requirements. Relevant experience in IFRS9, 15 and 16 in sectors that can be used in MOD, and experience implementing these in other organisations.</w:t>
            </w:r>
          </w:p>
        </w:tc>
      </w:tr>
      <w:tr w:rsidR="00A42E95" w:rsidRPr="006449F5" w14:paraId="359558B8" w14:textId="77777777" w:rsidTr="00300120">
        <w:trPr>
          <w:trHeight w:val="435"/>
        </w:trPr>
        <w:tc>
          <w:tcPr>
            <w:tcW w:w="6849" w:type="dxa"/>
            <w:gridSpan w:val="2"/>
          </w:tcPr>
          <w:p w14:paraId="4F291C58" w14:textId="77777777" w:rsidR="00A42E95" w:rsidRPr="004A4CC9" w:rsidRDefault="00A42E95" w:rsidP="00300120">
            <w:pPr>
              <w:rPr>
                <w:sz w:val="24"/>
              </w:rPr>
            </w:pPr>
            <w:r w:rsidRPr="004A4CC9">
              <w:rPr>
                <w:sz w:val="24"/>
              </w:rPr>
              <w:lastRenderedPageBreak/>
              <w:t>Total Questionnaire Weighted Score</w:t>
            </w:r>
          </w:p>
        </w:tc>
        <w:tc>
          <w:tcPr>
            <w:tcW w:w="952" w:type="dxa"/>
          </w:tcPr>
          <w:p w14:paraId="77313ECC" w14:textId="77777777" w:rsidR="00A42E95" w:rsidRPr="00A33A6B" w:rsidRDefault="00A42E95" w:rsidP="00300120">
            <w:r>
              <w:t>48.00</w:t>
            </w:r>
          </w:p>
        </w:tc>
        <w:tc>
          <w:tcPr>
            <w:tcW w:w="4341" w:type="dxa"/>
            <w:shd w:val="clear" w:color="auto" w:fill="D9D9D9" w:themeFill="background1" w:themeFillShade="D9"/>
          </w:tcPr>
          <w:p w14:paraId="3743085A" w14:textId="77777777" w:rsidR="00A42E95" w:rsidRPr="006449F5" w:rsidRDefault="00A42E95" w:rsidP="00300120">
            <w:r w:rsidRPr="001A61E6">
              <w:rPr>
                <w:sz w:val="24"/>
              </w:rPr>
              <w:t>Winning Suppliers’ Weighted Score</w:t>
            </w:r>
          </w:p>
        </w:tc>
        <w:tc>
          <w:tcPr>
            <w:tcW w:w="2448" w:type="dxa"/>
            <w:shd w:val="clear" w:color="auto" w:fill="D9D9D9" w:themeFill="background1" w:themeFillShade="D9"/>
          </w:tcPr>
          <w:p w14:paraId="21A4426F" w14:textId="77777777" w:rsidR="00A42E95" w:rsidRPr="006449F5" w:rsidRDefault="00A42E95" w:rsidP="00300120">
            <w:r>
              <w:t>48.00</w:t>
            </w:r>
          </w:p>
        </w:tc>
      </w:tr>
      <w:tr w:rsidR="00A42E95" w:rsidRPr="006449F5" w14:paraId="72E03ABB" w14:textId="77777777" w:rsidTr="00300120">
        <w:trPr>
          <w:trHeight w:val="409"/>
        </w:trPr>
        <w:tc>
          <w:tcPr>
            <w:tcW w:w="12142" w:type="dxa"/>
            <w:gridSpan w:val="4"/>
            <w:shd w:val="clear" w:color="auto" w:fill="D5DCE4" w:themeFill="text2" w:themeFillTint="33"/>
            <w:vAlign w:val="center"/>
          </w:tcPr>
          <w:p w14:paraId="3D794DC1" w14:textId="77777777" w:rsidR="00A42E95" w:rsidRPr="0020051B" w:rsidRDefault="00A42E95" w:rsidP="00300120">
            <w:pPr>
              <w:rPr>
                <w:sz w:val="24"/>
              </w:rPr>
            </w:pPr>
            <w:r>
              <w:rPr>
                <w:sz w:val="24"/>
              </w:rPr>
              <w:t xml:space="preserve">5.0 – </w:t>
            </w:r>
            <w:r w:rsidRPr="0020051B">
              <w:rPr>
                <w:sz w:val="24"/>
              </w:rPr>
              <w:t>Price</w:t>
            </w:r>
          </w:p>
        </w:tc>
        <w:tc>
          <w:tcPr>
            <w:tcW w:w="2448" w:type="dxa"/>
            <w:shd w:val="clear" w:color="auto" w:fill="D5DCE4" w:themeFill="text2" w:themeFillTint="33"/>
            <w:vAlign w:val="center"/>
          </w:tcPr>
          <w:p w14:paraId="71A8C6D1" w14:textId="77777777" w:rsidR="00A42E95" w:rsidRPr="0020051B" w:rsidRDefault="00A42E95" w:rsidP="00300120">
            <w:pPr>
              <w:rPr>
                <w:sz w:val="24"/>
              </w:rPr>
            </w:pPr>
            <w:r>
              <w:rPr>
                <w:sz w:val="24"/>
              </w:rPr>
              <w:t>WEIGHTING 40</w:t>
            </w:r>
            <w:r w:rsidRPr="0020051B">
              <w:rPr>
                <w:sz w:val="24"/>
              </w:rPr>
              <w:t>%</w:t>
            </w:r>
          </w:p>
        </w:tc>
      </w:tr>
      <w:tr w:rsidR="00A42E95" w:rsidRPr="006449F5" w14:paraId="0AA7E5DE" w14:textId="77777777" w:rsidTr="00300120">
        <w:tc>
          <w:tcPr>
            <w:tcW w:w="1070" w:type="dxa"/>
          </w:tcPr>
          <w:p w14:paraId="1F3A0D0D" w14:textId="77777777" w:rsidR="00A42E95" w:rsidRPr="00790F44" w:rsidRDefault="00A42E95" w:rsidP="00300120">
            <w:pPr>
              <w:jc w:val="center"/>
            </w:pPr>
            <w:r>
              <w:t>5.1</w:t>
            </w:r>
          </w:p>
        </w:tc>
        <w:tc>
          <w:tcPr>
            <w:tcW w:w="5779" w:type="dxa"/>
          </w:tcPr>
          <w:p w14:paraId="11135B9B" w14:textId="77777777" w:rsidR="00A42E95" w:rsidRPr="00790F44" w:rsidRDefault="00A42E95" w:rsidP="00300120">
            <w:r w:rsidRPr="00790F44">
              <w:t>“Please confirm b</w:t>
            </w:r>
            <w:r>
              <w:t>y selecting ‘YES’</w:t>
            </w:r>
            <w:r w:rsidRPr="00790F44">
              <w:t>…”</w:t>
            </w:r>
          </w:p>
        </w:tc>
        <w:tc>
          <w:tcPr>
            <w:tcW w:w="952" w:type="dxa"/>
          </w:tcPr>
          <w:p w14:paraId="2EADFF69" w14:textId="77777777" w:rsidR="00A42E95" w:rsidRPr="00C11194" w:rsidRDefault="00A42E95" w:rsidP="00300120">
            <w:r w:rsidRPr="00C11194">
              <w:t>100</w:t>
            </w:r>
          </w:p>
        </w:tc>
        <w:tc>
          <w:tcPr>
            <w:tcW w:w="6789" w:type="dxa"/>
            <w:gridSpan w:val="2"/>
          </w:tcPr>
          <w:p w14:paraId="642C182A" w14:textId="77777777" w:rsidR="00A42E95" w:rsidRPr="00790F44" w:rsidRDefault="00A42E95" w:rsidP="00300120">
            <w:r>
              <w:t>1</w:t>
            </w:r>
            <w:r w:rsidRPr="00C11194">
              <w:rPr>
                <w:vertAlign w:val="superscript"/>
              </w:rPr>
              <w:t>st</w:t>
            </w:r>
          </w:p>
        </w:tc>
      </w:tr>
      <w:tr w:rsidR="00A42E95" w:rsidRPr="006449F5" w14:paraId="37DF7513" w14:textId="77777777" w:rsidTr="00300120">
        <w:trPr>
          <w:trHeight w:val="435"/>
        </w:trPr>
        <w:tc>
          <w:tcPr>
            <w:tcW w:w="6849" w:type="dxa"/>
            <w:gridSpan w:val="2"/>
          </w:tcPr>
          <w:p w14:paraId="662A2A9F" w14:textId="77777777" w:rsidR="00A42E95" w:rsidRPr="006449F5" w:rsidRDefault="00A42E95" w:rsidP="00300120">
            <w:r w:rsidRPr="004A4CC9">
              <w:rPr>
                <w:sz w:val="24"/>
              </w:rPr>
              <w:t>Total Questionnaire Weighted Score</w:t>
            </w:r>
          </w:p>
        </w:tc>
        <w:tc>
          <w:tcPr>
            <w:tcW w:w="952" w:type="dxa"/>
          </w:tcPr>
          <w:p w14:paraId="7AB1FFB5" w14:textId="77777777" w:rsidR="00A42E95" w:rsidRPr="00C11194" w:rsidRDefault="00A42E95" w:rsidP="00300120">
            <w:r w:rsidRPr="00C11194">
              <w:t>40.00</w:t>
            </w:r>
          </w:p>
        </w:tc>
        <w:tc>
          <w:tcPr>
            <w:tcW w:w="4248" w:type="dxa"/>
            <w:shd w:val="clear" w:color="auto" w:fill="D9D9D9" w:themeFill="background1" w:themeFillShade="D9"/>
          </w:tcPr>
          <w:p w14:paraId="19ABBCD1" w14:textId="77777777" w:rsidR="00A42E95" w:rsidRPr="006449F5" w:rsidRDefault="00A42E95" w:rsidP="00300120">
            <w:r w:rsidRPr="001A61E6">
              <w:rPr>
                <w:sz w:val="24"/>
              </w:rPr>
              <w:t>Winning Suppliers’ Weighted Score</w:t>
            </w:r>
          </w:p>
        </w:tc>
        <w:tc>
          <w:tcPr>
            <w:tcW w:w="2541" w:type="dxa"/>
            <w:shd w:val="clear" w:color="auto" w:fill="D9D9D9" w:themeFill="background1" w:themeFillShade="D9"/>
          </w:tcPr>
          <w:p w14:paraId="6C774D5A" w14:textId="77777777" w:rsidR="00A42E95" w:rsidRPr="006449F5" w:rsidRDefault="00A42E95" w:rsidP="00300120">
            <w:r>
              <w:t>40.00</w:t>
            </w:r>
          </w:p>
        </w:tc>
      </w:tr>
      <w:tr w:rsidR="00A42E95" w:rsidRPr="006449F5" w14:paraId="65E65FA9" w14:textId="77777777" w:rsidTr="00300120">
        <w:trPr>
          <w:trHeight w:val="413"/>
        </w:trPr>
        <w:tc>
          <w:tcPr>
            <w:tcW w:w="14590" w:type="dxa"/>
            <w:gridSpan w:val="5"/>
            <w:shd w:val="clear" w:color="auto" w:fill="D5DCE4" w:themeFill="text2" w:themeFillTint="33"/>
            <w:vAlign w:val="center"/>
          </w:tcPr>
          <w:p w14:paraId="129B2BA7" w14:textId="77777777" w:rsidR="00A42E95" w:rsidRPr="00C11194" w:rsidRDefault="00A42E95" w:rsidP="00300120">
            <w:pPr>
              <w:rPr>
                <w:sz w:val="24"/>
              </w:rPr>
            </w:pPr>
            <w:r w:rsidRPr="00C11194">
              <w:rPr>
                <w:sz w:val="24"/>
              </w:rPr>
              <w:t>Evaluation Summary</w:t>
            </w:r>
          </w:p>
        </w:tc>
      </w:tr>
      <w:tr w:rsidR="00A42E95" w:rsidRPr="006449F5" w14:paraId="73FA651E" w14:textId="77777777" w:rsidTr="00300120">
        <w:tc>
          <w:tcPr>
            <w:tcW w:w="6849" w:type="dxa"/>
            <w:gridSpan w:val="2"/>
            <w:vAlign w:val="center"/>
          </w:tcPr>
          <w:p w14:paraId="51F0C6DC" w14:textId="77777777" w:rsidR="00A42E95" w:rsidRPr="00A33A6B" w:rsidRDefault="00A42E95" w:rsidP="00300120">
            <w:pPr>
              <w:rPr>
                <w:sz w:val="24"/>
              </w:rPr>
            </w:pPr>
            <w:r w:rsidRPr="00A33A6B">
              <w:rPr>
                <w:sz w:val="24"/>
              </w:rPr>
              <w:t>Overall Bid Score (Weighted)</w:t>
            </w:r>
          </w:p>
        </w:tc>
        <w:tc>
          <w:tcPr>
            <w:tcW w:w="952" w:type="dxa"/>
            <w:vAlign w:val="center"/>
          </w:tcPr>
          <w:p w14:paraId="1D09D86A" w14:textId="77777777" w:rsidR="00A42E95" w:rsidRPr="00C11194" w:rsidRDefault="00A42E95" w:rsidP="00300120">
            <w:r w:rsidRPr="00C11194">
              <w:t>88.00</w:t>
            </w:r>
          </w:p>
        </w:tc>
        <w:tc>
          <w:tcPr>
            <w:tcW w:w="4248" w:type="dxa"/>
            <w:shd w:val="clear" w:color="auto" w:fill="D9D9D9" w:themeFill="background1" w:themeFillShade="D9"/>
          </w:tcPr>
          <w:p w14:paraId="1DC022F7" w14:textId="77777777" w:rsidR="00A42E95" w:rsidRPr="006449F5" w:rsidRDefault="00A42E95" w:rsidP="00300120">
            <w:r w:rsidRPr="001A61E6">
              <w:rPr>
                <w:sz w:val="24"/>
              </w:rPr>
              <w:t xml:space="preserve">Winning Suppliers’ </w:t>
            </w:r>
            <w:r>
              <w:rPr>
                <w:sz w:val="24"/>
              </w:rPr>
              <w:t xml:space="preserve">Overall Bid </w:t>
            </w:r>
            <w:r w:rsidRPr="001A61E6">
              <w:rPr>
                <w:sz w:val="24"/>
              </w:rPr>
              <w:t>Score</w:t>
            </w:r>
          </w:p>
        </w:tc>
        <w:tc>
          <w:tcPr>
            <w:tcW w:w="2541" w:type="dxa"/>
            <w:shd w:val="clear" w:color="auto" w:fill="D9D9D9" w:themeFill="background1" w:themeFillShade="D9"/>
          </w:tcPr>
          <w:p w14:paraId="6F0A2A01" w14:textId="77777777" w:rsidR="00A42E95" w:rsidRPr="006449F5" w:rsidRDefault="00A42E95" w:rsidP="00300120">
            <w:r>
              <w:t>88.00</w:t>
            </w:r>
          </w:p>
        </w:tc>
      </w:tr>
      <w:tr w:rsidR="00A42E95" w:rsidRPr="006449F5" w14:paraId="0C14611F" w14:textId="77777777" w:rsidTr="00300120">
        <w:tc>
          <w:tcPr>
            <w:tcW w:w="6849" w:type="dxa"/>
            <w:gridSpan w:val="2"/>
            <w:vAlign w:val="center"/>
          </w:tcPr>
          <w:p w14:paraId="68061A5F" w14:textId="77777777" w:rsidR="00A42E95" w:rsidRPr="00A33A6B" w:rsidRDefault="00A42E95" w:rsidP="00300120">
            <w:pPr>
              <w:rPr>
                <w:sz w:val="24"/>
              </w:rPr>
            </w:pPr>
            <w:r w:rsidRPr="00A33A6B">
              <w:rPr>
                <w:sz w:val="24"/>
              </w:rPr>
              <w:t xml:space="preserve">Overall Ranking </w:t>
            </w:r>
          </w:p>
        </w:tc>
        <w:tc>
          <w:tcPr>
            <w:tcW w:w="952" w:type="dxa"/>
            <w:vAlign w:val="center"/>
          </w:tcPr>
          <w:p w14:paraId="4D2E8CB2" w14:textId="77777777" w:rsidR="00A42E95" w:rsidRPr="00C11194" w:rsidRDefault="00A42E95" w:rsidP="00300120">
            <w:r>
              <w:t>1</w:t>
            </w:r>
            <w:r w:rsidRPr="00BB1F91">
              <w:rPr>
                <w:vertAlign w:val="superscript"/>
              </w:rPr>
              <w:t>st</w:t>
            </w:r>
          </w:p>
        </w:tc>
        <w:tc>
          <w:tcPr>
            <w:tcW w:w="4248" w:type="dxa"/>
            <w:shd w:val="clear" w:color="auto" w:fill="D9D9D9" w:themeFill="background1" w:themeFillShade="D9"/>
          </w:tcPr>
          <w:p w14:paraId="0DD86EDF" w14:textId="77777777" w:rsidR="00A42E95" w:rsidRPr="006449F5" w:rsidRDefault="00A42E95" w:rsidP="00300120">
            <w:r w:rsidRPr="001A61E6">
              <w:rPr>
                <w:sz w:val="24"/>
              </w:rPr>
              <w:t xml:space="preserve">Winning Suppliers’ </w:t>
            </w:r>
            <w:r>
              <w:rPr>
                <w:sz w:val="24"/>
              </w:rPr>
              <w:t>Overall Ranking</w:t>
            </w:r>
          </w:p>
        </w:tc>
        <w:tc>
          <w:tcPr>
            <w:tcW w:w="2541" w:type="dxa"/>
            <w:shd w:val="clear" w:color="auto" w:fill="D9D9D9" w:themeFill="background1" w:themeFillShade="D9"/>
          </w:tcPr>
          <w:p w14:paraId="43220B32" w14:textId="77777777" w:rsidR="00A42E95" w:rsidRPr="00486918" w:rsidRDefault="00A42E95" w:rsidP="00300120">
            <w:pPr>
              <w:rPr>
                <w:b/>
              </w:rPr>
            </w:pPr>
            <w:r w:rsidRPr="00486918">
              <w:rPr>
                <w:b/>
              </w:rPr>
              <w:t>1</w:t>
            </w:r>
            <w:r w:rsidRPr="00486918">
              <w:rPr>
                <w:b/>
                <w:vertAlign w:val="superscript"/>
              </w:rPr>
              <w:t>st</w:t>
            </w:r>
            <w:r w:rsidRPr="00486918">
              <w:rPr>
                <w:b/>
              </w:rPr>
              <w:t xml:space="preserve"> </w:t>
            </w:r>
          </w:p>
        </w:tc>
      </w:tr>
    </w:tbl>
    <w:p w14:paraId="3C27B372" w14:textId="77777777" w:rsidR="00A42E95" w:rsidRDefault="00A42E95"/>
    <w:sectPr w:rsidR="00A42E9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07158" w14:textId="77777777" w:rsidR="00FD3284" w:rsidRDefault="00FD3284" w:rsidP="0071513A">
      <w:pPr>
        <w:spacing w:after="0" w:line="240" w:lineRule="auto"/>
      </w:pPr>
      <w:r>
        <w:separator/>
      </w:r>
    </w:p>
  </w:endnote>
  <w:endnote w:type="continuationSeparator" w:id="0">
    <w:p w14:paraId="673ADD34" w14:textId="77777777" w:rsidR="00FD3284" w:rsidRDefault="00FD3284" w:rsidP="0071513A">
      <w:pPr>
        <w:spacing w:after="0" w:line="240" w:lineRule="auto"/>
      </w:pPr>
      <w:r>
        <w:continuationSeparator/>
      </w:r>
    </w:p>
  </w:endnote>
  <w:endnote w:type="continuationNotice" w:id="1">
    <w:p w14:paraId="69499A9E" w14:textId="77777777" w:rsidR="00FD3284" w:rsidRDefault="00FD3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5164EAB" w:rsidR="00D6687B" w:rsidRDefault="00871B1D" w:rsidP="003770B5">
    <w:pPr>
      <w:pStyle w:val="Footer"/>
      <w:pBdr>
        <w:top w:val="single" w:sz="4" w:space="1" w:color="auto"/>
      </w:pBdr>
      <w:jc w:val="right"/>
      <w:rPr>
        <w:rFonts w:ascii="Arial" w:hAnsi="Arial" w:cs="Arial"/>
        <w:sz w:val="20"/>
        <w:szCs w:val="20"/>
      </w:rPr>
    </w:pPr>
    <w:r>
      <w:rPr>
        <w:rFonts w:ascii="Arial" w:hAnsi="Arial" w:cs="Arial"/>
        <w:sz w:val="20"/>
        <w:szCs w:val="20"/>
      </w:rPr>
      <w:t>V1.0 11</w:t>
    </w:r>
    <w:r w:rsidRPr="00871B1D">
      <w:rPr>
        <w:rFonts w:ascii="Arial" w:hAnsi="Arial" w:cs="Arial"/>
        <w:sz w:val="20"/>
        <w:szCs w:val="20"/>
        <w:vertAlign w:val="superscript"/>
      </w:rPr>
      <w:t>th</w:t>
    </w:r>
    <w:r>
      <w:rPr>
        <w:rFonts w:ascii="Arial" w:hAnsi="Arial" w:cs="Arial"/>
        <w:sz w:val="20"/>
        <w:szCs w:val="20"/>
      </w:rPr>
      <w:t xml:space="preserve"> April 2018</w:t>
    </w:r>
  </w:p>
  <w:p w14:paraId="0EEA54C1" w14:textId="77777777" w:rsidR="00D6687B" w:rsidRPr="00F00F8A" w:rsidRDefault="00FD3284"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F9372D">
          <w:rPr>
            <w:rFonts w:ascii="Arial" w:hAnsi="Arial" w:cs="Arial"/>
            <w:noProof/>
            <w:sz w:val="20"/>
            <w:szCs w:val="20"/>
          </w:rPr>
          <w:t>2</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66289" w14:textId="77777777" w:rsidR="00FD3284" w:rsidRDefault="00FD3284" w:rsidP="0071513A">
      <w:pPr>
        <w:spacing w:after="0" w:line="240" w:lineRule="auto"/>
      </w:pPr>
      <w:r>
        <w:separator/>
      </w:r>
    </w:p>
  </w:footnote>
  <w:footnote w:type="continuationSeparator" w:id="0">
    <w:p w14:paraId="378238F0" w14:textId="77777777" w:rsidR="00FD3284" w:rsidRDefault="00FD3284" w:rsidP="0071513A">
      <w:pPr>
        <w:spacing w:after="0" w:line="240" w:lineRule="auto"/>
      </w:pPr>
      <w:r>
        <w:continuationSeparator/>
      </w:r>
    </w:p>
  </w:footnote>
  <w:footnote w:type="continuationNotice" w:id="1">
    <w:p w14:paraId="3B6E62D4" w14:textId="77777777" w:rsidR="00FD3284" w:rsidRDefault="00FD328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FD3284"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72C09"/>
    <w:rsid w:val="00090B56"/>
    <w:rsid w:val="000A2B62"/>
    <w:rsid w:val="000E20E7"/>
    <w:rsid w:val="00123A6E"/>
    <w:rsid w:val="00170E8A"/>
    <w:rsid w:val="0017409A"/>
    <w:rsid w:val="001B2C91"/>
    <w:rsid w:val="001F684C"/>
    <w:rsid w:val="00202B5D"/>
    <w:rsid w:val="002412E5"/>
    <w:rsid w:val="00252849"/>
    <w:rsid w:val="00271837"/>
    <w:rsid w:val="002C6287"/>
    <w:rsid w:val="002F4E59"/>
    <w:rsid w:val="002F6F0C"/>
    <w:rsid w:val="00303D7D"/>
    <w:rsid w:val="003541BD"/>
    <w:rsid w:val="003640EE"/>
    <w:rsid w:val="003770B5"/>
    <w:rsid w:val="003A1909"/>
    <w:rsid w:val="003D17EC"/>
    <w:rsid w:val="003F7831"/>
    <w:rsid w:val="00407356"/>
    <w:rsid w:val="00407F37"/>
    <w:rsid w:val="00426F1E"/>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F3A84"/>
    <w:rsid w:val="00801670"/>
    <w:rsid w:val="00813A56"/>
    <w:rsid w:val="0084655D"/>
    <w:rsid w:val="00871B1D"/>
    <w:rsid w:val="00872420"/>
    <w:rsid w:val="008738F8"/>
    <w:rsid w:val="00880B11"/>
    <w:rsid w:val="00884E03"/>
    <w:rsid w:val="008B79E0"/>
    <w:rsid w:val="008E0209"/>
    <w:rsid w:val="00935571"/>
    <w:rsid w:val="00984953"/>
    <w:rsid w:val="00984F1A"/>
    <w:rsid w:val="009B1B73"/>
    <w:rsid w:val="009F3D7F"/>
    <w:rsid w:val="00A1051E"/>
    <w:rsid w:val="00A31772"/>
    <w:rsid w:val="00A42E95"/>
    <w:rsid w:val="00A5182C"/>
    <w:rsid w:val="00A611E5"/>
    <w:rsid w:val="00A7686A"/>
    <w:rsid w:val="00A8216F"/>
    <w:rsid w:val="00A94459"/>
    <w:rsid w:val="00AD266E"/>
    <w:rsid w:val="00B32AE3"/>
    <w:rsid w:val="00B51C96"/>
    <w:rsid w:val="00B96861"/>
    <w:rsid w:val="00BA7699"/>
    <w:rsid w:val="00C008A6"/>
    <w:rsid w:val="00C008D5"/>
    <w:rsid w:val="00C949C5"/>
    <w:rsid w:val="00CE0ECA"/>
    <w:rsid w:val="00CE1A09"/>
    <w:rsid w:val="00D4299A"/>
    <w:rsid w:val="00D47985"/>
    <w:rsid w:val="00D6687B"/>
    <w:rsid w:val="00D708C4"/>
    <w:rsid w:val="00D968FE"/>
    <w:rsid w:val="00DB50D4"/>
    <w:rsid w:val="00DD179A"/>
    <w:rsid w:val="00DD5B54"/>
    <w:rsid w:val="00E12B8C"/>
    <w:rsid w:val="00E17914"/>
    <w:rsid w:val="00E51751"/>
    <w:rsid w:val="00E7260A"/>
    <w:rsid w:val="00E770D3"/>
    <w:rsid w:val="00E90806"/>
    <w:rsid w:val="00E92A41"/>
    <w:rsid w:val="00EC1349"/>
    <w:rsid w:val="00EF3DBB"/>
    <w:rsid w:val="00F00F8A"/>
    <w:rsid w:val="00F227A4"/>
    <w:rsid w:val="00F250F8"/>
    <w:rsid w:val="00F50FDE"/>
    <w:rsid w:val="00F54ABC"/>
    <w:rsid w:val="00F9372D"/>
    <w:rsid w:val="00FB1C62"/>
    <w:rsid w:val="00FB297F"/>
    <w:rsid w:val="00FC46F1"/>
    <w:rsid w:val="00FD19ED"/>
    <w:rsid w:val="00FD3284"/>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9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BasicParagraph">
    <w:name w:val="[Basic Paragraph]"/>
    <w:basedOn w:val="Normal"/>
    <w:uiPriority w:val="99"/>
    <w:rsid w:val="00871B1D"/>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2</cp:revision>
  <dcterms:created xsi:type="dcterms:W3CDTF">2018-05-08T14:50:00Z</dcterms:created>
  <dcterms:modified xsi:type="dcterms:W3CDTF">2018-05-08T14:50:00Z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