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B074C" w14:textId="2EF13813" w:rsidR="0084655D" w:rsidRPr="005A5E12" w:rsidRDefault="006E43F2" w:rsidP="0084655D">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Cs/>
          <w:color w:val="000000"/>
          <w:shd w:val="clear" w:color="auto" w:fill="EFEFEF"/>
        </w:rPr>
        <w:t>REDACTED</w:t>
      </w:r>
    </w:p>
    <w:p w14:paraId="4E53B5CA" w14:textId="7AA912AE" w:rsidR="0084655D" w:rsidRPr="005A5E12" w:rsidRDefault="0084655D" w:rsidP="0084655D">
      <w:pPr>
        <w:spacing w:after="120" w:line="240" w:lineRule="atLeast"/>
        <w:ind w:left="5760" w:right="3"/>
        <w:jc w:val="both"/>
        <w:rPr>
          <w:rFonts w:ascii="Arial" w:eastAsia="Times New Roman" w:hAnsi="Arial" w:cs="Arial"/>
        </w:rPr>
      </w:pPr>
      <w:bookmarkStart w:id="0" w:name="date"/>
      <w:bookmarkStart w:id="1" w:name="Title"/>
      <w:bookmarkEnd w:id="0"/>
      <w:bookmarkEnd w:id="1"/>
      <w:r w:rsidRPr="005A5E12">
        <w:rPr>
          <w:rFonts w:ascii="Arial" w:eastAsia="Times New Roman" w:hAnsi="Arial" w:cs="Arial"/>
        </w:rPr>
        <w:t xml:space="preserve">Date: </w:t>
      </w:r>
      <w:r w:rsidR="006E43F2">
        <w:rPr>
          <w:rFonts w:ascii="Arial" w:eastAsia="Times New Roman" w:hAnsi="Arial" w:cs="Arial"/>
        </w:rPr>
        <w:t>REDACTED</w:t>
      </w:r>
      <w:bookmarkStart w:id="2" w:name="_GoBack"/>
      <w:bookmarkEnd w:id="2"/>
    </w:p>
    <w:p w14:paraId="7C71F5A6" w14:textId="0D0AA155" w:rsidR="0084655D" w:rsidRPr="005A5E12" w:rsidRDefault="007669E5" w:rsidP="007669E5">
      <w:pPr>
        <w:spacing w:after="120" w:line="240" w:lineRule="atLeast"/>
        <w:ind w:left="5760" w:right="3"/>
        <w:rPr>
          <w:rFonts w:ascii="Arial" w:eastAsia="Times New Roman" w:hAnsi="Arial" w:cs="Arial"/>
        </w:rPr>
      </w:pPr>
      <w:r w:rsidRPr="005A5E12">
        <w:rPr>
          <w:rFonts w:ascii="Arial" w:eastAsia="Times New Roman" w:hAnsi="Arial" w:cs="Arial"/>
        </w:rPr>
        <w:t xml:space="preserve">Procurement </w:t>
      </w:r>
      <w:r w:rsidR="0084655D" w:rsidRPr="005A5E12">
        <w:rPr>
          <w:rFonts w:ascii="Arial" w:eastAsia="Times New Roman" w:hAnsi="Arial" w:cs="Arial"/>
        </w:rPr>
        <w:t xml:space="preserve">ref: </w:t>
      </w:r>
      <w:r w:rsidR="00B23243" w:rsidRPr="005A5E12">
        <w:rPr>
          <w:rFonts w:ascii="Arial" w:eastAsia="Times New Roman" w:hAnsi="Arial" w:cs="Arial"/>
        </w:rPr>
        <w:t>CCIH16A33</w:t>
      </w:r>
    </w:p>
    <w:p w14:paraId="3AE9D764" w14:textId="3C55F5E8" w:rsidR="0084655D" w:rsidRPr="005A5E12" w:rsidRDefault="00E26C67" w:rsidP="0084655D">
      <w:pPr>
        <w:spacing w:after="120" w:line="240" w:lineRule="atLeast"/>
        <w:jc w:val="both"/>
        <w:rPr>
          <w:rFonts w:ascii="Arial" w:eastAsia="Times New Roman" w:hAnsi="Arial" w:cs="Arial"/>
        </w:rPr>
      </w:pPr>
      <w:r w:rsidRPr="005A5E12">
        <w:rPr>
          <w:rFonts w:ascii="Arial" w:eastAsia="Times New Roman" w:hAnsi="Arial" w:cs="Arial"/>
        </w:rPr>
        <w:t>Dear Sir/Madam</w:t>
      </w:r>
      <w:r w:rsidR="0084655D" w:rsidRPr="005A5E12">
        <w:rPr>
          <w:rFonts w:ascii="Arial" w:eastAsia="Times New Roman" w:hAnsi="Arial" w:cs="Arial"/>
        </w:rPr>
        <w:t>,</w:t>
      </w:r>
    </w:p>
    <w:p w14:paraId="289A18CE" w14:textId="61AAA7E2" w:rsidR="001B4CEB" w:rsidRPr="005A5E12" w:rsidRDefault="0084655D" w:rsidP="00B23243">
      <w:pPr>
        <w:pStyle w:val="ListParagraph"/>
        <w:spacing w:after="120" w:line="240" w:lineRule="atLeast"/>
        <w:ind w:left="0"/>
        <w:jc w:val="both"/>
        <w:outlineLvl w:val="0"/>
        <w:rPr>
          <w:rFonts w:ascii="Arial" w:eastAsia="Times New Roman" w:hAnsi="Arial" w:cs="Arial"/>
          <w:b/>
          <w:bCs/>
          <w:spacing w:val="-4"/>
          <w:u w:val="single"/>
          <w:lang w:val="en-US"/>
        </w:rPr>
      </w:pPr>
      <w:r w:rsidRPr="005A5E12">
        <w:rPr>
          <w:rFonts w:ascii="Arial" w:eastAsia="Times New Roman" w:hAnsi="Arial" w:cs="Arial"/>
          <w:b/>
          <w:bCs/>
          <w:spacing w:val="-4"/>
          <w:u w:val="single"/>
          <w:lang w:val="en-US"/>
        </w:rPr>
        <w:t xml:space="preserve">Award of contract for the supply of </w:t>
      </w:r>
      <w:r w:rsidR="00B23243" w:rsidRPr="005A5E12">
        <w:rPr>
          <w:rFonts w:ascii="Arial" w:eastAsia="Times New Roman" w:hAnsi="Arial" w:cs="Arial"/>
          <w:b/>
          <w:bCs/>
          <w:spacing w:val="-4"/>
          <w:u w:val="single"/>
          <w:lang w:val="en-US"/>
        </w:rPr>
        <w:t>Hardware, Software, Training and Support</w:t>
      </w:r>
    </w:p>
    <w:p w14:paraId="65CFBEB4" w14:textId="051DFFFB" w:rsidR="00B56971" w:rsidRPr="005A5E12" w:rsidRDefault="00B56971" w:rsidP="00B56971">
      <w:pPr>
        <w:pStyle w:val="BasicParagraph"/>
        <w:tabs>
          <w:tab w:val="left" w:pos="5670"/>
        </w:tabs>
        <w:spacing w:line="240" w:lineRule="auto"/>
        <w:jc w:val="both"/>
        <w:rPr>
          <w:rFonts w:ascii="Arial" w:hAnsi="Arial" w:cs="Arial"/>
          <w:color w:val="auto"/>
          <w:sz w:val="22"/>
          <w:szCs w:val="22"/>
        </w:rPr>
      </w:pPr>
      <w:r w:rsidRPr="005A5E12">
        <w:rPr>
          <w:rFonts w:ascii="Arial" w:hAnsi="Arial" w:cs="Arial"/>
          <w:color w:val="auto"/>
          <w:sz w:val="22"/>
          <w:szCs w:val="22"/>
        </w:rPr>
        <w:t>Further to your submission of a Tender</w:t>
      </w:r>
      <w:r w:rsidR="001B4E75" w:rsidRPr="005A5E12">
        <w:rPr>
          <w:rFonts w:ascii="Arial" w:hAnsi="Arial" w:cs="Arial"/>
          <w:color w:val="auto"/>
          <w:sz w:val="22"/>
          <w:szCs w:val="22"/>
        </w:rPr>
        <w:t>/Proposal</w:t>
      </w:r>
      <w:r w:rsidRPr="005A5E12">
        <w:rPr>
          <w:rFonts w:ascii="Arial" w:hAnsi="Arial" w:cs="Arial"/>
          <w:color w:val="auto"/>
          <w:sz w:val="22"/>
          <w:szCs w:val="22"/>
        </w:rPr>
        <w:t xml:space="preserve"> for the a</w:t>
      </w:r>
      <w:r w:rsidR="00B23243" w:rsidRPr="005A5E12">
        <w:rPr>
          <w:rFonts w:ascii="Arial" w:hAnsi="Arial" w:cs="Arial"/>
          <w:color w:val="auto"/>
          <w:sz w:val="22"/>
          <w:szCs w:val="22"/>
        </w:rPr>
        <w:t>bove Procurement, on behalf of the Ministry of Defence</w:t>
      </w:r>
      <w:r w:rsidR="006B3C65" w:rsidRPr="005A5E12">
        <w:rPr>
          <w:rFonts w:ascii="Arial" w:hAnsi="Arial" w:cs="Arial"/>
          <w:color w:val="auto"/>
          <w:sz w:val="22"/>
          <w:szCs w:val="22"/>
        </w:rPr>
        <w:t xml:space="preserve"> (the </w:t>
      </w:r>
      <w:r w:rsidR="007F7964" w:rsidRPr="005A5E12">
        <w:rPr>
          <w:rFonts w:ascii="Arial" w:hAnsi="Arial" w:cs="Arial"/>
          <w:color w:val="auto"/>
          <w:sz w:val="22"/>
          <w:szCs w:val="22"/>
        </w:rPr>
        <w:t>“</w:t>
      </w:r>
      <w:r w:rsidR="00CC15AD" w:rsidRPr="005A5E12">
        <w:rPr>
          <w:rFonts w:ascii="Arial" w:hAnsi="Arial" w:cs="Arial"/>
          <w:color w:val="auto"/>
          <w:sz w:val="22"/>
          <w:szCs w:val="22"/>
        </w:rPr>
        <w:t>Authority</w:t>
      </w:r>
      <w:r w:rsidR="007F7964" w:rsidRPr="005A5E12">
        <w:rPr>
          <w:rFonts w:ascii="Arial" w:hAnsi="Arial" w:cs="Arial"/>
          <w:color w:val="auto"/>
          <w:sz w:val="22"/>
          <w:szCs w:val="22"/>
        </w:rPr>
        <w:t>”</w:t>
      </w:r>
      <w:r w:rsidRPr="005A5E12">
        <w:rPr>
          <w:rFonts w:ascii="Arial" w:hAnsi="Arial" w:cs="Arial"/>
          <w:color w:val="auto"/>
          <w:sz w:val="22"/>
          <w:szCs w:val="22"/>
        </w:rPr>
        <w:t>), I am writing to advise that the procurement is now complete.</w:t>
      </w:r>
    </w:p>
    <w:p w14:paraId="6DD3E7C3" w14:textId="77777777" w:rsidR="00B56971" w:rsidRPr="005A5E12" w:rsidRDefault="00B56971" w:rsidP="00B56971">
      <w:pPr>
        <w:pStyle w:val="BasicParagraph"/>
        <w:spacing w:line="240" w:lineRule="auto"/>
        <w:jc w:val="both"/>
        <w:rPr>
          <w:rFonts w:ascii="Arial" w:hAnsi="Arial" w:cs="Arial"/>
          <w:color w:val="auto"/>
          <w:sz w:val="22"/>
          <w:szCs w:val="22"/>
        </w:rPr>
      </w:pPr>
    </w:p>
    <w:p w14:paraId="756F2503" w14:textId="5D2662B2" w:rsidR="00F25935" w:rsidRPr="005A5E12" w:rsidRDefault="00F25935" w:rsidP="00F25935">
      <w:pPr>
        <w:spacing w:after="0" w:line="240" w:lineRule="auto"/>
        <w:jc w:val="both"/>
        <w:rPr>
          <w:rFonts w:ascii="Arial" w:hAnsi="Arial" w:cs="Arial"/>
        </w:rPr>
      </w:pPr>
      <w:r w:rsidRPr="005A5E12">
        <w:rPr>
          <w:rFonts w:ascii="Arial" w:eastAsiaTheme="minorEastAsia" w:hAnsi="Arial" w:cs="Arial"/>
        </w:rPr>
        <w:t xml:space="preserve">I am pleased to inform you that your company ranked first in our evaluation and therefore we would like to award the contract to you. </w:t>
      </w:r>
    </w:p>
    <w:p w14:paraId="43EBE9FD" w14:textId="77777777" w:rsidR="00F25935" w:rsidRPr="005A5E12" w:rsidRDefault="00F25935" w:rsidP="00F25935">
      <w:pPr>
        <w:spacing w:after="0" w:line="240" w:lineRule="auto"/>
        <w:jc w:val="both"/>
        <w:rPr>
          <w:rFonts w:ascii="Arial" w:eastAsiaTheme="minorEastAsia" w:hAnsi="Arial" w:cs="Arial"/>
        </w:rPr>
      </w:pPr>
    </w:p>
    <w:p w14:paraId="59757A52" w14:textId="3094F0D7" w:rsidR="00F25935" w:rsidRPr="005A5E12" w:rsidRDefault="00F25935" w:rsidP="00F25935">
      <w:pPr>
        <w:spacing w:after="0" w:line="240" w:lineRule="auto"/>
        <w:jc w:val="both"/>
        <w:rPr>
          <w:rFonts w:ascii="Arial" w:eastAsiaTheme="minorEastAsia" w:hAnsi="Arial" w:cs="Arial"/>
        </w:rPr>
      </w:pPr>
      <w:r w:rsidRPr="005A5E12">
        <w:rPr>
          <w:rFonts w:ascii="Arial" w:eastAsiaTheme="minorEastAsia" w:hAnsi="Arial" w:cs="Arial"/>
        </w:rPr>
        <w:t xml:space="preserve">The </w:t>
      </w:r>
      <w:r w:rsidR="003206F0" w:rsidRPr="005A5E12">
        <w:rPr>
          <w:rFonts w:ascii="Arial" w:eastAsiaTheme="minorEastAsia" w:hAnsi="Arial" w:cs="Arial"/>
        </w:rPr>
        <w:t xml:space="preserve">call-off </w:t>
      </w:r>
      <w:r w:rsidR="00B23243" w:rsidRPr="005A5E12">
        <w:rPr>
          <w:rFonts w:ascii="Arial" w:eastAsiaTheme="minorEastAsia" w:hAnsi="Arial" w:cs="Arial"/>
        </w:rPr>
        <w:t>contract shall commence 6</w:t>
      </w:r>
      <w:r w:rsidR="00B23243" w:rsidRPr="005A5E12">
        <w:rPr>
          <w:rFonts w:ascii="Arial" w:eastAsiaTheme="minorEastAsia" w:hAnsi="Arial" w:cs="Arial"/>
          <w:vertAlign w:val="superscript"/>
        </w:rPr>
        <w:t>th</w:t>
      </w:r>
      <w:r w:rsidR="00B23243" w:rsidRPr="005A5E12">
        <w:rPr>
          <w:rFonts w:ascii="Arial" w:eastAsiaTheme="minorEastAsia" w:hAnsi="Arial" w:cs="Arial"/>
        </w:rPr>
        <w:t xml:space="preserve"> day of October 2016 </w:t>
      </w:r>
      <w:r w:rsidR="003047BD" w:rsidRPr="005A5E12">
        <w:rPr>
          <w:rFonts w:ascii="Arial" w:eastAsiaTheme="minorEastAsia" w:hAnsi="Arial" w:cs="Arial"/>
        </w:rPr>
        <w:t>and</w:t>
      </w:r>
      <w:r w:rsidR="00B23243" w:rsidRPr="005A5E12">
        <w:rPr>
          <w:rFonts w:ascii="Arial" w:eastAsiaTheme="minorEastAsia" w:hAnsi="Arial" w:cs="Arial"/>
        </w:rPr>
        <w:t xml:space="preserve"> shall expire on completion of the </w:t>
      </w:r>
      <w:proofErr w:type="gramStart"/>
      <w:r w:rsidR="00B23243" w:rsidRPr="005A5E12">
        <w:rPr>
          <w:rFonts w:ascii="Arial" w:eastAsiaTheme="minorEastAsia" w:hAnsi="Arial" w:cs="Arial"/>
        </w:rPr>
        <w:t>support which</w:t>
      </w:r>
      <w:proofErr w:type="gramEnd"/>
      <w:r w:rsidR="00B23243" w:rsidRPr="005A5E12">
        <w:rPr>
          <w:rFonts w:ascii="Arial" w:eastAsiaTheme="minorEastAsia" w:hAnsi="Arial" w:cs="Arial"/>
        </w:rPr>
        <w:t xml:space="preserve"> is scheduled to be 20</w:t>
      </w:r>
      <w:r w:rsidR="00B23243" w:rsidRPr="005A5E12">
        <w:rPr>
          <w:rFonts w:ascii="Arial" w:eastAsiaTheme="minorEastAsia" w:hAnsi="Arial" w:cs="Arial"/>
          <w:vertAlign w:val="superscript"/>
        </w:rPr>
        <w:t>th</w:t>
      </w:r>
      <w:r w:rsidR="00B23243" w:rsidRPr="005A5E12">
        <w:rPr>
          <w:rFonts w:ascii="Arial" w:eastAsiaTheme="minorEastAsia" w:hAnsi="Arial" w:cs="Arial"/>
        </w:rPr>
        <w:t xml:space="preserve"> October 2017. </w:t>
      </w:r>
      <w:r w:rsidR="003047BD" w:rsidRPr="005A5E12">
        <w:rPr>
          <w:rFonts w:ascii="Arial" w:eastAsiaTheme="minorEastAsia" w:hAnsi="Arial" w:cs="Arial"/>
        </w:rPr>
        <w:t xml:space="preserve"> </w:t>
      </w:r>
      <w:r w:rsidR="002B01AF" w:rsidRPr="005A5E12">
        <w:rPr>
          <w:rFonts w:ascii="Arial" w:eastAsiaTheme="minorEastAsia" w:hAnsi="Arial" w:cs="Arial"/>
        </w:rPr>
        <w:t>The total contract value is £40,552.15 (ex VAT).</w:t>
      </w:r>
    </w:p>
    <w:p w14:paraId="4B8AAA19" w14:textId="77777777" w:rsidR="002B01AF" w:rsidRPr="005A5E12" w:rsidRDefault="002B01AF" w:rsidP="00F25935">
      <w:pPr>
        <w:spacing w:after="0" w:line="240" w:lineRule="auto"/>
        <w:jc w:val="both"/>
        <w:rPr>
          <w:rFonts w:ascii="Arial" w:eastAsiaTheme="minorEastAsia" w:hAnsi="Arial" w:cs="Arial"/>
        </w:rPr>
      </w:pPr>
    </w:p>
    <w:p w14:paraId="0AE2825F" w14:textId="002946AA" w:rsidR="00785C69" w:rsidRPr="005A5E12" w:rsidRDefault="00F25935" w:rsidP="00F25935">
      <w:pPr>
        <w:spacing w:after="0" w:line="240" w:lineRule="auto"/>
        <w:jc w:val="both"/>
        <w:rPr>
          <w:rFonts w:ascii="Arial" w:eastAsiaTheme="minorEastAsia" w:hAnsi="Arial" w:cs="Arial"/>
        </w:rPr>
      </w:pPr>
      <w:r w:rsidRPr="005A5E12">
        <w:rPr>
          <w:rFonts w:ascii="Arial" w:eastAsiaTheme="minorEastAsia" w:hAnsi="Arial" w:cs="Arial"/>
        </w:rPr>
        <w:t xml:space="preserve">This procurement </w:t>
      </w:r>
      <w:r w:rsidR="003047BD" w:rsidRPr="005A5E12">
        <w:rPr>
          <w:rFonts w:ascii="Arial" w:eastAsiaTheme="minorEastAsia" w:hAnsi="Arial" w:cs="Arial"/>
        </w:rPr>
        <w:t xml:space="preserve">activity </w:t>
      </w:r>
      <w:r w:rsidRPr="005A5E12">
        <w:rPr>
          <w:rFonts w:ascii="Arial" w:eastAsiaTheme="minorEastAsia" w:hAnsi="Arial" w:cs="Arial"/>
        </w:rPr>
        <w:t>was a further competition</w:t>
      </w:r>
      <w:r w:rsidR="002B01AF" w:rsidRPr="005A5E12">
        <w:rPr>
          <w:rFonts w:ascii="Arial" w:eastAsiaTheme="minorEastAsia" w:hAnsi="Arial" w:cs="Arial"/>
        </w:rPr>
        <w:t xml:space="preserve"> </w:t>
      </w:r>
      <w:r w:rsidRPr="005A5E12">
        <w:rPr>
          <w:rFonts w:ascii="Arial" w:eastAsiaTheme="minorEastAsia" w:hAnsi="Arial" w:cs="Arial"/>
        </w:rPr>
        <w:t>under framework reference number</w:t>
      </w:r>
      <w:r w:rsidR="002B01AF" w:rsidRPr="005A5E12">
        <w:rPr>
          <w:rFonts w:ascii="Arial" w:eastAsiaTheme="minorEastAsia" w:hAnsi="Arial" w:cs="Arial"/>
        </w:rPr>
        <w:t xml:space="preserve"> RM1054 MoD Technology, </w:t>
      </w:r>
      <w:r w:rsidRPr="005A5E12">
        <w:rPr>
          <w:rFonts w:ascii="Arial" w:eastAsiaTheme="minorEastAsia" w:hAnsi="Arial" w:cs="Arial"/>
        </w:rPr>
        <w:t>and the framework Terms and Conditions shall apply. A copy of the contract</w:t>
      </w:r>
      <w:r w:rsidR="0091493C">
        <w:rPr>
          <w:rFonts w:ascii="Arial" w:eastAsiaTheme="minorEastAsia" w:hAnsi="Arial" w:cs="Arial"/>
        </w:rPr>
        <w:t xml:space="preserve"> Statement of Requirements (Appendix B) is attached.</w:t>
      </w:r>
      <w:r w:rsidRPr="005A5E12">
        <w:rPr>
          <w:rFonts w:ascii="Arial" w:eastAsiaTheme="minorEastAsia" w:hAnsi="Arial" w:cs="Arial"/>
        </w:rPr>
        <w:t xml:space="preserve"> </w:t>
      </w:r>
    </w:p>
    <w:p w14:paraId="5CE845D7" w14:textId="77777777" w:rsidR="002B01AF" w:rsidRPr="005A5E12" w:rsidRDefault="002B01AF" w:rsidP="00F25935">
      <w:pPr>
        <w:spacing w:after="0" w:line="240" w:lineRule="auto"/>
        <w:jc w:val="both"/>
        <w:rPr>
          <w:rFonts w:ascii="Arial" w:eastAsiaTheme="minorEastAsia" w:hAnsi="Arial" w:cs="Arial"/>
        </w:rPr>
      </w:pPr>
    </w:p>
    <w:p w14:paraId="2EB01D2D" w14:textId="0118829A" w:rsidR="00785C69" w:rsidRPr="005A5E12" w:rsidRDefault="002B01AF" w:rsidP="00F25935">
      <w:pPr>
        <w:spacing w:after="0" w:line="240" w:lineRule="auto"/>
        <w:jc w:val="both"/>
        <w:rPr>
          <w:rFonts w:ascii="Arial" w:eastAsiaTheme="minorEastAsia" w:hAnsi="Arial" w:cs="Arial"/>
        </w:rPr>
      </w:pPr>
      <w:r w:rsidRPr="005A5E12">
        <w:rPr>
          <w:rFonts w:ascii="Arial" w:eastAsiaTheme="minorEastAsia" w:hAnsi="Arial" w:cs="Arial"/>
        </w:rPr>
        <w:t xml:space="preserve">Please complete and return the attached P2P template by </w:t>
      </w:r>
      <w:r w:rsidR="00BC67AE">
        <w:rPr>
          <w:rFonts w:ascii="Arial" w:eastAsiaTheme="minorEastAsia" w:hAnsi="Arial" w:cs="Arial"/>
        </w:rPr>
        <w:t>10</w:t>
      </w:r>
      <w:r w:rsidRPr="005A5E12">
        <w:rPr>
          <w:rFonts w:ascii="Arial" w:eastAsiaTheme="minorEastAsia" w:hAnsi="Arial" w:cs="Arial"/>
          <w:vertAlign w:val="superscript"/>
        </w:rPr>
        <w:t>th</w:t>
      </w:r>
      <w:r w:rsidRPr="005A5E12">
        <w:rPr>
          <w:rFonts w:ascii="Arial" w:eastAsiaTheme="minorEastAsia" w:hAnsi="Arial" w:cs="Arial"/>
        </w:rPr>
        <w:t xml:space="preserve"> October 2016.</w:t>
      </w:r>
    </w:p>
    <w:p w14:paraId="27BB8527" w14:textId="77777777" w:rsidR="00B56971" w:rsidRPr="005A5E12" w:rsidRDefault="00B56971" w:rsidP="00B56971">
      <w:pPr>
        <w:pStyle w:val="BasicParagraph"/>
        <w:tabs>
          <w:tab w:val="left" w:pos="567"/>
        </w:tabs>
        <w:spacing w:line="240" w:lineRule="auto"/>
        <w:jc w:val="both"/>
        <w:rPr>
          <w:rFonts w:ascii="Arial" w:hAnsi="Arial" w:cs="Arial"/>
          <w:color w:val="auto"/>
          <w:sz w:val="22"/>
          <w:szCs w:val="22"/>
        </w:rPr>
      </w:pPr>
    </w:p>
    <w:p w14:paraId="5FEFEF39" w14:textId="77777777" w:rsidR="00880B11" w:rsidRPr="005A5E12" w:rsidRDefault="003047BD" w:rsidP="003047BD">
      <w:pPr>
        <w:spacing w:after="0" w:line="240" w:lineRule="auto"/>
        <w:jc w:val="both"/>
        <w:rPr>
          <w:rFonts w:ascii="Arial" w:hAnsi="Arial" w:cs="Arial"/>
        </w:rPr>
      </w:pPr>
      <w:r w:rsidRPr="005A5E12">
        <w:rPr>
          <w:rFonts w:ascii="Arial" w:hAnsi="Arial" w:cs="Arial"/>
        </w:rPr>
        <w:t>Should you have any queries regarding this or any other matter please do not hesitate to contact me.</w:t>
      </w:r>
    </w:p>
    <w:p w14:paraId="12B9578B" w14:textId="77777777" w:rsidR="003047BD" w:rsidRPr="005A5E12" w:rsidRDefault="003047BD" w:rsidP="003047BD">
      <w:pPr>
        <w:spacing w:after="0" w:line="240" w:lineRule="auto"/>
        <w:jc w:val="both"/>
        <w:rPr>
          <w:rFonts w:ascii="Arial" w:hAnsi="Arial" w:cs="Arial"/>
        </w:rPr>
      </w:pPr>
    </w:p>
    <w:p w14:paraId="6B60304F" w14:textId="77777777" w:rsidR="0084655D" w:rsidRPr="005A5E12" w:rsidRDefault="0084655D" w:rsidP="0084655D">
      <w:pPr>
        <w:tabs>
          <w:tab w:val="center" w:pos="4513"/>
          <w:tab w:val="right" w:pos="9026"/>
        </w:tabs>
        <w:spacing w:after="120" w:line="240" w:lineRule="atLeast"/>
        <w:jc w:val="both"/>
        <w:rPr>
          <w:rFonts w:ascii="Arial" w:eastAsia="Times New Roman" w:hAnsi="Arial" w:cs="Arial"/>
          <w:lang w:eastAsia="en-GB"/>
        </w:rPr>
      </w:pPr>
      <w:r w:rsidRPr="005A5E12">
        <w:rPr>
          <w:rFonts w:ascii="Arial" w:eastAsia="Times New Roman" w:hAnsi="Arial" w:cs="Arial"/>
          <w:lang w:eastAsia="en-GB"/>
        </w:rPr>
        <w:t>Yours faithfully,</w:t>
      </w:r>
    </w:p>
    <w:tbl>
      <w:tblPr>
        <w:tblW w:w="0" w:type="auto"/>
        <w:tblInd w:w="108" w:type="dxa"/>
        <w:tblLayout w:type="fixed"/>
        <w:tblLook w:val="0000" w:firstRow="0" w:lastRow="0" w:firstColumn="0" w:lastColumn="0" w:noHBand="0" w:noVBand="0"/>
      </w:tblPr>
      <w:tblGrid>
        <w:gridCol w:w="10065"/>
        <w:gridCol w:w="249"/>
      </w:tblGrid>
      <w:tr w:rsidR="0084655D" w:rsidRPr="005A5E12" w14:paraId="54AB368E" w14:textId="77777777" w:rsidTr="00740BC3">
        <w:trPr>
          <w:cantSplit/>
        </w:trPr>
        <w:tc>
          <w:tcPr>
            <w:tcW w:w="10314" w:type="dxa"/>
            <w:gridSpan w:val="2"/>
          </w:tcPr>
          <w:p w14:paraId="3FDE77EB" w14:textId="79AF1178" w:rsidR="0084655D" w:rsidRPr="005A5E12" w:rsidRDefault="0084655D" w:rsidP="00CC15AD">
            <w:pPr>
              <w:spacing w:after="120" w:line="240" w:lineRule="atLeast"/>
              <w:ind w:right="3"/>
              <w:jc w:val="both"/>
              <w:rPr>
                <w:rFonts w:ascii="Arial" w:eastAsia="Times New Roman" w:hAnsi="Arial" w:cs="Arial"/>
              </w:rPr>
            </w:pPr>
            <w:r w:rsidRPr="005A5E12">
              <w:rPr>
                <w:rFonts w:ascii="Arial" w:eastAsia="Times New Roman" w:hAnsi="Arial" w:cs="Arial"/>
              </w:rPr>
              <w:t xml:space="preserve">Signed for and on behalf of </w:t>
            </w:r>
            <w:r w:rsidR="002B01AF" w:rsidRPr="005A5E12">
              <w:rPr>
                <w:rFonts w:ascii="Arial" w:eastAsia="Times New Roman" w:hAnsi="Arial" w:cs="Arial"/>
                <w:bCs/>
              </w:rPr>
              <w:t>MoD</w:t>
            </w:r>
          </w:p>
        </w:tc>
      </w:tr>
      <w:tr w:rsidR="00740BC3" w:rsidRPr="005A5E12" w14:paraId="706B5E0D" w14:textId="77777777" w:rsidTr="00740BC3">
        <w:tc>
          <w:tcPr>
            <w:tcW w:w="10065" w:type="dxa"/>
          </w:tcPr>
          <w:p w14:paraId="4758CAAA" w14:textId="5BE3A176" w:rsidR="0084655D" w:rsidRPr="005A5E12" w:rsidRDefault="0084655D" w:rsidP="006E43F2">
            <w:pPr>
              <w:spacing w:after="120" w:line="240" w:lineRule="atLeast"/>
              <w:ind w:right="3"/>
              <w:rPr>
                <w:rFonts w:ascii="Arial" w:eastAsia="Times New Roman" w:hAnsi="Arial" w:cs="Arial"/>
              </w:rPr>
            </w:pPr>
            <w:r w:rsidRPr="005A5E12">
              <w:rPr>
                <w:rFonts w:ascii="Arial" w:eastAsia="Times New Roman" w:hAnsi="Arial" w:cs="Arial"/>
              </w:rPr>
              <w:t xml:space="preserve">Name: </w:t>
            </w:r>
            <w:r w:rsidR="006E43F2">
              <w:rPr>
                <w:rFonts w:ascii="Arial" w:eastAsia="Times New Roman" w:hAnsi="Arial" w:cs="Arial"/>
              </w:rPr>
              <w:t>REDACTED</w:t>
            </w:r>
            <w:r w:rsidRPr="005A5E12">
              <w:rPr>
                <w:rFonts w:ascii="Arial" w:eastAsia="Times New Roman" w:hAnsi="Arial" w:cs="Arial"/>
              </w:rPr>
              <w:br/>
            </w:r>
            <w:r w:rsidR="002B01AF" w:rsidRPr="005A5E12">
              <w:rPr>
                <w:rFonts w:ascii="Arial" w:eastAsia="Times New Roman" w:hAnsi="Arial" w:cs="Arial"/>
              </w:rPr>
              <w:t>CCS Procurement Specialist</w:t>
            </w:r>
          </w:p>
        </w:tc>
        <w:tc>
          <w:tcPr>
            <w:tcW w:w="249" w:type="dxa"/>
          </w:tcPr>
          <w:p w14:paraId="3463B6DF" w14:textId="77777777" w:rsidR="0084655D" w:rsidRPr="005A5E12" w:rsidRDefault="0084655D" w:rsidP="0084655D">
            <w:pPr>
              <w:spacing w:after="120" w:line="240" w:lineRule="atLeast"/>
              <w:ind w:right="3"/>
              <w:rPr>
                <w:rFonts w:ascii="Arial" w:eastAsia="Times New Roman" w:hAnsi="Arial" w:cs="Arial"/>
              </w:rPr>
            </w:pPr>
          </w:p>
        </w:tc>
      </w:tr>
      <w:tr w:rsidR="00740BC3" w:rsidRPr="005A5E12" w14:paraId="095CB4D8" w14:textId="77777777" w:rsidTr="00740BC3">
        <w:tc>
          <w:tcPr>
            <w:tcW w:w="10065" w:type="dxa"/>
          </w:tcPr>
          <w:p w14:paraId="6BF131AD" w14:textId="77777777" w:rsidR="0084655D" w:rsidRPr="005A5E12" w:rsidRDefault="0084655D" w:rsidP="0084655D">
            <w:pPr>
              <w:spacing w:after="120" w:line="240" w:lineRule="atLeast"/>
              <w:ind w:right="3"/>
              <w:jc w:val="both"/>
              <w:rPr>
                <w:rFonts w:ascii="Arial" w:eastAsia="Times New Roman" w:hAnsi="Arial" w:cs="Arial"/>
              </w:rPr>
            </w:pPr>
            <w:r w:rsidRPr="005A5E12">
              <w:rPr>
                <w:rFonts w:ascii="Arial" w:eastAsia="Times New Roman" w:hAnsi="Arial" w:cs="Arial"/>
              </w:rPr>
              <w:t>Signature:</w:t>
            </w:r>
          </w:p>
          <w:p w14:paraId="532BA32F" w14:textId="17CFAF93" w:rsidR="002B01AF" w:rsidRPr="005A5E12" w:rsidRDefault="006E43F2" w:rsidP="0084655D">
            <w:pPr>
              <w:spacing w:after="120" w:line="240" w:lineRule="atLeast"/>
              <w:ind w:right="3"/>
              <w:jc w:val="both"/>
              <w:rPr>
                <w:rFonts w:ascii="Arial" w:eastAsia="Times New Roman" w:hAnsi="Arial" w:cs="Arial"/>
              </w:rPr>
            </w:pPr>
            <w:r>
              <w:rPr>
                <w:noProof/>
                <w:lang w:val="en-US"/>
              </w:rPr>
              <w:t>REDACTED</w:t>
            </w:r>
          </w:p>
        </w:tc>
        <w:tc>
          <w:tcPr>
            <w:tcW w:w="249" w:type="dxa"/>
          </w:tcPr>
          <w:p w14:paraId="4C202C9F" w14:textId="77777777" w:rsidR="0084655D" w:rsidRPr="005A5E12" w:rsidRDefault="0084655D" w:rsidP="0084655D">
            <w:pPr>
              <w:spacing w:after="120" w:line="240" w:lineRule="atLeast"/>
              <w:ind w:right="3"/>
              <w:jc w:val="both"/>
              <w:rPr>
                <w:rFonts w:ascii="Arial" w:eastAsia="Times New Roman" w:hAnsi="Arial" w:cs="Arial"/>
              </w:rPr>
            </w:pPr>
          </w:p>
        </w:tc>
      </w:tr>
      <w:tr w:rsidR="00740BC3" w:rsidRPr="0084655D" w14:paraId="5A21DA06" w14:textId="77777777" w:rsidTr="00740BC3">
        <w:tc>
          <w:tcPr>
            <w:tcW w:w="10065" w:type="dxa"/>
          </w:tcPr>
          <w:p w14:paraId="350F6CD7" w14:textId="786B741F" w:rsidR="0084655D" w:rsidRPr="005A5E12" w:rsidRDefault="0084655D" w:rsidP="00740BC3">
            <w:pPr>
              <w:spacing w:after="120" w:line="240" w:lineRule="atLeast"/>
              <w:ind w:right="6"/>
              <w:rPr>
                <w:rFonts w:ascii="Arial" w:eastAsia="Times New Roman" w:hAnsi="Arial" w:cs="Arial"/>
              </w:rPr>
            </w:pPr>
            <w:r w:rsidRPr="005A5E12">
              <w:rPr>
                <w:rFonts w:ascii="Arial" w:eastAsia="Times New Roman" w:hAnsi="Arial" w:cs="Arial"/>
              </w:rPr>
              <w:t>Date:</w:t>
            </w:r>
            <w:r w:rsidR="002B01AF" w:rsidRPr="005A5E12">
              <w:rPr>
                <w:rFonts w:ascii="Arial" w:eastAsia="Times New Roman" w:hAnsi="Arial" w:cs="Arial"/>
              </w:rPr>
              <w:t xml:space="preserve"> </w:t>
            </w:r>
            <w:r w:rsidR="006E43F2">
              <w:rPr>
                <w:rFonts w:ascii="Arial" w:eastAsia="Times New Roman" w:hAnsi="Arial" w:cs="Arial"/>
              </w:rPr>
              <w:t>REDACTED</w:t>
            </w:r>
          </w:p>
          <w:p w14:paraId="2BCF45EE" w14:textId="77777777" w:rsidR="002B01AF" w:rsidRDefault="002B01AF" w:rsidP="00740BC3">
            <w:pPr>
              <w:spacing w:after="120" w:line="240" w:lineRule="atLeast"/>
              <w:ind w:right="6"/>
              <w:rPr>
                <w:rFonts w:ascii="Arial" w:eastAsia="Times New Roman" w:hAnsi="Arial" w:cs="Arial"/>
              </w:rPr>
            </w:pPr>
          </w:p>
          <w:p w14:paraId="158F53F3" w14:textId="77777777" w:rsidR="006E43F2" w:rsidRDefault="006E43F2" w:rsidP="00740BC3">
            <w:pPr>
              <w:spacing w:after="120" w:line="240" w:lineRule="atLeast"/>
              <w:ind w:right="6"/>
              <w:rPr>
                <w:rFonts w:ascii="Arial" w:eastAsia="Times New Roman" w:hAnsi="Arial" w:cs="Arial"/>
              </w:rPr>
            </w:pPr>
          </w:p>
          <w:p w14:paraId="369457F0" w14:textId="77777777" w:rsidR="006E43F2" w:rsidRDefault="006E43F2" w:rsidP="00740BC3">
            <w:pPr>
              <w:spacing w:after="120" w:line="240" w:lineRule="atLeast"/>
              <w:ind w:right="6"/>
              <w:rPr>
                <w:rFonts w:ascii="Arial" w:eastAsia="Times New Roman" w:hAnsi="Arial" w:cs="Arial"/>
              </w:rPr>
            </w:pPr>
          </w:p>
          <w:p w14:paraId="73FE50AD" w14:textId="77777777" w:rsidR="006E43F2" w:rsidRDefault="006E43F2" w:rsidP="00740BC3">
            <w:pPr>
              <w:spacing w:after="120" w:line="240" w:lineRule="atLeast"/>
              <w:ind w:right="6"/>
              <w:rPr>
                <w:rFonts w:ascii="Arial" w:eastAsia="Times New Roman" w:hAnsi="Arial" w:cs="Arial"/>
              </w:rPr>
            </w:pPr>
          </w:p>
          <w:p w14:paraId="7E69E96A" w14:textId="77777777" w:rsidR="006E43F2" w:rsidRDefault="006E43F2" w:rsidP="00740BC3">
            <w:pPr>
              <w:spacing w:after="120" w:line="240" w:lineRule="atLeast"/>
              <w:ind w:right="6"/>
              <w:rPr>
                <w:rFonts w:ascii="Arial" w:eastAsia="Times New Roman" w:hAnsi="Arial" w:cs="Arial"/>
              </w:rPr>
            </w:pPr>
          </w:p>
          <w:p w14:paraId="402C8F5A" w14:textId="77777777" w:rsidR="006E43F2" w:rsidRDefault="006E43F2" w:rsidP="00740BC3">
            <w:pPr>
              <w:spacing w:after="120" w:line="240" w:lineRule="atLeast"/>
              <w:ind w:right="6"/>
              <w:rPr>
                <w:rFonts w:ascii="Arial" w:eastAsia="Times New Roman" w:hAnsi="Arial" w:cs="Arial"/>
              </w:rPr>
            </w:pPr>
          </w:p>
          <w:p w14:paraId="088455AD" w14:textId="77777777" w:rsidR="006E43F2" w:rsidRPr="005A5E12" w:rsidRDefault="006E43F2" w:rsidP="00740BC3">
            <w:pPr>
              <w:spacing w:after="120" w:line="240" w:lineRule="atLeast"/>
              <w:ind w:right="6"/>
              <w:rPr>
                <w:rFonts w:ascii="Arial" w:eastAsia="Times New Roman" w:hAnsi="Arial" w:cs="Arial"/>
              </w:rPr>
            </w:pPr>
          </w:p>
          <w:p w14:paraId="49BA7C6C" w14:textId="77777777" w:rsidR="002B01AF" w:rsidRPr="005A5E12" w:rsidRDefault="002B01AF" w:rsidP="00740BC3">
            <w:pPr>
              <w:spacing w:after="120" w:line="240" w:lineRule="atLeast"/>
              <w:ind w:right="6"/>
              <w:rPr>
                <w:rFonts w:ascii="Arial" w:eastAsia="Times New Roman" w:hAnsi="Arial" w:cs="Arial"/>
              </w:rPr>
            </w:pPr>
          </w:p>
          <w:p w14:paraId="12442795" w14:textId="77777777" w:rsidR="002B01AF" w:rsidRPr="005A5E12" w:rsidRDefault="002B01AF" w:rsidP="00740BC3">
            <w:pPr>
              <w:spacing w:after="120" w:line="240" w:lineRule="atLeast"/>
              <w:ind w:right="6"/>
              <w:rPr>
                <w:rFonts w:ascii="Arial" w:eastAsia="Times New Roman" w:hAnsi="Arial" w:cs="Arial"/>
              </w:rPr>
            </w:pPr>
          </w:p>
          <w:p w14:paraId="6E27EDD7" w14:textId="77777777" w:rsidR="00740BC3" w:rsidRPr="005A5E12" w:rsidRDefault="00740BC3" w:rsidP="00740BC3">
            <w:pPr>
              <w:spacing w:after="120" w:line="240" w:lineRule="atLeast"/>
              <w:ind w:right="6"/>
              <w:jc w:val="right"/>
              <w:rPr>
                <w:rFonts w:ascii="Arial" w:eastAsia="Times New Roman" w:hAnsi="Arial" w:cs="Arial"/>
              </w:rPr>
            </w:pPr>
            <w:r w:rsidRPr="005A5E12">
              <w:rPr>
                <w:rFonts w:ascii="Arial" w:eastAsia="Times New Roman" w:hAnsi="Arial" w:cs="Arial"/>
              </w:rPr>
              <w:lastRenderedPageBreak/>
              <w:t>CCIH16A33</w:t>
            </w:r>
          </w:p>
          <w:p w14:paraId="03FD73E4" w14:textId="2D53B51D" w:rsidR="00740BC3" w:rsidRPr="005A5E12" w:rsidRDefault="00740BC3" w:rsidP="00740BC3">
            <w:pPr>
              <w:spacing w:after="120" w:line="240" w:lineRule="atLeast"/>
              <w:ind w:right="6"/>
              <w:jc w:val="right"/>
              <w:rPr>
                <w:rFonts w:ascii="Arial" w:eastAsia="Times New Roman" w:hAnsi="Arial" w:cs="Arial"/>
              </w:rPr>
            </w:pPr>
            <w:r w:rsidRPr="005A5E12">
              <w:rPr>
                <w:rFonts w:ascii="Arial" w:eastAsia="Times New Roman" w:hAnsi="Arial" w:cs="Arial"/>
              </w:rPr>
              <w:t>APPENDIX B</w:t>
            </w:r>
          </w:p>
          <w:p w14:paraId="0CDC555B" w14:textId="77777777" w:rsidR="00740BC3" w:rsidRPr="005A5E12" w:rsidRDefault="00740BC3" w:rsidP="00740BC3">
            <w:pPr>
              <w:spacing w:after="120" w:line="240" w:lineRule="atLeast"/>
              <w:ind w:right="6"/>
              <w:jc w:val="right"/>
              <w:rPr>
                <w:rFonts w:ascii="Arial" w:eastAsia="Times New Roman" w:hAnsi="Arial" w:cs="Arial"/>
              </w:rPr>
            </w:pPr>
          </w:p>
          <w:p w14:paraId="0EA5ECDF" w14:textId="0E7CDEFD" w:rsidR="00740BC3" w:rsidRPr="005A5E12" w:rsidRDefault="00740BC3" w:rsidP="00740BC3">
            <w:pPr>
              <w:spacing w:after="120" w:line="240" w:lineRule="atLeast"/>
              <w:ind w:right="6"/>
              <w:jc w:val="center"/>
              <w:rPr>
                <w:rFonts w:ascii="Arial" w:eastAsia="Times New Roman" w:hAnsi="Arial" w:cs="Arial"/>
              </w:rPr>
            </w:pPr>
            <w:r w:rsidRPr="005A5E12">
              <w:rPr>
                <w:rFonts w:ascii="Arial" w:eastAsia="Times New Roman" w:hAnsi="Arial" w:cs="Arial"/>
              </w:rPr>
              <w:t>STATEMENT OF REQUIREMENTS</w:t>
            </w:r>
          </w:p>
          <w:p w14:paraId="67833752" w14:textId="6038F435" w:rsidR="00740BC3" w:rsidRPr="005A5E12" w:rsidRDefault="00740BC3" w:rsidP="00740BC3">
            <w:pPr>
              <w:spacing w:after="120" w:line="240" w:lineRule="atLeast"/>
              <w:ind w:right="6"/>
              <w:jc w:val="center"/>
              <w:rPr>
                <w:rFonts w:ascii="Arial" w:eastAsia="Times New Roman" w:hAnsi="Arial" w:cs="Arial"/>
              </w:rPr>
            </w:pPr>
            <w:r w:rsidRPr="005A5E12">
              <w:rPr>
                <w:rFonts w:ascii="Arial" w:eastAsia="Times New Roman" w:hAnsi="Arial" w:cs="Arial"/>
              </w:rPr>
              <w:t>PROVSION OF HARDWARE, SOFTWARE, TRAINING AND SUPPORT</w:t>
            </w:r>
          </w:p>
          <w:p w14:paraId="2FAD4F91" w14:textId="77777777" w:rsidR="00740BC3" w:rsidRPr="005A5E12" w:rsidRDefault="00740BC3" w:rsidP="00740BC3">
            <w:pPr>
              <w:pStyle w:val="Heading1"/>
              <w:numPr>
                <w:ilvl w:val="0"/>
                <w:numId w:val="8"/>
              </w:numPr>
              <w:tabs>
                <w:tab w:val="clear" w:pos="720"/>
              </w:tabs>
              <w:overflowPunct w:val="0"/>
              <w:autoSpaceDE w:val="0"/>
              <w:autoSpaceDN w:val="0"/>
              <w:spacing w:after="120"/>
              <w:jc w:val="left"/>
              <w:textAlignment w:val="baseline"/>
              <w:rPr>
                <w:szCs w:val="22"/>
              </w:rPr>
            </w:pPr>
            <w:bookmarkStart w:id="3" w:name="_Toc368573027"/>
            <w:bookmarkStart w:id="4" w:name="_Toc444518866"/>
            <w:r w:rsidRPr="005A5E12">
              <w:rPr>
                <w:caps w:val="0"/>
                <w:szCs w:val="22"/>
              </w:rPr>
              <w:t>PURPOSE</w:t>
            </w:r>
            <w:bookmarkEnd w:id="3"/>
            <w:bookmarkEnd w:id="4"/>
          </w:p>
          <w:p w14:paraId="26D22B58" w14:textId="77777777" w:rsidR="00740BC3" w:rsidRPr="005A5E12" w:rsidRDefault="00740BC3" w:rsidP="00740BC3">
            <w:pPr>
              <w:pStyle w:val="Heading2"/>
              <w:jc w:val="left"/>
            </w:pPr>
            <w:bookmarkStart w:id="5" w:name="_Toc296415791"/>
            <w:r w:rsidRPr="005A5E12">
              <w:t xml:space="preserve">The MOD </w:t>
            </w:r>
            <w:proofErr w:type="gramStart"/>
            <w:r w:rsidRPr="005A5E12">
              <w:t>are</w:t>
            </w:r>
            <w:proofErr w:type="gramEnd"/>
            <w:r w:rsidRPr="005A5E12">
              <w:t xml:space="preserve"> inviting bids for the provision of Hardware, Software, Training and Support Services to enable </w:t>
            </w:r>
            <w:r w:rsidRPr="005A5E12">
              <w:rPr>
                <w:szCs w:val="22"/>
              </w:rPr>
              <w:t>a BIM trials team to be formed. This will enable the authority to understand how IOC and FOC Level 2 BIM compliance might be achieved.</w:t>
            </w:r>
          </w:p>
          <w:p w14:paraId="67D59540" w14:textId="77777777" w:rsidR="00740BC3" w:rsidRPr="005A5E12" w:rsidRDefault="00740BC3" w:rsidP="00740BC3">
            <w:pPr>
              <w:pStyle w:val="Heading1"/>
              <w:tabs>
                <w:tab w:val="clear" w:pos="720"/>
              </w:tabs>
              <w:overflowPunct w:val="0"/>
              <w:autoSpaceDE w:val="0"/>
              <w:autoSpaceDN w:val="0"/>
              <w:spacing w:after="120"/>
              <w:jc w:val="left"/>
              <w:textAlignment w:val="baseline"/>
              <w:rPr>
                <w:szCs w:val="22"/>
              </w:rPr>
            </w:pPr>
            <w:bookmarkStart w:id="6" w:name="_Toc297554773"/>
            <w:bookmarkStart w:id="7" w:name="_Toc368573029"/>
            <w:bookmarkStart w:id="8" w:name="_Toc444518868"/>
            <w:bookmarkStart w:id="9" w:name="_Toc296415805"/>
            <w:bookmarkStart w:id="10" w:name="_Toc296415793"/>
            <w:bookmarkEnd w:id="5"/>
            <w:r w:rsidRPr="005A5E12">
              <w:rPr>
                <w:szCs w:val="22"/>
              </w:rPr>
              <w:t>Background to requirement/OVERVIEW</w:t>
            </w:r>
            <w:bookmarkEnd w:id="6"/>
            <w:r w:rsidRPr="005A5E12">
              <w:rPr>
                <w:szCs w:val="22"/>
              </w:rPr>
              <w:t xml:space="preserve"> of requirement</w:t>
            </w:r>
            <w:bookmarkEnd w:id="7"/>
            <w:bookmarkEnd w:id="8"/>
          </w:p>
          <w:p w14:paraId="07CBA0A1" w14:textId="77777777" w:rsidR="00740BC3" w:rsidRPr="005A5E12" w:rsidRDefault="00740BC3" w:rsidP="00740BC3">
            <w:pPr>
              <w:pStyle w:val="Heading2"/>
              <w:jc w:val="left"/>
            </w:pPr>
            <w:bookmarkStart w:id="11" w:name="_Toc444518869"/>
            <w:bookmarkStart w:id="12" w:name="_Toc297554774"/>
            <w:bookmarkStart w:id="13" w:name="_Toc368573030"/>
            <w:bookmarkEnd w:id="9"/>
            <w:r w:rsidRPr="005A5E12">
              <w:t>BIM adoption is as significant a transition as that from pencil and paper to Computer Aided Design. It is a process that involves creating and using an intelligent 3D model to inform and communicate project decisions. The civilian targets for BIM are a 33% reduction in the cost of construction and whole life costs, and a 50% reduction in the overall time, from inception to completion.</w:t>
            </w:r>
          </w:p>
          <w:p w14:paraId="29DDF4F1" w14:textId="77777777" w:rsidR="00740BC3" w:rsidRPr="005A5E12" w:rsidRDefault="00740BC3" w:rsidP="00740BC3">
            <w:pPr>
              <w:pStyle w:val="Heading2"/>
              <w:jc w:val="left"/>
            </w:pPr>
            <w:r w:rsidRPr="005A5E12">
              <w:t>The Government Construction Strategy [1] sets out the direction for all public sector building projects to be Level 2 BIM-compliant by 1 Jan 16 [2</w:t>
            </w:r>
            <w:proofErr w:type="gramStart"/>
            <w:r w:rsidRPr="005A5E12">
              <w:t>] .</w:t>
            </w:r>
            <w:proofErr w:type="gramEnd"/>
            <w:r w:rsidRPr="005A5E12">
              <w:t xml:space="preserve"> The construction industry is rapidly embracing BIM, partly to ensure they are still able to tender for public sector contracts but more importantly, to improve their efficiency and produce better products. The Corps of Royal Engineers (RE) need to take action immediately to ensure they have even the smallest and most tenuous BIM compliant solution within this timeline. This solution will be confined to 170 (Infra </w:t>
            </w:r>
            <w:proofErr w:type="spellStart"/>
            <w:r w:rsidRPr="005A5E12">
              <w:t>Sp</w:t>
            </w:r>
            <w:proofErr w:type="spellEnd"/>
            <w:r w:rsidRPr="005A5E12">
              <w:t xml:space="preserve">) </w:t>
            </w:r>
            <w:proofErr w:type="spellStart"/>
            <w:r w:rsidRPr="005A5E12">
              <w:t>Engr</w:t>
            </w:r>
            <w:proofErr w:type="spellEnd"/>
            <w:r w:rsidRPr="005A5E12">
              <w:t xml:space="preserve"> </w:t>
            </w:r>
            <w:proofErr w:type="spellStart"/>
            <w:r w:rsidRPr="005A5E12">
              <w:t>Gp</w:t>
            </w:r>
            <w:proofErr w:type="spellEnd"/>
            <w:r w:rsidRPr="005A5E12">
              <w:t xml:space="preserve"> in the short term until Capability Directorate Combat Support addresses the capability gap within the wider Corps. A trial is required to understand how IOC and FOC Level 2 BIM compliance might be achieved.</w:t>
            </w:r>
          </w:p>
          <w:p w14:paraId="430A7AB9" w14:textId="77777777" w:rsidR="00740BC3" w:rsidRPr="005A5E12" w:rsidRDefault="00740BC3" w:rsidP="00740BC3">
            <w:pPr>
              <w:pStyle w:val="Heading2"/>
              <w:jc w:val="left"/>
            </w:pPr>
            <w:r w:rsidRPr="005A5E12">
              <w:t>The Government Construction Strategy states that in order to minimise costs to HMG, public money will not be spent on non-BIM compliant projects after 1 Jan 2016. This has a significant impact on the RE as Joint Force Enabling Exercises and other projects using public money will not be funded. It is not yet clear how the Government Construction Strategy will be interpreted by PJHQ for military operations. In due course, all construction output from the RE must be BIM-compliant.</w:t>
            </w:r>
          </w:p>
          <w:p w14:paraId="0412D564" w14:textId="77777777" w:rsidR="00740BC3" w:rsidRPr="005A5E12" w:rsidRDefault="00740BC3" w:rsidP="00740BC3">
            <w:pPr>
              <w:pStyle w:val="Heading2"/>
              <w:jc w:val="left"/>
            </w:pPr>
            <w:r w:rsidRPr="005A5E12">
              <w:t xml:space="preserve">Commander 170 (Infra </w:t>
            </w:r>
            <w:proofErr w:type="spellStart"/>
            <w:r w:rsidRPr="005A5E12">
              <w:t>Sp</w:t>
            </w:r>
            <w:proofErr w:type="spellEnd"/>
            <w:r w:rsidRPr="005A5E12">
              <w:t xml:space="preserve">) </w:t>
            </w:r>
            <w:proofErr w:type="spellStart"/>
            <w:r w:rsidRPr="005A5E12">
              <w:t>Engr</w:t>
            </w:r>
            <w:proofErr w:type="spellEnd"/>
            <w:r w:rsidRPr="005A5E12">
              <w:t xml:space="preserve"> </w:t>
            </w:r>
            <w:proofErr w:type="spellStart"/>
            <w:r w:rsidRPr="005A5E12">
              <w:t>Gp</w:t>
            </w:r>
            <w:proofErr w:type="spellEnd"/>
            <w:r w:rsidRPr="005A5E12">
              <w:t xml:space="preserve"> has directed through his Infrastructure Capability Change Programme (ICCP) that 66 Works Group (</w:t>
            </w:r>
            <w:proofErr w:type="spellStart"/>
            <w:r w:rsidRPr="005A5E12">
              <w:t>Wks</w:t>
            </w:r>
            <w:proofErr w:type="spellEnd"/>
            <w:r w:rsidRPr="005A5E12">
              <w:t xml:space="preserve"> </w:t>
            </w:r>
            <w:proofErr w:type="spellStart"/>
            <w:r w:rsidRPr="005A5E12">
              <w:t>Gp</w:t>
            </w:r>
            <w:proofErr w:type="spellEnd"/>
            <w:r w:rsidRPr="005A5E12">
              <w:t xml:space="preserve">) RE are to undertake a project to investigate and recommend how BIM can be adopted by 170 (Infra </w:t>
            </w:r>
            <w:proofErr w:type="spellStart"/>
            <w:r w:rsidRPr="005A5E12">
              <w:t>Sp</w:t>
            </w:r>
            <w:proofErr w:type="spellEnd"/>
            <w:r w:rsidRPr="005A5E12">
              <w:t xml:space="preserve">) </w:t>
            </w:r>
            <w:proofErr w:type="spellStart"/>
            <w:r w:rsidRPr="005A5E12">
              <w:t>Engr</w:t>
            </w:r>
            <w:proofErr w:type="spellEnd"/>
            <w:r w:rsidRPr="005A5E12">
              <w:t xml:space="preserve"> </w:t>
            </w:r>
            <w:proofErr w:type="spellStart"/>
            <w:r w:rsidRPr="005A5E12">
              <w:t>Gp</w:t>
            </w:r>
            <w:proofErr w:type="spellEnd"/>
            <w:r w:rsidRPr="005A5E12">
              <w:t xml:space="preserve"> in order to improve delivery of infrastructure engineering projects.</w:t>
            </w:r>
          </w:p>
          <w:p w14:paraId="61910A0F" w14:textId="77777777" w:rsidR="00740BC3" w:rsidRPr="005A5E12" w:rsidRDefault="00740BC3" w:rsidP="00740BC3">
            <w:pPr>
              <w:pStyle w:val="Heading2"/>
              <w:jc w:val="left"/>
            </w:pPr>
            <w:r w:rsidRPr="005A5E12">
              <w:t xml:space="preserve">A BIM trials team needs to be formed, training conducted and software procured in order for an initial BIM trial to be conducted. The trial will ensure that a single small team within 170 (Infra </w:t>
            </w:r>
            <w:proofErr w:type="spellStart"/>
            <w:r w:rsidRPr="005A5E12">
              <w:t>Sp</w:t>
            </w:r>
            <w:proofErr w:type="spellEnd"/>
            <w:r w:rsidRPr="005A5E12">
              <w:t xml:space="preserve">) </w:t>
            </w:r>
            <w:proofErr w:type="spellStart"/>
            <w:r w:rsidRPr="005A5E12">
              <w:t>Engr</w:t>
            </w:r>
            <w:proofErr w:type="spellEnd"/>
            <w:r w:rsidRPr="005A5E12">
              <w:t xml:space="preserve"> </w:t>
            </w:r>
            <w:proofErr w:type="spellStart"/>
            <w:r w:rsidRPr="005A5E12">
              <w:t>Gp</w:t>
            </w:r>
            <w:proofErr w:type="spellEnd"/>
            <w:r w:rsidRPr="005A5E12">
              <w:t xml:space="preserve"> are BIM compliant. This in no way makes the whole of 170 (Infra </w:t>
            </w:r>
            <w:proofErr w:type="spellStart"/>
            <w:r w:rsidRPr="005A5E12">
              <w:t>Sp</w:t>
            </w:r>
            <w:proofErr w:type="spellEnd"/>
            <w:r w:rsidRPr="005A5E12">
              <w:t xml:space="preserve">) </w:t>
            </w:r>
            <w:proofErr w:type="spellStart"/>
            <w:r w:rsidRPr="005A5E12">
              <w:t>Engr</w:t>
            </w:r>
            <w:proofErr w:type="spellEnd"/>
            <w:r w:rsidRPr="005A5E12">
              <w:t xml:space="preserve"> </w:t>
            </w:r>
            <w:proofErr w:type="spellStart"/>
            <w:r w:rsidRPr="005A5E12">
              <w:t>Gp</w:t>
            </w:r>
            <w:proofErr w:type="spellEnd"/>
            <w:r w:rsidRPr="005A5E12">
              <w:t xml:space="preserve"> compliant; significant additional investment will be required. The trial will define what the cost-effective skeleton BIM solution should be and inform the Initial Operating Capability (IOC) and Full Operation Capability (FOC) for CD CS (Mil </w:t>
            </w:r>
            <w:proofErr w:type="spellStart"/>
            <w:r w:rsidRPr="005A5E12">
              <w:t>Eng</w:t>
            </w:r>
            <w:proofErr w:type="spellEnd"/>
            <w:r w:rsidRPr="005A5E12">
              <w:t>).</w:t>
            </w:r>
            <w:r w:rsidRPr="005A5E12">
              <w:br/>
            </w:r>
            <w:r w:rsidRPr="005A5E12">
              <w:lastRenderedPageBreak/>
              <w:br/>
            </w:r>
            <w:r w:rsidRPr="005A5E12">
              <w:br/>
            </w:r>
          </w:p>
          <w:p w14:paraId="143BCC26" w14:textId="77777777" w:rsidR="00740BC3" w:rsidRPr="005A5E12" w:rsidRDefault="00740BC3" w:rsidP="00740BC3">
            <w:pPr>
              <w:pStyle w:val="Heading1"/>
              <w:jc w:val="left"/>
              <w:rPr>
                <w:szCs w:val="22"/>
              </w:rPr>
            </w:pPr>
            <w:r w:rsidRPr="005A5E12">
              <w:rPr>
                <w:szCs w:val="22"/>
              </w:rPr>
              <w:t>definitions</w:t>
            </w:r>
            <w:bookmarkEnd w:id="11"/>
            <w:r w:rsidRPr="005A5E12">
              <w:rPr>
                <w:szCs w:val="22"/>
              </w:rPr>
              <w:t xml:space="preserve"> </w:t>
            </w:r>
          </w:p>
          <w:tbl>
            <w:tblPr>
              <w:tblStyle w:val="TableGrid"/>
              <w:tblW w:w="0" w:type="auto"/>
              <w:tblInd w:w="720" w:type="dxa"/>
              <w:tblLayout w:type="fixed"/>
              <w:tblLook w:val="04A0" w:firstRow="1" w:lastRow="0" w:firstColumn="1" w:lastColumn="0" w:noHBand="0" w:noVBand="1"/>
            </w:tblPr>
            <w:tblGrid>
              <w:gridCol w:w="1827"/>
              <w:gridCol w:w="6472"/>
            </w:tblGrid>
            <w:tr w:rsidR="00740BC3" w:rsidRPr="005A5E12" w14:paraId="21BA31AC" w14:textId="77777777" w:rsidTr="00740BC3">
              <w:tc>
                <w:tcPr>
                  <w:tcW w:w="1827" w:type="dxa"/>
                  <w:shd w:val="clear" w:color="auto" w:fill="D5DCE4" w:themeFill="text2" w:themeFillTint="33"/>
                </w:tcPr>
                <w:p w14:paraId="55139A75" w14:textId="77777777" w:rsidR="00740BC3" w:rsidRPr="005A5E12" w:rsidRDefault="00740BC3" w:rsidP="00740BC3">
                  <w:pPr>
                    <w:pStyle w:val="Heading2"/>
                    <w:numPr>
                      <w:ilvl w:val="0"/>
                      <w:numId w:val="0"/>
                    </w:numPr>
                    <w:spacing w:after="120"/>
                    <w:ind w:left="18" w:hanging="18"/>
                    <w:jc w:val="left"/>
                    <w:outlineLvl w:val="1"/>
                  </w:pPr>
                  <w:r w:rsidRPr="005A5E12">
                    <w:t>Expression or Acronym</w:t>
                  </w:r>
                </w:p>
              </w:tc>
              <w:tc>
                <w:tcPr>
                  <w:tcW w:w="6472" w:type="dxa"/>
                  <w:shd w:val="clear" w:color="auto" w:fill="D5DCE4" w:themeFill="text2" w:themeFillTint="33"/>
                </w:tcPr>
                <w:p w14:paraId="6C194D5F" w14:textId="77777777" w:rsidR="00740BC3" w:rsidRPr="005A5E12" w:rsidRDefault="00740BC3" w:rsidP="00740BC3">
                  <w:pPr>
                    <w:pStyle w:val="Heading2"/>
                    <w:numPr>
                      <w:ilvl w:val="0"/>
                      <w:numId w:val="0"/>
                    </w:numPr>
                    <w:spacing w:after="120"/>
                    <w:ind w:left="720" w:hanging="720"/>
                    <w:jc w:val="left"/>
                    <w:outlineLvl w:val="1"/>
                  </w:pPr>
                  <w:r w:rsidRPr="005A5E12">
                    <w:t>Definition</w:t>
                  </w:r>
                </w:p>
              </w:tc>
            </w:tr>
            <w:tr w:rsidR="00740BC3" w:rsidRPr="005A5E12" w14:paraId="0EC9BF1E" w14:textId="77777777" w:rsidTr="00740BC3">
              <w:tc>
                <w:tcPr>
                  <w:tcW w:w="1827" w:type="dxa"/>
                </w:tcPr>
                <w:p w14:paraId="7F104635" w14:textId="77777777" w:rsidR="00740BC3" w:rsidRPr="005A5E12" w:rsidRDefault="00740BC3" w:rsidP="00740BC3">
                  <w:pPr>
                    <w:pStyle w:val="Heading2"/>
                    <w:numPr>
                      <w:ilvl w:val="0"/>
                      <w:numId w:val="0"/>
                    </w:numPr>
                    <w:spacing w:after="120"/>
                    <w:ind w:left="720" w:hanging="720"/>
                    <w:jc w:val="left"/>
                    <w:outlineLvl w:val="1"/>
                  </w:pPr>
                  <w:r w:rsidRPr="005A5E12">
                    <w:t>MOD</w:t>
                  </w:r>
                </w:p>
              </w:tc>
              <w:tc>
                <w:tcPr>
                  <w:tcW w:w="6472" w:type="dxa"/>
                </w:tcPr>
                <w:p w14:paraId="2E625E55" w14:textId="77777777" w:rsidR="00740BC3" w:rsidRPr="005A5E12" w:rsidRDefault="00740BC3" w:rsidP="00740BC3">
                  <w:pPr>
                    <w:pStyle w:val="Heading2"/>
                    <w:numPr>
                      <w:ilvl w:val="0"/>
                      <w:numId w:val="0"/>
                    </w:numPr>
                    <w:spacing w:after="120"/>
                    <w:jc w:val="left"/>
                    <w:outlineLvl w:val="1"/>
                  </w:pPr>
                  <w:r w:rsidRPr="005A5E12">
                    <w:t>The Ministry of Defence</w:t>
                  </w:r>
                </w:p>
              </w:tc>
            </w:tr>
            <w:tr w:rsidR="00740BC3" w:rsidRPr="005A5E12" w14:paraId="50BFB1C2" w14:textId="77777777" w:rsidTr="00740BC3">
              <w:tc>
                <w:tcPr>
                  <w:tcW w:w="1827" w:type="dxa"/>
                </w:tcPr>
                <w:p w14:paraId="6CB5AC60" w14:textId="77777777" w:rsidR="00740BC3" w:rsidRPr="005A5E12" w:rsidRDefault="00740BC3" w:rsidP="00740BC3">
                  <w:pPr>
                    <w:pStyle w:val="Heading2"/>
                    <w:numPr>
                      <w:ilvl w:val="0"/>
                      <w:numId w:val="0"/>
                    </w:numPr>
                    <w:spacing w:after="120"/>
                    <w:ind w:left="720" w:hanging="720"/>
                    <w:jc w:val="left"/>
                    <w:outlineLvl w:val="1"/>
                  </w:pPr>
                  <w:r w:rsidRPr="005A5E12">
                    <w:t>IOC</w:t>
                  </w:r>
                </w:p>
              </w:tc>
              <w:tc>
                <w:tcPr>
                  <w:tcW w:w="6472" w:type="dxa"/>
                </w:tcPr>
                <w:p w14:paraId="10A2CDD9" w14:textId="77777777" w:rsidR="00740BC3" w:rsidRPr="005A5E12" w:rsidRDefault="00740BC3" w:rsidP="00740BC3">
                  <w:pPr>
                    <w:pStyle w:val="Heading2"/>
                    <w:numPr>
                      <w:ilvl w:val="0"/>
                      <w:numId w:val="0"/>
                    </w:numPr>
                    <w:spacing w:after="120"/>
                    <w:jc w:val="left"/>
                    <w:outlineLvl w:val="1"/>
                  </w:pPr>
                  <w:r w:rsidRPr="005A5E12">
                    <w:t>Initial Operating Capability</w:t>
                  </w:r>
                </w:p>
              </w:tc>
            </w:tr>
            <w:tr w:rsidR="00740BC3" w:rsidRPr="005A5E12" w14:paraId="18584B5D" w14:textId="77777777" w:rsidTr="00740BC3">
              <w:tc>
                <w:tcPr>
                  <w:tcW w:w="1827" w:type="dxa"/>
                </w:tcPr>
                <w:p w14:paraId="65133498" w14:textId="77777777" w:rsidR="00740BC3" w:rsidRPr="005A5E12" w:rsidRDefault="00740BC3" w:rsidP="00740BC3">
                  <w:pPr>
                    <w:pStyle w:val="Heading2"/>
                    <w:numPr>
                      <w:ilvl w:val="0"/>
                      <w:numId w:val="0"/>
                    </w:numPr>
                    <w:spacing w:after="120"/>
                    <w:jc w:val="left"/>
                    <w:outlineLvl w:val="1"/>
                  </w:pPr>
                  <w:r w:rsidRPr="005A5E12">
                    <w:t>FOC</w:t>
                  </w:r>
                </w:p>
              </w:tc>
              <w:tc>
                <w:tcPr>
                  <w:tcW w:w="6472" w:type="dxa"/>
                </w:tcPr>
                <w:p w14:paraId="2CD5923F" w14:textId="77777777" w:rsidR="00740BC3" w:rsidRPr="005A5E12" w:rsidRDefault="00740BC3" w:rsidP="00740BC3">
                  <w:pPr>
                    <w:pStyle w:val="Heading2"/>
                    <w:numPr>
                      <w:ilvl w:val="0"/>
                      <w:numId w:val="0"/>
                    </w:numPr>
                    <w:spacing w:after="120"/>
                    <w:ind w:left="720" w:hanging="720"/>
                    <w:jc w:val="left"/>
                    <w:outlineLvl w:val="1"/>
                  </w:pPr>
                  <w:r w:rsidRPr="005A5E12">
                    <w:t>Full Operation Capability</w:t>
                  </w:r>
                </w:p>
              </w:tc>
            </w:tr>
            <w:tr w:rsidR="00740BC3" w:rsidRPr="005A5E12" w14:paraId="432309E3" w14:textId="77777777" w:rsidTr="00740BC3">
              <w:tc>
                <w:tcPr>
                  <w:tcW w:w="1827" w:type="dxa"/>
                </w:tcPr>
                <w:p w14:paraId="0E4FE569" w14:textId="77777777" w:rsidR="00740BC3" w:rsidRPr="005A5E12" w:rsidRDefault="00740BC3" w:rsidP="00740BC3">
                  <w:pPr>
                    <w:pStyle w:val="Heading2"/>
                    <w:numPr>
                      <w:ilvl w:val="0"/>
                      <w:numId w:val="0"/>
                    </w:numPr>
                    <w:spacing w:after="120"/>
                    <w:ind w:left="720" w:hanging="720"/>
                    <w:jc w:val="left"/>
                    <w:outlineLvl w:val="1"/>
                  </w:pPr>
                  <w:r w:rsidRPr="005A5E12">
                    <w:t>BIM</w:t>
                  </w:r>
                </w:p>
              </w:tc>
              <w:tc>
                <w:tcPr>
                  <w:tcW w:w="6472" w:type="dxa"/>
                </w:tcPr>
                <w:p w14:paraId="2A20B095" w14:textId="77777777" w:rsidR="00740BC3" w:rsidRPr="005A5E12" w:rsidRDefault="00740BC3" w:rsidP="00740BC3">
                  <w:pPr>
                    <w:pStyle w:val="Heading2"/>
                    <w:numPr>
                      <w:ilvl w:val="0"/>
                      <w:numId w:val="0"/>
                    </w:numPr>
                    <w:spacing w:after="120"/>
                    <w:jc w:val="left"/>
                    <w:outlineLvl w:val="1"/>
                  </w:pPr>
                  <w:r w:rsidRPr="005A5E12">
                    <w:t>Building Information Modelling</w:t>
                  </w:r>
                </w:p>
              </w:tc>
            </w:tr>
            <w:tr w:rsidR="00740BC3" w:rsidRPr="005A5E12" w14:paraId="74CA9B19" w14:textId="77777777" w:rsidTr="00740BC3">
              <w:tc>
                <w:tcPr>
                  <w:tcW w:w="1827" w:type="dxa"/>
                </w:tcPr>
                <w:p w14:paraId="323F276D" w14:textId="77777777" w:rsidR="00740BC3" w:rsidRPr="005A5E12" w:rsidRDefault="00740BC3" w:rsidP="00740BC3">
                  <w:pPr>
                    <w:pStyle w:val="Heading2"/>
                    <w:numPr>
                      <w:ilvl w:val="0"/>
                      <w:numId w:val="0"/>
                    </w:numPr>
                    <w:spacing w:after="120"/>
                    <w:ind w:left="720" w:hanging="720"/>
                    <w:jc w:val="left"/>
                    <w:outlineLvl w:val="1"/>
                  </w:pPr>
                  <w:r w:rsidRPr="005A5E12">
                    <w:t>RE</w:t>
                  </w:r>
                </w:p>
              </w:tc>
              <w:tc>
                <w:tcPr>
                  <w:tcW w:w="6472" w:type="dxa"/>
                </w:tcPr>
                <w:p w14:paraId="3BD851E5" w14:textId="77777777" w:rsidR="00740BC3" w:rsidRPr="005A5E12" w:rsidRDefault="00740BC3" w:rsidP="00740BC3">
                  <w:pPr>
                    <w:pStyle w:val="Heading2"/>
                    <w:numPr>
                      <w:ilvl w:val="0"/>
                      <w:numId w:val="0"/>
                    </w:numPr>
                    <w:spacing w:after="120"/>
                    <w:jc w:val="left"/>
                    <w:outlineLvl w:val="1"/>
                  </w:pPr>
                  <w:r w:rsidRPr="005A5E12">
                    <w:t>Royal Engineers</w:t>
                  </w:r>
                </w:p>
              </w:tc>
            </w:tr>
            <w:tr w:rsidR="00740BC3" w:rsidRPr="005A5E12" w14:paraId="1ABC2BF1" w14:textId="77777777" w:rsidTr="00740BC3">
              <w:tc>
                <w:tcPr>
                  <w:tcW w:w="1827" w:type="dxa"/>
                </w:tcPr>
                <w:p w14:paraId="1BAD1747" w14:textId="77777777" w:rsidR="00740BC3" w:rsidRPr="005A5E12" w:rsidRDefault="00740BC3" w:rsidP="00740BC3">
                  <w:pPr>
                    <w:pStyle w:val="Heading2"/>
                    <w:numPr>
                      <w:ilvl w:val="0"/>
                      <w:numId w:val="0"/>
                    </w:numPr>
                    <w:spacing w:after="120"/>
                    <w:ind w:left="720" w:hanging="720"/>
                    <w:jc w:val="left"/>
                    <w:outlineLvl w:val="1"/>
                  </w:pPr>
                  <w:r w:rsidRPr="005A5E12">
                    <w:t>HMG</w:t>
                  </w:r>
                </w:p>
              </w:tc>
              <w:tc>
                <w:tcPr>
                  <w:tcW w:w="6472" w:type="dxa"/>
                </w:tcPr>
                <w:p w14:paraId="5A62C8BF" w14:textId="77777777" w:rsidR="00740BC3" w:rsidRPr="005A5E12" w:rsidRDefault="00740BC3" w:rsidP="00740BC3">
                  <w:pPr>
                    <w:pStyle w:val="Heading2"/>
                    <w:numPr>
                      <w:ilvl w:val="0"/>
                      <w:numId w:val="0"/>
                    </w:numPr>
                    <w:spacing w:after="120"/>
                    <w:jc w:val="left"/>
                    <w:outlineLvl w:val="1"/>
                  </w:pPr>
                  <w:r w:rsidRPr="005A5E12">
                    <w:t>Her Majesty’s Government</w:t>
                  </w:r>
                </w:p>
              </w:tc>
            </w:tr>
            <w:tr w:rsidR="00740BC3" w:rsidRPr="005A5E12" w14:paraId="483DFEBA" w14:textId="77777777" w:rsidTr="00740BC3">
              <w:tc>
                <w:tcPr>
                  <w:tcW w:w="1827" w:type="dxa"/>
                </w:tcPr>
                <w:p w14:paraId="3FEE8D40" w14:textId="77777777" w:rsidR="00740BC3" w:rsidRPr="005A5E12" w:rsidRDefault="00740BC3" w:rsidP="00740BC3">
                  <w:pPr>
                    <w:pStyle w:val="Heading2"/>
                    <w:numPr>
                      <w:ilvl w:val="0"/>
                      <w:numId w:val="0"/>
                    </w:numPr>
                    <w:spacing w:after="120"/>
                    <w:ind w:left="720" w:hanging="720"/>
                    <w:jc w:val="left"/>
                    <w:outlineLvl w:val="1"/>
                  </w:pPr>
                  <w:r w:rsidRPr="005A5E12">
                    <w:t>PJHQ</w:t>
                  </w:r>
                </w:p>
              </w:tc>
              <w:tc>
                <w:tcPr>
                  <w:tcW w:w="6472" w:type="dxa"/>
                </w:tcPr>
                <w:p w14:paraId="3DAD9BC7" w14:textId="77777777" w:rsidR="00740BC3" w:rsidRPr="005A5E12" w:rsidRDefault="00740BC3" w:rsidP="00740BC3">
                  <w:pPr>
                    <w:pStyle w:val="Heading2"/>
                    <w:numPr>
                      <w:ilvl w:val="0"/>
                      <w:numId w:val="0"/>
                    </w:numPr>
                    <w:spacing w:after="120"/>
                    <w:jc w:val="left"/>
                    <w:outlineLvl w:val="1"/>
                  </w:pPr>
                  <w:r w:rsidRPr="005A5E12">
                    <w:t>The Permanent Joint Headquarters</w:t>
                  </w:r>
                </w:p>
              </w:tc>
            </w:tr>
            <w:tr w:rsidR="00740BC3" w:rsidRPr="005A5E12" w14:paraId="5EEABCFF" w14:textId="77777777" w:rsidTr="00740BC3">
              <w:tc>
                <w:tcPr>
                  <w:tcW w:w="1827" w:type="dxa"/>
                </w:tcPr>
                <w:p w14:paraId="0D6212D2" w14:textId="77777777" w:rsidR="00740BC3" w:rsidRPr="005A5E12" w:rsidRDefault="00740BC3" w:rsidP="00740BC3">
                  <w:pPr>
                    <w:pStyle w:val="Heading2"/>
                    <w:numPr>
                      <w:ilvl w:val="0"/>
                      <w:numId w:val="0"/>
                    </w:numPr>
                    <w:spacing w:after="120"/>
                    <w:ind w:left="720" w:hanging="720"/>
                    <w:jc w:val="left"/>
                    <w:outlineLvl w:val="1"/>
                  </w:pPr>
                  <w:r w:rsidRPr="005A5E12">
                    <w:t>INFRA SP</w:t>
                  </w:r>
                </w:p>
              </w:tc>
              <w:tc>
                <w:tcPr>
                  <w:tcW w:w="6472" w:type="dxa"/>
                </w:tcPr>
                <w:p w14:paraId="0678AF53" w14:textId="77777777" w:rsidR="00740BC3" w:rsidRPr="005A5E12" w:rsidRDefault="00740BC3" w:rsidP="00740BC3">
                  <w:pPr>
                    <w:pStyle w:val="Heading2"/>
                    <w:numPr>
                      <w:ilvl w:val="0"/>
                      <w:numId w:val="0"/>
                    </w:numPr>
                    <w:spacing w:after="120"/>
                    <w:jc w:val="left"/>
                    <w:outlineLvl w:val="1"/>
                  </w:pPr>
                  <w:r w:rsidRPr="005A5E12">
                    <w:t>Infrastructure Support</w:t>
                  </w:r>
                </w:p>
              </w:tc>
            </w:tr>
            <w:tr w:rsidR="00740BC3" w:rsidRPr="005A5E12" w14:paraId="3A7A3621" w14:textId="77777777" w:rsidTr="00740BC3">
              <w:tc>
                <w:tcPr>
                  <w:tcW w:w="1827" w:type="dxa"/>
                </w:tcPr>
                <w:p w14:paraId="6E61652A" w14:textId="77777777" w:rsidR="00740BC3" w:rsidRPr="005A5E12" w:rsidRDefault="00740BC3" w:rsidP="00740BC3">
                  <w:pPr>
                    <w:pStyle w:val="Heading2"/>
                    <w:numPr>
                      <w:ilvl w:val="0"/>
                      <w:numId w:val="0"/>
                    </w:numPr>
                    <w:spacing w:after="120"/>
                    <w:ind w:left="720" w:hanging="720"/>
                    <w:jc w:val="left"/>
                    <w:outlineLvl w:val="1"/>
                  </w:pPr>
                  <w:r w:rsidRPr="005A5E12">
                    <w:t>ENGR SP</w:t>
                  </w:r>
                </w:p>
              </w:tc>
              <w:tc>
                <w:tcPr>
                  <w:tcW w:w="6472" w:type="dxa"/>
                </w:tcPr>
                <w:p w14:paraId="2972F6FE" w14:textId="77777777" w:rsidR="00740BC3" w:rsidRPr="005A5E12" w:rsidRDefault="00740BC3" w:rsidP="00740BC3">
                  <w:pPr>
                    <w:pStyle w:val="Heading2"/>
                    <w:numPr>
                      <w:ilvl w:val="0"/>
                      <w:numId w:val="0"/>
                    </w:numPr>
                    <w:spacing w:after="120"/>
                    <w:jc w:val="left"/>
                    <w:outlineLvl w:val="1"/>
                  </w:pPr>
                  <w:r w:rsidRPr="005A5E12">
                    <w:t>Engineer SP</w:t>
                  </w:r>
                </w:p>
              </w:tc>
            </w:tr>
            <w:tr w:rsidR="00740BC3" w:rsidRPr="005A5E12" w14:paraId="37431B94" w14:textId="77777777" w:rsidTr="00740BC3">
              <w:tc>
                <w:tcPr>
                  <w:tcW w:w="1827" w:type="dxa"/>
                </w:tcPr>
                <w:p w14:paraId="7D7B713E" w14:textId="77777777" w:rsidR="00740BC3" w:rsidRPr="005A5E12" w:rsidRDefault="00740BC3" w:rsidP="00740BC3">
                  <w:pPr>
                    <w:pStyle w:val="Heading2"/>
                    <w:numPr>
                      <w:ilvl w:val="0"/>
                      <w:numId w:val="0"/>
                    </w:numPr>
                    <w:spacing w:after="120"/>
                    <w:ind w:left="720" w:hanging="720"/>
                    <w:jc w:val="left"/>
                    <w:outlineLvl w:val="1"/>
                  </w:pPr>
                  <w:r w:rsidRPr="005A5E12">
                    <w:t>WKS GP</w:t>
                  </w:r>
                </w:p>
              </w:tc>
              <w:tc>
                <w:tcPr>
                  <w:tcW w:w="6472" w:type="dxa"/>
                </w:tcPr>
                <w:p w14:paraId="03B44EE3" w14:textId="77777777" w:rsidR="00740BC3" w:rsidRPr="005A5E12" w:rsidRDefault="00740BC3" w:rsidP="00740BC3">
                  <w:pPr>
                    <w:pStyle w:val="Heading2"/>
                    <w:numPr>
                      <w:ilvl w:val="0"/>
                      <w:numId w:val="0"/>
                    </w:numPr>
                    <w:spacing w:after="120"/>
                    <w:jc w:val="left"/>
                    <w:outlineLvl w:val="1"/>
                  </w:pPr>
                  <w:r w:rsidRPr="005A5E12">
                    <w:t>Works Group</w:t>
                  </w:r>
                </w:p>
              </w:tc>
            </w:tr>
            <w:tr w:rsidR="00740BC3" w:rsidRPr="005A5E12" w14:paraId="6F44CE35" w14:textId="77777777" w:rsidTr="00740BC3">
              <w:tc>
                <w:tcPr>
                  <w:tcW w:w="1827" w:type="dxa"/>
                </w:tcPr>
                <w:p w14:paraId="2485D0B0" w14:textId="77777777" w:rsidR="00740BC3" w:rsidRPr="005A5E12" w:rsidRDefault="00740BC3" w:rsidP="00740BC3">
                  <w:pPr>
                    <w:pStyle w:val="Heading2"/>
                    <w:numPr>
                      <w:ilvl w:val="0"/>
                      <w:numId w:val="0"/>
                    </w:numPr>
                    <w:spacing w:after="120"/>
                    <w:ind w:left="720" w:hanging="720"/>
                    <w:jc w:val="left"/>
                    <w:outlineLvl w:val="1"/>
                  </w:pPr>
                  <w:r w:rsidRPr="005A5E12">
                    <w:t>MIL ENG</w:t>
                  </w:r>
                </w:p>
              </w:tc>
              <w:tc>
                <w:tcPr>
                  <w:tcW w:w="6472" w:type="dxa"/>
                </w:tcPr>
                <w:p w14:paraId="3CA3B433" w14:textId="77777777" w:rsidR="00740BC3" w:rsidRPr="005A5E12" w:rsidRDefault="00740BC3" w:rsidP="00740BC3">
                  <w:pPr>
                    <w:pStyle w:val="Heading2"/>
                    <w:numPr>
                      <w:ilvl w:val="0"/>
                      <w:numId w:val="0"/>
                    </w:numPr>
                    <w:spacing w:after="120"/>
                    <w:jc w:val="left"/>
                    <w:outlineLvl w:val="1"/>
                  </w:pPr>
                  <w:r w:rsidRPr="005A5E12">
                    <w:t>Military Engineering</w:t>
                  </w:r>
                </w:p>
              </w:tc>
            </w:tr>
          </w:tbl>
          <w:p w14:paraId="3DA7C49C" w14:textId="77777777" w:rsidR="00740BC3" w:rsidRPr="005A5E12" w:rsidRDefault="00740BC3" w:rsidP="00740BC3">
            <w:pPr>
              <w:pStyle w:val="Heading1"/>
              <w:tabs>
                <w:tab w:val="clear" w:pos="720"/>
              </w:tabs>
              <w:overflowPunct w:val="0"/>
              <w:autoSpaceDE w:val="0"/>
              <w:autoSpaceDN w:val="0"/>
              <w:spacing w:before="240" w:after="120"/>
              <w:jc w:val="left"/>
              <w:textAlignment w:val="baseline"/>
              <w:rPr>
                <w:szCs w:val="22"/>
              </w:rPr>
            </w:pPr>
            <w:bookmarkStart w:id="14" w:name="_Toc444518870"/>
            <w:r w:rsidRPr="005A5E12">
              <w:rPr>
                <w:szCs w:val="22"/>
              </w:rPr>
              <w:t>scope of requirement</w:t>
            </w:r>
            <w:bookmarkEnd w:id="12"/>
            <w:bookmarkEnd w:id="13"/>
            <w:bookmarkEnd w:id="14"/>
            <w:r w:rsidRPr="005A5E12">
              <w:rPr>
                <w:szCs w:val="22"/>
              </w:rPr>
              <w:t xml:space="preserve"> </w:t>
            </w:r>
          </w:p>
          <w:bookmarkEnd w:id="10"/>
          <w:p w14:paraId="682E6A2A" w14:textId="77777777" w:rsidR="00740BC3" w:rsidRPr="005A5E12" w:rsidRDefault="00740BC3" w:rsidP="00740BC3">
            <w:pPr>
              <w:pStyle w:val="Heading2"/>
              <w:tabs>
                <w:tab w:val="clear" w:pos="720"/>
                <w:tab w:val="num" w:pos="862"/>
              </w:tabs>
              <w:overflowPunct w:val="0"/>
              <w:autoSpaceDE w:val="0"/>
              <w:autoSpaceDN w:val="0"/>
              <w:spacing w:after="120"/>
              <w:ind w:left="709" w:hanging="709"/>
              <w:jc w:val="left"/>
              <w:textAlignment w:val="baseline"/>
              <w:rPr>
                <w:szCs w:val="22"/>
              </w:rPr>
            </w:pPr>
            <w:r w:rsidRPr="005A5E12">
              <w:rPr>
                <w:szCs w:val="22"/>
              </w:rPr>
              <w:t>The Authority are inviting bids for the following Hardware Items or suitable alternatives which meet the specification;</w:t>
            </w:r>
          </w:p>
          <w:p w14:paraId="57ABB0C3" w14:textId="77777777" w:rsidR="00740BC3" w:rsidRPr="005A5E12" w:rsidRDefault="00740BC3" w:rsidP="00740BC3">
            <w:pPr>
              <w:pStyle w:val="Heading3"/>
              <w:jc w:val="left"/>
              <w:rPr>
                <w:b/>
              </w:rPr>
            </w:pPr>
            <w:r w:rsidRPr="005A5E12">
              <w:rPr>
                <w:b/>
              </w:rPr>
              <w:t>1 x Storage Device</w:t>
            </w:r>
          </w:p>
          <w:p w14:paraId="70A90B11" w14:textId="77777777" w:rsidR="00740BC3" w:rsidRPr="005A5E12" w:rsidRDefault="00740BC3" w:rsidP="00740BC3">
            <w:pPr>
              <w:pStyle w:val="Heading4"/>
              <w:jc w:val="left"/>
            </w:pPr>
            <w:r w:rsidRPr="005A5E12">
              <w:rPr>
                <w:rFonts w:cs="Arial"/>
                <w:szCs w:val="22"/>
              </w:rPr>
              <w:t>WD My Cloud EX2 10TB 2 Bay 3.5 inch NAS Ethernet External HDD</w:t>
            </w:r>
          </w:p>
          <w:p w14:paraId="201A9067" w14:textId="77777777" w:rsidR="00740BC3" w:rsidRPr="005A5E12" w:rsidRDefault="00740BC3" w:rsidP="00740BC3">
            <w:pPr>
              <w:pStyle w:val="Heading3"/>
              <w:jc w:val="left"/>
              <w:rPr>
                <w:b/>
              </w:rPr>
            </w:pPr>
            <w:r w:rsidRPr="005A5E12">
              <w:rPr>
                <w:b/>
              </w:rPr>
              <w:t>8 x Widescreen Monitors</w:t>
            </w:r>
          </w:p>
          <w:p w14:paraId="36227165" w14:textId="77777777" w:rsidR="00740BC3" w:rsidRPr="005A5E12" w:rsidRDefault="00740BC3" w:rsidP="00740BC3">
            <w:pPr>
              <w:pStyle w:val="Heading4"/>
              <w:jc w:val="left"/>
            </w:pPr>
            <w:r w:rsidRPr="005A5E12">
              <w:rPr>
                <w:rFonts w:cs="Arial"/>
                <w:szCs w:val="22"/>
              </w:rPr>
              <w:t>HP Business E321 Widescreen Full HD LCD Monitor (23””) (16:9) (1920 x 1080) (VGA, DVI, Display port)</w:t>
            </w:r>
          </w:p>
          <w:p w14:paraId="62650F73" w14:textId="77777777" w:rsidR="00740BC3" w:rsidRPr="005A5E12" w:rsidRDefault="00740BC3" w:rsidP="00740BC3">
            <w:pPr>
              <w:pStyle w:val="Heading2"/>
              <w:jc w:val="left"/>
            </w:pPr>
            <w:r w:rsidRPr="005A5E12">
              <w:t>The Authority are inviting bids for the following Software;</w:t>
            </w:r>
          </w:p>
          <w:p w14:paraId="5A0E8DDC" w14:textId="77777777" w:rsidR="00740BC3" w:rsidRPr="005A5E12" w:rsidRDefault="00740BC3" w:rsidP="00740BC3">
            <w:pPr>
              <w:pStyle w:val="Heading3"/>
              <w:jc w:val="left"/>
              <w:rPr>
                <w:b/>
              </w:rPr>
            </w:pPr>
            <w:r w:rsidRPr="005A5E12">
              <w:rPr>
                <w:b/>
              </w:rPr>
              <w:t>1 x Building Design Suite Ultimate (BDSU) Software and media</w:t>
            </w:r>
          </w:p>
          <w:p w14:paraId="7B651E04" w14:textId="77777777" w:rsidR="00740BC3" w:rsidRPr="005A5E12" w:rsidRDefault="00740BC3" w:rsidP="00740BC3">
            <w:pPr>
              <w:pStyle w:val="Heading4"/>
              <w:jc w:val="left"/>
            </w:pPr>
            <w:r w:rsidRPr="005A5E12">
              <w:t>Electronic License Delivery</w:t>
            </w:r>
          </w:p>
          <w:p w14:paraId="713D6B46" w14:textId="77777777" w:rsidR="00740BC3" w:rsidRPr="005A5E12" w:rsidRDefault="00740BC3" w:rsidP="00740BC3">
            <w:pPr>
              <w:pStyle w:val="Heading4"/>
              <w:jc w:val="left"/>
            </w:pPr>
            <w:r w:rsidRPr="005A5E12">
              <w:rPr>
                <w:szCs w:val="22"/>
              </w:rPr>
              <w:t>Includes in the one single user suite:</w:t>
            </w:r>
          </w:p>
          <w:p w14:paraId="5C4944F4" w14:textId="77777777" w:rsidR="00740BC3" w:rsidRPr="005A5E12" w:rsidRDefault="00740BC3" w:rsidP="00740BC3">
            <w:pPr>
              <w:pStyle w:val="Heading4"/>
              <w:jc w:val="left"/>
            </w:pPr>
            <w:r w:rsidRPr="005A5E12">
              <w:t>Building Design Suite Premium plus:</w:t>
            </w:r>
          </w:p>
          <w:p w14:paraId="01E72D78" w14:textId="77777777" w:rsidR="00740BC3" w:rsidRPr="005A5E12" w:rsidRDefault="00740BC3" w:rsidP="00740BC3">
            <w:pPr>
              <w:pStyle w:val="Heading5"/>
              <w:jc w:val="left"/>
            </w:pPr>
            <w:r w:rsidRPr="005A5E12">
              <w:rPr>
                <w:szCs w:val="22"/>
              </w:rPr>
              <w:t xml:space="preserve">Autodesk </w:t>
            </w:r>
            <w:proofErr w:type="spellStart"/>
            <w:r w:rsidRPr="005A5E12">
              <w:rPr>
                <w:szCs w:val="22"/>
              </w:rPr>
              <w:t>Navisworks</w:t>
            </w:r>
            <w:proofErr w:type="spellEnd"/>
            <w:r w:rsidRPr="005A5E12">
              <w:rPr>
                <w:szCs w:val="22"/>
              </w:rPr>
              <w:t xml:space="preserve"> Manage (</w:t>
            </w:r>
            <w:proofErr w:type="spellStart"/>
            <w:r w:rsidRPr="005A5E12">
              <w:rPr>
                <w:szCs w:val="22"/>
              </w:rPr>
              <w:t>inc</w:t>
            </w:r>
            <w:proofErr w:type="spellEnd"/>
            <w:r w:rsidRPr="005A5E12">
              <w:rPr>
                <w:szCs w:val="22"/>
              </w:rPr>
              <w:t xml:space="preserve"> simulate)</w:t>
            </w:r>
          </w:p>
          <w:p w14:paraId="1CC80C7E" w14:textId="77777777" w:rsidR="00740BC3" w:rsidRPr="005A5E12" w:rsidRDefault="00740BC3" w:rsidP="00740BC3">
            <w:pPr>
              <w:pStyle w:val="Heading5"/>
              <w:jc w:val="left"/>
            </w:pPr>
            <w:r w:rsidRPr="005A5E12">
              <w:rPr>
                <w:szCs w:val="22"/>
              </w:rPr>
              <w:lastRenderedPageBreak/>
              <w:t>Autodesk Robot Structural Analysis Professional</w:t>
            </w:r>
          </w:p>
          <w:p w14:paraId="41940495" w14:textId="77777777" w:rsidR="00740BC3" w:rsidRPr="005A5E12" w:rsidRDefault="00740BC3" w:rsidP="00740BC3">
            <w:pPr>
              <w:pStyle w:val="Heading5"/>
              <w:jc w:val="left"/>
            </w:pPr>
            <w:r w:rsidRPr="005A5E12">
              <w:rPr>
                <w:szCs w:val="22"/>
              </w:rPr>
              <w:t xml:space="preserve">Autodesk </w:t>
            </w:r>
            <w:proofErr w:type="spellStart"/>
            <w:r w:rsidRPr="005A5E12">
              <w:rPr>
                <w:szCs w:val="22"/>
              </w:rPr>
              <w:t>Infraworks</w:t>
            </w:r>
            <w:proofErr w:type="spellEnd"/>
          </w:p>
          <w:p w14:paraId="6680AB8F" w14:textId="77777777" w:rsidR="00740BC3" w:rsidRPr="005A5E12" w:rsidRDefault="00740BC3" w:rsidP="00740BC3">
            <w:pPr>
              <w:pStyle w:val="Heading4"/>
              <w:jc w:val="left"/>
            </w:pPr>
            <w:r w:rsidRPr="005A5E12">
              <w:t>BDSU Media kit supplied on USB</w:t>
            </w:r>
          </w:p>
          <w:p w14:paraId="71426836" w14:textId="77777777" w:rsidR="00740BC3" w:rsidRPr="005A5E12" w:rsidRDefault="00740BC3" w:rsidP="00740BC3">
            <w:pPr>
              <w:pStyle w:val="Heading4"/>
              <w:jc w:val="left"/>
            </w:pPr>
            <w:r w:rsidRPr="005A5E12">
              <w:rPr>
                <w:szCs w:val="22"/>
              </w:rPr>
              <w:t>BDSU Mandatory subscription</w:t>
            </w:r>
          </w:p>
          <w:p w14:paraId="1BA4C29A" w14:textId="77777777" w:rsidR="00740BC3" w:rsidRPr="005A5E12" w:rsidRDefault="00740BC3" w:rsidP="00740BC3">
            <w:pPr>
              <w:pStyle w:val="Heading3"/>
              <w:jc w:val="left"/>
              <w:rPr>
                <w:b/>
              </w:rPr>
            </w:pPr>
            <w:r w:rsidRPr="005A5E12">
              <w:rPr>
                <w:b/>
              </w:rPr>
              <w:t>7 x Building Design Suite Premium (BDSP) software and media</w:t>
            </w:r>
          </w:p>
          <w:p w14:paraId="1ACA3F7A" w14:textId="77777777" w:rsidR="00740BC3" w:rsidRPr="005A5E12" w:rsidRDefault="00740BC3" w:rsidP="00740BC3">
            <w:pPr>
              <w:pStyle w:val="Heading4"/>
              <w:jc w:val="left"/>
            </w:pPr>
            <w:r w:rsidRPr="005A5E12">
              <w:t>Electronic License Delivery</w:t>
            </w:r>
          </w:p>
          <w:p w14:paraId="5BF1E144" w14:textId="77777777" w:rsidR="00740BC3" w:rsidRPr="005A5E12" w:rsidRDefault="00740BC3" w:rsidP="00740BC3">
            <w:pPr>
              <w:pStyle w:val="Heading4"/>
              <w:jc w:val="left"/>
            </w:pPr>
            <w:r w:rsidRPr="005A5E12">
              <w:rPr>
                <w:szCs w:val="22"/>
              </w:rPr>
              <w:t>Includes in the one single user suite:</w:t>
            </w:r>
          </w:p>
          <w:p w14:paraId="695BE583" w14:textId="77777777" w:rsidR="00740BC3" w:rsidRPr="005A5E12" w:rsidRDefault="00740BC3" w:rsidP="00740BC3">
            <w:pPr>
              <w:pStyle w:val="Heading5"/>
              <w:jc w:val="left"/>
            </w:pPr>
            <w:r w:rsidRPr="005A5E12">
              <w:t>AutoCAD</w:t>
            </w:r>
          </w:p>
          <w:p w14:paraId="0580BD71" w14:textId="77777777" w:rsidR="00740BC3" w:rsidRPr="005A5E12" w:rsidRDefault="00740BC3" w:rsidP="00740BC3">
            <w:pPr>
              <w:pStyle w:val="Heading5"/>
              <w:jc w:val="left"/>
            </w:pPr>
            <w:r w:rsidRPr="005A5E12">
              <w:rPr>
                <w:szCs w:val="22"/>
              </w:rPr>
              <w:t>AutoCAD Architecture</w:t>
            </w:r>
          </w:p>
          <w:p w14:paraId="36F04C47" w14:textId="77777777" w:rsidR="00740BC3" w:rsidRPr="005A5E12" w:rsidRDefault="00740BC3" w:rsidP="00740BC3">
            <w:pPr>
              <w:pStyle w:val="Heading5"/>
              <w:jc w:val="left"/>
            </w:pPr>
            <w:r w:rsidRPr="005A5E12">
              <w:rPr>
                <w:szCs w:val="22"/>
              </w:rPr>
              <w:t>AutoCAD MEP</w:t>
            </w:r>
          </w:p>
          <w:p w14:paraId="3BAB0A6C" w14:textId="77777777" w:rsidR="00740BC3" w:rsidRPr="005A5E12" w:rsidRDefault="00740BC3" w:rsidP="00740BC3">
            <w:pPr>
              <w:pStyle w:val="Heading5"/>
              <w:jc w:val="left"/>
            </w:pPr>
            <w:r w:rsidRPr="005A5E12">
              <w:rPr>
                <w:szCs w:val="22"/>
              </w:rPr>
              <w:t>AutoCAD Structural detailing</w:t>
            </w:r>
          </w:p>
          <w:p w14:paraId="2BBBA7C7" w14:textId="77777777" w:rsidR="00740BC3" w:rsidRPr="005A5E12" w:rsidRDefault="00740BC3" w:rsidP="00740BC3">
            <w:pPr>
              <w:pStyle w:val="Heading5"/>
              <w:jc w:val="left"/>
            </w:pPr>
            <w:r w:rsidRPr="005A5E12">
              <w:rPr>
                <w:szCs w:val="22"/>
              </w:rPr>
              <w:t>Autodesk Showcase</w:t>
            </w:r>
          </w:p>
          <w:p w14:paraId="59204F43" w14:textId="77777777" w:rsidR="00740BC3" w:rsidRPr="005A5E12" w:rsidRDefault="00740BC3" w:rsidP="00740BC3">
            <w:pPr>
              <w:pStyle w:val="Heading5"/>
              <w:jc w:val="left"/>
            </w:pPr>
            <w:r w:rsidRPr="005A5E12">
              <w:rPr>
                <w:szCs w:val="22"/>
              </w:rPr>
              <w:t>Autodesk Revit</w:t>
            </w:r>
          </w:p>
          <w:p w14:paraId="478DB29A" w14:textId="77777777" w:rsidR="00740BC3" w:rsidRPr="005A5E12" w:rsidRDefault="00740BC3" w:rsidP="00740BC3">
            <w:pPr>
              <w:pStyle w:val="Heading5"/>
              <w:jc w:val="left"/>
            </w:pPr>
            <w:proofErr w:type="spellStart"/>
            <w:r w:rsidRPr="005A5E12">
              <w:rPr>
                <w:szCs w:val="22"/>
              </w:rPr>
              <w:t>Autodeask</w:t>
            </w:r>
            <w:proofErr w:type="spellEnd"/>
            <w:r w:rsidRPr="005A5E12">
              <w:rPr>
                <w:szCs w:val="22"/>
              </w:rPr>
              <w:t xml:space="preserve"> 3ds Max Design</w:t>
            </w:r>
          </w:p>
          <w:p w14:paraId="2209A20D" w14:textId="77777777" w:rsidR="00740BC3" w:rsidRPr="005A5E12" w:rsidRDefault="00740BC3" w:rsidP="00740BC3">
            <w:pPr>
              <w:pStyle w:val="Heading5"/>
              <w:jc w:val="left"/>
            </w:pPr>
            <w:r w:rsidRPr="005A5E12">
              <w:rPr>
                <w:szCs w:val="22"/>
              </w:rPr>
              <w:t xml:space="preserve">Autodesk </w:t>
            </w:r>
            <w:proofErr w:type="spellStart"/>
            <w:r w:rsidRPr="005A5E12">
              <w:rPr>
                <w:szCs w:val="22"/>
              </w:rPr>
              <w:t>Navisworks</w:t>
            </w:r>
            <w:proofErr w:type="spellEnd"/>
            <w:r w:rsidRPr="005A5E12">
              <w:rPr>
                <w:szCs w:val="22"/>
              </w:rPr>
              <w:t xml:space="preserve"> Simulate</w:t>
            </w:r>
          </w:p>
          <w:p w14:paraId="669A99F9" w14:textId="77777777" w:rsidR="00740BC3" w:rsidRPr="005A5E12" w:rsidRDefault="00740BC3" w:rsidP="00740BC3">
            <w:pPr>
              <w:pStyle w:val="Heading4"/>
              <w:jc w:val="left"/>
            </w:pPr>
            <w:r w:rsidRPr="005A5E12">
              <w:t>BDSP Media kit supplied on USB</w:t>
            </w:r>
          </w:p>
          <w:p w14:paraId="5411C9B6" w14:textId="77777777" w:rsidR="00740BC3" w:rsidRPr="005A5E12" w:rsidRDefault="00740BC3" w:rsidP="00740BC3">
            <w:pPr>
              <w:pStyle w:val="Heading4"/>
              <w:jc w:val="left"/>
            </w:pPr>
            <w:r w:rsidRPr="005A5E12">
              <w:rPr>
                <w:szCs w:val="22"/>
              </w:rPr>
              <w:t>BDSP Mandatory subscription</w:t>
            </w:r>
          </w:p>
          <w:p w14:paraId="4974264E" w14:textId="77777777" w:rsidR="00740BC3" w:rsidRPr="005A5E12" w:rsidRDefault="00740BC3" w:rsidP="00740BC3">
            <w:pPr>
              <w:rPr>
                <w:rFonts w:ascii="Times" w:eastAsia="Times New Roman" w:hAnsi="Times"/>
                <w:sz w:val="20"/>
                <w:szCs w:val="20"/>
              </w:rPr>
            </w:pPr>
            <w:r w:rsidRPr="005A5E12">
              <w:rPr>
                <w:b/>
              </w:rPr>
              <w:t xml:space="preserve">The Authority are inviting bids for the following onsite training all to be provided for up to 8 Delegates at </w:t>
            </w:r>
            <w:proofErr w:type="spellStart"/>
            <w:r w:rsidRPr="005A5E12">
              <w:rPr>
                <w:b/>
              </w:rPr>
              <w:t>Chetwynd</w:t>
            </w:r>
            <w:proofErr w:type="spellEnd"/>
            <w:r w:rsidRPr="005A5E12">
              <w:rPr>
                <w:b/>
              </w:rPr>
              <w:t xml:space="preserve"> Barracks. (4 weeks' notice will be given to any training provider)</w:t>
            </w:r>
          </w:p>
          <w:p w14:paraId="07EE5A5A" w14:textId="77777777" w:rsidR="00740BC3" w:rsidRPr="005A5E12" w:rsidRDefault="00740BC3" w:rsidP="00740BC3">
            <w:pPr>
              <w:pStyle w:val="Heading2"/>
              <w:jc w:val="left"/>
              <w:rPr>
                <w:b/>
              </w:rPr>
            </w:pPr>
          </w:p>
          <w:p w14:paraId="5E0CE444" w14:textId="77777777" w:rsidR="00740BC3" w:rsidRPr="005A5E12" w:rsidRDefault="00740BC3" w:rsidP="00740BC3">
            <w:pPr>
              <w:pStyle w:val="Heading3"/>
              <w:jc w:val="left"/>
            </w:pPr>
            <w:r w:rsidRPr="005A5E12">
              <w:t>1 x Revit Architecture Fundamentals Course (3 day Course)</w:t>
            </w:r>
          </w:p>
          <w:p w14:paraId="2F9E0009" w14:textId="77777777" w:rsidR="00740BC3" w:rsidRPr="005A5E12" w:rsidRDefault="00740BC3" w:rsidP="00740BC3">
            <w:pPr>
              <w:pStyle w:val="Heading3"/>
              <w:jc w:val="left"/>
            </w:pPr>
            <w:r w:rsidRPr="005A5E12">
              <w:rPr>
                <w:szCs w:val="22"/>
              </w:rPr>
              <w:t>1 x Revit content/libraries/families workshop (2 day Course)</w:t>
            </w:r>
          </w:p>
          <w:p w14:paraId="5B74325C" w14:textId="77777777" w:rsidR="00740BC3" w:rsidRPr="005A5E12" w:rsidRDefault="00740BC3" w:rsidP="00740BC3">
            <w:pPr>
              <w:pStyle w:val="Heading3"/>
              <w:jc w:val="left"/>
            </w:pPr>
            <w:r w:rsidRPr="005A5E12">
              <w:rPr>
                <w:szCs w:val="22"/>
              </w:rPr>
              <w:t>1 x Revit project management workshop (1 day Course)</w:t>
            </w:r>
          </w:p>
          <w:p w14:paraId="13BCCC24" w14:textId="77777777" w:rsidR="00740BC3" w:rsidRPr="005A5E12" w:rsidRDefault="00740BC3" w:rsidP="00740BC3">
            <w:pPr>
              <w:pStyle w:val="Heading3"/>
              <w:jc w:val="left"/>
            </w:pPr>
            <w:r w:rsidRPr="005A5E12">
              <w:rPr>
                <w:szCs w:val="22"/>
              </w:rPr>
              <w:t>1 x Revit MEP Fundamentals training course (4 day Course)</w:t>
            </w:r>
          </w:p>
          <w:p w14:paraId="4CF036F3" w14:textId="77777777" w:rsidR="00740BC3" w:rsidRPr="005A5E12" w:rsidRDefault="00740BC3" w:rsidP="00740BC3">
            <w:pPr>
              <w:pStyle w:val="Heading3"/>
              <w:jc w:val="left"/>
            </w:pPr>
            <w:r w:rsidRPr="005A5E12">
              <w:t xml:space="preserve">1 x </w:t>
            </w:r>
            <w:r w:rsidRPr="005A5E12">
              <w:rPr>
                <w:szCs w:val="22"/>
              </w:rPr>
              <w:t>Revit MEP Mechanical design course (1 day Course)</w:t>
            </w:r>
          </w:p>
          <w:p w14:paraId="3678F91F" w14:textId="77777777" w:rsidR="00740BC3" w:rsidRPr="005A5E12" w:rsidRDefault="00740BC3" w:rsidP="00740BC3">
            <w:pPr>
              <w:pStyle w:val="Heading3"/>
              <w:jc w:val="left"/>
            </w:pPr>
            <w:r w:rsidRPr="005A5E12">
              <w:rPr>
                <w:szCs w:val="22"/>
              </w:rPr>
              <w:t>1 x Revit MEP Electrical design course (1 day Course)</w:t>
            </w:r>
          </w:p>
          <w:p w14:paraId="59F9E2DE" w14:textId="77777777" w:rsidR="00740BC3" w:rsidRPr="005A5E12" w:rsidRDefault="00740BC3" w:rsidP="00740BC3">
            <w:pPr>
              <w:pStyle w:val="Heading3"/>
              <w:jc w:val="left"/>
            </w:pPr>
            <w:r w:rsidRPr="005A5E12">
              <w:rPr>
                <w:szCs w:val="22"/>
              </w:rPr>
              <w:lastRenderedPageBreak/>
              <w:t>1 x Revit MEP Modelling for analysis course (1 day Course)</w:t>
            </w:r>
          </w:p>
          <w:p w14:paraId="628138DC" w14:textId="77777777" w:rsidR="00740BC3" w:rsidRPr="005A5E12" w:rsidRDefault="00740BC3" w:rsidP="00740BC3">
            <w:pPr>
              <w:pStyle w:val="Heading3"/>
              <w:jc w:val="left"/>
            </w:pPr>
            <w:r w:rsidRPr="005A5E12">
              <w:rPr>
                <w:szCs w:val="22"/>
              </w:rPr>
              <w:t>1 x Revit MEP Content Creation course (1 day Course)</w:t>
            </w:r>
          </w:p>
          <w:p w14:paraId="126F4470" w14:textId="77777777" w:rsidR="00740BC3" w:rsidRPr="005A5E12" w:rsidRDefault="00740BC3" w:rsidP="00740BC3">
            <w:pPr>
              <w:pStyle w:val="Heading3"/>
              <w:jc w:val="left"/>
            </w:pPr>
            <w:r w:rsidRPr="005A5E12">
              <w:t xml:space="preserve">1 x </w:t>
            </w:r>
            <w:r w:rsidRPr="005A5E12">
              <w:rPr>
                <w:szCs w:val="22"/>
              </w:rPr>
              <w:t xml:space="preserve">Autodesk </w:t>
            </w:r>
            <w:proofErr w:type="spellStart"/>
            <w:r w:rsidRPr="005A5E12">
              <w:rPr>
                <w:szCs w:val="22"/>
              </w:rPr>
              <w:t>Navisworks</w:t>
            </w:r>
            <w:proofErr w:type="spellEnd"/>
            <w:r w:rsidRPr="005A5E12">
              <w:rPr>
                <w:szCs w:val="22"/>
              </w:rPr>
              <w:t xml:space="preserve"> Essentials Course (2 day Course)</w:t>
            </w:r>
          </w:p>
          <w:p w14:paraId="51A14179" w14:textId="77777777" w:rsidR="00740BC3" w:rsidRPr="005A5E12" w:rsidRDefault="00740BC3" w:rsidP="00740BC3">
            <w:pPr>
              <w:pStyle w:val="Heading3"/>
              <w:jc w:val="left"/>
            </w:pPr>
            <w:r w:rsidRPr="005A5E12">
              <w:rPr>
                <w:szCs w:val="22"/>
              </w:rPr>
              <w:t xml:space="preserve">7 additional periods, each of 4 hours duration, as </w:t>
            </w:r>
            <w:proofErr w:type="spellStart"/>
            <w:r w:rsidRPr="005A5E12">
              <w:rPr>
                <w:szCs w:val="22"/>
              </w:rPr>
              <w:t>ongoing</w:t>
            </w:r>
            <w:proofErr w:type="spellEnd"/>
            <w:r w:rsidRPr="005A5E12">
              <w:rPr>
                <w:szCs w:val="22"/>
              </w:rPr>
              <w:t xml:space="preserve"> support</w:t>
            </w:r>
            <w:proofErr w:type="gramStart"/>
            <w:r w:rsidRPr="005A5E12">
              <w:rPr>
                <w:szCs w:val="22"/>
              </w:rPr>
              <w:t>..</w:t>
            </w:r>
            <w:proofErr w:type="gramEnd"/>
            <w:r w:rsidRPr="005A5E12">
              <w:rPr>
                <w:szCs w:val="22"/>
              </w:rPr>
              <w:t xml:space="preserve"> The </w:t>
            </w:r>
            <w:proofErr w:type="gramStart"/>
            <w:r w:rsidRPr="005A5E12">
              <w:rPr>
                <w:szCs w:val="22"/>
              </w:rPr>
              <w:t>content and timing will be determined by the authority</w:t>
            </w:r>
            <w:proofErr w:type="gramEnd"/>
            <w:r w:rsidRPr="005A5E12">
              <w:rPr>
                <w:szCs w:val="22"/>
              </w:rPr>
              <w:t xml:space="preserve"> as requirements are identified during software use. </w:t>
            </w:r>
          </w:p>
          <w:p w14:paraId="32598F0E" w14:textId="77777777" w:rsidR="00740BC3" w:rsidRPr="005A5E12" w:rsidRDefault="00740BC3" w:rsidP="00740BC3">
            <w:pPr>
              <w:pStyle w:val="Heading2"/>
              <w:jc w:val="left"/>
              <w:rPr>
                <w:b/>
              </w:rPr>
            </w:pPr>
            <w:r w:rsidRPr="005A5E12">
              <w:rPr>
                <w:b/>
              </w:rPr>
              <w:t>The Authority is inviting bids for the following Advanced Support Services for a 12 month period;</w:t>
            </w:r>
          </w:p>
          <w:p w14:paraId="30D1EC98" w14:textId="77777777" w:rsidR="00740BC3" w:rsidRPr="005A5E12" w:rsidRDefault="00740BC3" w:rsidP="00740BC3">
            <w:pPr>
              <w:pStyle w:val="Heading3"/>
              <w:jc w:val="left"/>
            </w:pPr>
            <w:r w:rsidRPr="005A5E12">
              <w:rPr>
                <w:szCs w:val="22"/>
              </w:rPr>
              <w:t>Telephone and remote support assistance for trained users (Mon-Fri 9am-5pm)</w:t>
            </w:r>
          </w:p>
          <w:p w14:paraId="006E5B44" w14:textId="77777777" w:rsidR="00740BC3" w:rsidRPr="005A5E12" w:rsidRDefault="00740BC3" w:rsidP="00740BC3">
            <w:pPr>
              <w:pStyle w:val="Heading3"/>
              <w:jc w:val="left"/>
            </w:pPr>
            <w:r w:rsidRPr="005A5E12">
              <w:rPr>
                <w:szCs w:val="22"/>
              </w:rPr>
              <w:t>Telephone and remote support for Autodesk products (Mon-Fri 9am-5pm)</w:t>
            </w:r>
          </w:p>
          <w:p w14:paraId="24AFDD3A" w14:textId="77777777" w:rsidR="00740BC3" w:rsidRPr="005A5E12" w:rsidRDefault="00740BC3" w:rsidP="00740BC3">
            <w:pPr>
              <w:pStyle w:val="Heading1"/>
              <w:spacing w:after="120"/>
              <w:jc w:val="left"/>
            </w:pPr>
            <w:bookmarkStart w:id="15" w:name="_Toc368573031"/>
            <w:bookmarkStart w:id="16" w:name="_Toc444518871"/>
            <w:r w:rsidRPr="005A5E12">
              <w:t>The requirement</w:t>
            </w:r>
            <w:bookmarkEnd w:id="15"/>
            <w:bookmarkEnd w:id="16"/>
          </w:p>
          <w:p w14:paraId="09C6C348" w14:textId="77777777" w:rsidR="00740BC3" w:rsidRPr="005A5E12" w:rsidRDefault="00740BC3" w:rsidP="00740BC3">
            <w:pPr>
              <w:pStyle w:val="Heading2"/>
              <w:tabs>
                <w:tab w:val="clear" w:pos="720"/>
                <w:tab w:val="num" w:pos="709"/>
              </w:tabs>
              <w:spacing w:after="120"/>
              <w:ind w:left="709" w:hanging="709"/>
              <w:jc w:val="left"/>
            </w:pPr>
            <w:r w:rsidRPr="005A5E12">
              <w:t>The requirement is for the delivery of software with training as well as items of hardware to allow the deliver of the BIM trial. The full scope is detailed in Section 4.</w:t>
            </w:r>
          </w:p>
          <w:p w14:paraId="293E4B88" w14:textId="77777777" w:rsidR="00740BC3" w:rsidRPr="005A5E12" w:rsidRDefault="00740BC3" w:rsidP="00740BC3">
            <w:pPr>
              <w:pStyle w:val="Heading1"/>
              <w:spacing w:after="120"/>
              <w:jc w:val="left"/>
            </w:pPr>
            <w:bookmarkStart w:id="17" w:name="_Toc368573032"/>
            <w:bookmarkStart w:id="18" w:name="_Toc444518872"/>
            <w:r w:rsidRPr="005A5E12">
              <w:t>key milestones</w:t>
            </w:r>
            <w:bookmarkEnd w:id="17"/>
            <w:bookmarkEnd w:id="18"/>
          </w:p>
          <w:p w14:paraId="55E45C3C" w14:textId="77777777" w:rsidR="00740BC3" w:rsidRPr="005A5E12" w:rsidRDefault="00740BC3" w:rsidP="00740BC3">
            <w:pPr>
              <w:pStyle w:val="Heading2"/>
              <w:spacing w:after="120"/>
              <w:ind w:left="709" w:hanging="709"/>
              <w:jc w:val="left"/>
            </w:pPr>
            <w:r w:rsidRPr="005A5E12">
              <w:t>Successful delivery is required no later than 15 Oct 16, and initial training (</w:t>
            </w:r>
            <w:proofErr w:type="spellStart"/>
            <w:r w:rsidRPr="005A5E12">
              <w:t>para</w:t>
            </w:r>
            <w:proofErr w:type="spellEnd"/>
            <w:r w:rsidRPr="005A5E12">
              <w:t xml:space="preserve"> 4.3.1 – 4.3.9 inclusive) delivered by 20 Dec 16. </w:t>
            </w:r>
            <w:proofErr w:type="gramStart"/>
            <w:r w:rsidRPr="005A5E12">
              <w:t>Additional training and Support Services to conclude 12 months after software activation date.</w:t>
            </w:r>
            <w:proofErr w:type="gramEnd"/>
          </w:p>
          <w:p w14:paraId="34B3585B" w14:textId="77777777" w:rsidR="00740BC3" w:rsidRPr="005A5E12" w:rsidRDefault="00740BC3" w:rsidP="00740BC3">
            <w:pPr>
              <w:pStyle w:val="Heading1"/>
              <w:tabs>
                <w:tab w:val="clear" w:pos="720"/>
                <w:tab w:val="num" w:pos="0"/>
              </w:tabs>
              <w:overflowPunct w:val="0"/>
              <w:autoSpaceDE w:val="0"/>
              <w:autoSpaceDN w:val="0"/>
              <w:spacing w:after="120"/>
              <w:ind w:left="709" w:hanging="709"/>
              <w:jc w:val="left"/>
              <w:textAlignment w:val="baseline"/>
              <w:rPr>
                <w:rFonts w:cs="Arial"/>
                <w:szCs w:val="22"/>
              </w:rPr>
            </w:pPr>
            <w:bookmarkStart w:id="19" w:name="_Toc368573035"/>
            <w:bookmarkStart w:id="20" w:name="_Toc444518876"/>
            <w:bookmarkStart w:id="21" w:name="_Toc302637211"/>
            <w:r w:rsidRPr="005A5E12">
              <w:rPr>
                <w:rFonts w:cs="Arial"/>
                <w:szCs w:val="22"/>
              </w:rPr>
              <w:t>continuous improvement</w:t>
            </w:r>
            <w:bookmarkEnd w:id="19"/>
            <w:bookmarkEnd w:id="20"/>
          </w:p>
          <w:p w14:paraId="5F516217" w14:textId="77777777" w:rsidR="00740BC3" w:rsidRPr="005A5E12" w:rsidRDefault="00740BC3" w:rsidP="00740BC3">
            <w:pPr>
              <w:pStyle w:val="Heading2"/>
              <w:tabs>
                <w:tab w:val="clear" w:pos="720"/>
                <w:tab w:val="num" w:pos="709"/>
              </w:tabs>
              <w:spacing w:after="120"/>
              <w:ind w:left="709" w:hanging="709"/>
              <w:jc w:val="left"/>
            </w:pPr>
            <w:r w:rsidRPr="005A5E12">
              <w:t>The Supplier will be expected to continually improve the way in which the required Services are to be delivered throughout the Contract duration.</w:t>
            </w:r>
          </w:p>
          <w:p w14:paraId="502CEDB0" w14:textId="77777777" w:rsidR="00740BC3" w:rsidRPr="005A5E12" w:rsidRDefault="00740BC3" w:rsidP="00740BC3">
            <w:pPr>
              <w:pStyle w:val="Heading2"/>
              <w:tabs>
                <w:tab w:val="clear" w:pos="720"/>
                <w:tab w:val="num" w:pos="709"/>
              </w:tabs>
              <w:spacing w:after="120"/>
              <w:ind w:left="709" w:hanging="709"/>
              <w:jc w:val="left"/>
            </w:pPr>
            <w:r w:rsidRPr="005A5E12">
              <w:t>Changes to the way in which the Services are to be delivered must be brought to the Authority’s attention and agreed prior to any changes being implemented.</w:t>
            </w:r>
          </w:p>
          <w:p w14:paraId="66A750E7" w14:textId="77777777" w:rsidR="00740BC3" w:rsidRPr="005A5E12" w:rsidRDefault="00740BC3" w:rsidP="00740BC3">
            <w:pPr>
              <w:pStyle w:val="Heading1"/>
              <w:tabs>
                <w:tab w:val="clear" w:pos="720"/>
                <w:tab w:val="num" w:pos="0"/>
              </w:tabs>
              <w:overflowPunct w:val="0"/>
              <w:autoSpaceDE w:val="0"/>
              <w:autoSpaceDN w:val="0"/>
              <w:spacing w:after="120"/>
              <w:ind w:left="709" w:hanging="709"/>
              <w:jc w:val="left"/>
              <w:textAlignment w:val="baseline"/>
              <w:rPr>
                <w:rFonts w:cs="Arial"/>
                <w:szCs w:val="22"/>
              </w:rPr>
            </w:pPr>
            <w:bookmarkStart w:id="22" w:name="_Toc368573037"/>
            <w:bookmarkStart w:id="23" w:name="_Toc444518879"/>
            <w:r w:rsidRPr="005A5E12">
              <w:rPr>
                <w:rFonts w:cs="Arial"/>
                <w:szCs w:val="22"/>
              </w:rPr>
              <w:t>PRICE</w:t>
            </w:r>
            <w:bookmarkEnd w:id="22"/>
            <w:bookmarkEnd w:id="23"/>
          </w:p>
          <w:p w14:paraId="3BD79133" w14:textId="438626FB" w:rsidR="00740BC3" w:rsidRPr="005A5E12" w:rsidRDefault="00740BC3" w:rsidP="00740BC3">
            <w:pPr>
              <w:pStyle w:val="Heading2"/>
              <w:tabs>
                <w:tab w:val="clear" w:pos="720"/>
                <w:tab w:val="num" w:pos="709"/>
              </w:tabs>
              <w:spacing w:after="120"/>
              <w:ind w:left="709" w:hanging="709"/>
              <w:jc w:val="left"/>
            </w:pPr>
            <w:r w:rsidRPr="005A5E12">
              <w:t>Prices</w:t>
            </w:r>
            <w:r w:rsidR="00566CC6" w:rsidRPr="005A5E12">
              <w:t xml:space="preserve"> (ex VAT)</w:t>
            </w:r>
            <w:r w:rsidRPr="005A5E12">
              <w:t xml:space="preserve"> are</w:t>
            </w:r>
            <w:r w:rsidR="00566CC6" w:rsidRPr="005A5E12">
              <w:t xml:space="preserve"> those </w:t>
            </w:r>
            <w:r w:rsidRPr="005A5E12">
              <w:t>submitted via the</w:t>
            </w:r>
            <w:r w:rsidR="00566CC6" w:rsidRPr="005A5E12">
              <w:t xml:space="preserve"> e portal on the</w:t>
            </w:r>
            <w:r w:rsidRPr="005A5E12">
              <w:t xml:space="preserve"> Appendix E.</w:t>
            </w:r>
          </w:p>
          <w:p w14:paraId="57EA1EDA" w14:textId="77777777" w:rsidR="00740BC3" w:rsidRPr="005A5E12" w:rsidRDefault="00740BC3" w:rsidP="00740BC3">
            <w:pPr>
              <w:pStyle w:val="Heading1"/>
              <w:tabs>
                <w:tab w:val="clear" w:pos="720"/>
                <w:tab w:val="num" w:pos="0"/>
              </w:tabs>
              <w:overflowPunct w:val="0"/>
              <w:autoSpaceDE w:val="0"/>
              <w:autoSpaceDN w:val="0"/>
              <w:spacing w:after="120"/>
              <w:ind w:left="709" w:hanging="709"/>
              <w:jc w:val="left"/>
              <w:textAlignment w:val="baseline"/>
              <w:rPr>
                <w:rFonts w:cs="Arial"/>
                <w:szCs w:val="22"/>
              </w:rPr>
            </w:pPr>
            <w:bookmarkStart w:id="24" w:name="_Toc368573038"/>
            <w:bookmarkStart w:id="25" w:name="_Toc444518880"/>
            <w:r w:rsidRPr="005A5E12">
              <w:rPr>
                <w:rFonts w:cs="Arial"/>
                <w:szCs w:val="22"/>
              </w:rPr>
              <w:t>STAFF AND CUSTOMER SERVICE</w:t>
            </w:r>
            <w:bookmarkEnd w:id="24"/>
            <w:bookmarkEnd w:id="25"/>
          </w:p>
          <w:p w14:paraId="4BAE7C6B" w14:textId="77777777" w:rsidR="00740BC3" w:rsidRPr="005A5E12" w:rsidRDefault="00740BC3" w:rsidP="00740BC3">
            <w:pPr>
              <w:pStyle w:val="Heading2"/>
              <w:tabs>
                <w:tab w:val="clear" w:pos="720"/>
                <w:tab w:val="num" w:pos="709"/>
              </w:tabs>
              <w:spacing w:after="120"/>
              <w:ind w:left="709" w:hanging="709"/>
              <w:jc w:val="left"/>
            </w:pPr>
            <w:r w:rsidRPr="005A5E12">
              <w:t>The Authority requires the Potential Provider to provide a sufficient level of resource throughout the duration of the Contract in order to consistently deliver a quality service to all Parties.</w:t>
            </w:r>
          </w:p>
          <w:p w14:paraId="7FE7EBEF" w14:textId="77777777" w:rsidR="00740BC3" w:rsidRPr="005A5E12" w:rsidRDefault="00740BC3" w:rsidP="00740BC3">
            <w:pPr>
              <w:pStyle w:val="Heading2"/>
              <w:tabs>
                <w:tab w:val="clear" w:pos="720"/>
                <w:tab w:val="num" w:pos="709"/>
              </w:tabs>
              <w:spacing w:after="120"/>
              <w:ind w:left="709" w:hanging="709"/>
              <w:jc w:val="left"/>
            </w:pPr>
            <w:r w:rsidRPr="005A5E12">
              <w:t xml:space="preserve">Potential Provider’s staff assigned to the Contract shall have the relevant qualifications and experience to deliver the Contract. </w:t>
            </w:r>
          </w:p>
          <w:p w14:paraId="7F533292" w14:textId="77777777" w:rsidR="00740BC3" w:rsidRPr="005A5E12" w:rsidRDefault="00740BC3" w:rsidP="00740BC3">
            <w:pPr>
              <w:pStyle w:val="Heading2"/>
              <w:tabs>
                <w:tab w:val="clear" w:pos="720"/>
                <w:tab w:val="num" w:pos="709"/>
              </w:tabs>
              <w:spacing w:after="120"/>
              <w:ind w:left="709" w:hanging="709"/>
              <w:jc w:val="left"/>
            </w:pPr>
            <w:r w:rsidRPr="005A5E12">
              <w:t xml:space="preserve">The Potential Provider shall ensure that staff understand the Authority’s vision and objectives and will provide excellent customer service to the Authority throughout the duration of the Contract.  </w:t>
            </w:r>
          </w:p>
          <w:p w14:paraId="35C809E5" w14:textId="77777777" w:rsidR="00740BC3" w:rsidRPr="005A5E12" w:rsidRDefault="00740BC3" w:rsidP="00740BC3">
            <w:pPr>
              <w:pStyle w:val="Heading1"/>
              <w:tabs>
                <w:tab w:val="clear" w:pos="720"/>
                <w:tab w:val="num" w:pos="0"/>
              </w:tabs>
              <w:overflowPunct w:val="0"/>
              <w:autoSpaceDE w:val="0"/>
              <w:autoSpaceDN w:val="0"/>
              <w:spacing w:after="120"/>
              <w:ind w:left="709" w:hanging="709"/>
              <w:jc w:val="left"/>
              <w:textAlignment w:val="baseline"/>
              <w:rPr>
                <w:rFonts w:cs="Arial"/>
                <w:szCs w:val="22"/>
              </w:rPr>
            </w:pPr>
            <w:bookmarkStart w:id="26" w:name="_Toc368573039"/>
            <w:bookmarkStart w:id="27" w:name="_Toc444518881"/>
            <w:r w:rsidRPr="005A5E12">
              <w:rPr>
                <w:rFonts w:cs="Arial"/>
                <w:szCs w:val="22"/>
              </w:rPr>
              <w:t>service levels and performance</w:t>
            </w:r>
            <w:bookmarkEnd w:id="26"/>
            <w:bookmarkEnd w:id="27"/>
          </w:p>
          <w:p w14:paraId="56305D99" w14:textId="77777777" w:rsidR="00740BC3" w:rsidRPr="005A5E12" w:rsidRDefault="00740BC3" w:rsidP="00740BC3">
            <w:pPr>
              <w:pStyle w:val="Heading2"/>
              <w:tabs>
                <w:tab w:val="clear" w:pos="720"/>
                <w:tab w:val="num" w:pos="132"/>
                <w:tab w:val="num" w:pos="862"/>
              </w:tabs>
              <w:overflowPunct w:val="0"/>
              <w:autoSpaceDE w:val="0"/>
              <w:autoSpaceDN w:val="0"/>
              <w:spacing w:after="120"/>
              <w:ind w:left="709" w:hanging="709"/>
              <w:jc w:val="left"/>
              <w:textAlignment w:val="baseline"/>
            </w:pPr>
            <w:r w:rsidRPr="005A5E12">
              <w:t>The Authority will measure the quality of the Supplier’s delivery by:</w:t>
            </w:r>
          </w:p>
          <w:p w14:paraId="18839465" w14:textId="77777777" w:rsidR="00740BC3" w:rsidRPr="005A5E12" w:rsidRDefault="00740BC3" w:rsidP="00740BC3">
            <w:pPr>
              <w:pStyle w:val="Heading3"/>
              <w:numPr>
                <w:ilvl w:val="0"/>
                <w:numId w:val="0"/>
              </w:numPr>
              <w:spacing w:after="120"/>
              <w:ind w:left="1418"/>
              <w:jc w:val="left"/>
            </w:pPr>
          </w:p>
          <w:tbl>
            <w:tblPr>
              <w:tblStyle w:val="TableGrid"/>
              <w:tblW w:w="0" w:type="auto"/>
              <w:tblInd w:w="720" w:type="dxa"/>
              <w:tblLayout w:type="fixed"/>
              <w:tblLook w:val="04A0" w:firstRow="1" w:lastRow="0" w:firstColumn="1" w:lastColumn="0" w:noHBand="0" w:noVBand="1"/>
            </w:tblPr>
            <w:tblGrid>
              <w:gridCol w:w="1048"/>
              <w:gridCol w:w="1771"/>
              <w:gridCol w:w="3827"/>
              <w:gridCol w:w="1653"/>
            </w:tblGrid>
            <w:tr w:rsidR="00740BC3" w:rsidRPr="005A5E12" w14:paraId="3FCBD308" w14:textId="77777777" w:rsidTr="00740BC3">
              <w:tc>
                <w:tcPr>
                  <w:tcW w:w="1048" w:type="dxa"/>
                  <w:shd w:val="clear" w:color="auto" w:fill="DEEAF6" w:themeFill="accent1" w:themeFillTint="33"/>
                </w:tcPr>
                <w:p w14:paraId="0AE0AA0E" w14:textId="77777777" w:rsidR="00740BC3" w:rsidRPr="005A5E12" w:rsidRDefault="00740BC3" w:rsidP="00740BC3">
                  <w:pPr>
                    <w:pStyle w:val="Heading2"/>
                    <w:numPr>
                      <w:ilvl w:val="0"/>
                      <w:numId w:val="0"/>
                    </w:numPr>
                    <w:jc w:val="left"/>
                    <w:outlineLvl w:val="1"/>
                  </w:pPr>
                  <w:r w:rsidRPr="005A5E12">
                    <w:t>KPI/SLA</w:t>
                  </w:r>
                </w:p>
              </w:tc>
              <w:tc>
                <w:tcPr>
                  <w:tcW w:w="1771" w:type="dxa"/>
                  <w:shd w:val="clear" w:color="auto" w:fill="DEEAF6" w:themeFill="accent1" w:themeFillTint="33"/>
                </w:tcPr>
                <w:p w14:paraId="67E899E0" w14:textId="77777777" w:rsidR="00740BC3" w:rsidRPr="005A5E12" w:rsidRDefault="00740BC3" w:rsidP="00740BC3">
                  <w:pPr>
                    <w:pStyle w:val="Heading2"/>
                    <w:numPr>
                      <w:ilvl w:val="0"/>
                      <w:numId w:val="0"/>
                    </w:numPr>
                    <w:jc w:val="left"/>
                    <w:outlineLvl w:val="1"/>
                  </w:pPr>
                  <w:r w:rsidRPr="005A5E12">
                    <w:t>Service Area</w:t>
                  </w:r>
                </w:p>
              </w:tc>
              <w:tc>
                <w:tcPr>
                  <w:tcW w:w="3827" w:type="dxa"/>
                  <w:shd w:val="clear" w:color="auto" w:fill="DEEAF6" w:themeFill="accent1" w:themeFillTint="33"/>
                </w:tcPr>
                <w:p w14:paraId="61640874" w14:textId="77777777" w:rsidR="00740BC3" w:rsidRPr="005A5E12" w:rsidRDefault="00740BC3" w:rsidP="00740BC3">
                  <w:pPr>
                    <w:pStyle w:val="Heading2"/>
                    <w:numPr>
                      <w:ilvl w:val="0"/>
                      <w:numId w:val="0"/>
                    </w:numPr>
                    <w:jc w:val="left"/>
                    <w:outlineLvl w:val="1"/>
                  </w:pPr>
                  <w:r w:rsidRPr="005A5E12">
                    <w:t>KPI/SLA description</w:t>
                  </w:r>
                </w:p>
              </w:tc>
              <w:tc>
                <w:tcPr>
                  <w:tcW w:w="1653" w:type="dxa"/>
                  <w:shd w:val="clear" w:color="auto" w:fill="DEEAF6" w:themeFill="accent1" w:themeFillTint="33"/>
                </w:tcPr>
                <w:p w14:paraId="55A5416D" w14:textId="77777777" w:rsidR="00740BC3" w:rsidRPr="005A5E12" w:rsidRDefault="00740BC3" w:rsidP="00740BC3">
                  <w:pPr>
                    <w:pStyle w:val="Heading2"/>
                    <w:numPr>
                      <w:ilvl w:val="0"/>
                      <w:numId w:val="0"/>
                    </w:numPr>
                    <w:jc w:val="left"/>
                    <w:outlineLvl w:val="1"/>
                  </w:pPr>
                  <w:r w:rsidRPr="005A5E12">
                    <w:t>Target</w:t>
                  </w:r>
                </w:p>
              </w:tc>
            </w:tr>
            <w:tr w:rsidR="00740BC3" w:rsidRPr="005A5E12" w14:paraId="5E718F76" w14:textId="77777777" w:rsidTr="00740BC3">
              <w:tc>
                <w:tcPr>
                  <w:tcW w:w="1048" w:type="dxa"/>
                </w:tcPr>
                <w:p w14:paraId="096BAAFB" w14:textId="77777777" w:rsidR="00740BC3" w:rsidRPr="005A5E12" w:rsidRDefault="00740BC3" w:rsidP="00740BC3">
                  <w:pPr>
                    <w:pStyle w:val="Heading2"/>
                    <w:numPr>
                      <w:ilvl w:val="0"/>
                      <w:numId w:val="0"/>
                    </w:numPr>
                    <w:jc w:val="left"/>
                    <w:outlineLvl w:val="1"/>
                  </w:pPr>
                  <w:r w:rsidRPr="005A5E12">
                    <w:t>#1</w:t>
                  </w:r>
                </w:p>
              </w:tc>
              <w:tc>
                <w:tcPr>
                  <w:tcW w:w="1771" w:type="dxa"/>
                </w:tcPr>
                <w:p w14:paraId="028B2732" w14:textId="77777777" w:rsidR="00740BC3" w:rsidRPr="005A5E12" w:rsidRDefault="00740BC3" w:rsidP="00740BC3">
                  <w:pPr>
                    <w:pStyle w:val="Heading2"/>
                    <w:numPr>
                      <w:ilvl w:val="0"/>
                      <w:numId w:val="0"/>
                    </w:numPr>
                    <w:jc w:val="left"/>
                    <w:outlineLvl w:val="1"/>
                  </w:pPr>
                  <w:r w:rsidRPr="005A5E12">
                    <w:t>Delivery timescales</w:t>
                  </w:r>
                </w:p>
              </w:tc>
              <w:tc>
                <w:tcPr>
                  <w:tcW w:w="3827" w:type="dxa"/>
                </w:tcPr>
                <w:p w14:paraId="2F6B4BA2" w14:textId="77777777" w:rsidR="00740BC3" w:rsidRPr="005A5E12" w:rsidRDefault="00740BC3" w:rsidP="00740BC3">
                  <w:pPr>
                    <w:pStyle w:val="Heading2"/>
                    <w:numPr>
                      <w:ilvl w:val="0"/>
                      <w:numId w:val="0"/>
                    </w:numPr>
                    <w:jc w:val="left"/>
                    <w:outlineLvl w:val="1"/>
                  </w:pPr>
                  <w:r w:rsidRPr="005A5E12">
                    <w:t>Deliveries to be received within 5 working days from order issue</w:t>
                  </w:r>
                </w:p>
              </w:tc>
              <w:tc>
                <w:tcPr>
                  <w:tcW w:w="1653" w:type="dxa"/>
                </w:tcPr>
                <w:p w14:paraId="42414E9C" w14:textId="77777777" w:rsidR="00740BC3" w:rsidRPr="005A5E12" w:rsidRDefault="00740BC3" w:rsidP="00740BC3">
                  <w:pPr>
                    <w:pStyle w:val="Heading2"/>
                    <w:numPr>
                      <w:ilvl w:val="0"/>
                      <w:numId w:val="0"/>
                    </w:numPr>
                    <w:jc w:val="left"/>
                    <w:outlineLvl w:val="1"/>
                  </w:pPr>
                  <w:r w:rsidRPr="005A5E12">
                    <w:t>100%</w:t>
                  </w:r>
                </w:p>
              </w:tc>
            </w:tr>
          </w:tbl>
          <w:p w14:paraId="45998512" w14:textId="77777777" w:rsidR="00740BC3" w:rsidRPr="005A5E12" w:rsidRDefault="00740BC3" w:rsidP="00740BC3">
            <w:pPr>
              <w:pStyle w:val="Heading2"/>
              <w:numPr>
                <w:ilvl w:val="0"/>
                <w:numId w:val="0"/>
              </w:numPr>
              <w:ind w:left="720"/>
              <w:jc w:val="left"/>
            </w:pPr>
          </w:p>
          <w:p w14:paraId="2D92F043" w14:textId="77777777" w:rsidR="00740BC3" w:rsidRPr="005A5E12" w:rsidRDefault="00740BC3" w:rsidP="00740BC3">
            <w:pPr>
              <w:pStyle w:val="Heading1"/>
              <w:tabs>
                <w:tab w:val="clear" w:pos="720"/>
                <w:tab w:val="num" w:pos="0"/>
              </w:tabs>
              <w:overflowPunct w:val="0"/>
              <w:autoSpaceDE w:val="0"/>
              <w:autoSpaceDN w:val="0"/>
              <w:spacing w:after="120"/>
              <w:ind w:left="709" w:hanging="709"/>
              <w:jc w:val="left"/>
              <w:textAlignment w:val="baseline"/>
              <w:rPr>
                <w:rFonts w:cs="Arial"/>
                <w:szCs w:val="22"/>
              </w:rPr>
            </w:pPr>
            <w:bookmarkStart w:id="28" w:name="_Toc444518884"/>
            <w:bookmarkStart w:id="29" w:name="_Toc368573042"/>
            <w:r w:rsidRPr="005A5E12">
              <w:rPr>
                <w:rFonts w:cs="Arial"/>
                <w:szCs w:val="22"/>
              </w:rPr>
              <w:t>payment</w:t>
            </w:r>
            <w:bookmarkEnd w:id="28"/>
          </w:p>
          <w:p w14:paraId="79180351" w14:textId="77777777" w:rsidR="00740BC3" w:rsidRPr="005A5E12" w:rsidRDefault="00740BC3" w:rsidP="00740BC3">
            <w:pPr>
              <w:pStyle w:val="Heading2"/>
              <w:jc w:val="left"/>
              <w:rPr>
                <w:szCs w:val="22"/>
              </w:rPr>
            </w:pPr>
            <w:r w:rsidRPr="005A5E12">
              <w:rPr>
                <w:rFonts w:cs="Arial"/>
                <w:color w:val="000000"/>
                <w:szCs w:val="22"/>
                <w:shd w:val="clear" w:color="auto" w:fill="FFFFFF"/>
              </w:rPr>
              <w:t xml:space="preserve">Payment will be made via P2P upon successful delivery of all the goods required. </w:t>
            </w:r>
          </w:p>
          <w:p w14:paraId="4A50A2E9" w14:textId="019F530E" w:rsidR="005A5E12" w:rsidRPr="005A5E12" w:rsidRDefault="005A5E12" w:rsidP="005A5E12">
            <w:pPr>
              <w:pStyle w:val="Heading2"/>
              <w:rPr>
                <w:rFonts w:cs="Arial"/>
                <w:szCs w:val="22"/>
              </w:rPr>
            </w:pPr>
            <w:r w:rsidRPr="005A5E12">
              <w:rPr>
                <w:rFonts w:cs="Arial"/>
                <w:szCs w:val="22"/>
                <w:shd w:val="clear" w:color="auto" w:fill="FFFFFF"/>
                <w:lang w:eastAsia="en-US"/>
              </w:rPr>
              <w:t>During the period 30/09/16 - 20/10/16 the</w:t>
            </w:r>
            <w:r w:rsidRPr="005A5E12">
              <w:rPr>
                <w:rFonts w:cs="Arial"/>
                <w:color w:val="0000FF"/>
                <w:szCs w:val="22"/>
                <w:shd w:val="clear" w:color="auto" w:fill="FFFFFF"/>
                <w:lang w:eastAsia="en-US"/>
              </w:rPr>
              <w:t xml:space="preserve"> </w:t>
            </w:r>
            <w:r w:rsidRPr="005A5E12">
              <w:rPr>
                <w:rFonts w:cs="Arial"/>
                <w:szCs w:val="22"/>
                <w:shd w:val="clear" w:color="auto" w:fill="FFFFFF"/>
                <w:lang w:eastAsia="en-US"/>
              </w:rPr>
              <w:t>MOD will not be able to process any invoices, new orders or receipts on P2P.  Consequently, Contract and other payments will be deferred until after the CP&amp;F Release 2 ‘Go-Live’ date (20/1/16)</w:t>
            </w:r>
            <w:r w:rsidRPr="005A5E12">
              <w:rPr>
                <w:rFonts w:cs="Arial"/>
                <w:szCs w:val="22"/>
              </w:rPr>
              <w:t>.</w:t>
            </w:r>
          </w:p>
          <w:p w14:paraId="2944377C" w14:textId="77777777" w:rsidR="00740BC3" w:rsidRPr="005A5E12" w:rsidRDefault="00740BC3" w:rsidP="00740BC3">
            <w:pPr>
              <w:pStyle w:val="Heading1"/>
              <w:spacing w:after="120"/>
              <w:jc w:val="left"/>
            </w:pPr>
            <w:bookmarkStart w:id="30" w:name="_Toc368573043"/>
            <w:bookmarkStart w:id="31" w:name="_Toc444518886"/>
            <w:bookmarkEnd w:id="21"/>
            <w:bookmarkEnd w:id="29"/>
            <w:r w:rsidRPr="005A5E12">
              <w:t>Location</w:t>
            </w:r>
            <w:bookmarkEnd w:id="30"/>
            <w:bookmarkEnd w:id="31"/>
            <w:r w:rsidRPr="005A5E12">
              <w:t xml:space="preserve"> </w:t>
            </w:r>
          </w:p>
          <w:p w14:paraId="391149AB" w14:textId="77777777" w:rsidR="00740BC3" w:rsidRPr="005A5E12" w:rsidRDefault="00740BC3" w:rsidP="00740BC3">
            <w:pPr>
              <w:pStyle w:val="Heading2"/>
              <w:jc w:val="left"/>
            </w:pPr>
            <w:r w:rsidRPr="005A5E12">
              <w:t xml:space="preserve">The location of the Services will be carried out at </w:t>
            </w:r>
            <w:proofErr w:type="spellStart"/>
            <w:r w:rsidRPr="005A5E12">
              <w:t>Chetwynd</w:t>
            </w:r>
            <w:proofErr w:type="spellEnd"/>
            <w:r w:rsidRPr="005A5E12">
              <w:t xml:space="preserve"> Barracks, </w:t>
            </w:r>
            <w:proofErr w:type="spellStart"/>
            <w:r w:rsidRPr="005A5E12">
              <w:t>Chilwell</w:t>
            </w:r>
            <w:proofErr w:type="spellEnd"/>
            <w:r w:rsidRPr="005A5E12">
              <w:t xml:space="preserve">, </w:t>
            </w:r>
            <w:proofErr w:type="gramStart"/>
            <w:r w:rsidRPr="005A5E12">
              <w:t>BEESTON</w:t>
            </w:r>
            <w:proofErr w:type="gramEnd"/>
            <w:r w:rsidRPr="005A5E12">
              <w:t>. NG9 5HA.</w:t>
            </w:r>
          </w:p>
          <w:p w14:paraId="44927738" w14:textId="2D6ECEFC" w:rsidR="002B01AF" w:rsidRPr="0084655D" w:rsidRDefault="002B01AF" w:rsidP="00740BC3">
            <w:pPr>
              <w:spacing w:after="120" w:line="240" w:lineRule="atLeast"/>
              <w:ind w:right="6"/>
              <w:rPr>
                <w:rFonts w:ascii="Arial" w:eastAsia="Times New Roman" w:hAnsi="Arial" w:cs="Arial"/>
              </w:rPr>
            </w:pPr>
          </w:p>
        </w:tc>
        <w:tc>
          <w:tcPr>
            <w:tcW w:w="249" w:type="dxa"/>
          </w:tcPr>
          <w:p w14:paraId="41F47463" w14:textId="77777777" w:rsidR="0084655D" w:rsidRPr="0084655D" w:rsidRDefault="0084655D" w:rsidP="00740BC3">
            <w:pPr>
              <w:spacing w:after="120" w:line="240" w:lineRule="atLeast"/>
              <w:ind w:right="3"/>
              <w:rPr>
                <w:rFonts w:ascii="Arial" w:eastAsia="Times New Roman" w:hAnsi="Arial" w:cs="Arial"/>
              </w:rPr>
            </w:pPr>
          </w:p>
        </w:tc>
      </w:tr>
    </w:tbl>
    <w:p w14:paraId="5FB5ECC6" w14:textId="77777777" w:rsidR="00D47985" w:rsidRDefault="00D47985" w:rsidP="00740BC3"/>
    <w:sectPr w:rsidR="00D47985" w:rsidSect="001B4CEB">
      <w:headerReference w:type="default" r:id="rId8"/>
      <w:footerReference w:type="default" r:id="rId9"/>
      <w:pgSz w:w="11906" w:h="16838"/>
      <w:pgMar w:top="1440" w:right="849" w:bottom="1134" w:left="85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AEA4E" w14:textId="77777777" w:rsidR="00740BC3" w:rsidRDefault="00740BC3" w:rsidP="0071513A">
      <w:pPr>
        <w:spacing w:after="0" w:line="240" w:lineRule="auto"/>
      </w:pPr>
      <w:r>
        <w:separator/>
      </w:r>
    </w:p>
  </w:endnote>
  <w:endnote w:type="continuationSeparator" w:id="0">
    <w:p w14:paraId="19ACAB14" w14:textId="77777777" w:rsidR="00740BC3" w:rsidRDefault="00740BC3" w:rsidP="00715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imes-Roman">
    <w:panose1 w:val="00000000000000000000"/>
    <w:charset w:val="4D"/>
    <w:family w:val="auto"/>
    <w:notTrueType/>
    <w:pitch w:val="default"/>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Segoe UI">
    <w:charset w:val="00"/>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EFC58" w14:textId="77777777" w:rsidR="00740BC3" w:rsidRDefault="00740BC3" w:rsidP="001B4CEB">
    <w:pPr>
      <w:pStyle w:val="Footer"/>
      <w:pBdr>
        <w:top w:val="single" w:sz="4" w:space="0" w:color="auto"/>
      </w:pBdr>
      <w:jc w:val="center"/>
      <w:rPr>
        <w:rFonts w:ascii="Arial" w:hAnsi="Arial" w:cs="Arial"/>
        <w:sz w:val="20"/>
        <w:szCs w:val="20"/>
      </w:rPr>
    </w:pPr>
    <w:r>
      <w:rPr>
        <w:rFonts w:ascii="Arial" w:hAnsi="Arial" w:cs="Arial"/>
        <w:sz w:val="20"/>
        <w:szCs w:val="20"/>
      </w:rPr>
      <w:t>OFFICIAL</w:t>
    </w:r>
  </w:p>
  <w:p w14:paraId="1343AA0B" w14:textId="77777777" w:rsidR="00740BC3" w:rsidRDefault="00740BC3" w:rsidP="001B4CEB">
    <w:pPr>
      <w:pStyle w:val="Footer"/>
      <w:pBdr>
        <w:top w:val="single" w:sz="4" w:space="0" w:color="auto"/>
      </w:pBdr>
      <w:rPr>
        <w:rFonts w:ascii="Arial" w:hAnsi="Arial" w:cs="Arial"/>
        <w:sz w:val="20"/>
        <w:szCs w:val="20"/>
      </w:rPr>
    </w:pPr>
    <w:r>
      <w:rPr>
        <w:rFonts w:ascii="Arial" w:hAnsi="Arial" w:cs="Arial"/>
        <w:sz w:val="20"/>
        <w:szCs w:val="20"/>
      </w:rPr>
      <w:t>Framework Award letter</w:t>
    </w:r>
  </w:p>
  <w:p w14:paraId="25DF14F4" w14:textId="5545FC05" w:rsidR="00740BC3" w:rsidRPr="00F00F8A" w:rsidRDefault="00740BC3" w:rsidP="001B4CEB">
    <w:pPr>
      <w:pStyle w:val="Footer"/>
      <w:pBdr>
        <w:top w:val="single" w:sz="4" w:space="0" w:color="auto"/>
      </w:pBdr>
      <w:jc w:val="right"/>
      <w:rPr>
        <w:rFonts w:ascii="Arial" w:hAnsi="Arial" w:cs="Arial"/>
        <w:sz w:val="20"/>
        <w:szCs w:val="20"/>
      </w:rPr>
    </w:pPr>
    <w:r>
      <w:rPr>
        <w:rFonts w:ascii="Arial" w:hAnsi="Arial" w:cs="Arial"/>
        <w:sz w:val="20"/>
        <w:szCs w:val="20"/>
      </w:rPr>
      <w:t xml:space="preserve">V1.0 </w:t>
    </w:r>
    <w:r w:rsidRPr="005A5E12">
      <w:rPr>
        <w:rFonts w:ascii="Arial" w:hAnsi="Arial" w:cs="Arial"/>
        <w:sz w:val="20"/>
        <w:szCs w:val="20"/>
      </w:rPr>
      <w:t>6</w:t>
    </w:r>
    <w:r w:rsidRPr="005A5E12">
      <w:rPr>
        <w:rFonts w:ascii="Arial" w:hAnsi="Arial" w:cs="Arial"/>
        <w:sz w:val="20"/>
        <w:szCs w:val="20"/>
        <w:vertAlign w:val="superscript"/>
      </w:rPr>
      <w:t>th</w:t>
    </w:r>
    <w:r w:rsidRPr="005A5E12">
      <w:rPr>
        <w:rFonts w:ascii="Arial" w:hAnsi="Arial" w:cs="Arial"/>
        <w:sz w:val="20"/>
        <w:szCs w:val="20"/>
      </w:rPr>
      <w:t xml:space="preserve"> October 2016</w:t>
    </w:r>
  </w:p>
  <w:p w14:paraId="7A33ADE1" w14:textId="77777777" w:rsidR="00740BC3" w:rsidRPr="00F00F8A" w:rsidRDefault="006E43F2" w:rsidP="001B4CEB">
    <w:pPr>
      <w:pStyle w:val="Footer"/>
      <w:pBdr>
        <w:top w:val="single" w:sz="4" w:space="0" w:color="auto"/>
      </w:pBdr>
      <w:jc w:val="center"/>
      <w:rPr>
        <w:rFonts w:ascii="Arial" w:hAnsi="Arial" w:cs="Arial"/>
        <w:sz w:val="20"/>
        <w:szCs w:val="20"/>
      </w:rPr>
    </w:pPr>
    <w:sdt>
      <w:sdtPr>
        <w:rPr>
          <w:rFonts w:ascii="Arial" w:hAnsi="Arial" w:cs="Arial"/>
          <w:sz w:val="20"/>
          <w:szCs w:val="20"/>
        </w:rPr>
        <w:id w:val="-1794202600"/>
        <w:docPartObj>
          <w:docPartGallery w:val="Page Numbers (Bottom of Page)"/>
          <w:docPartUnique/>
        </w:docPartObj>
      </w:sdtPr>
      <w:sdtEndPr>
        <w:rPr>
          <w:noProof/>
        </w:rPr>
      </w:sdtEndPr>
      <w:sdtContent>
        <w:r w:rsidR="00740BC3" w:rsidRPr="00F00F8A">
          <w:rPr>
            <w:rFonts w:ascii="Arial" w:hAnsi="Arial" w:cs="Arial"/>
            <w:sz w:val="20"/>
            <w:szCs w:val="20"/>
          </w:rPr>
          <w:fldChar w:fldCharType="begin"/>
        </w:r>
        <w:r w:rsidR="00740BC3" w:rsidRPr="00F00F8A">
          <w:rPr>
            <w:rFonts w:ascii="Arial" w:hAnsi="Arial" w:cs="Arial"/>
            <w:sz w:val="20"/>
            <w:szCs w:val="20"/>
          </w:rPr>
          <w:instrText xml:space="preserve"> PAGE   \* MERGEFORMAT </w:instrText>
        </w:r>
        <w:r w:rsidR="00740BC3" w:rsidRPr="00F00F8A">
          <w:rPr>
            <w:rFonts w:ascii="Arial" w:hAnsi="Arial" w:cs="Arial"/>
            <w:sz w:val="20"/>
            <w:szCs w:val="20"/>
          </w:rPr>
          <w:fldChar w:fldCharType="separate"/>
        </w:r>
        <w:r>
          <w:rPr>
            <w:rFonts w:ascii="Arial" w:hAnsi="Arial" w:cs="Arial"/>
            <w:noProof/>
            <w:sz w:val="20"/>
            <w:szCs w:val="20"/>
          </w:rPr>
          <w:t>1</w:t>
        </w:r>
        <w:r w:rsidR="00740BC3" w:rsidRPr="00F00F8A">
          <w:rPr>
            <w:rFonts w:ascii="Arial" w:hAnsi="Arial" w:cs="Arial"/>
            <w:noProof/>
            <w:sz w:val="20"/>
            <w:szCs w:val="20"/>
          </w:rPr>
          <w:fldChar w:fldCharType="end"/>
        </w:r>
      </w:sdtContent>
    </w:sdt>
  </w:p>
  <w:p w14:paraId="2BA27764" w14:textId="77777777" w:rsidR="00740BC3" w:rsidRDefault="00740BC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0A4373" w14:textId="77777777" w:rsidR="00740BC3" w:rsidRDefault="00740BC3" w:rsidP="0071513A">
      <w:pPr>
        <w:spacing w:after="0" w:line="240" w:lineRule="auto"/>
      </w:pPr>
      <w:r>
        <w:separator/>
      </w:r>
    </w:p>
  </w:footnote>
  <w:footnote w:type="continuationSeparator" w:id="0">
    <w:p w14:paraId="4293111D" w14:textId="77777777" w:rsidR="00740BC3" w:rsidRDefault="00740BC3" w:rsidP="0071513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740BC3" w:rsidRPr="007475F9" w14:paraId="552A47D9" w14:textId="77777777" w:rsidTr="00F250F8">
      <w:trPr>
        <w:trHeight w:val="268"/>
      </w:trPr>
      <w:tc>
        <w:tcPr>
          <w:tcW w:w="10858" w:type="dxa"/>
          <w:gridSpan w:val="4"/>
        </w:tcPr>
        <w:p w14:paraId="3873FFD4" w14:textId="77777777" w:rsidR="00740BC3" w:rsidRPr="0071513A" w:rsidRDefault="00740BC3"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740BC3" w:rsidRPr="007475F9" w14:paraId="2DEDA532" w14:textId="77777777" w:rsidTr="00374723">
      <w:trPr>
        <w:trHeight w:val="1300"/>
      </w:trPr>
      <w:tc>
        <w:tcPr>
          <w:tcW w:w="2723" w:type="dxa"/>
        </w:tcPr>
        <w:p w14:paraId="521335E2" w14:textId="77777777" w:rsidR="00740BC3" w:rsidRPr="0071513A" w:rsidRDefault="00740BC3" w:rsidP="0071513A">
          <w:pPr>
            <w:pStyle w:val="Header"/>
            <w:ind w:left="6980" w:hanging="6980"/>
            <w:jc w:val="both"/>
            <w:rPr>
              <w:rFonts w:ascii="Arial" w:hAnsi="Arial" w:cs="Arial"/>
              <w:spacing w:val="-2"/>
              <w:sz w:val="20"/>
              <w:szCs w:val="20"/>
            </w:rPr>
          </w:pPr>
          <w:r>
            <w:rPr>
              <w:noProof/>
              <w:sz w:val="20"/>
              <w:lang w:val="en-US"/>
            </w:rPr>
            <w:drawing>
              <wp:anchor distT="0" distB="0" distL="114300" distR="114300" simplePos="0" relativeHeight="251659264" behindDoc="0" locked="0" layoutInCell="1" allowOverlap="1" wp14:anchorId="6C1F56F1" wp14:editId="09575A09">
                <wp:simplePos x="0" y="0"/>
                <wp:positionH relativeFrom="column">
                  <wp:posOffset>163830</wp:posOffset>
                </wp:positionH>
                <wp:positionV relativeFrom="paragraph">
                  <wp:posOffset>0</wp:posOffset>
                </wp:positionV>
                <wp:extent cx="868680" cy="716280"/>
                <wp:effectExtent l="0" t="0" r="7620" b="7620"/>
                <wp:wrapThrough wrapText="bothSides">
                  <wp:wrapPolygon edited="0">
                    <wp:start x="0" y="0"/>
                    <wp:lineTo x="0" y="21255"/>
                    <wp:lineTo x="14684" y="21255"/>
                    <wp:lineTo x="15632" y="19532"/>
                    <wp:lineTo x="21316" y="17234"/>
                    <wp:lineTo x="21316" y="13787"/>
                    <wp:lineTo x="13263" y="9191"/>
                    <wp:lineTo x="7579" y="0"/>
                    <wp:lineTo x="0" y="0"/>
                  </wp:wrapPolygon>
                </wp:wrapThrough>
                <wp:docPr id="3" name="Picture 3"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868680" cy="716280"/>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46070813" w14:textId="77777777" w:rsidR="00740BC3" w:rsidRPr="0071513A" w:rsidRDefault="00740BC3" w:rsidP="0071513A">
          <w:pPr>
            <w:pStyle w:val="Header"/>
            <w:ind w:left="6980" w:hanging="6980"/>
            <w:jc w:val="both"/>
            <w:rPr>
              <w:rFonts w:ascii="Arial" w:hAnsi="Arial" w:cs="Arial"/>
              <w:spacing w:val="-2"/>
              <w:sz w:val="20"/>
              <w:szCs w:val="20"/>
            </w:rPr>
          </w:pPr>
        </w:p>
      </w:tc>
      <w:tc>
        <w:tcPr>
          <w:tcW w:w="2835" w:type="dxa"/>
          <w:shd w:val="clear" w:color="auto" w:fill="auto"/>
        </w:tcPr>
        <w:p w14:paraId="16CDAD1A" w14:textId="77777777" w:rsidR="00740BC3" w:rsidRPr="0071513A" w:rsidRDefault="00740BC3" w:rsidP="0071513A">
          <w:pPr>
            <w:pStyle w:val="Header"/>
            <w:ind w:left="6980" w:hanging="6980"/>
            <w:jc w:val="both"/>
            <w:rPr>
              <w:rFonts w:ascii="Arial" w:hAnsi="Arial" w:cs="Arial"/>
              <w:spacing w:val="-2"/>
              <w:sz w:val="20"/>
              <w:szCs w:val="20"/>
            </w:rPr>
          </w:pPr>
        </w:p>
        <w:p w14:paraId="3E623EA1" w14:textId="77777777" w:rsidR="00740BC3" w:rsidRDefault="00740BC3" w:rsidP="0066537B">
          <w:pPr>
            <w:spacing w:after="0" w:line="240" w:lineRule="auto"/>
            <w:ind w:left="6980" w:hanging="6980"/>
            <w:jc w:val="both"/>
            <w:rPr>
              <w:rFonts w:ascii="Arial" w:hAnsi="Arial" w:cs="Arial"/>
              <w:sz w:val="20"/>
              <w:szCs w:val="20"/>
            </w:rPr>
          </w:pPr>
          <w:r>
            <w:rPr>
              <w:rFonts w:ascii="Arial" w:hAnsi="Arial" w:cs="Arial"/>
              <w:sz w:val="20"/>
              <w:szCs w:val="20"/>
            </w:rPr>
            <w:t>9</w:t>
          </w:r>
          <w:r w:rsidRPr="0066537B">
            <w:rPr>
              <w:rFonts w:ascii="Arial" w:hAnsi="Arial" w:cs="Arial"/>
              <w:sz w:val="20"/>
              <w:szCs w:val="20"/>
              <w:vertAlign w:val="superscript"/>
            </w:rPr>
            <w:t>th</w:t>
          </w:r>
          <w:r>
            <w:rPr>
              <w:rFonts w:ascii="Arial" w:hAnsi="Arial" w:cs="Arial"/>
              <w:sz w:val="20"/>
              <w:szCs w:val="20"/>
            </w:rPr>
            <w:t xml:space="preserve"> Floor, The Capital,</w:t>
          </w:r>
        </w:p>
        <w:p w14:paraId="3B30954E" w14:textId="77777777" w:rsidR="00740BC3" w:rsidRDefault="00740BC3" w:rsidP="0066537B">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5625F2F6" w14:textId="4425C7E1" w:rsidR="00740BC3" w:rsidRPr="0071513A" w:rsidRDefault="00740BC3" w:rsidP="0066537B">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08E69AC4" w14:textId="77777777" w:rsidR="00740BC3" w:rsidRPr="006035D2" w:rsidRDefault="00740BC3" w:rsidP="0071513A">
          <w:pPr>
            <w:pStyle w:val="Header"/>
            <w:jc w:val="both"/>
            <w:rPr>
              <w:rFonts w:ascii="Arial" w:hAnsi="Arial" w:cs="Arial"/>
              <w:sz w:val="20"/>
              <w:szCs w:val="20"/>
            </w:rPr>
          </w:pPr>
        </w:p>
        <w:p w14:paraId="11CC0B0D" w14:textId="41F17968" w:rsidR="00740BC3" w:rsidRPr="006035D2" w:rsidRDefault="00740BC3" w:rsidP="0071513A">
          <w:pPr>
            <w:pStyle w:val="Header"/>
            <w:jc w:val="both"/>
            <w:rPr>
              <w:rFonts w:ascii="Arial" w:hAnsi="Arial" w:cs="Arial"/>
              <w:sz w:val="20"/>
              <w:szCs w:val="20"/>
            </w:rPr>
          </w:pPr>
          <w:r w:rsidRPr="006035D2">
            <w:rPr>
              <w:rFonts w:ascii="Arial" w:hAnsi="Arial" w:cs="Arial"/>
              <w:sz w:val="20"/>
              <w:szCs w:val="20"/>
            </w:rPr>
            <w:t>T  0345 010 3503</w:t>
          </w:r>
        </w:p>
        <w:p w14:paraId="5BD0ADE4" w14:textId="057C2B2A" w:rsidR="00740BC3" w:rsidRPr="006035D2" w:rsidRDefault="00740BC3" w:rsidP="0071513A">
          <w:pPr>
            <w:pStyle w:val="Header"/>
            <w:tabs>
              <w:tab w:val="left" w:pos="3091"/>
            </w:tabs>
            <w:jc w:val="both"/>
            <w:rPr>
              <w:rFonts w:ascii="Arial" w:hAnsi="Arial" w:cs="Arial"/>
              <w:sz w:val="20"/>
              <w:szCs w:val="20"/>
            </w:rPr>
          </w:pPr>
          <w:r w:rsidRPr="006035D2">
            <w:rPr>
              <w:rFonts w:ascii="Arial" w:hAnsi="Arial" w:cs="Arial"/>
              <w:sz w:val="20"/>
              <w:szCs w:val="20"/>
            </w:rPr>
            <w:t>E  info@crowncommercial.gov.uk</w:t>
          </w:r>
        </w:p>
        <w:p w14:paraId="6FABD832" w14:textId="77777777" w:rsidR="00740BC3" w:rsidRPr="006035D2" w:rsidRDefault="00740BC3" w:rsidP="0071513A">
          <w:pPr>
            <w:pStyle w:val="Header"/>
            <w:jc w:val="both"/>
            <w:rPr>
              <w:rFonts w:ascii="Arial" w:hAnsi="Arial" w:cs="Arial"/>
              <w:sz w:val="20"/>
              <w:szCs w:val="20"/>
            </w:rPr>
          </w:pPr>
        </w:p>
        <w:p w14:paraId="2E91E43C" w14:textId="462AC82E" w:rsidR="00740BC3" w:rsidRPr="006035D2" w:rsidRDefault="006E43F2" w:rsidP="0066537B">
          <w:pPr>
            <w:spacing w:line="240" w:lineRule="auto"/>
            <w:jc w:val="both"/>
            <w:rPr>
              <w:rFonts w:ascii="Arial" w:hAnsi="Arial" w:cs="Arial"/>
              <w:sz w:val="20"/>
              <w:szCs w:val="20"/>
            </w:rPr>
          </w:pPr>
          <w:hyperlink r:id="rId2" w:history="1">
            <w:r w:rsidR="00740BC3" w:rsidRPr="006035D2">
              <w:rPr>
                <w:rStyle w:val="Hyperlink"/>
                <w:rFonts w:ascii="Arial" w:hAnsi="Arial" w:cs="Arial"/>
                <w:b/>
                <w:color w:val="auto"/>
                <w:sz w:val="20"/>
                <w:szCs w:val="20"/>
                <w:u w:val="none"/>
              </w:rPr>
              <w:t>www.gov.uk/ccs</w:t>
            </w:r>
          </w:hyperlink>
        </w:p>
      </w:tc>
    </w:tr>
  </w:tbl>
  <w:p w14:paraId="10E72903" w14:textId="51DCB6DD" w:rsidR="00740BC3" w:rsidRDefault="00740BC3" w:rsidP="0071513A">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num w:numId="1">
    <w:abstractNumId w:val="2"/>
  </w:num>
  <w:num w:numId="2">
    <w:abstractNumId w:val="3"/>
  </w:num>
  <w:num w:numId="3">
    <w:abstractNumId w:val="5"/>
  </w:num>
  <w:num w:numId="4">
    <w:abstractNumId w:val="1"/>
  </w:num>
  <w:num w:numId="5">
    <w:abstractNumId w:val="0"/>
  </w:num>
  <w:num w:numId="6">
    <w:abstractNumId w:val="4"/>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F1A"/>
    <w:rsid w:val="00002E95"/>
    <w:rsid w:val="00014894"/>
    <w:rsid w:val="00075B59"/>
    <w:rsid w:val="000A2B62"/>
    <w:rsid w:val="00102F93"/>
    <w:rsid w:val="00121406"/>
    <w:rsid w:val="00155402"/>
    <w:rsid w:val="001B4CEB"/>
    <w:rsid w:val="001B4E75"/>
    <w:rsid w:val="001D388C"/>
    <w:rsid w:val="00206CBF"/>
    <w:rsid w:val="00271837"/>
    <w:rsid w:val="002937AE"/>
    <w:rsid w:val="002B01AF"/>
    <w:rsid w:val="003047BD"/>
    <w:rsid w:val="003206F0"/>
    <w:rsid w:val="00341053"/>
    <w:rsid w:val="003541BD"/>
    <w:rsid w:val="003625FB"/>
    <w:rsid w:val="00374723"/>
    <w:rsid w:val="003D17EC"/>
    <w:rsid w:val="004A5B2C"/>
    <w:rsid w:val="004B03A5"/>
    <w:rsid w:val="004C2DD7"/>
    <w:rsid w:val="004F5DD5"/>
    <w:rsid w:val="00532593"/>
    <w:rsid w:val="00566CC6"/>
    <w:rsid w:val="005A01C3"/>
    <w:rsid w:val="005A3515"/>
    <w:rsid w:val="005A5E12"/>
    <w:rsid w:val="005C2023"/>
    <w:rsid w:val="005C6AEA"/>
    <w:rsid w:val="005D21F8"/>
    <w:rsid w:val="005D7552"/>
    <w:rsid w:val="006035D2"/>
    <w:rsid w:val="0066537B"/>
    <w:rsid w:val="00666D32"/>
    <w:rsid w:val="006908F5"/>
    <w:rsid w:val="006A421C"/>
    <w:rsid w:val="006B3C65"/>
    <w:rsid w:val="006C22FC"/>
    <w:rsid w:val="006E43F2"/>
    <w:rsid w:val="006F7B3D"/>
    <w:rsid w:val="0071513A"/>
    <w:rsid w:val="007203B3"/>
    <w:rsid w:val="00737181"/>
    <w:rsid w:val="00740BC3"/>
    <w:rsid w:val="007669E5"/>
    <w:rsid w:val="007829CE"/>
    <w:rsid w:val="00785C69"/>
    <w:rsid w:val="007F7964"/>
    <w:rsid w:val="008206C0"/>
    <w:rsid w:val="0084655D"/>
    <w:rsid w:val="008527C4"/>
    <w:rsid w:val="00880B11"/>
    <w:rsid w:val="008F24D5"/>
    <w:rsid w:val="0091493C"/>
    <w:rsid w:val="00921B86"/>
    <w:rsid w:val="00977196"/>
    <w:rsid w:val="00984F1A"/>
    <w:rsid w:val="009C0C87"/>
    <w:rsid w:val="009F11F4"/>
    <w:rsid w:val="009F37CB"/>
    <w:rsid w:val="009F3D7F"/>
    <w:rsid w:val="00A1051E"/>
    <w:rsid w:val="00A86445"/>
    <w:rsid w:val="00AC6F3D"/>
    <w:rsid w:val="00AD0B6C"/>
    <w:rsid w:val="00AE6EF4"/>
    <w:rsid w:val="00B075D4"/>
    <w:rsid w:val="00B23243"/>
    <w:rsid w:val="00B56971"/>
    <w:rsid w:val="00B63F01"/>
    <w:rsid w:val="00B65109"/>
    <w:rsid w:val="00BA3DF1"/>
    <w:rsid w:val="00BC67AE"/>
    <w:rsid w:val="00BF35C2"/>
    <w:rsid w:val="00C179FA"/>
    <w:rsid w:val="00C20410"/>
    <w:rsid w:val="00C70004"/>
    <w:rsid w:val="00C72F3C"/>
    <w:rsid w:val="00C96834"/>
    <w:rsid w:val="00CB3F79"/>
    <w:rsid w:val="00CC15AD"/>
    <w:rsid w:val="00CD4C1C"/>
    <w:rsid w:val="00D14223"/>
    <w:rsid w:val="00D27714"/>
    <w:rsid w:val="00D36A60"/>
    <w:rsid w:val="00D47985"/>
    <w:rsid w:val="00D83646"/>
    <w:rsid w:val="00D968FE"/>
    <w:rsid w:val="00DB50D4"/>
    <w:rsid w:val="00DD5319"/>
    <w:rsid w:val="00DE5FB2"/>
    <w:rsid w:val="00DF246E"/>
    <w:rsid w:val="00E138CC"/>
    <w:rsid w:val="00E13BE1"/>
    <w:rsid w:val="00E17914"/>
    <w:rsid w:val="00E25271"/>
    <w:rsid w:val="00E26C67"/>
    <w:rsid w:val="00E90806"/>
    <w:rsid w:val="00EC3DA1"/>
    <w:rsid w:val="00F00F8A"/>
    <w:rsid w:val="00F250F8"/>
    <w:rsid w:val="00F25935"/>
    <w:rsid w:val="00F31314"/>
    <w:rsid w:val="00F351C1"/>
    <w:rsid w:val="00F8007B"/>
    <w:rsid w:val="00F85235"/>
    <w:rsid w:val="00FD19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BD49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740BC3"/>
    <w:pPr>
      <w:keepNext/>
      <w:numPr>
        <w:numId w:val="7"/>
      </w:numPr>
      <w:adjustRightInd w:val="0"/>
      <w:spacing w:after="240" w:line="240" w:lineRule="auto"/>
      <w:jc w:val="both"/>
      <w:outlineLvl w:val="0"/>
    </w:pPr>
    <w:rPr>
      <w:rFonts w:ascii="Arial" w:eastAsia="STZhongsong" w:hAnsi="Arial" w:cs="Times New Roman"/>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740BC3"/>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740BC3"/>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740BC3"/>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740BC3"/>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40BC3"/>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40BC3"/>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qFormat/>
    <w:rsid w:val="00740BC3"/>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740BC3"/>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paragraph" w:customStyle="1" w:styleId="BasicParagraph">
    <w:name w:val="[Basic Paragraph]"/>
    <w:basedOn w:val="Normal"/>
    <w:uiPriority w:val="99"/>
    <w:rsid w:val="00B56971"/>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rPr>
  </w:style>
  <w:style w:type="character" w:styleId="CommentReference">
    <w:name w:val="annotation reference"/>
    <w:basedOn w:val="DefaultParagraphFont"/>
    <w:uiPriority w:val="99"/>
    <w:semiHidden/>
    <w:unhideWhenUsed/>
    <w:rsid w:val="00AD0B6C"/>
    <w:rPr>
      <w:sz w:val="16"/>
      <w:szCs w:val="16"/>
    </w:rPr>
  </w:style>
  <w:style w:type="paragraph" w:styleId="CommentText">
    <w:name w:val="annotation text"/>
    <w:basedOn w:val="Normal"/>
    <w:link w:val="CommentTextChar"/>
    <w:uiPriority w:val="99"/>
    <w:semiHidden/>
    <w:unhideWhenUsed/>
    <w:rsid w:val="00AD0B6C"/>
    <w:pPr>
      <w:spacing w:line="240" w:lineRule="auto"/>
    </w:pPr>
    <w:rPr>
      <w:sz w:val="20"/>
      <w:szCs w:val="20"/>
    </w:rPr>
  </w:style>
  <w:style w:type="character" w:customStyle="1" w:styleId="CommentTextChar">
    <w:name w:val="Comment Text Char"/>
    <w:basedOn w:val="DefaultParagraphFont"/>
    <w:link w:val="CommentText"/>
    <w:uiPriority w:val="99"/>
    <w:semiHidden/>
    <w:rsid w:val="00AD0B6C"/>
    <w:rPr>
      <w:sz w:val="20"/>
      <w:szCs w:val="20"/>
    </w:rPr>
  </w:style>
  <w:style w:type="paragraph" w:styleId="CommentSubject">
    <w:name w:val="annotation subject"/>
    <w:basedOn w:val="CommentText"/>
    <w:next w:val="CommentText"/>
    <w:link w:val="CommentSubjectChar"/>
    <w:uiPriority w:val="99"/>
    <w:semiHidden/>
    <w:unhideWhenUsed/>
    <w:rsid w:val="00AD0B6C"/>
    <w:rPr>
      <w:b/>
      <w:bCs/>
    </w:rPr>
  </w:style>
  <w:style w:type="character" w:customStyle="1" w:styleId="CommentSubjectChar">
    <w:name w:val="Comment Subject Char"/>
    <w:basedOn w:val="CommentTextChar"/>
    <w:link w:val="CommentSubject"/>
    <w:uiPriority w:val="99"/>
    <w:semiHidden/>
    <w:rsid w:val="00AD0B6C"/>
    <w:rPr>
      <w:b/>
      <w:bCs/>
      <w:sz w:val="20"/>
      <w:szCs w:val="20"/>
    </w:rPr>
  </w:style>
  <w:style w:type="paragraph" w:styleId="BalloonText">
    <w:name w:val="Balloon Text"/>
    <w:basedOn w:val="Normal"/>
    <w:link w:val="BalloonTextChar"/>
    <w:uiPriority w:val="99"/>
    <w:semiHidden/>
    <w:unhideWhenUsed/>
    <w:rsid w:val="00AD0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B6C"/>
    <w:rPr>
      <w:rFonts w:ascii="Segoe UI" w:hAnsi="Segoe UI" w:cs="Segoe UI"/>
      <w:sz w:val="18"/>
      <w:szCs w:val="18"/>
    </w:rPr>
  </w:style>
  <w:style w:type="paragraph" w:styleId="Revision">
    <w:name w:val="Revision"/>
    <w:hidden/>
    <w:uiPriority w:val="99"/>
    <w:semiHidden/>
    <w:rsid w:val="00E13BE1"/>
    <w:pPr>
      <w:spacing w:after="0" w:line="240" w:lineRule="auto"/>
    </w:p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740BC3"/>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740BC3"/>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740BC3"/>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740BC3"/>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740BC3"/>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40BC3"/>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40BC3"/>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740BC3"/>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740BC3"/>
    <w:rPr>
      <w:rFonts w:ascii="Arial" w:eastAsia="STZhongsong" w:hAnsi="Arial" w:cs="Times New Roman"/>
      <w:szCs w:val="20"/>
      <w:lang w:eastAsia="zh-CN"/>
    </w:rPr>
  </w:style>
  <w:style w:type="table" w:styleId="TableGrid">
    <w:name w:val="Table Grid"/>
    <w:basedOn w:val="TableNormal"/>
    <w:uiPriority w:val="59"/>
    <w:rsid w:val="00740BC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740BC3"/>
    <w:pPr>
      <w:keepNext/>
      <w:numPr>
        <w:numId w:val="7"/>
      </w:numPr>
      <w:adjustRightInd w:val="0"/>
      <w:spacing w:after="240" w:line="240" w:lineRule="auto"/>
      <w:jc w:val="both"/>
      <w:outlineLvl w:val="0"/>
    </w:pPr>
    <w:rPr>
      <w:rFonts w:ascii="Arial" w:eastAsia="STZhongsong" w:hAnsi="Arial" w:cs="Times New Roman"/>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740BC3"/>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740BC3"/>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740BC3"/>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740BC3"/>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40BC3"/>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40BC3"/>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qFormat/>
    <w:rsid w:val="00740BC3"/>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740BC3"/>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paragraph" w:customStyle="1" w:styleId="BasicParagraph">
    <w:name w:val="[Basic Paragraph]"/>
    <w:basedOn w:val="Normal"/>
    <w:uiPriority w:val="99"/>
    <w:rsid w:val="00B56971"/>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rPr>
  </w:style>
  <w:style w:type="character" w:styleId="CommentReference">
    <w:name w:val="annotation reference"/>
    <w:basedOn w:val="DefaultParagraphFont"/>
    <w:uiPriority w:val="99"/>
    <w:semiHidden/>
    <w:unhideWhenUsed/>
    <w:rsid w:val="00AD0B6C"/>
    <w:rPr>
      <w:sz w:val="16"/>
      <w:szCs w:val="16"/>
    </w:rPr>
  </w:style>
  <w:style w:type="paragraph" w:styleId="CommentText">
    <w:name w:val="annotation text"/>
    <w:basedOn w:val="Normal"/>
    <w:link w:val="CommentTextChar"/>
    <w:uiPriority w:val="99"/>
    <w:semiHidden/>
    <w:unhideWhenUsed/>
    <w:rsid w:val="00AD0B6C"/>
    <w:pPr>
      <w:spacing w:line="240" w:lineRule="auto"/>
    </w:pPr>
    <w:rPr>
      <w:sz w:val="20"/>
      <w:szCs w:val="20"/>
    </w:rPr>
  </w:style>
  <w:style w:type="character" w:customStyle="1" w:styleId="CommentTextChar">
    <w:name w:val="Comment Text Char"/>
    <w:basedOn w:val="DefaultParagraphFont"/>
    <w:link w:val="CommentText"/>
    <w:uiPriority w:val="99"/>
    <w:semiHidden/>
    <w:rsid w:val="00AD0B6C"/>
    <w:rPr>
      <w:sz w:val="20"/>
      <w:szCs w:val="20"/>
    </w:rPr>
  </w:style>
  <w:style w:type="paragraph" w:styleId="CommentSubject">
    <w:name w:val="annotation subject"/>
    <w:basedOn w:val="CommentText"/>
    <w:next w:val="CommentText"/>
    <w:link w:val="CommentSubjectChar"/>
    <w:uiPriority w:val="99"/>
    <w:semiHidden/>
    <w:unhideWhenUsed/>
    <w:rsid w:val="00AD0B6C"/>
    <w:rPr>
      <w:b/>
      <w:bCs/>
    </w:rPr>
  </w:style>
  <w:style w:type="character" w:customStyle="1" w:styleId="CommentSubjectChar">
    <w:name w:val="Comment Subject Char"/>
    <w:basedOn w:val="CommentTextChar"/>
    <w:link w:val="CommentSubject"/>
    <w:uiPriority w:val="99"/>
    <w:semiHidden/>
    <w:rsid w:val="00AD0B6C"/>
    <w:rPr>
      <w:b/>
      <w:bCs/>
      <w:sz w:val="20"/>
      <w:szCs w:val="20"/>
    </w:rPr>
  </w:style>
  <w:style w:type="paragraph" w:styleId="BalloonText">
    <w:name w:val="Balloon Text"/>
    <w:basedOn w:val="Normal"/>
    <w:link w:val="BalloonTextChar"/>
    <w:uiPriority w:val="99"/>
    <w:semiHidden/>
    <w:unhideWhenUsed/>
    <w:rsid w:val="00AD0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B6C"/>
    <w:rPr>
      <w:rFonts w:ascii="Segoe UI" w:hAnsi="Segoe UI" w:cs="Segoe UI"/>
      <w:sz w:val="18"/>
      <w:szCs w:val="18"/>
    </w:rPr>
  </w:style>
  <w:style w:type="paragraph" w:styleId="Revision">
    <w:name w:val="Revision"/>
    <w:hidden/>
    <w:uiPriority w:val="99"/>
    <w:semiHidden/>
    <w:rsid w:val="00E13BE1"/>
    <w:pPr>
      <w:spacing w:after="0" w:line="240" w:lineRule="auto"/>
    </w:p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740BC3"/>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740BC3"/>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740BC3"/>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740BC3"/>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740BC3"/>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40BC3"/>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40BC3"/>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740BC3"/>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740BC3"/>
    <w:rPr>
      <w:rFonts w:ascii="Arial" w:eastAsia="STZhongsong" w:hAnsi="Arial" w:cs="Times New Roman"/>
      <w:szCs w:val="20"/>
      <w:lang w:eastAsia="zh-CN"/>
    </w:rPr>
  </w:style>
  <w:style w:type="table" w:styleId="TableGrid">
    <w:name w:val="Table Grid"/>
    <w:basedOn w:val="TableNormal"/>
    <w:uiPriority w:val="59"/>
    <w:rsid w:val="00740BC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823491">
      <w:bodyDiv w:val="1"/>
      <w:marLeft w:val="0"/>
      <w:marRight w:val="0"/>
      <w:marTop w:val="0"/>
      <w:marBottom w:val="0"/>
      <w:divBdr>
        <w:top w:val="none" w:sz="0" w:space="0" w:color="auto"/>
        <w:left w:val="none" w:sz="0" w:space="0" w:color="auto"/>
        <w:bottom w:val="none" w:sz="0" w:space="0" w:color="auto"/>
        <w:right w:val="none" w:sz="0" w:space="0" w:color="auto"/>
      </w:divBdr>
    </w:div>
    <w:div w:id="111617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gov.uk/c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1310</Words>
  <Characters>7472</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OFFICE</cp:lastModifiedBy>
  <cp:revision>2</cp:revision>
  <dcterms:created xsi:type="dcterms:W3CDTF">2016-10-17T09:32:00Z</dcterms:created>
  <dcterms:modified xsi:type="dcterms:W3CDTF">2016-10-17T09:32:00Z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1961140c-f89f-4c3d-9981-b83c6002a160</vt:lpwstr>
  </property>
</Properties>
</file>