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gjdgxs" w:id="0"/>
      <w:bookmarkEnd w:id="0"/>
      <w:r w:rsidDel="00000000" w:rsidR="00000000" w:rsidRPr="00000000">
        <w:rPr>
          <w:rtl w:val="0"/>
        </w:rPr>
        <w:t xml:space="preserve">Call-Off Schedule 11 (Installation Works)</w:t>
      </w:r>
    </w:p>
    <w:p w:rsidR="00000000" w:rsidDel="00000000" w:rsidP="00000000" w:rsidRDefault="00000000" w:rsidRPr="00000000" w14:paraId="00000002">
      <w:pPr>
        <w:pStyle w:val="Heading2"/>
        <w:numPr>
          <w:ilvl w:val="0"/>
          <w:numId w:val="1"/>
        </w:numPr>
        <w:ind w:left="432" w:hanging="432"/>
        <w:rPr/>
      </w:pPr>
      <w:r w:rsidDel="00000000" w:rsidR="00000000" w:rsidRPr="00000000">
        <w:rPr>
          <w:rtl w:val="0"/>
        </w:rPr>
        <w:t xml:space="preserve">When this Schedule should be used</w:t>
      </w:r>
    </w:p>
    <w:p w:rsidR="00000000" w:rsidDel="00000000" w:rsidP="00000000" w:rsidRDefault="00000000" w:rsidRPr="00000000" w14:paraId="0000000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576" w:right="0" w:hanging="57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Schedule is designed to provide additional provisions necessary to facilitate the provision of Deliverables requiring installation by the Supplier.</w:t>
      </w:r>
    </w:p>
    <w:p w:rsidR="00000000" w:rsidDel="00000000" w:rsidP="00000000" w:rsidRDefault="00000000" w:rsidRPr="00000000" w14:paraId="00000004">
      <w:pPr>
        <w:pStyle w:val="Heading2"/>
        <w:numPr>
          <w:ilvl w:val="0"/>
          <w:numId w:val="1"/>
        </w:numPr>
        <w:ind w:left="432" w:hanging="432"/>
        <w:rPr/>
      </w:pPr>
      <w:r w:rsidDel="00000000" w:rsidR="00000000" w:rsidRPr="00000000">
        <w:rPr>
          <w:rtl w:val="0"/>
        </w:rPr>
        <w:t xml:space="preserve">How things must be installed   </w:t>
      </w:r>
    </w:p>
    <w:p w:rsidR="00000000" w:rsidDel="00000000" w:rsidP="00000000" w:rsidRDefault="00000000" w:rsidRPr="00000000" w14:paraId="0000000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576" w:right="0" w:hanging="57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the Supplier reasonably believes, it has completed the Installation Works it shall notify the Buyer in writing. Following receipt of such notice, the Buyer shall inspect the Installation Works and shall, by giving written notice to the Supplier: </w:t>
      </w:r>
    </w:p>
    <w:p w:rsidR="00000000" w:rsidDel="00000000" w:rsidP="00000000" w:rsidRDefault="00000000" w:rsidRPr="00000000" w14:paraId="0000000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accept the Installation Works, or </w:t>
      </w:r>
    </w:p>
    <w:p w:rsidR="00000000" w:rsidDel="00000000" w:rsidP="00000000" w:rsidRDefault="00000000" w:rsidRPr="00000000" w14:paraId="0000000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reject the Installation Works and provide reasons to the Supplier if, in the Buyer’s reasonable opinion, the Installation Works do not meet the requirements set out in the Call-Off Order Form (or elsewhere in this Contract).</w:t>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576" w:right="0" w:hanging="57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Buyer rejects the Installation Works in accordance with Paragraph 2.1.2, the Supplier shall immediately rectify or remedy any defects and if, in the Buyer’s reasonable opinion, the Installation Works do not, within five (5) Working Days of such rectification or remedy, meet the requirements set out in the Call-Off Order Form (or elsewhere in this Contract), the Buyer may terminate this Contract for material Default.</w:t>
      </w:r>
    </w:p>
    <w:p w:rsidR="00000000" w:rsidDel="00000000" w:rsidP="00000000" w:rsidRDefault="00000000" w:rsidRPr="00000000" w14:paraId="0000000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576" w:right="0" w:hanging="57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Installation Works shall be deemed to be completed when the Supplier receives a notice issued by the Buyer in accordance with Paragraph 2.1.1 Notwithstanding the acceptance of any Installation Works in accordance with Paragraph 2.1, the Supplier shall remain solely responsible for ensuring that the Goods and the Installation Works conform to the specification in the Call-Off Order Form (or elsewhere in this Contract). No rights of estoppel or waiver shall arise as a result of the acceptance by the Buyer of the Installation Works.</w:t>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576" w:right="0" w:hanging="57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Throughout the Contract Period, the Supplier shall have at all times all licences, approvals and consents necessary to enable the Supplier and the Supplier Staff to carry out the Installation Works.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76" w:right="0" w:firstLine="0"/>
        <w:jc w:val="left"/>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ind w:firstLine="60"/>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sectPr>
      <w:headerReference r:id="rId6" w:type="default"/>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tabs>
        <w:tab w:val="center" w:pos="4513"/>
        <w:tab w:val="right" w:pos="9026"/>
      </w:tabs>
      <w:spacing w:after="0" w:line="276" w:lineRule="auto"/>
      <w:rPr>
        <w:sz w:val="20"/>
        <w:szCs w:val="20"/>
      </w:rPr>
    </w:pPr>
    <w:r w:rsidDel="00000000" w:rsidR="00000000" w:rsidRPr="00000000">
      <w:rPr>
        <w:sz w:val="20"/>
        <w:szCs w:val="20"/>
        <w:rtl w:val="0"/>
      </w:rPr>
      <w:t xml:space="preserve">Framework Ref: RM6068</w:t>
      <w:tab/>
      <w:t xml:space="preserve">                                           </w:t>
    </w:r>
  </w:p>
  <w:p w:rsidR="00000000" w:rsidDel="00000000" w:rsidP="00000000" w:rsidRDefault="00000000" w:rsidRPr="00000000" w14:paraId="00000014">
    <w:pPr>
      <w:rPr>
        <w:sz w:val="20"/>
        <w:szCs w:val="20"/>
      </w:rPr>
    </w:pPr>
    <w:r w:rsidDel="00000000" w:rsidR="00000000" w:rsidRPr="00000000">
      <w:rPr>
        <w:sz w:val="20"/>
        <w:szCs w:val="20"/>
        <w:rtl w:val="0"/>
      </w:rPr>
      <w:t xml:space="preserve">Project Version: v1.0</w:t>
    </w:r>
  </w:p>
  <w:p w:rsidR="00000000" w:rsidDel="00000000" w:rsidP="00000000" w:rsidRDefault="00000000" w:rsidRPr="00000000" w14:paraId="0000001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rPr/>
    </w:pPr>
    <w:r w:rsidDel="00000000" w:rsidR="00000000" w:rsidRPr="00000000">
      <w:rPr>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rPr/>
    </w:pPr>
    <w:r w:rsidDel="00000000" w:rsidR="00000000" w:rsidRPr="00000000">
      <w:rPr>
        <w:rtl w:val="0"/>
      </w:rPr>
      <w:t xml:space="preserve">Call-Off Schedule 11 (Installation Works)</w:t>
    </w:r>
  </w:p>
  <w:p w:rsidR="00000000" w:rsidDel="00000000" w:rsidP="00000000" w:rsidRDefault="00000000" w:rsidRPr="00000000" w14:paraId="0000001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32" w:hanging="432"/>
      </w:pPr>
      <w:rPr>
        <w:rFonts w:ascii="Arial" w:cs="Arial" w:eastAsia="Arial" w:hAnsi="Arial"/>
        <w:b w:val="0"/>
      </w:rPr>
    </w:lvl>
    <w:lvl w:ilvl="1">
      <w:start w:val="1"/>
      <w:numFmt w:val="decimal"/>
      <w:lvlText w:val="%1.%2"/>
      <w:lvlJc w:val="left"/>
      <w:pPr>
        <w:ind w:left="576" w:hanging="576"/>
      </w:pPr>
      <w:rPr>
        <w:b w:val="0"/>
      </w:rPr>
    </w:lvl>
    <w:lvl w:ilvl="2">
      <w:start w:val="1"/>
      <w:numFmt w:val="decimal"/>
      <w:lvlText w:val="%1.%2.%3"/>
      <w:lvlJc w:val="left"/>
      <w:pPr>
        <w:ind w:left="720" w:hanging="720"/>
      </w:pPr>
      <w:rPr>
        <w:b w:val="0"/>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after="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240" w:lineRule="auto"/>
    </w:pPr>
    <w:rPr>
      <w:b w:val="1"/>
      <w:color w:val="000000"/>
      <w:sz w:val="36"/>
      <w:szCs w:val="36"/>
    </w:rPr>
  </w:style>
  <w:style w:type="paragraph" w:styleId="Heading2">
    <w:name w:val="heading 2"/>
    <w:basedOn w:val="Normal"/>
    <w:next w:val="Normal"/>
    <w:pPr>
      <w:keepNext w:val="1"/>
      <w:keepLines w:val="1"/>
      <w:widowControl w:val="0"/>
      <w:spacing w:before="240" w:line="360" w:lineRule="auto"/>
    </w:pPr>
    <w:rPr>
      <w:b w:val="1"/>
      <w:sz w:val="28"/>
      <w:szCs w:val="28"/>
    </w:rPr>
  </w:style>
  <w:style w:type="paragraph" w:styleId="Heading3">
    <w:name w:val="heading 3"/>
    <w:basedOn w:val="Normal"/>
    <w:next w:val="Normal"/>
    <w:pPr>
      <w:keepNext w:val="1"/>
      <w:keepLines w:val="1"/>
      <w:spacing w:before="40" w:line="360" w:lineRule="auto"/>
    </w:pPr>
    <w:rPr>
      <w:b w:val="1"/>
      <w:color w:val="000000"/>
      <w:sz w:val="24"/>
      <w:szCs w:val="24"/>
    </w:rPr>
  </w:style>
  <w:style w:type="paragraph" w:styleId="Heading4">
    <w:name w:val="heading 4"/>
    <w:basedOn w:val="Normal"/>
    <w:next w:val="Normal"/>
    <w:pPr>
      <w:keepNext w:val="1"/>
      <w:keepLines w:val="1"/>
      <w:spacing w:after="80" w:before="120" w:line="360" w:lineRule="auto"/>
    </w:pPr>
    <w:rPr>
      <w:b w:val="1"/>
      <w:color w:val="000000"/>
    </w:rPr>
  </w:style>
  <w:style w:type="paragraph" w:styleId="Heading5">
    <w:name w:val="heading 5"/>
    <w:basedOn w:val="Normal"/>
    <w:next w:val="Normal"/>
    <w:pPr>
      <w:keepNext w:val="1"/>
      <w:keepLines w:val="1"/>
      <w:spacing w:after="0" w:before="40" w:lineRule="auto"/>
    </w:pPr>
    <w:rPr>
      <w:rFonts w:ascii="Calibri" w:cs="Calibri" w:eastAsia="Calibri" w:hAnsi="Calibri"/>
      <w:color w:val="2e74b5"/>
    </w:rPr>
  </w:style>
  <w:style w:type="paragraph" w:styleId="Heading6">
    <w:name w:val="heading 6"/>
    <w:basedOn w:val="Normal"/>
    <w:next w:val="Normal"/>
    <w:pPr>
      <w:keepNext w:val="1"/>
      <w:keepLines w:val="1"/>
      <w:spacing w:after="0" w:before="40" w:lineRule="auto"/>
    </w:pPr>
    <w:rPr>
      <w:rFonts w:ascii="Calibri" w:cs="Calibri" w:eastAsia="Calibri" w:hAnsi="Calibri"/>
      <w:color w:val="1f4d78"/>
    </w:rPr>
  </w:style>
  <w:style w:type="paragraph" w:styleId="Title">
    <w:name w:val="Title"/>
    <w:basedOn w:val="Normal"/>
    <w:next w:val="Normal"/>
    <w:pPr>
      <w:spacing w:after="240" w:before="360" w:line="480" w:lineRule="auto"/>
      <w:ind w:left="431" w:hanging="431"/>
    </w:pPr>
    <w:rPr>
      <w:b w:val="1"/>
      <w:sz w:val="36"/>
      <w:szCs w:val="3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