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89" w:rsidRPr="00517C22" w:rsidRDefault="00BA5423" w:rsidP="00582CFC">
      <w:pPr>
        <w:pStyle w:val="Default"/>
        <w:jc w:val="both"/>
        <w:rPr>
          <w:b/>
          <w:sz w:val="22"/>
          <w:szCs w:val="22"/>
        </w:rPr>
      </w:pPr>
      <w:bookmarkStart w:id="0" w:name="_GoBack"/>
      <w:bookmarkEnd w:id="0"/>
      <w:r w:rsidRPr="00517C22">
        <w:rPr>
          <w:b/>
          <w:sz w:val="22"/>
          <w:szCs w:val="22"/>
        </w:rPr>
        <w:t xml:space="preserve">Cornwall </w:t>
      </w:r>
      <w:proofErr w:type="gramStart"/>
      <w:r w:rsidRPr="00517C22">
        <w:rPr>
          <w:b/>
          <w:sz w:val="22"/>
          <w:szCs w:val="22"/>
        </w:rPr>
        <w:t>energy company</w:t>
      </w:r>
      <w:proofErr w:type="gramEnd"/>
      <w:r w:rsidR="00A102AA">
        <w:rPr>
          <w:b/>
          <w:sz w:val="22"/>
          <w:szCs w:val="22"/>
        </w:rPr>
        <w:t xml:space="preserve"> – an introduction to the </w:t>
      </w:r>
      <w:r w:rsidR="0051414E">
        <w:rPr>
          <w:b/>
          <w:sz w:val="22"/>
          <w:szCs w:val="22"/>
        </w:rPr>
        <w:t>opportunity</w:t>
      </w:r>
    </w:p>
    <w:p w:rsidR="00BA5423" w:rsidRPr="00517C22" w:rsidRDefault="00BA5423" w:rsidP="00582CFC">
      <w:pPr>
        <w:pStyle w:val="Default"/>
        <w:jc w:val="both"/>
        <w:rPr>
          <w:sz w:val="22"/>
          <w:szCs w:val="22"/>
        </w:rPr>
      </w:pPr>
    </w:p>
    <w:p w:rsidR="00EF2FA5" w:rsidRPr="00517C22" w:rsidRDefault="00EF2FA5" w:rsidP="00582CFC">
      <w:pPr>
        <w:pStyle w:val="Body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 xml:space="preserve">Through </w:t>
      </w:r>
      <w:r w:rsidRPr="00517C22">
        <w:rPr>
          <w:rFonts w:ascii="Verdana" w:hAnsi="Verdana"/>
          <w:sz w:val="22"/>
          <w:szCs w:val="22"/>
        </w:rPr>
        <w:t>its natural resources Cornwall is uniquely placed to give power back to local residents and businesses through the creatio</w:t>
      </w:r>
      <w:r>
        <w:rPr>
          <w:rFonts w:ascii="Verdana" w:hAnsi="Verdana"/>
          <w:sz w:val="22"/>
          <w:szCs w:val="22"/>
        </w:rPr>
        <w:t>n of a local energy market</w:t>
      </w:r>
      <w:r w:rsidRPr="00517C22">
        <w:rPr>
          <w:rFonts w:ascii="Verdana" w:hAnsi="Verdana"/>
          <w:sz w:val="22"/>
          <w:szCs w:val="22"/>
        </w:rPr>
        <w:t xml:space="preserve"> </w:t>
      </w:r>
      <w:r w:rsidR="00EE4568">
        <w:rPr>
          <w:rFonts w:ascii="Verdana" w:hAnsi="Verdana"/>
          <w:sz w:val="22"/>
          <w:szCs w:val="22"/>
        </w:rPr>
        <w:t xml:space="preserve">(LEM) </w:t>
      </w:r>
      <w:r w:rsidRPr="00517C22">
        <w:rPr>
          <w:rFonts w:ascii="Verdana" w:hAnsi="Verdana"/>
          <w:sz w:val="22"/>
          <w:szCs w:val="22"/>
        </w:rPr>
        <w:t>that could see millions of pounds remain in the local economy and in doing so</w:t>
      </w:r>
      <w:r w:rsidRPr="00517C22">
        <w:rPr>
          <w:rFonts w:ascii="Verdana" w:hAnsi="Verdana"/>
          <w:sz w:val="22"/>
          <w:szCs w:val="22"/>
          <w:lang w:val="en-US"/>
        </w:rPr>
        <w:t xml:space="preserve"> improve the health &amp; wellbeing of residents.</w:t>
      </w:r>
    </w:p>
    <w:p w:rsidR="00EF2FA5" w:rsidRDefault="00EF2FA5" w:rsidP="00582CFC">
      <w:pPr>
        <w:jc w:val="both"/>
        <w:rPr>
          <w:rFonts w:ascii="Verdana" w:hAnsi="Verdana"/>
          <w:sz w:val="22"/>
          <w:szCs w:val="22"/>
        </w:rPr>
      </w:pPr>
    </w:p>
    <w:p w:rsidR="00047F6E" w:rsidRDefault="000F0EA8" w:rsidP="00582CF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Pr="00517C22">
        <w:rPr>
          <w:rFonts w:ascii="Verdana" w:hAnsi="Verdana"/>
          <w:sz w:val="22"/>
          <w:szCs w:val="22"/>
        </w:rPr>
        <w:t xml:space="preserve">here is an estimated 1500MW of potential renewable resource available to the populous of Cornwall; </w:t>
      </w:r>
      <w:r w:rsidR="009E75CE">
        <w:rPr>
          <w:rFonts w:ascii="Verdana" w:hAnsi="Verdana"/>
          <w:sz w:val="22"/>
          <w:szCs w:val="22"/>
        </w:rPr>
        <w:t>enabling us to</w:t>
      </w:r>
      <w:r w:rsidRPr="00517C22">
        <w:rPr>
          <w:rFonts w:ascii="Verdana" w:hAnsi="Verdana"/>
          <w:sz w:val="22"/>
          <w:szCs w:val="22"/>
        </w:rPr>
        <w:t xml:space="preserve"> deliver a local energy market </w:t>
      </w:r>
      <w:r>
        <w:rPr>
          <w:rFonts w:ascii="Verdana" w:hAnsi="Verdana"/>
          <w:sz w:val="22"/>
          <w:szCs w:val="22"/>
        </w:rPr>
        <w:t>that</w:t>
      </w:r>
      <w:r w:rsidRPr="00517C22">
        <w:rPr>
          <w:rFonts w:ascii="Verdana" w:hAnsi="Verdana"/>
          <w:sz w:val="22"/>
          <w:szCs w:val="22"/>
        </w:rPr>
        <w:t xml:space="preserve"> could eradicate fuel poverty and see hundreds of millions of pounds re</w:t>
      </w:r>
      <w:r>
        <w:rPr>
          <w:rFonts w:ascii="Verdana" w:hAnsi="Verdana"/>
          <w:sz w:val="22"/>
          <w:szCs w:val="22"/>
        </w:rPr>
        <w:t>t</w:t>
      </w:r>
      <w:r w:rsidRPr="00517C22">
        <w:rPr>
          <w:rFonts w:ascii="Verdana" w:hAnsi="Verdana"/>
          <w:sz w:val="22"/>
          <w:szCs w:val="22"/>
        </w:rPr>
        <w:t xml:space="preserve">ained in the local economy. </w:t>
      </w:r>
      <w:r w:rsidR="00047F6E">
        <w:rPr>
          <w:rFonts w:ascii="Verdana" w:hAnsi="Verdana"/>
          <w:sz w:val="22"/>
          <w:szCs w:val="22"/>
        </w:rPr>
        <w:t>W</w:t>
      </w:r>
      <w:r w:rsidRPr="00517C22">
        <w:rPr>
          <w:rFonts w:ascii="Verdana" w:hAnsi="Verdana"/>
          <w:sz w:val="22"/>
          <w:szCs w:val="22"/>
        </w:rPr>
        <w:t xml:space="preserve">ith over 600MW </w:t>
      </w:r>
      <w:r w:rsidR="00047F6E">
        <w:rPr>
          <w:rFonts w:ascii="Verdana" w:hAnsi="Verdana"/>
          <w:sz w:val="22"/>
          <w:szCs w:val="22"/>
        </w:rPr>
        <w:t>already ins</w:t>
      </w:r>
      <w:r w:rsidR="0051414E">
        <w:rPr>
          <w:rFonts w:ascii="Verdana" w:hAnsi="Verdana"/>
          <w:sz w:val="22"/>
          <w:szCs w:val="22"/>
        </w:rPr>
        <w:t>talled the potential to start</w:t>
      </w:r>
      <w:r w:rsidR="00047F6E">
        <w:rPr>
          <w:rFonts w:ascii="Verdana" w:hAnsi="Verdana"/>
          <w:sz w:val="22"/>
          <w:szCs w:val="22"/>
        </w:rPr>
        <w:t xml:space="preserve"> supplying residents with low cost, locally-sourced clean energy is significant.</w:t>
      </w:r>
    </w:p>
    <w:p w:rsidR="00047F6E" w:rsidRDefault="00047F6E" w:rsidP="00582CFC">
      <w:pPr>
        <w:jc w:val="both"/>
        <w:rPr>
          <w:rFonts w:ascii="Verdana" w:hAnsi="Verdana"/>
          <w:sz w:val="22"/>
          <w:szCs w:val="22"/>
        </w:rPr>
      </w:pPr>
    </w:p>
    <w:p w:rsidR="0051414E" w:rsidRDefault="0051414E" w:rsidP="00582CF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There is a significant local market that could be tapped into, with around 230,000 households in Cornwall, with a total energy spend of around </w:t>
      </w:r>
      <w:r w:rsidR="00582CFC">
        <w:rPr>
          <w:rFonts w:ascii="Verdana" w:hAnsi="Verdana"/>
          <w:sz w:val="22"/>
          <w:szCs w:val="22"/>
        </w:rPr>
        <w:t xml:space="preserve">£1bn. There are also emerging generation sectors such as wave and deep geothermal, and a strong focus on low carbon technologies in the latest round of European funding. A drive to deliver smart energy systems is also being driven by the Council and the Local Enterprise Partnership (LEP). </w:t>
      </w:r>
    </w:p>
    <w:p w:rsidR="0051414E" w:rsidRDefault="0051414E" w:rsidP="00582CFC">
      <w:pPr>
        <w:jc w:val="both"/>
        <w:rPr>
          <w:rFonts w:ascii="Verdana" w:hAnsi="Verdana"/>
          <w:sz w:val="22"/>
          <w:szCs w:val="22"/>
        </w:rPr>
      </w:pPr>
    </w:p>
    <w:p w:rsidR="00C96943" w:rsidRDefault="00EE4568" w:rsidP="00582CF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Through the creation of a Cornish energy company </w:t>
      </w:r>
      <w:r w:rsidR="00582CFC">
        <w:rPr>
          <w:rFonts w:ascii="Verdana" w:hAnsi="Verdana"/>
          <w:sz w:val="22"/>
          <w:szCs w:val="22"/>
        </w:rPr>
        <w:t xml:space="preserve">(or similar entity), </w:t>
      </w:r>
      <w:r w:rsidR="00C96943">
        <w:rPr>
          <w:rFonts w:ascii="Verdana" w:hAnsi="Verdana"/>
          <w:sz w:val="22"/>
          <w:szCs w:val="22"/>
        </w:rPr>
        <w:t xml:space="preserve">the Council wishes to </w:t>
      </w:r>
      <w:r>
        <w:rPr>
          <w:rFonts w:ascii="Verdana" w:hAnsi="Verdana"/>
          <w:sz w:val="22"/>
          <w:szCs w:val="22"/>
        </w:rPr>
        <w:t>establish</w:t>
      </w:r>
      <w:r w:rsidR="00C96943">
        <w:rPr>
          <w:rFonts w:ascii="Verdana" w:hAnsi="Verdana"/>
          <w:sz w:val="22"/>
          <w:szCs w:val="22"/>
        </w:rPr>
        <w:t xml:space="preserve"> a</w:t>
      </w:r>
      <w:r w:rsidR="000F0EA8" w:rsidRPr="00517C22">
        <w:rPr>
          <w:rFonts w:ascii="Verdana" w:hAnsi="Verdana"/>
          <w:sz w:val="22"/>
          <w:szCs w:val="22"/>
        </w:rPr>
        <w:t xml:space="preserve"> </w:t>
      </w:r>
      <w:r w:rsidR="00C96943" w:rsidRPr="00517C22">
        <w:rPr>
          <w:rFonts w:ascii="Verdana" w:hAnsi="Verdana"/>
          <w:sz w:val="22"/>
          <w:szCs w:val="22"/>
        </w:rPr>
        <w:t xml:space="preserve">mechanism through which the power produced by Cornish renewables is made available </w:t>
      </w:r>
      <w:r w:rsidR="00C96943">
        <w:rPr>
          <w:rFonts w:ascii="Verdana" w:hAnsi="Verdana"/>
          <w:sz w:val="22"/>
          <w:szCs w:val="22"/>
        </w:rPr>
        <w:t>to</w:t>
      </w:r>
      <w:r w:rsidR="00C96943" w:rsidRPr="00517C22">
        <w:rPr>
          <w:rFonts w:ascii="Verdana" w:hAnsi="Verdana"/>
          <w:sz w:val="22"/>
          <w:szCs w:val="22"/>
        </w:rPr>
        <w:t xml:space="preserve"> residents and businesses in Cornwall </w:t>
      </w:r>
      <w:r w:rsidR="00C96943">
        <w:rPr>
          <w:rFonts w:ascii="Verdana" w:hAnsi="Verdana"/>
          <w:sz w:val="22"/>
          <w:szCs w:val="22"/>
        </w:rPr>
        <w:t xml:space="preserve">first, with the remainder exported to the rest of UK, and pave the way for </w:t>
      </w:r>
      <w:r w:rsidR="000F0EA8" w:rsidRPr="00517C22">
        <w:rPr>
          <w:rFonts w:ascii="Verdana" w:hAnsi="Verdana"/>
          <w:sz w:val="22"/>
          <w:szCs w:val="22"/>
        </w:rPr>
        <w:t>the development of a local energy market</w:t>
      </w:r>
      <w:r w:rsidR="00C96943">
        <w:rPr>
          <w:rFonts w:ascii="Verdana" w:hAnsi="Verdana"/>
          <w:sz w:val="22"/>
          <w:szCs w:val="22"/>
        </w:rPr>
        <w:t>.</w:t>
      </w:r>
    </w:p>
    <w:p w:rsidR="00776020" w:rsidRDefault="00776020" w:rsidP="00582CFC">
      <w:pPr>
        <w:jc w:val="both"/>
        <w:rPr>
          <w:rFonts w:ascii="Verdana" w:hAnsi="Verdana"/>
          <w:b/>
          <w:sz w:val="22"/>
          <w:szCs w:val="22"/>
        </w:rPr>
      </w:pPr>
    </w:p>
    <w:p w:rsidR="009E75CE" w:rsidRPr="00517C22" w:rsidRDefault="009E75CE" w:rsidP="00582CFC">
      <w:pPr>
        <w:pStyle w:val="Body"/>
        <w:jc w:val="both"/>
        <w:rPr>
          <w:rFonts w:ascii="Verdana" w:hAnsi="Verdana"/>
          <w:sz w:val="22"/>
          <w:szCs w:val="22"/>
          <w:lang w:val="en-US"/>
        </w:rPr>
      </w:pPr>
      <w:r w:rsidRPr="00517C22">
        <w:rPr>
          <w:rFonts w:ascii="Verdana" w:hAnsi="Verdana"/>
          <w:sz w:val="22"/>
          <w:szCs w:val="22"/>
          <w:lang w:val="en-US"/>
        </w:rPr>
        <w:t>The creation of a</w:t>
      </w:r>
      <w:r w:rsidR="00C96943">
        <w:rPr>
          <w:rFonts w:ascii="Verdana" w:hAnsi="Verdana"/>
          <w:sz w:val="22"/>
          <w:szCs w:val="22"/>
          <w:lang w:val="en-US"/>
        </w:rPr>
        <w:t xml:space="preserve"> local energy market i</w:t>
      </w:r>
      <w:r w:rsidRPr="00517C22">
        <w:rPr>
          <w:rFonts w:ascii="Verdana" w:hAnsi="Verdana"/>
          <w:sz w:val="22"/>
          <w:szCs w:val="22"/>
          <w:lang w:val="en-US"/>
        </w:rPr>
        <w:t>n Cornwall will create a platform for business growth and energy security, powered by locally-owned energy generation, which will:</w:t>
      </w:r>
    </w:p>
    <w:p w:rsidR="009E75CE" w:rsidRPr="00517C22" w:rsidRDefault="009E75CE" w:rsidP="00582CFC">
      <w:pPr>
        <w:pStyle w:val="Body"/>
        <w:jc w:val="both"/>
        <w:rPr>
          <w:rFonts w:ascii="Verdana" w:hAnsi="Verdana"/>
          <w:sz w:val="22"/>
          <w:szCs w:val="22"/>
          <w:lang w:val="en-US"/>
        </w:rPr>
      </w:pPr>
    </w:p>
    <w:p w:rsidR="009E75CE" w:rsidRDefault="009E75CE" w:rsidP="00582CFC">
      <w:pPr>
        <w:pStyle w:val="Body"/>
        <w:numPr>
          <w:ilvl w:val="0"/>
          <w:numId w:val="17"/>
        </w:numPr>
        <w:jc w:val="both"/>
        <w:rPr>
          <w:rFonts w:ascii="Verdana" w:hAnsi="Verdana"/>
          <w:sz w:val="22"/>
          <w:szCs w:val="22"/>
          <w:lang w:val="en-US"/>
        </w:rPr>
      </w:pPr>
      <w:r w:rsidRPr="00517C22">
        <w:rPr>
          <w:rFonts w:ascii="Verdana" w:hAnsi="Verdana"/>
          <w:b/>
          <w:sz w:val="22"/>
          <w:szCs w:val="22"/>
          <w:lang w:val="en-US"/>
        </w:rPr>
        <w:t>Reduce energy costs</w:t>
      </w:r>
      <w:r w:rsidR="00582CFC">
        <w:rPr>
          <w:rFonts w:ascii="Verdana" w:hAnsi="Verdana"/>
          <w:sz w:val="22"/>
          <w:szCs w:val="22"/>
          <w:lang w:val="en-US"/>
        </w:rPr>
        <w:t xml:space="preserve"> for homes and businesses that</w:t>
      </w:r>
      <w:r w:rsidRPr="00517C22">
        <w:rPr>
          <w:rFonts w:ascii="Verdana" w:hAnsi="Verdana"/>
          <w:sz w:val="22"/>
          <w:szCs w:val="22"/>
          <w:lang w:val="en-US"/>
        </w:rPr>
        <w:t xml:space="preserve"> purchase locally generated power</w:t>
      </w:r>
      <w:r>
        <w:rPr>
          <w:rFonts w:ascii="Verdana" w:hAnsi="Verdana"/>
          <w:sz w:val="22"/>
          <w:szCs w:val="22"/>
          <w:lang w:val="en-US"/>
        </w:rPr>
        <w:t>,</w:t>
      </w:r>
      <w:r w:rsidRPr="00517C22">
        <w:rPr>
          <w:rFonts w:ascii="Verdana" w:hAnsi="Verdana"/>
          <w:b/>
          <w:sz w:val="22"/>
          <w:szCs w:val="22"/>
          <w:lang w:val="en-US"/>
        </w:rPr>
        <w:t xml:space="preserve"> </w:t>
      </w:r>
      <w:r w:rsidRPr="00517C22">
        <w:rPr>
          <w:rFonts w:ascii="Verdana" w:hAnsi="Verdana"/>
          <w:sz w:val="22"/>
          <w:szCs w:val="22"/>
          <w:lang w:val="en-US"/>
        </w:rPr>
        <w:t xml:space="preserve">helping to </w:t>
      </w:r>
      <w:r w:rsidRPr="00517C22">
        <w:rPr>
          <w:rFonts w:ascii="Verdana" w:hAnsi="Verdana"/>
          <w:sz w:val="22"/>
          <w:szCs w:val="22"/>
        </w:rPr>
        <w:t>tackle fuel poverty and improve the health &amp; wellbeing of residents</w:t>
      </w:r>
      <w:r w:rsidRPr="00517C22">
        <w:rPr>
          <w:rFonts w:ascii="Verdana" w:hAnsi="Verdana"/>
          <w:sz w:val="22"/>
          <w:szCs w:val="22"/>
          <w:lang w:val="en-US"/>
        </w:rPr>
        <w:t>.</w:t>
      </w:r>
    </w:p>
    <w:p w:rsidR="009E75CE" w:rsidRPr="007A3DEF" w:rsidRDefault="009E75CE" w:rsidP="00582CFC">
      <w:pPr>
        <w:pStyle w:val="Body"/>
        <w:numPr>
          <w:ilvl w:val="0"/>
          <w:numId w:val="17"/>
        </w:numPr>
        <w:jc w:val="both"/>
        <w:rPr>
          <w:rFonts w:ascii="Verdana" w:hAnsi="Verdana"/>
          <w:sz w:val="22"/>
          <w:szCs w:val="22"/>
          <w:lang w:val="en-US"/>
        </w:rPr>
      </w:pPr>
      <w:r w:rsidRPr="007441EC">
        <w:rPr>
          <w:rFonts w:ascii="Verdana" w:hAnsi="Verdana"/>
          <w:b/>
          <w:sz w:val="22"/>
          <w:szCs w:val="22"/>
        </w:rPr>
        <w:t>Generate income</w:t>
      </w:r>
      <w:r w:rsidRPr="007441EC">
        <w:rPr>
          <w:rFonts w:ascii="Verdana" w:hAnsi="Verdana"/>
          <w:sz w:val="22"/>
          <w:szCs w:val="22"/>
        </w:rPr>
        <w:t xml:space="preserve"> through local investment and employment opportunities.</w:t>
      </w:r>
    </w:p>
    <w:p w:rsidR="009E75CE" w:rsidRDefault="009E75CE" w:rsidP="00582CFC">
      <w:pPr>
        <w:jc w:val="both"/>
        <w:rPr>
          <w:rFonts w:ascii="Verdana" w:hAnsi="Verdana"/>
          <w:b/>
          <w:sz w:val="22"/>
          <w:szCs w:val="22"/>
        </w:rPr>
      </w:pPr>
    </w:p>
    <w:p w:rsidR="008F2427" w:rsidRDefault="007A3DEF" w:rsidP="00582C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changing nature of the energy market </w:t>
      </w:r>
      <w:r w:rsidR="00EA6C68" w:rsidRPr="00517C22">
        <w:rPr>
          <w:sz w:val="22"/>
          <w:szCs w:val="22"/>
        </w:rPr>
        <w:t xml:space="preserve">has </w:t>
      </w:r>
      <w:r>
        <w:rPr>
          <w:sz w:val="22"/>
          <w:szCs w:val="22"/>
        </w:rPr>
        <w:t xml:space="preserve">led to </w:t>
      </w:r>
      <w:r w:rsidR="00EA6C68" w:rsidRPr="00517C22">
        <w:rPr>
          <w:sz w:val="22"/>
          <w:szCs w:val="22"/>
        </w:rPr>
        <w:t xml:space="preserve">an increase in interest from local authorities in municipal energy arrangements and developing energy supply operations. </w:t>
      </w:r>
      <w:r w:rsidR="008F2427">
        <w:rPr>
          <w:sz w:val="22"/>
          <w:szCs w:val="22"/>
        </w:rPr>
        <w:t>T</w:t>
      </w:r>
      <w:r w:rsidR="00EA6C68" w:rsidRPr="00517C22">
        <w:rPr>
          <w:sz w:val="22"/>
          <w:szCs w:val="22"/>
        </w:rPr>
        <w:t>he opportunity for local authorities to have a greater influence over the local energy market and elicit a financial return for</w:t>
      </w:r>
      <w:r w:rsidR="00582CFC">
        <w:rPr>
          <w:sz w:val="22"/>
          <w:szCs w:val="22"/>
        </w:rPr>
        <w:t xml:space="preserve"> their involvement </w:t>
      </w:r>
      <w:r w:rsidR="00221A42">
        <w:rPr>
          <w:sz w:val="22"/>
          <w:szCs w:val="22"/>
        </w:rPr>
        <w:t xml:space="preserve">(either through supply arrangements, investments or both) </w:t>
      </w:r>
      <w:r w:rsidR="00582CFC">
        <w:rPr>
          <w:sz w:val="22"/>
          <w:szCs w:val="22"/>
        </w:rPr>
        <w:t xml:space="preserve">is becoming a reality, with evidence from local authority initiatives in </w:t>
      </w:r>
      <w:proofErr w:type="spellStart"/>
      <w:r w:rsidR="00582CFC">
        <w:rPr>
          <w:sz w:val="22"/>
          <w:szCs w:val="22"/>
        </w:rPr>
        <w:t>Woking</w:t>
      </w:r>
      <w:proofErr w:type="spellEnd"/>
      <w:r w:rsidR="00582CFC">
        <w:rPr>
          <w:sz w:val="22"/>
          <w:szCs w:val="22"/>
        </w:rPr>
        <w:t>, Nottingham and Bristol</w:t>
      </w:r>
      <w:r w:rsidR="00477013" w:rsidRPr="00517C22">
        <w:rPr>
          <w:sz w:val="22"/>
          <w:szCs w:val="22"/>
        </w:rPr>
        <w:t>. This i</w:t>
      </w:r>
      <w:r w:rsidR="00EA6C68" w:rsidRPr="00517C22">
        <w:rPr>
          <w:sz w:val="22"/>
          <w:szCs w:val="22"/>
        </w:rPr>
        <w:t>s</w:t>
      </w:r>
      <w:r w:rsidR="00477013" w:rsidRPr="00517C22">
        <w:rPr>
          <w:sz w:val="22"/>
          <w:szCs w:val="22"/>
        </w:rPr>
        <w:t xml:space="preserve"> clearly </w:t>
      </w:r>
      <w:r w:rsidR="00EA6C68" w:rsidRPr="00517C22">
        <w:rPr>
          <w:sz w:val="22"/>
          <w:szCs w:val="22"/>
        </w:rPr>
        <w:t>demonstrated by the Council’s</w:t>
      </w:r>
      <w:r w:rsidR="00582CFC">
        <w:rPr>
          <w:sz w:val="22"/>
          <w:szCs w:val="22"/>
        </w:rPr>
        <w:t xml:space="preserve"> </w:t>
      </w:r>
      <w:r w:rsidR="00221A42">
        <w:rPr>
          <w:sz w:val="22"/>
          <w:szCs w:val="22"/>
        </w:rPr>
        <w:t xml:space="preserve">own </w:t>
      </w:r>
      <w:r w:rsidR="00582CFC">
        <w:rPr>
          <w:sz w:val="22"/>
          <w:szCs w:val="22"/>
        </w:rPr>
        <w:t>investment in renewables on it</w:t>
      </w:r>
      <w:r w:rsidR="00221A42">
        <w:rPr>
          <w:sz w:val="22"/>
          <w:szCs w:val="22"/>
        </w:rPr>
        <w:t>s</w:t>
      </w:r>
      <w:r w:rsidR="00EA6C68" w:rsidRPr="00517C22">
        <w:rPr>
          <w:sz w:val="22"/>
          <w:szCs w:val="22"/>
        </w:rPr>
        <w:t xml:space="preserve"> estate and in becoming the first local authority in England to offer a community energy revolving loan fund</w:t>
      </w:r>
      <w:r w:rsidR="008F2427">
        <w:rPr>
          <w:sz w:val="22"/>
          <w:szCs w:val="22"/>
        </w:rPr>
        <w:t xml:space="preserve">. To date Cornwall Council has invested </w:t>
      </w:r>
      <w:r w:rsidR="00AD570A">
        <w:rPr>
          <w:sz w:val="22"/>
          <w:szCs w:val="22"/>
        </w:rPr>
        <w:t xml:space="preserve">in excess of </w:t>
      </w:r>
      <w:r w:rsidR="008F2427">
        <w:rPr>
          <w:sz w:val="22"/>
          <w:szCs w:val="22"/>
        </w:rPr>
        <w:t>£</w:t>
      </w:r>
      <w:r w:rsidR="00AD570A">
        <w:rPr>
          <w:sz w:val="22"/>
          <w:szCs w:val="22"/>
        </w:rPr>
        <w:t>15</w:t>
      </w:r>
      <w:r w:rsidR="008F2427">
        <w:rPr>
          <w:sz w:val="22"/>
          <w:szCs w:val="22"/>
        </w:rPr>
        <w:t xml:space="preserve">m into the energy market. </w:t>
      </w:r>
    </w:p>
    <w:p w:rsidR="008F2427" w:rsidRDefault="008F2427" w:rsidP="00582CFC">
      <w:pPr>
        <w:pStyle w:val="Default"/>
        <w:jc w:val="both"/>
        <w:rPr>
          <w:sz w:val="22"/>
          <w:szCs w:val="22"/>
        </w:rPr>
      </w:pPr>
    </w:p>
    <w:p w:rsidR="008F2427" w:rsidRDefault="008F2427" w:rsidP="00582C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C7FED" w:rsidRPr="00517C22">
        <w:rPr>
          <w:sz w:val="22"/>
          <w:szCs w:val="22"/>
        </w:rPr>
        <w:t xml:space="preserve">eveloping this approach </w:t>
      </w:r>
      <w:r>
        <w:rPr>
          <w:sz w:val="22"/>
          <w:szCs w:val="22"/>
        </w:rPr>
        <w:t xml:space="preserve">further </w:t>
      </w:r>
      <w:r w:rsidR="005C7FED" w:rsidRPr="00517C22">
        <w:rPr>
          <w:sz w:val="22"/>
          <w:szCs w:val="22"/>
        </w:rPr>
        <w:t>to create a balanced portfolio of investment</w:t>
      </w:r>
      <w:r w:rsidR="00582CFC">
        <w:rPr>
          <w:sz w:val="22"/>
          <w:szCs w:val="22"/>
        </w:rPr>
        <w:t>s</w:t>
      </w:r>
      <w:r w:rsidR="005C7FED" w:rsidRPr="00517C22">
        <w:rPr>
          <w:sz w:val="22"/>
          <w:szCs w:val="22"/>
        </w:rPr>
        <w:t xml:space="preserve"> across establi</w:t>
      </w:r>
      <w:r w:rsidR="00582CFC">
        <w:rPr>
          <w:sz w:val="22"/>
          <w:szCs w:val="22"/>
        </w:rPr>
        <w:t>shed and emerging technologies c</w:t>
      </w:r>
      <w:r w:rsidR="005C7FED" w:rsidRPr="00517C22">
        <w:rPr>
          <w:sz w:val="22"/>
          <w:szCs w:val="22"/>
        </w:rPr>
        <w:t xml:space="preserve">ould provide a </w:t>
      </w:r>
      <w:r w:rsidR="005C7FED" w:rsidRPr="00517C22">
        <w:rPr>
          <w:sz w:val="22"/>
          <w:szCs w:val="22"/>
        </w:rPr>
        <w:lastRenderedPageBreak/>
        <w:t xml:space="preserve">revenue stream for the Council or any entity established to take advantage of the opportunities afforded </w:t>
      </w:r>
      <w:r w:rsidR="007A3DEF">
        <w:rPr>
          <w:sz w:val="22"/>
          <w:szCs w:val="22"/>
        </w:rPr>
        <w:t>b</w:t>
      </w:r>
      <w:r>
        <w:rPr>
          <w:sz w:val="22"/>
          <w:szCs w:val="22"/>
        </w:rPr>
        <w:t>y distributed generation and the development of a</w:t>
      </w:r>
      <w:r w:rsidR="007A3DEF">
        <w:rPr>
          <w:sz w:val="22"/>
          <w:szCs w:val="22"/>
        </w:rPr>
        <w:t xml:space="preserve"> </w:t>
      </w:r>
      <w:r>
        <w:rPr>
          <w:sz w:val="22"/>
          <w:szCs w:val="22"/>
        </w:rPr>
        <w:t>local energy market</w:t>
      </w:r>
      <w:r w:rsidR="005C7FED" w:rsidRPr="00517C22">
        <w:rPr>
          <w:sz w:val="22"/>
          <w:szCs w:val="22"/>
        </w:rPr>
        <w:t xml:space="preserve">. </w:t>
      </w:r>
    </w:p>
    <w:p w:rsidR="008F2427" w:rsidRDefault="008F2427" w:rsidP="00582CFC">
      <w:pPr>
        <w:pStyle w:val="Default"/>
        <w:jc w:val="both"/>
        <w:rPr>
          <w:sz w:val="22"/>
          <w:szCs w:val="22"/>
        </w:rPr>
      </w:pPr>
    </w:p>
    <w:p w:rsidR="00776020" w:rsidRPr="00517C22" w:rsidRDefault="008F2427" w:rsidP="00582C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174F9A" w:rsidRPr="00517C22">
        <w:rPr>
          <w:sz w:val="22"/>
          <w:szCs w:val="22"/>
        </w:rPr>
        <w:t xml:space="preserve">his </w:t>
      </w:r>
      <w:r w:rsidR="00582CFC">
        <w:rPr>
          <w:sz w:val="22"/>
          <w:szCs w:val="22"/>
        </w:rPr>
        <w:t>activity c</w:t>
      </w:r>
      <w:r>
        <w:rPr>
          <w:sz w:val="22"/>
          <w:szCs w:val="22"/>
        </w:rPr>
        <w:t xml:space="preserve">ould also lead to </w:t>
      </w:r>
      <w:r w:rsidR="00BA5423" w:rsidRPr="00517C22">
        <w:rPr>
          <w:sz w:val="22"/>
          <w:szCs w:val="22"/>
        </w:rPr>
        <w:t>opportunities for</w:t>
      </w:r>
      <w:r w:rsidR="00174F9A" w:rsidRPr="00517C22">
        <w:rPr>
          <w:sz w:val="22"/>
          <w:szCs w:val="22"/>
        </w:rPr>
        <w:t xml:space="preserve"> a wide range of </w:t>
      </w:r>
      <w:r w:rsidR="005C7FED" w:rsidRPr="00517C22">
        <w:rPr>
          <w:sz w:val="22"/>
          <w:szCs w:val="22"/>
        </w:rPr>
        <w:t xml:space="preserve">other </w:t>
      </w:r>
      <w:r w:rsidR="00A4568E" w:rsidRPr="00517C22">
        <w:rPr>
          <w:sz w:val="22"/>
          <w:szCs w:val="22"/>
        </w:rPr>
        <w:t xml:space="preserve">low carbon goods and services (LCGS) </w:t>
      </w:r>
      <w:r w:rsidR="005C7FED" w:rsidRPr="00517C22">
        <w:rPr>
          <w:sz w:val="22"/>
          <w:szCs w:val="22"/>
        </w:rPr>
        <w:t xml:space="preserve">to be </w:t>
      </w:r>
      <w:r>
        <w:rPr>
          <w:sz w:val="22"/>
          <w:szCs w:val="22"/>
        </w:rPr>
        <w:t xml:space="preserve">developed and </w:t>
      </w:r>
      <w:r w:rsidR="005C7FED" w:rsidRPr="00517C22">
        <w:rPr>
          <w:sz w:val="22"/>
          <w:szCs w:val="22"/>
        </w:rPr>
        <w:t xml:space="preserve">offered </w:t>
      </w:r>
      <w:r>
        <w:rPr>
          <w:sz w:val="22"/>
          <w:szCs w:val="22"/>
        </w:rPr>
        <w:t xml:space="preserve">locally </w:t>
      </w:r>
      <w:r w:rsidR="005C7FED" w:rsidRPr="00517C22">
        <w:rPr>
          <w:sz w:val="22"/>
          <w:szCs w:val="22"/>
        </w:rPr>
        <w:t>by</w:t>
      </w:r>
      <w:r>
        <w:rPr>
          <w:sz w:val="22"/>
          <w:szCs w:val="22"/>
        </w:rPr>
        <w:t xml:space="preserve"> a Cornwall energy company. </w:t>
      </w:r>
      <w:r w:rsidR="00A1168B" w:rsidRPr="00517C22">
        <w:rPr>
          <w:sz w:val="22"/>
          <w:szCs w:val="22"/>
        </w:rPr>
        <w:t>This could include</w:t>
      </w:r>
      <w:r w:rsidR="00174F9A" w:rsidRPr="00517C22">
        <w:rPr>
          <w:sz w:val="22"/>
          <w:szCs w:val="22"/>
        </w:rPr>
        <w:t xml:space="preserve"> products and services relating to energy generation, energy supply, energy distribution or other energy services (e</w:t>
      </w:r>
      <w:r>
        <w:rPr>
          <w:sz w:val="22"/>
          <w:szCs w:val="22"/>
        </w:rPr>
        <w:t>.</w:t>
      </w:r>
      <w:r w:rsidR="00174F9A" w:rsidRPr="00517C22">
        <w:rPr>
          <w:sz w:val="22"/>
          <w:szCs w:val="22"/>
        </w:rPr>
        <w:t>g</w:t>
      </w:r>
      <w:r>
        <w:rPr>
          <w:sz w:val="22"/>
          <w:szCs w:val="22"/>
        </w:rPr>
        <w:t>.</w:t>
      </w:r>
      <w:r w:rsidR="00174F9A" w:rsidRPr="00517C22">
        <w:rPr>
          <w:sz w:val="22"/>
          <w:szCs w:val="22"/>
        </w:rPr>
        <w:t xml:space="preserve"> energy efficiency, demand-side response services, information services, </w:t>
      </w:r>
      <w:r w:rsidR="00D97C95" w:rsidRPr="00517C22">
        <w:rPr>
          <w:sz w:val="22"/>
          <w:szCs w:val="22"/>
        </w:rPr>
        <w:t>consultancy</w:t>
      </w:r>
      <w:r>
        <w:rPr>
          <w:sz w:val="22"/>
          <w:szCs w:val="22"/>
        </w:rPr>
        <w:t>,</w:t>
      </w:r>
      <w:r w:rsidR="00D97C95" w:rsidRPr="00517C22">
        <w:rPr>
          <w:sz w:val="22"/>
          <w:szCs w:val="22"/>
        </w:rPr>
        <w:t xml:space="preserve"> </w:t>
      </w:r>
      <w:r w:rsidR="00174F9A" w:rsidRPr="00517C22">
        <w:rPr>
          <w:sz w:val="22"/>
          <w:szCs w:val="22"/>
        </w:rPr>
        <w:t>etc</w:t>
      </w:r>
      <w:r>
        <w:rPr>
          <w:sz w:val="22"/>
          <w:szCs w:val="22"/>
        </w:rPr>
        <w:t>.</w:t>
      </w:r>
      <w:r w:rsidR="00174F9A" w:rsidRPr="00517C22">
        <w:rPr>
          <w:sz w:val="22"/>
          <w:szCs w:val="22"/>
        </w:rPr>
        <w:t>)</w:t>
      </w:r>
      <w:r w:rsidR="00A1168B" w:rsidRPr="00517C22">
        <w:rPr>
          <w:sz w:val="22"/>
          <w:szCs w:val="22"/>
        </w:rPr>
        <w:t xml:space="preserve">. </w:t>
      </w:r>
    </w:p>
    <w:p w:rsidR="00807C86" w:rsidRPr="00517C22" w:rsidRDefault="00A6392E" w:rsidP="00582C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E6E14" w:rsidRPr="00517C22" w:rsidRDefault="004630AF" w:rsidP="00582C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The creation of a Cornish e</w:t>
      </w:r>
      <w:r w:rsidR="00EE6E14" w:rsidRPr="00517C22">
        <w:rPr>
          <w:sz w:val="22"/>
          <w:szCs w:val="22"/>
        </w:rPr>
        <w:t xml:space="preserve">nergy </w:t>
      </w:r>
      <w:r>
        <w:rPr>
          <w:sz w:val="22"/>
          <w:szCs w:val="22"/>
        </w:rPr>
        <w:t>c</w:t>
      </w:r>
      <w:r w:rsidR="00EE6E14" w:rsidRPr="00517C22">
        <w:rPr>
          <w:sz w:val="22"/>
          <w:szCs w:val="22"/>
        </w:rPr>
        <w:t xml:space="preserve">ompany </w:t>
      </w:r>
      <w:r w:rsidR="00221A42">
        <w:rPr>
          <w:sz w:val="22"/>
          <w:szCs w:val="22"/>
        </w:rPr>
        <w:t xml:space="preserve">could </w:t>
      </w:r>
      <w:r w:rsidR="00540FBE" w:rsidRPr="00517C22">
        <w:rPr>
          <w:sz w:val="22"/>
          <w:szCs w:val="22"/>
        </w:rPr>
        <w:t xml:space="preserve">also </w:t>
      </w:r>
      <w:r w:rsidR="00221A42">
        <w:rPr>
          <w:sz w:val="22"/>
          <w:szCs w:val="22"/>
        </w:rPr>
        <w:t>unlock</w:t>
      </w:r>
      <w:r w:rsidR="00EE6E14" w:rsidRPr="00517C22">
        <w:rPr>
          <w:sz w:val="22"/>
          <w:szCs w:val="22"/>
        </w:rPr>
        <w:t xml:space="preserve"> the potential to provide consumers with new, innovative products and services. For example it could: </w:t>
      </w:r>
    </w:p>
    <w:p w:rsidR="00EE6E14" w:rsidRPr="00517C22" w:rsidRDefault="00EE6E14" w:rsidP="00582CFC">
      <w:pPr>
        <w:pStyle w:val="Default"/>
        <w:jc w:val="both"/>
        <w:rPr>
          <w:sz w:val="22"/>
          <w:szCs w:val="22"/>
        </w:rPr>
      </w:pPr>
    </w:p>
    <w:p w:rsidR="00EE6E14" w:rsidRPr="00517C22" w:rsidRDefault="00EE6E14" w:rsidP="00582C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517C22">
        <w:rPr>
          <w:sz w:val="22"/>
          <w:szCs w:val="22"/>
        </w:rPr>
        <w:t>help</w:t>
      </w:r>
      <w:proofErr w:type="gramEnd"/>
      <w:r w:rsidRPr="00517C22">
        <w:rPr>
          <w:sz w:val="22"/>
          <w:szCs w:val="22"/>
        </w:rPr>
        <w:t xml:space="preserve"> manage the move to a low-carbon energy system by increasing energy efficiency or enabling greater demand-side flexibility. </w:t>
      </w:r>
    </w:p>
    <w:p w:rsidR="00EE6E14" w:rsidRDefault="00EE6E14" w:rsidP="00582C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517C22">
        <w:rPr>
          <w:sz w:val="22"/>
          <w:szCs w:val="22"/>
        </w:rPr>
        <w:t>help</w:t>
      </w:r>
      <w:proofErr w:type="gramEnd"/>
      <w:r w:rsidRPr="00517C22">
        <w:rPr>
          <w:sz w:val="22"/>
          <w:szCs w:val="22"/>
        </w:rPr>
        <w:t xml:space="preserve"> consumers better engage with the market by providing more transparent information o</w:t>
      </w:r>
      <w:r w:rsidR="00B2217E">
        <w:rPr>
          <w:sz w:val="22"/>
          <w:szCs w:val="22"/>
        </w:rPr>
        <w:t>n</w:t>
      </w:r>
      <w:r w:rsidRPr="00517C22">
        <w:rPr>
          <w:sz w:val="22"/>
          <w:szCs w:val="22"/>
        </w:rPr>
        <w:t xml:space="preserve"> products and services that better suit their needs. </w:t>
      </w:r>
    </w:p>
    <w:p w:rsidR="00A102AA" w:rsidRPr="00517C22" w:rsidRDefault="00A102AA" w:rsidP="00582C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help</w:t>
      </w:r>
      <w:proofErr w:type="gramEnd"/>
      <w:r>
        <w:rPr>
          <w:sz w:val="22"/>
          <w:szCs w:val="22"/>
        </w:rPr>
        <w:t xml:space="preserve"> local generators and community energy groups to engage more successfully with the market.</w:t>
      </w:r>
    </w:p>
    <w:p w:rsidR="00EE6E14" w:rsidRPr="00517C22" w:rsidRDefault="00EE6E14" w:rsidP="00582C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517C22">
        <w:rPr>
          <w:sz w:val="22"/>
          <w:szCs w:val="22"/>
        </w:rPr>
        <w:t>make</w:t>
      </w:r>
      <w:proofErr w:type="gramEnd"/>
      <w:r w:rsidRPr="00517C22">
        <w:rPr>
          <w:sz w:val="22"/>
          <w:szCs w:val="22"/>
        </w:rPr>
        <w:t xml:space="preserve"> energy more affordable for local or vulnerable consumers. </w:t>
      </w:r>
    </w:p>
    <w:p w:rsidR="00EE6E14" w:rsidRPr="00517C22" w:rsidRDefault="00EE6E14" w:rsidP="00582C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517C22">
        <w:rPr>
          <w:sz w:val="22"/>
          <w:szCs w:val="22"/>
        </w:rPr>
        <w:t>perform</w:t>
      </w:r>
      <w:proofErr w:type="gramEnd"/>
      <w:r w:rsidRPr="00517C22">
        <w:rPr>
          <w:sz w:val="22"/>
          <w:szCs w:val="22"/>
        </w:rPr>
        <w:t xml:space="preserve"> important market services or market-making functions to enable new non-traditional organisations to enter and act in the market. </w:t>
      </w:r>
    </w:p>
    <w:p w:rsidR="00EE6E14" w:rsidRPr="00517C22" w:rsidRDefault="00EE6E14" w:rsidP="00582C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517C22">
        <w:rPr>
          <w:sz w:val="22"/>
          <w:szCs w:val="22"/>
        </w:rPr>
        <w:t>increase</w:t>
      </w:r>
      <w:proofErr w:type="gramEnd"/>
      <w:r w:rsidRPr="00517C22">
        <w:rPr>
          <w:sz w:val="22"/>
          <w:szCs w:val="22"/>
        </w:rPr>
        <w:t xml:space="preserve"> the routes to market available to producers and consumers, boosting competition. </w:t>
      </w:r>
    </w:p>
    <w:p w:rsidR="00273B05" w:rsidRPr="00517C22" w:rsidRDefault="002F698A" w:rsidP="00582CFC">
      <w:pPr>
        <w:pStyle w:val="Default"/>
        <w:jc w:val="both"/>
        <w:rPr>
          <w:b/>
          <w:sz w:val="22"/>
          <w:szCs w:val="22"/>
        </w:rPr>
      </w:pPr>
      <w:r w:rsidRPr="00517C22"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7A3DEF" w:rsidRPr="00517C22" w:rsidRDefault="007A3DEF" w:rsidP="00582CFC">
      <w:pPr>
        <w:pStyle w:val="Default"/>
        <w:jc w:val="both"/>
        <w:rPr>
          <w:sz w:val="22"/>
          <w:szCs w:val="22"/>
        </w:rPr>
      </w:pPr>
      <w:r w:rsidRPr="00517C22">
        <w:rPr>
          <w:sz w:val="22"/>
          <w:szCs w:val="22"/>
        </w:rPr>
        <w:t xml:space="preserve">Many </w:t>
      </w:r>
      <w:r w:rsidR="00A102AA">
        <w:rPr>
          <w:sz w:val="22"/>
          <w:szCs w:val="22"/>
        </w:rPr>
        <w:t xml:space="preserve">new entrants to the energy supply market </w:t>
      </w:r>
      <w:r w:rsidRPr="00517C22">
        <w:rPr>
          <w:sz w:val="22"/>
          <w:szCs w:val="22"/>
        </w:rPr>
        <w:t xml:space="preserve">are using new and non-traditional business models (NTBMs) and ownership structures which include: </w:t>
      </w:r>
    </w:p>
    <w:p w:rsidR="007A3DEF" w:rsidRPr="00517C22" w:rsidRDefault="007A3DEF" w:rsidP="00582CF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517C22">
        <w:rPr>
          <w:sz w:val="22"/>
          <w:szCs w:val="22"/>
        </w:rPr>
        <w:t xml:space="preserve">Publicly-owned organisations, such as municipal energy service companies, which operate under specific objectives to reduce carbon emissions or create community value. </w:t>
      </w:r>
    </w:p>
    <w:p w:rsidR="007A3DEF" w:rsidRPr="00517C22" w:rsidRDefault="007A3DEF" w:rsidP="00582CF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517C22">
        <w:rPr>
          <w:sz w:val="22"/>
          <w:szCs w:val="22"/>
        </w:rPr>
        <w:t xml:space="preserve">Various forms of community ownership, such as co-operatives, social enterprises, community charities, development trusts, community interest companies and private companies that </w:t>
      </w:r>
      <w:proofErr w:type="spellStart"/>
      <w:r w:rsidRPr="00517C22">
        <w:rPr>
          <w:sz w:val="22"/>
          <w:szCs w:val="22"/>
        </w:rPr>
        <w:t>incentivise</w:t>
      </w:r>
      <w:proofErr w:type="spellEnd"/>
      <w:r w:rsidRPr="00517C22">
        <w:rPr>
          <w:sz w:val="22"/>
          <w:szCs w:val="22"/>
        </w:rPr>
        <w:t xml:space="preserve"> customers to become shareholders. </w:t>
      </w:r>
    </w:p>
    <w:p w:rsidR="007A3DEF" w:rsidRPr="00517C22" w:rsidRDefault="007A3DEF" w:rsidP="00582CF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517C22">
        <w:rPr>
          <w:sz w:val="22"/>
          <w:szCs w:val="22"/>
        </w:rPr>
        <w:t xml:space="preserve">Niche, not-for-profit, energy suppliers with social or environmental goals. </w:t>
      </w:r>
    </w:p>
    <w:p w:rsidR="007A3DEF" w:rsidRPr="00517C22" w:rsidRDefault="007A3DEF" w:rsidP="00582CF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517C22">
        <w:rPr>
          <w:sz w:val="22"/>
          <w:szCs w:val="22"/>
        </w:rPr>
        <w:t xml:space="preserve">Private businesses that seek to provide innovative services, including facilitating other new market entrants, within the current regulatory framework. </w:t>
      </w:r>
    </w:p>
    <w:p w:rsidR="007A3DEF" w:rsidRPr="00517C22" w:rsidRDefault="007A3DEF" w:rsidP="00582CF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517C22">
        <w:rPr>
          <w:sz w:val="22"/>
          <w:szCs w:val="22"/>
        </w:rPr>
        <w:t xml:space="preserve">Hybrid ownership models including private, community and public interests. </w:t>
      </w:r>
    </w:p>
    <w:p w:rsidR="007A3DEF" w:rsidRPr="00517C22" w:rsidRDefault="007A3DEF" w:rsidP="00582CFC">
      <w:pPr>
        <w:jc w:val="both"/>
        <w:rPr>
          <w:rFonts w:ascii="Verdana" w:hAnsi="Verdana"/>
          <w:sz w:val="22"/>
          <w:szCs w:val="22"/>
        </w:rPr>
      </w:pPr>
    </w:p>
    <w:p w:rsidR="007A3DEF" w:rsidRPr="00517C22" w:rsidRDefault="007A3DEF" w:rsidP="00582CFC">
      <w:pPr>
        <w:jc w:val="both"/>
        <w:rPr>
          <w:rFonts w:ascii="Verdana" w:hAnsi="Verdana"/>
          <w:sz w:val="22"/>
          <w:szCs w:val="22"/>
        </w:rPr>
      </w:pPr>
      <w:r w:rsidRPr="00517C22">
        <w:rPr>
          <w:rFonts w:ascii="Verdana" w:hAnsi="Verdana"/>
          <w:sz w:val="22"/>
          <w:szCs w:val="22"/>
        </w:rPr>
        <w:t xml:space="preserve">These NTBMs have the potential to transform the energy market and deliver valuable outcomes for consumers such as lower bills; lower </w:t>
      </w:r>
      <w:r w:rsidRPr="00517C22">
        <w:rPr>
          <w:rFonts w:ascii="Verdana" w:hAnsi="Verdana"/>
          <w:sz w:val="22"/>
          <w:szCs w:val="22"/>
        </w:rPr>
        <w:lastRenderedPageBreak/>
        <w:t>environmental impact; better quality of service; and better social outcomes.</w:t>
      </w:r>
      <w:r w:rsidRPr="00517C22">
        <w:rPr>
          <w:rStyle w:val="FootnoteReference"/>
          <w:rFonts w:ascii="Verdana" w:hAnsi="Verdana"/>
          <w:sz w:val="22"/>
          <w:szCs w:val="22"/>
        </w:rPr>
        <w:footnoteReference w:id="1"/>
      </w:r>
    </w:p>
    <w:p w:rsidR="00A102AA" w:rsidRDefault="00A102AA" w:rsidP="00582CFC">
      <w:pPr>
        <w:pStyle w:val="Default"/>
        <w:jc w:val="both"/>
        <w:rPr>
          <w:sz w:val="22"/>
          <w:szCs w:val="22"/>
        </w:rPr>
      </w:pPr>
    </w:p>
    <w:p w:rsidR="00147D70" w:rsidRPr="00517C22" w:rsidRDefault="00147D70" w:rsidP="00582CFC">
      <w:pPr>
        <w:pStyle w:val="Default"/>
        <w:jc w:val="both"/>
        <w:rPr>
          <w:sz w:val="22"/>
          <w:szCs w:val="22"/>
        </w:rPr>
      </w:pPr>
      <w:r w:rsidRPr="00517C22">
        <w:rPr>
          <w:sz w:val="22"/>
          <w:szCs w:val="22"/>
        </w:rPr>
        <w:t xml:space="preserve">With new entrants and existing providers offering something different from traditional business models there are various options for delivery models </w:t>
      </w:r>
      <w:r w:rsidRPr="00B772ED">
        <w:rPr>
          <w:sz w:val="22"/>
          <w:szCs w:val="22"/>
        </w:rPr>
        <w:t xml:space="preserve">that </w:t>
      </w:r>
      <w:r w:rsidR="004630AF">
        <w:rPr>
          <w:sz w:val="22"/>
          <w:szCs w:val="22"/>
        </w:rPr>
        <w:t>the</w:t>
      </w:r>
      <w:r w:rsidRPr="00B772ED">
        <w:rPr>
          <w:sz w:val="22"/>
          <w:szCs w:val="22"/>
        </w:rPr>
        <w:t xml:space="preserve"> Council could consider</w:t>
      </w:r>
      <w:r w:rsidR="00B772ED">
        <w:rPr>
          <w:sz w:val="22"/>
          <w:szCs w:val="22"/>
        </w:rPr>
        <w:t xml:space="preserve"> if it wants to </w:t>
      </w:r>
      <w:proofErr w:type="spellStart"/>
      <w:r w:rsidR="004630AF">
        <w:rPr>
          <w:sz w:val="22"/>
          <w:szCs w:val="22"/>
        </w:rPr>
        <w:t>maximise</w:t>
      </w:r>
      <w:proofErr w:type="spellEnd"/>
      <w:r w:rsidR="00B772ED">
        <w:rPr>
          <w:sz w:val="22"/>
          <w:szCs w:val="22"/>
        </w:rPr>
        <w:t xml:space="preserve"> the benefits of an LEM. The main options to consider are</w:t>
      </w:r>
      <w:r w:rsidRPr="00517C22">
        <w:rPr>
          <w:sz w:val="22"/>
          <w:szCs w:val="22"/>
        </w:rPr>
        <w:t>:</w:t>
      </w:r>
    </w:p>
    <w:p w:rsidR="00147D70" w:rsidRPr="00517C22" w:rsidRDefault="00147D70" w:rsidP="00582CFC">
      <w:pPr>
        <w:pStyle w:val="Default"/>
        <w:jc w:val="both"/>
        <w:rPr>
          <w:sz w:val="22"/>
          <w:szCs w:val="22"/>
        </w:rPr>
      </w:pPr>
    </w:p>
    <w:p w:rsidR="00147D70" w:rsidRPr="00517C22" w:rsidRDefault="00147D70" w:rsidP="00582CFC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517C22">
        <w:rPr>
          <w:sz w:val="22"/>
          <w:szCs w:val="22"/>
        </w:rPr>
        <w:t xml:space="preserve">Becoming a fully </w:t>
      </w:r>
      <w:proofErr w:type="spellStart"/>
      <w:r w:rsidRPr="00517C22">
        <w:rPr>
          <w:sz w:val="22"/>
          <w:szCs w:val="22"/>
        </w:rPr>
        <w:t>licenced</w:t>
      </w:r>
      <w:proofErr w:type="spellEnd"/>
      <w:r w:rsidRPr="00517C22">
        <w:rPr>
          <w:sz w:val="22"/>
          <w:szCs w:val="22"/>
        </w:rPr>
        <w:t xml:space="preserve"> supplier</w:t>
      </w:r>
    </w:p>
    <w:p w:rsidR="00147D70" w:rsidRPr="00517C22" w:rsidRDefault="00147D70" w:rsidP="00582CFC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517C22">
        <w:rPr>
          <w:sz w:val="22"/>
          <w:szCs w:val="22"/>
        </w:rPr>
        <w:t>Licence</w:t>
      </w:r>
      <w:proofErr w:type="spellEnd"/>
      <w:r w:rsidRPr="00517C22">
        <w:rPr>
          <w:sz w:val="22"/>
          <w:szCs w:val="22"/>
        </w:rPr>
        <w:t xml:space="preserve"> Lite</w:t>
      </w:r>
    </w:p>
    <w:p w:rsidR="00147D70" w:rsidRPr="00517C22" w:rsidRDefault="00147D70" w:rsidP="00582CFC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517C22">
        <w:rPr>
          <w:sz w:val="22"/>
          <w:szCs w:val="22"/>
        </w:rPr>
        <w:t>Energy Services Company (</w:t>
      </w:r>
      <w:proofErr w:type="spellStart"/>
      <w:r w:rsidRPr="00517C22">
        <w:rPr>
          <w:sz w:val="22"/>
          <w:szCs w:val="22"/>
        </w:rPr>
        <w:t>ESCo</w:t>
      </w:r>
      <w:proofErr w:type="spellEnd"/>
      <w:r w:rsidRPr="00517C22">
        <w:rPr>
          <w:sz w:val="22"/>
          <w:szCs w:val="22"/>
        </w:rPr>
        <w:t>)</w:t>
      </w:r>
    </w:p>
    <w:p w:rsidR="00147D70" w:rsidRPr="00517C22" w:rsidRDefault="00147D70" w:rsidP="00582CFC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517C22">
        <w:rPr>
          <w:sz w:val="22"/>
          <w:szCs w:val="22"/>
        </w:rPr>
        <w:t>White label</w:t>
      </w:r>
    </w:p>
    <w:p w:rsidR="00147D70" w:rsidRPr="00517C22" w:rsidRDefault="00147D70" w:rsidP="00582CFC">
      <w:pPr>
        <w:pStyle w:val="Default"/>
        <w:jc w:val="both"/>
        <w:rPr>
          <w:sz w:val="22"/>
          <w:szCs w:val="22"/>
        </w:rPr>
      </w:pPr>
    </w:p>
    <w:p w:rsidR="00A102AA" w:rsidRDefault="00A102AA" w:rsidP="00582C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Each of the models has</w:t>
      </w:r>
      <w:r w:rsidR="00147D70" w:rsidRPr="00517C22">
        <w:rPr>
          <w:sz w:val="22"/>
          <w:szCs w:val="22"/>
        </w:rPr>
        <w:t xml:space="preserve"> their respective advantages and d</w:t>
      </w:r>
      <w:r>
        <w:rPr>
          <w:sz w:val="22"/>
          <w:szCs w:val="22"/>
        </w:rPr>
        <w:t>isadvantages.</w:t>
      </w:r>
    </w:p>
    <w:p w:rsidR="00A102AA" w:rsidRDefault="00A102AA" w:rsidP="00582CFC">
      <w:pPr>
        <w:pStyle w:val="Default"/>
        <w:jc w:val="both"/>
        <w:rPr>
          <w:sz w:val="22"/>
          <w:szCs w:val="22"/>
        </w:rPr>
      </w:pPr>
      <w:r w:rsidRPr="00517C22">
        <w:rPr>
          <w:sz w:val="22"/>
          <w:szCs w:val="22"/>
        </w:rPr>
        <w:t>The</w:t>
      </w:r>
      <w:r>
        <w:rPr>
          <w:sz w:val="22"/>
          <w:szCs w:val="22"/>
        </w:rPr>
        <w:t xml:space="preserve"> Council is keen to explore the models to understand which would best suit its needs and to advance its understanding of the </w:t>
      </w:r>
      <w:proofErr w:type="spellStart"/>
      <w:r>
        <w:rPr>
          <w:sz w:val="22"/>
          <w:szCs w:val="22"/>
        </w:rPr>
        <w:t>organisational</w:t>
      </w:r>
      <w:proofErr w:type="spellEnd"/>
      <w:r>
        <w:rPr>
          <w:sz w:val="22"/>
          <w:szCs w:val="22"/>
        </w:rPr>
        <w:t xml:space="preserve"> structures that might best deliver these models.</w:t>
      </w:r>
    </w:p>
    <w:p w:rsidR="00A102AA" w:rsidRDefault="00A102AA" w:rsidP="00582CFC">
      <w:pPr>
        <w:pStyle w:val="Default"/>
        <w:jc w:val="both"/>
        <w:rPr>
          <w:b/>
          <w:sz w:val="22"/>
          <w:szCs w:val="22"/>
        </w:rPr>
      </w:pPr>
    </w:p>
    <w:p w:rsidR="00A102AA" w:rsidRDefault="00A102AA" w:rsidP="00582CFC">
      <w:pPr>
        <w:pStyle w:val="Default"/>
        <w:jc w:val="both"/>
        <w:rPr>
          <w:b/>
          <w:sz w:val="22"/>
          <w:szCs w:val="22"/>
        </w:rPr>
      </w:pPr>
    </w:p>
    <w:p w:rsidR="00A102AA" w:rsidRDefault="00A102AA" w:rsidP="00582CFC">
      <w:pPr>
        <w:pStyle w:val="Default"/>
        <w:jc w:val="both"/>
        <w:rPr>
          <w:b/>
          <w:sz w:val="22"/>
          <w:szCs w:val="22"/>
        </w:rPr>
      </w:pPr>
    </w:p>
    <w:p w:rsidR="0094447E" w:rsidRDefault="0094447E" w:rsidP="00582CFC">
      <w:pPr>
        <w:pStyle w:val="Default"/>
        <w:jc w:val="both"/>
        <w:rPr>
          <w:sz w:val="22"/>
          <w:szCs w:val="22"/>
        </w:rPr>
      </w:pPr>
    </w:p>
    <w:sectPr w:rsidR="0094447E" w:rsidSect="009615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8B" w:rsidRDefault="00D84F8B" w:rsidP="00C41E97">
      <w:r>
        <w:separator/>
      </w:r>
    </w:p>
  </w:endnote>
  <w:endnote w:type="continuationSeparator" w:id="0">
    <w:p w:rsidR="00D84F8B" w:rsidRDefault="00D84F8B" w:rsidP="00C4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8B" w:rsidRDefault="00D84F8B" w:rsidP="00C41E97">
      <w:r>
        <w:separator/>
      </w:r>
    </w:p>
  </w:footnote>
  <w:footnote w:type="continuationSeparator" w:id="0">
    <w:p w:rsidR="00D84F8B" w:rsidRDefault="00D84F8B" w:rsidP="00C41E97">
      <w:r>
        <w:continuationSeparator/>
      </w:r>
    </w:p>
  </w:footnote>
  <w:footnote w:id="1">
    <w:p w:rsidR="00E2640F" w:rsidRPr="00E2640F" w:rsidRDefault="00E2640F" w:rsidP="007A3DEF">
      <w:pPr>
        <w:pStyle w:val="FootnoteText"/>
        <w:rPr>
          <w:rFonts w:ascii="Verdana" w:hAnsi="Verdana"/>
          <w:sz w:val="20"/>
          <w:szCs w:val="20"/>
          <w:lang w:val="en-US"/>
        </w:rPr>
      </w:pPr>
      <w:r w:rsidRPr="00E2640F">
        <w:rPr>
          <w:rStyle w:val="FootnoteReference"/>
          <w:rFonts w:ascii="Verdana" w:hAnsi="Verdana"/>
          <w:sz w:val="20"/>
          <w:szCs w:val="20"/>
        </w:rPr>
        <w:footnoteRef/>
      </w:r>
      <w:r w:rsidRPr="00E2640F">
        <w:rPr>
          <w:rFonts w:ascii="Verdana" w:hAnsi="Verdana"/>
          <w:sz w:val="20"/>
          <w:szCs w:val="20"/>
        </w:rPr>
        <w:t xml:space="preserve"> </w:t>
      </w:r>
      <w:r w:rsidRPr="00E2640F">
        <w:rPr>
          <w:rStyle w:val="Hyperlink"/>
          <w:rFonts w:ascii="Verdana" w:hAnsi="Verdana"/>
          <w:sz w:val="20"/>
          <w:szCs w:val="20"/>
        </w:rPr>
        <w:t>https://www.ofgem.gov.uk/ofgem-publications/93586/non-traditionalbusinessmodelsdiscussionpaper-pfd</w:t>
      </w:r>
      <w:r w:rsidRPr="00E2640F">
        <w:rPr>
          <w:rFonts w:ascii="Verdana" w:hAnsi="Verdana"/>
          <w:sz w:val="20"/>
          <w:szCs w:val="20"/>
          <w:lang w:val="en-US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0428"/>
    <w:multiLevelType w:val="hybridMultilevel"/>
    <w:tmpl w:val="4892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7413C"/>
    <w:multiLevelType w:val="hybridMultilevel"/>
    <w:tmpl w:val="97A40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E5631"/>
    <w:multiLevelType w:val="multilevel"/>
    <w:tmpl w:val="C1C4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811D8E"/>
    <w:multiLevelType w:val="hybridMultilevel"/>
    <w:tmpl w:val="FEB61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23E12"/>
    <w:multiLevelType w:val="hybridMultilevel"/>
    <w:tmpl w:val="EE08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E6736"/>
    <w:multiLevelType w:val="hybridMultilevel"/>
    <w:tmpl w:val="B8065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F436BD"/>
    <w:multiLevelType w:val="hybridMultilevel"/>
    <w:tmpl w:val="68585E76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53FA61E0"/>
    <w:multiLevelType w:val="hybridMultilevel"/>
    <w:tmpl w:val="443A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C4F84"/>
    <w:multiLevelType w:val="hybridMultilevel"/>
    <w:tmpl w:val="80FE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53BDB"/>
    <w:multiLevelType w:val="hybridMultilevel"/>
    <w:tmpl w:val="DB5A9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13739"/>
    <w:multiLevelType w:val="hybridMultilevel"/>
    <w:tmpl w:val="A7AA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F077A"/>
    <w:multiLevelType w:val="hybridMultilevel"/>
    <w:tmpl w:val="1E90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82080"/>
    <w:multiLevelType w:val="hybridMultilevel"/>
    <w:tmpl w:val="E706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D1161"/>
    <w:multiLevelType w:val="hybridMultilevel"/>
    <w:tmpl w:val="E10E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47CDB"/>
    <w:multiLevelType w:val="hybridMultilevel"/>
    <w:tmpl w:val="E9366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41609"/>
    <w:multiLevelType w:val="hybridMultilevel"/>
    <w:tmpl w:val="8392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34F44"/>
    <w:multiLevelType w:val="hybridMultilevel"/>
    <w:tmpl w:val="3DC4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3"/>
  </w:num>
  <w:num w:numId="5">
    <w:abstractNumId w:val="0"/>
  </w:num>
  <w:num w:numId="6">
    <w:abstractNumId w:val="2"/>
  </w:num>
  <w:num w:numId="7">
    <w:abstractNumId w:val="4"/>
  </w:num>
  <w:num w:numId="8">
    <w:abstractNumId w:val="15"/>
  </w:num>
  <w:num w:numId="9">
    <w:abstractNumId w:val="8"/>
  </w:num>
  <w:num w:numId="10">
    <w:abstractNumId w:val="16"/>
  </w:num>
  <w:num w:numId="11">
    <w:abstractNumId w:val="3"/>
  </w:num>
  <w:num w:numId="12">
    <w:abstractNumId w:val="14"/>
  </w:num>
  <w:num w:numId="13">
    <w:abstractNumId w:val="9"/>
  </w:num>
  <w:num w:numId="14">
    <w:abstractNumId w:val="1"/>
  </w:num>
  <w:num w:numId="15">
    <w:abstractNumId w:val="6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1E"/>
    <w:rsid w:val="000165CB"/>
    <w:rsid w:val="00017F3E"/>
    <w:rsid w:val="00027440"/>
    <w:rsid w:val="00031BD0"/>
    <w:rsid w:val="00034797"/>
    <w:rsid w:val="00047F6E"/>
    <w:rsid w:val="0005099A"/>
    <w:rsid w:val="00067234"/>
    <w:rsid w:val="000676F8"/>
    <w:rsid w:val="000A4727"/>
    <w:rsid w:val="000E2DC6"/>
    <w:rsid w:val="000F0EA8"/>
    <w:rsid w:val="0010258E"/>
    <w:rsid w:val="001056E8"/>
    <w:rsid w:val="00120615"/>
    <w:rsid w:val="00121530"/>
    <w:rsid w:val="00135620"/>
    <w:rsid w:val="00147D70"/>
    <w:rsid w:val="00160AA3"/>
    <w:rsid w:val="00174F9A"/>
    <w:rsid w:val="00177F32"/>
    <w:rsid w:val="001801E4"/>
    <w:rsid w:val="001A25DF"/>
    <w:rsid w:val="001F1737"/>
    <w:rsid w:val="00221A42"/>
    <w:rsid w:val="00236690"/>
    <w:rsid w:val="002371AB"/>
    <w:rsid w:val="00256035"/>
    <w:rsid w:val="00273B05"/>
    <w:rsid w:val="002E005A"/>
    <w:rsid w:val="002F698A"/>
    <w:rsid w:val="00302568"/>
    <w:rsid w:val="00316E4D"/>
    <w:rsid w:val="003245F9"/>
    <w:rsid w:val="00331D2F"/>
    <w:rsid w:val="0035655D"/>
    <w:rsid w:val="00390D29"/>
    <w:rsid w:val="003A67E0"/>
    <w:rsid w:val="003B6CF4"/>
    <w:rsid w:val="003E3A25"/>
    <w:rsid w:val="003E4C98"/>
    <w:rsid w:val="00435FA5"/>
    <w:rsid w:val="00440B9B"/>
    <w:rsid w:val="0044229B"/>
    <w:rsid w:val="00446165"/>
    <w:rsid w:val="00447033"/>
    <w:rsid w:val="004630AF"/>
    <w:rsid w:val="00471B27"/>
    <w:rsid w:val="00477013"/>
    <w:rsid w:val="0048397F"/>
    <w:rsid w:val="004A2D66"/>
    <w:rsid w:val="0051414E"/>
    <w:rsid w:val="00517C22"/>
    <w:rsid w:val="005349AE"/>
    <w:rsid w:val="00540FBE"/>
    <w:rsid w:val="0055301B"/>
    <w:rsid w:val="005539A1"/>
    <w:rsid w:val="00560A1E"/>
    <w:rsid w:val="00582CFC"/>
    <w:rsid w:val="005A056E"/>
    <w:rsid w:val="005C1524"/>
    <w:rsid w:val="005C7FED"/>
    <w:rsid w:val="005D6B57"/>
    <w:rsid w:val="005E03BC"/>
    <w:rsid w:val="00601640"/>
    <w:rsid w:val="00601B32"/>
    <w:rsid w:val="006078F4"/>
    <w:rsid w:val="006334DF"/>
    <w:rsid w:val="00640E51"/>
    <w:rsid w:val="006450B2"/>
    <w:rsid w:val="00662D76"/>
    <w:rsid w:val="00696F8F"/>
    <w:rsid w:val="006B41F1"/>
    <w:rsid w:val="007002D9"/>
    <w:rsid w:val="0071453E"/>
    <w:rsid w:val="00722DF9"/>
    <w:rsid w:val="007441EC"/>
    <w:rsid w:val="00773B11"/>
    <w:rsid w:val="00776020"/>
    <w:rsid w:val="00792F89"/>
    <w:rsid w:val="007A3DEF"/>
    <w:rsid w:val="007A6E2E"/>
    <w:rsid w:val="007C2B29"/>
    <w:rsid w:val="007D15C0"/>
    <w:rsid w:val="007E1C25"/>
    <w:rsid w:val="00802C91"/>
    <w:rsid w:val="00807C86"/>
    <w:rsid w:val="00815B99"/>
    <w:rsid w:val="008764F3"/>
    <w:rsid w:val="008823D2"/>
    <w:rsid w:val="008F2427"/>
    <w:rsid w:val="0091034E"/>
    <w:rsid w:val="009167F7"/>
    <w:rsid w:val="00927A5D"/>
    <w:rsid w:val="0094447E"/>
    <w:rsid w:val="00947832"/>
    <w:rsid w:val="00961555"/>
    <w:rsid w:val="0098286A"/>
    <w:rsid w:val="009A36DB"/>
    <w:rsid w:val="009B00B6"/>
    <w:rsid w:val="009B7405"/>
    <w:rsid w:val="009D2AA5"/>
    <w:rsid w:val="009E75CE"/>
    <w:rsid w:val="00A06339"/>
    <w:rsid w:val="00A102AA"/>
    <w:rsid w:val="00A1168B"/>
    <w:rsid w:val="00A40453"/>
    <w:rsid w:val="00A4568E"/>
    <w:rsid w:val="00A5289B"/>
    <w:rsid w:val="00A52E66"/>
    <w:rsid w:val="00A6392E"/>
    <w:rsid w:val="00A66827"/>
    <w:rsid w:val="00AD570A"/>
    <w:rsid w:val="00AD7186"/>
    <w:rsid w:val="00B10E76"/>
    <w:rsid w:val="00B2217E"/>
    <w:rsid w:val="00B65843"/>
    <w:rsid w:val="00B772ED"/>
    <w:rsid w:val="00B84DC8"/>
    <w:rsid w:val="00B93945"/>
    <w:rsid w:val="00BA5423"/>
    <w:rsid w:val="00BC2B02"/>
    <w:rsid w:val="00BE1AB1"/>
    <w:rsid w:val="00C21298"/>
    <w:rsid w:val="00C41E97"/>
    <w:rsid w:val="00C47B12"/>
    <w:rsid w:val="00C726C5"/>
    <w:rsid w:val="00C96943"/>
    <w:rsid w:val="00CA0861"/>
    <w:rsid w:val="00CB20D0"/>
    <w:rsid w:val="00CC5D35"/>
    <w:rsid w:val="00D21039"/>
    <w:rsid w:val="00D2629B"/>
    <w:rsid w:val="00D37206"/>
    <w:rsid w:val="00D46AD5"/>
    <w:rsid w:val="00D84F8B"/>
    <w:rsid w:val="00D925B6"/>
    <w:rsid w:val="00D97C95"/>
    <w:rsid w:val="00DA1EAF"/>
    <w:rsid w:val="00DB3D77"/>
    <w:rsid w:val="00E10AA5"/>
    <w:rsid w:val="00E2640F"/>
    <w:rsid w:val="00E74C0D"/>
    <w:rsid w:val="00EA6C68"/>
    <w:rsid w:val="00EB711B"/>
    <w:rsid w:val="00EE4568"/>
    <w:rsid w:val="00EE6E14"/>
    <w:rsid w:val="00EF2FA5"/>
    <w:rsid w:val="00F06AD5"/>
    <w:rsid w:val="00F15534"/>
    <w:rsid w:val="00F17778"/>
    <w:rsid w:val="00F228FC"/>
    <w:rsid w:val="00F2636C"/>
    <w:rsid w:val="00F40FA8"/>
    <w:rsid w:val="00F53C96"/>
    <w:rsid w:val="00F84539"/>
    <w:rsid w:val="00F927AA"/>
    <w:rsid w:val="00FA00B1"/>
    <w:rsid w:val="00FC018B"/>
    <w:rsid w:val="00FC0B10"/>
    <w:rsid w:val="00FC564D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0A1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E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97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41E97"/>
  </w:style>
  <w:style w:type="character" w:customStyle="1" w:styleId="FootnoteTextChar">
    <w:name w:val="Footnote Text Char"/>
    <w:basedOn w:val="DefaultParagraphFont"/>
    <w:link w:val="FootnoteText"/>
    <w:uiPriority w:val="99"/>
    <w:rsid w:val="00C41E97"/>
  </w:style>
  <w:style w:type="character" w:styleId="FootnoteReference">
    <w:name w:val="footnote reference"/>
    <w:basedOn w:val="DefaultParagraphFont"/>
    <w:uiPriority w:val="99"/>
    <w:unhideWhenUsed/>
    <w:rsid w:val="00C41E9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564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C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D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B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10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0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0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0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039"/>
    <w:rPr>
      <w:b/>
      <w:bCs/>
      <w:sz w:val="20"/>
      <w:szCs w:val="20"/>
    </w:rPr>
  </w:style>
  <w:style w:type="paragraph" w:customStyle="1" w:styleId="Body">
    <w:name w:val="Body"/>
    <w:rsid w:val="006016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en-GB"/>
    </w:rPr>
  </w:style>
  <w:style w:type="paragraph" w:styleId="Revision">
    <w:name w:val="Revision"/>
    <w:hidden/>
    <w:uiPriority w:val="99"/>
    <w:semiHidden/>
    <w:rsid w:val="00FE5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0A1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E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97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41E97"/>
  </w:style>
  <w:style w:type="character" w:customStyle="1" w:styleId="FootnoteTextChar">
    <w:name w:val="Footnote Text Char"/>
    <w:basedOn w:val="DefaultParagraphFont"/>
    <w:link w:val="FootnoteText"/>
    <w:uiPriority w:val="99"/>
    <w:rsid w:val="00C41E97"/>
  </w:style>
  <w:style w:type="character" w:styleId="FootnoteReference">
    <w:name w:val="footnote reference"/>
    <w:basedOn w:val="DefaultParagraphFont"/>
    <w:uiPriority w:val="99"/>
    <w:unhideWhenUsed/>
    <w:rsid w:val="00C41E9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564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FC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D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B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10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0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0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0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039"/>
    <w:rPr>
      <w:b/>
      <w:bCs/>
      <w:sz w:val="20"/>
      <w:szCs w:val="20"/>
    </w:rPr>
  </w:style>
  <w:style w:type="paragraph" w:customStyle="1" w:styleId="Body">
    <w:name w:val="Body"/>
    <w:rsid w:val="006016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en-GB"/>
    </w:rPr>
  </w:style>
  <w:style w:type="paragraph" w:styleId="Revision">
    <w:name w:val="Revision"/>
    <w:hidden/>
    <w:uiPriority w:val="99"/>
    <w:semiHidden/>
    <w:rsid w:val="00FE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049D-84EC-479F-A375-A3BDFBA8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141D8B58</Template>
  <TotalTime>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energyshare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Holmes</dc:creator>
  <cp:lastModifiedBy>Shillaber Mike</cp:lastModifiedBy>
  <cp:revision>2</cp:revision>
  <cp:lastPrinted>2015-10-28T14:17:00Z</cp:lastPrinted>
  <dcterms:created xsi:type="dcterms:W3CDTF">2015-11-23T12:49:00Z</dcterms:created>
  <dcterms:modified xsi:type="dcterms:W3CDTF">2015-11-23T12:49:00Z</dcterms:modified>
</cp:coreProperties>
</file>