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FF089" w14:textId="1BFD9DB3" w:rsidR="00D3455B" w:rsidRPr="00C75883" w:rsidRDefault="00D3455B" w:rsidP="00FD7094">
      <w:pPr>
        <w:pStyle w:val="PECnum1HeadChapt"/>
        <w:numPr>
          <w:ilvl w:val="0"/>
          <w:numId w:val="0"/>
        </w:numPr>
        <w:ind w:left="851"/>
        <w:rPr>
          <w:color w:val="auto"/>
        </w:rPr>
      </w:pPr>
      <w:bookmarkStart w:id="0" w:name="_Ref451147231"/>
      <w:bookmarkStart w:id="1" w:name="_Toc467864641"/>
      <w:r w:rsidRPr="00C75883">
        <w:rPr>
          <w:color w:val="auto"/>
        </w:rPr>
        <w:t xml:space="preserve">Amendments to </w:t>
      </w:r>
      <w:bookmarkEnd w:id="0"/>
      <w:bookmarkEnd w:id="1"/>
      <w:r w:rsidR="00101841">
        <w:rPr>
          <w:color w:val="auto"/>
        </w:rPr>
        <w:t>general conditions for service contracts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8272"/>
      </w:tblGrid>
      <w:tr w:rsidR="00204E54" w:rsidRPr="001E33BF" w14:paraId="5EB0C637" w14:textId="77777777" w:rsidTr="00FD7094">
        <w:trPr>
          <w:trHeight w:val="300"/>
          <w:tblHeader/>
        </w:trPr>
        <w:tc>
          <w:tcPr>
            <w:tcW w:w="525" w:type="pct"/>
            <w:shd w:val="clear" w:color="auto" w:fill="auto"/>
            <w:vAlign w:val="bottom"/>
            <w:hideMark/>
          </w:tcPr>
          <w:p w14:paraId="1A1764BE" w14:textId="1DABEC79" w:rsidR="00204E54" w:rsidRPr="00C75883" w:rsidRDefault="00204E54" w:rsidP="00BB4F7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Article </w:t>
            </w:r>
            <w:r w:rsidRPr="00C75883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No.</w:t>
            </w:r>
          </w:p>
        </w:tc>
        <w:tc>
          <w:tcPr>
            <w:tcW w:w="4475" w:type="pct"/>
            <w:shd w:val="clear" w:color="auto" w:fill="auto"/>
            <w:noWrap/>
            <w:vAlign w:val="bottom"/>
            <w:hideMark/>
          </w:tcPr>
          <w:p w14:paraId="0E809F73" w14:textId="77777777" w:rsidR="00204E54" w:rsidRPr="00C75883" w:rsidRDefault="00204E54" w:rsidP="0058477A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C75883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Deviation</w:t>
            </w:r>
          </w:p>
        </w:tc>
      </w:tr>
      <w:tr w:rsidR="00204E54" w:rsidRPr="00C27ED3" w14:paraId="74BC217A" w14:textId="77777777" w:rsidTr="00FD7094">
        <w:trPr>
          <w:trHeight w:val="1152"/>
        </w:trPr>
        <w:tc>
          <w:tcPr>
            <w:tcW w:w="525" w:type="pct"/>
            <w:shd w:val="clear" w:color="auto" w:fill="auto"/>
          </w:tcPr>
          <w:p w14:paraId="0472D53F" w14:textId="172B5FA2" w:rsidR="00204E54" w:rsidRPr="001E33BF" w:rsidRDefault="00204E54" w:rsidP="0058477A">
            <w:pP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8(2)</w:t>
            </w:r>
          </w:p>
        </w:tc>
        <w:tc>
          <w:tcPr>
            <w:tcW w:w="4475" w:type="pct"/>
            <w:shd w:val="clear" w:color="auto" w:fill="auto"/>
          </w:tcPr>
          <w:p w14:paraId="15EC878E" w14:textId="1282F48C" w:rsidR="00204E54" w:rsidRPr="00915FFA" w:rsidRDefault="00204E54" w:rsidP="00687899">
            <w:pPr>
              <w:rPr>
                <w:rFonts w:ascii="Calibri" w:eastAsiaTheme="minorHAnsi" w:hAnsi="Calibri" w:cs="Calibri"/>
                <w:i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i/>
                <w:szCs w:val="22"/>
                <w:lang w:val="en-US"/>
              </w:rPr>
              <w:t>Addition to the clause:</w:t>
            </w:r>
          </w:p>
          <w:p w14:paraId="2E190FE1" w14:textId="77777777" w:rsidR="00204E54" w:rsidRPr="00915FFA" w:rsidRDefault="00204E54" w:rsidP="00687899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bookmarkStart w:id="2" w:name="_GoBack"/>
            <w:bookmarkEnd w:id="2"/>
          </w:p>
          <w:p w14:paraId="446B73D4" w14:textId="0F71244D" w:rsidR="00204E54" w:rsidRPr="00915FFA" w:rsidRDefault="00204E54" w:rsidP="002F0673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(e) </w:t>
            </w:r>
            <w:proofErr w:type="gramStart"/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>was</w:t>
            </w:r>
            <w:proofErr w:type="gramEnd"/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 obtained by the Contractor from a third party having no obligation of confidentiality with respect to such information.</w:t>
            </w:r>
          </w:p>
        </w:tc>
      </w:tr>
      <w:tr w:rsidR="00204E54" w:rsidRPr="00C27ED3" w14:paraId="07B5A52E" w14:textId="77777777" w:rsidTr="00FD7094">
        <w:trPr>
          <w:trHeight w:val="1152"/>
        </w:trPr>
        <w:tc>
          <w:tcPr>
            <w:tcW w:w="525" w:type="pct"/>
            <w:shd w:val="clear" w:color="auto" w:fill="auto"/>
          </w:tcPr>
          <w:p w14:paraId="2DEAE166" w14:textId="0DCB1221" w:rsidR="00204E54" w:rsidRDefault="00204E54" w:rsidP="0058477A">
            <w:pP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8(3)</w:t>
            </w:r>
          </w:p>
        </w:tc>
        <w:tc>
          <w:tcPr>
            <w:tcW w:w="4475" w:type="pct"/>
            <w:shd w:val="clear" w:color="auto" w:fill="auto"/>
          </w:tcPr>
          <w:p w14:paraId="26D5E24B" w14:textId="39121B18" w:rsidR="00204E54" w:rsidRPr="00915FFA" w:rsidRDefault="00204E54" w:rsidP="0025030F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The obligations contained in this Condition shall continue to apply after the expiry or termination of the Contract </w:t>
            </w:r>
            <w:r w:rsidRPr="00FD7094">
              <w:rPr>
                <w:rFonts w:ascii="Calibri" w:eastAsiaTheme="minorHAnsi" w:hAnsi="Calibri" w:cs="Calibri"/>
                <w:szCs w:val="22"/>
                <w:lang w:val="en-US"/>
              </w:rPr>
              <w:t>and remain valid for 2 years thereafter.</w:t>
            </w:r>
          </w:p>
        </w:tc>
      </w:tr>
      <w:tr w:rsidR="00204E54" w:rsidRPr="00C27ED3" w14:paraId="178E6F20" w14:textId="77777777" w:rsidTr="00FD7094">
        <w:trPr>
          <w:trHeight w:val="1152"/>
        </w:trPr>
        <w:tc>
          <w:tcPr>
            <w:tcW w:w="525" w:type="pct"/>
            <w:shd w:val="clear" w:color="auto" w:fill="auto"/>
          </w:tcPr>
          <w:p w14:paraId="13E283E7" w14:textId="77777777" w:rsidR="00204E54" w:rsidRDefault="00204E54" w:rsidP="0058477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15(1)</w:t>
            </w:r>
          </w:p>
          <w:p w14:paraId="7ED712E7" w14:textId="4480A31E" w:rsidR="00204E54" w:rsidRPr="00A4344A" w:rsidRDefault="00204E54" w:rsidP="0058477A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15(2)</w:t>
            </w:r>
          </w:p>
        </w:tc>
        <w:tc>
          <w:tcPr>
            <w:tcW w:w="4475" w:type="pct"/>
            <w:shd w:val="clear" w:color="auto" w:fill="auto"/>
          </w:tcPr>
          <w:p w14:paraId="2BA7A07C" w14:textId="32B7A02F" w:rsidR="00204E54" w:rsidRPr="00915FFA" w:rsidRDefault="00204E54" w:rsidP="00A4344A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(1) The Contractor shall provide the Services in accordance with and as specified in the </w:t>
            </w:r>
          </w:p>
          <w:p w14:paraId="0770EEBA" w14:textId="7A5E9B58" w:rsidR="00204E54" w:rsidRPr="00915FFA" w:rsidRDefault="00204E54" w:rsidP="00A4344A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>Contract. The Authority shall have the power to inspect</w:t>
            </w:r>
            <w:r>
              <w:rPr>
                <w:rFonts w:ascii="Calibri" w:eastAsiaTheme="minorHAnsi" w:hAnsi="Calibri" w:cs="Calibri"/>
                <w:szCs w:val="22"/>
                <w:lang w:val="en-US"/>
              </w:rPr>
              <w:t xml:space="preserve"> </w:t>
            </w: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and examine the performance of the </w:t>
            </w:r>
          </w:p>
          <w:p w14:paraId="12830E4B" w14:textId="77777777" w:rsidR="00204E54" w:rsidRPr="00915FFA" w:rsidRDefault="00204E54" w:rsidP="00A4344A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Services at the Authority's Premises at any reasonable time or, provided that the </w:t>
            </w:r>
          </w:p>
          <w:p w14:paraId="3F9977A4" w14:textId="7EDB64DC" w:rsidR="00204E54" w:rsidRPr="00915FFA" w:rsidRDefault="00204E54" w:rsidP="00A4344A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Authority gives reasonable notice to the Contractor, at any other premises where any part of the Services is being performed.   </w:t>
            </w:r>
          </w:p>
          <w:p w14:paraId="7D8FB706" w14:textId="77777777" w:rsidR="00204E54" w:rsidRPr="00915FFA" w:rsidRDefault="00204E54" w:rsidP="00A4344A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(2) If the Authority informs the Contractor that the Authority considers any part of the </w:t>
            </w:r>
          </w:p>
          <w:p w14:paraId="1BFD1192" w14:textId="1A7A75E2" w:rsidR="00204E54" w:rsidRPr="00915FFA" w:rsidRDefault="00204E54" w:rsidP="00204E54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Services to be in any way differing from the Contract, and this is other than as a result of default or negligence on the part of the Authority, the Contractor shall at his own expense re-schedule and perform the work correctly within such reasonable time as may be specified by the Authority.  </w:t>
            </w:r>
          </w:p>
        </w:tc>
      </w:tr>
      <w:tr w:rsidR="00204E54" w:rsidRPr="00373FE3" w14:paraId="009B5E94" w14:textId="77777777" w:rsidTr="00FD7094">
        <w:trPr>
          <w:trHeight w:val="1152"/>
        </w:trPr>
        <w:tc>
          <w:tcPr>
            <w:tcW w:w="525" w:type="pct"/>
            <w:shd w:val="clear" w:color="auto" w:fill="auto"/>
          </w:tcPr>
          <w:p w14:paraId="48419C9F" w14:textId="5DD3807E" w:rsidR="00204E54" w:rsidRPr="00AC1319" w:rsidRDefault="00204E54" w:rsidP="0058477A">
            <w:pP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15(5)</w:t>
            </w:r>
          </w:p>
        </w:tc>
        <w:tc>
          <w:tcPr>
            <w:tcW w:w="4475" w:type="pct"/>
            <w:shd w:val="clear" w:color="auto" w:fill="auto"/>
          </w:tcPr>
          <w:p w14:paraId="18226358" w14:textId="67091CC4" w:rsidR="00204E54" w:rsidRPr="00915FFA" w:rsidRDefault="00204E54" w:rsidP="00721EF4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721EF4">
              <w:rPr>
                <w:rFonts w:ascii="Calibri" w:eastAsiaTheme="minorHAnsi" w:hAnsi="Calibri" w:cs="Calibri"/>
                <w:szCs w:val="22"/>
                <w:lang w:val="en-US"/>
              </w:rPr>
              <w:t>C</w:t>
            </w: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ommencing of the provision of the Services </w:t>
            </w:r>
            <w:r w:rsidRPr="00204E54">
              <w:rPr>
                <w:rFonts w:ascii="Calibri" w:eastAsiaTheme="minorHAnsi" w:hAnsi="Calibri" w:cs="Calibri"/>
                <w:szCs w:val="22"/>
                <w:lang w:val="en-US"/>
              </w:rPr>
              <w:t>shall be done</w:t>
            </w:r>
            <w:r w:rsidRPr="00915FFA">
              <w:rPr>
                <w:rFonts w:ascii="Calibri" w:eastAsiaTheme="minorHAnsi" w:hAnsi="Calibri" w:cs="Calibri"/>
                <w:szCs w:val="22"/>
                <w:lang w:val="en-US"/>
              </w:rPr>
              <w:t xml:space="preserve"> within the time agreed or on a specified date.  </w:t>
            </w:r>
          </w:p>
        </w:tc>
      </w:tr>
      <w:tr w:rsidR="00204E54" w:rsidRPr="00373FE3" w14:paraId="0B3F938C" w14:textId="77777777" w:rsidTr="00FD7094">
        <w:trPr>
          <w:trHeight w:val="1152"/>
        </w:trPr>
        <w:tc>
          <w:tcPr>
            <w:tcW w:w="525" w:type="pct"/>
            <w:shd w:val="clear" w:color="auto" w:fill="auto"/>
          </w:tcPr>
          <w:p w14:paraId="6B6E9189" w14:textId="210C1915" w:rsidR="00204E54" w:rsidRDefault="00204E54" w:rsidP="00721EF4">
            <w:pP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27</w:t>
            </w:r>
          </w:p>
        </w:tc>
        <w:tc>
          <w:tcPr>
            <w:tcW w:w="4475" w:type="pct"/>
            <w:shd w:val="clear" w:color="auto" w:fill="auto"/>
          </w:tcPr>
          <w:p w14:paraId="2EDE806B" w14:textId="77777777" w:rsidR="00204E54" w:rsidRDefault="00204E54" w:rsidP="00721EF4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57621F">
              <w:rPr>
                <w:rFonts w:ascii="Calibri" w:eastAsiaTheme="minorHAnsi" w:hAnsi="Calibri" w:cs="Calibri"/>
                <w:i/>
                <w:szCs w:val="22"/>
                <w:lang w:val="en-US"/>
              </w:rPr>
              <w:t>New clause 27(5) to be added</w:t>
            </w:r>
            <w:r>
              <w:rPr>
                <w:rFonts w:ascii="Calibri" w:eastAsiaTheme="minorHAnsi" w:hAnsi="Calibri" w:cs="Calibri"/>
                <w:szCs w:val="22"/>
                <w:lang w:val="en-US"/>
              </w:rPr>
              <w:t>:</w:t>
            </w:r>
          </w:p>
          <w:p w14:paraId="28F1645C" w14:textId="77777777" w:rsidR="00204E54" w:rsidRDefault="00204E54" w:rsidP="00721EF4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</w:p>
          <w:p w14:paraId="0BD21282" w14:textId="32D8DF0A" w:rsidR="00204E54" w:rsidRPr="0057621F" w:rsidRDefault="00204E54" w:rsidP="0057621F">
            <w:pPr>
              <w:rPr>
                <w:rFonts w:ascii="Calibri" w:eastAsiaTheme="minorHAnsi" w:hAnsi="Calibri" w:cs="Calibri"/>
                <w:szCs w:val="22"/>
                <w:lang w:val="en-US"/>
              </w:rPr>
            </w:pPr>
            <w:r w:rsidRPr="0057621F">
              <w:rPr>
                <w:rFonts w:ascii="Calibri" w:eastAsiaTheme="minorHAnsi" w:hAnsi="Calibri" w:cs="Calibri"/>
                <w:szCs w:val="22"/>
                <w:lang w:val="en-US"/>
              </w:rPr>
              <w:t>The C</w:t>
            </w:r>
            <w:r>
              <w:rPr>
                <w:rFonts w:ascii="Calibri" w:eastAsiaTheme="minorHAnsi" w:hAnsi="Calibri" w:cs="Calibri"/>
                <w:szCs w:val="22"/>
                <w:lang w:val="en-US"/>
              </w:rPr>
              <w:t>ontractor</w:t>
            </w:r>
            <w:r w:rsidRPr="0057621F">
              <w:rPr>
                <w:rFonts w:ascii="Calibri" w:eastAsiaTheme="minorHAnsi" w:hAnsi="Calibri" w:cs="Calibri"/>
                <w:szCs w:val="22"/>
                <w:lang w:val="en-US"/>
              </w:rPr>
              <w:t xml:space="preserve"> shall have a nonexclusive, royalty-free and perpetual license to use any and all </w:t>
            </w:r>
            <w:r>
              <w:rPr>
                <w:rFonts w:ascii="Calibri" w:eastAsiaTheme="minorHAnsi" w:hAnsi="Calibri" w:cs="Calibri"/>
                <w:szCs w:val="22"/>
                <w:lang w:val="en-US"/>
              </w:rPr>
              <w:t>Contractor Materials.</w:t>
            </w:r>
            <w:r w:rsidRPr="0057621F">
              <w:rPr>
                <w:rFonts w:ascii="Calibri" w:eastAsiaTheme="minorHAnsi" w:hAnsi="Calibri" w:cs="Calibri"/>
                <w:szCs w:val="22"/>
                <w:lang w:val="en-US"/>
              </w:rPr>
              <w:t xml:space="preserve"> </w:t>
            </w:r>
            <w:r>
              <w:rPr>
                <w:rFonts w:ascii="Calibri" w:eastAsiaTheme="minorHAnsi" w:hAnsi="Calibri" w:cs="Calibri"/>
                <w:szCs w:val="22"/>
                <w:lang w:val="en-US"/>
              </w:rPr>
              <w:t xml:space="preserve">For any other purpose than the Contractor Materials, the Contractor shall only use parts of the Contractor Materials and not the entire work product or report created as a part of the Services and included in the Contractor Materials. </w:t>
            </w:r>
          </w:p>
        </w:tc>
      </w:tr>
      <w:tr w:rsidR="00204E54" w:rsidRPr="00373FE3" w14:paraId="6AC1538F" w14:textId="77777777" w:rsidTr="00FD7094">
        <w:trPr>
          <w:trHeight w:val="1152"/>
        </w:trPr>
        <w:tc>
          <w:tcPr>
            <w:tcW w:w="525" w:type="pct"/>
            <w:shd w:val="clear" w:color="auto" w:fill="auto"/>
          </w:tcPr>
          <w:p w14:paraId="18D1B6A2" w14:textId="4AEBA2C2" w:rsidR="00204E54" w:rsidRDefault="00204E54" w:rsidP="0058477A">
            <w:pP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38</w:t>
            </w:r>
          </w:p>
        </w:tc>
        <w:tc>
          <w:tcPr>
            <w:tcW w:w="4475" w:type="pct"/>
            <w:shd w:val="clear" w:color="auto" w:fill="auto"/>
          </w:tcPr>
          <w:p w14:paraId="40581674" w14:textId="7A8EAA74" w:rsidR="00204E54" w:rsidRPr="00360EA9" w:rsidRDefault="00204E54" w:rsidP="00360EA9">
            <w:pPr>
              <w:rPr>
                <w:rFonts w:ascii="Calibri" w:eastAsiaTheme="minorHAnsi" w:hAnsi="Calibri" w:cs="Calibri"/>
                <w:b/>
                <w:i/>
                <w:szCs w:val="22"/>
                <w:lang w:val="en-US"/>
              </w:rPr>
            </w:pPr>
            <w:r w:rsidRPr="00360EA9">
              <w:rPr>
                <w:rFonts w:ascii="Calibri" w:eastAsiaTheme="minorHAnsi" w:hAnsi="Calibri" w:cs="Calibri"/>
                <w:b/>
                <w:i/>
                <w:szCs w:val="22"/>
                <w:lang w:val="en-US"/>
              </w:rPr>
              <w:t>Clause 38 to be deleted.</w:t>
            </w:r>
          </w:p>
        </w:tc>
      </w:tr>
    </w:tbl>
    <w:p w14:paraId="73286444" w14:textId="6E6C18C7" w:rsidR="00BB4F70" w:rsidRPr="009A0BE0" w:rsidRDefault="00BB4F70" w:rsidP="00D3455B">
      <w:pPr>
        <w:rPr>
          <w:color w:val="000000"/>
          <w:lang w:eastAsia="en-GB"/>
        </w:rPr>
      </w:pPr>
    </w:p>
    <w:sectPr w:rsidR="00BB4F70" w:rsidRPr="009A0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068AF"/>
    <w:multiLevelType w:val="multilevel"/>
    <w:tmpl w:val="757EDC06"/>
    <w:lvl w:ilvl="0">
      <w:start w:val="1"/>
      <w:numFmt w:val="decimal"/>
      <w:pStyle w:val="PECnum1HeadChap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3399"/>
        <w:sz w:val="30"/>
        <w:szCs w:val="28"/>
      </w:rPr>
    </w:lvl>
    <w:lvl w:ilvl="1">
      <w:start w:val="1"/>
      <w:numFmt w:val="decimal"/>
      <w:pStyle w:val="PECNum2Head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3399"/>
        <w:sz w:val="26"/>
      </w:rPr>
    </w:lvl>
    <w:lvl w:ilvl="2">
      <w:start w:val="1"/>
      <w:numFmt w:val="decimal"/>
      <w:pStyle w:val="PECNum3Head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color w:val="003399"/>
        <w:sz w:val="22"/>
      </w:rPr>
    </w:lvl>
    <w:lvl w:ilvl="3">
      <w:start w:val="1"/>
      <w:numFmt w:val="decimal"/>
      <w:pStyle w:val="PECNum4Head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olor w:val="003399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F1"/>
    <w:rsid w:val="00035465"/>
    <w:rsid w:val="000433FC"/>
    <w:rsid w:val="00044C8F"/>
    <w:rsid w:val="000A5A07"/>
    <w:rsid w:val="000E1CCE"/>
    <w:rsid w:val="00101841"/>
    <w:rsid w:val="00135125"/>
    <w:rsid w:val="00151ECF"/>
    <w:rsid w:val="001900F0"/>
    <w:rsid w:val="001921FF"/>
    <w:rsid w:val="00204E54"/>
    <w:rsid w:val="002119F6"/>
    <w:rsid w:val="00215A3E"/>
    <w:rsid w:val="00247F8E"/>
    <w:rsid w:val="0025030F"/>
    <w:rsid w:val="00295BDE"/>
    <w:rsid w:val="002D1CB8"/>
    <w:rsid w:val="002F0673"/>
    <w:rsid w:val="00360EA9"/>
    <w:rsid w:val="00373FE3"/>
    <w:rsid w:val="003C33FD"/>
    <w:rsid w:val="003E6C6F"/>
    <w:rsid w:val="0041489C"/>
    <w:rsid w:val="0042390B"/>
    <w:rsid w:val="0046278E"/>
    <w:rsid w:val="004A4EC6"/>
    <w:rsid w:val="004D0861"/>
    <w:rsid w:val="005314A1"/>
    <w:rsid w:val="0057621F"/>
    <w:rsid w:val="005E032B"/>
    <w:rsid w:val="00655C3C"/>
    <w:rsid w:val="00687899"/>
    <w:rsid w:val="00695433"/>
    <w:rsid w:val="006A44B5"/>
    <w:rsid w:val="006B1FBA"/>
    <w:rsid w:val="007109D2"/>
    <w:rsid w:val="00721EF4"/>
    <w:rsid w:val="00745043"/>
    <w:rsid w:val="00791EB6"/>
    <w:rsid w:val="007B4478"/>
    <w:rsid w:val="00807293"/>
    <w:rsid w:val="0081703E"/>
    <w:rsid w:val="008A1505"/>
    <w:rsid w:val="008B6F6C"/>
    <w:rsid w:val="00915FFA"/>
    <w:rsid w:val="009501C1"/>
    <w:rsid w:val="009535F9"/>
    <w:rsid w:val="00975D69"/>
    <w:rsid w:val="009A0BE0"/>
    <w:rsid w:val="009B632D"/>
    <w:rsid w:val="009D300C"/>
    <w:rsid w:val="009D5FAF"/>
    <w:rsid w:val="00A35B0A"/>
    <w:rsid w:val="00A4344A"/>
    <w:rsid w:val="00A50E68"/>
    <w:rsid w:val="00A5164B"/>
    <w:rsid w:val="00A643E8"/>
    <w:rsid w:val="00AC1319"/>
    <w:rsid w:val="00AD4F68"/>
    <w:rsid w:val="00AE0F35"/>
    <w:rsid w:val="00AF0C43"/>
    <w:rsid w:val="00B752AA"/>
    <w:rsid w:val="00B928EE"/>
    <w:rsid w:val="00BA1238"/>
    <w:rsid w:val="00BB4F70"/>
    <w:rsid w:val="00BE0E0B"/>
    <w:rsid w:val="00C27ED3"/>
    <w:rsid w:val="00C471F1"/>
    <w:rsid w:val="00C56A67"/>
    <w:rsid w:val="00C74AA4"/>
    <w:rsid w:val="00C75883"/>
    <w:rsid w:val="00C8258C"/>
    <w:rsid w:val="00CC095B"/>
    <w:rsid w:val="00CC1FF6"/>
    <w:rsid w:val="00D107DB"/>
    <w:rsid w:val="00D24C93"/>
    <w:rsid w:val="00D3455B"/>
    <w:rsid w:val="00D51D33"/>
    <w:rsid w:val="00D523E8"/>
    <w:rsid w:val="00DB59F1"/>
    <w:rsid w:val="00DE6ED4"/>
    <w:rsid w:val="00DF35FF"/>
    <w:rsid w:val="00E137FB"/>
    <w:rsid w:val="00EA184A"/>
    <w:rsid w:val="00EA60EF"/>
    <w:rsid w:val="00EA741E"/>
    <w:rsid w:val="00F736B7"/>
    <w:rsid w:val="00FD7094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EF33"/>
  <w15:docId w15:val="{84607DAB-62DC-42CA-AFA6-9F2AA27D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455B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next w:val="PECtext"/>
    <w:link w:val="CommentTextChar"/>
    <w:rsid w:val="00D3455B"/>
    <w:pPr>
      <w:keepLines/>
      <w:pBdr>
        <w:bottom w:val="single" w:sz="8" w:space="6" w:color="003399"/>
      </w:pBdr>
      <w:spacing w:after="24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D3455B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PECtext">
    <w:name w:val="PEC text"/>
    <w:aliases w:val="Block"/>
    <w:link w:val="PECtextChar"/>
    <w:qFormat/>
    <w:rsid w:val="00D3455B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aliases w:val="Block Char"/>
    <w:basedOn w:val="DefaultParagraphFont"/>
    <w:link w:val="PECtext"/>
    <w:rsid w:val="00D3455B"/>
    <w:rPr>
      <w:rFonts w:ascii="Arial" w:eastAsia="Times New Roman" w:hAnsi="Arial" w:cs="Times New Roman"/>
      <w:color w:val="000000"/>
      <w:lang w:val="en-GB"/>
    </w:rPr>
  </w:style>
  <w:style w:type="paragraph" w:customStyle="1" w:styleId="PECTableorFigureCaption">
    <w:name w:val="PEC Table or Figure Caption"/>
    <w:basedOn w:val="Caption"/>
    <w:next w:val="Normal"/>
    <w:link w:val="PECTableorFigureCaptionCharChar"/>
    <w:qFormat/>
    <w:rsid w:val="00D3455B"/>
    <w:pPr>
      <w:keepNext/>
      <w:keepLines/>
      <w:pBdr>
        <w:top w:val="single" w:sz="2" w:space="6" w:color="003399"/>
        <w:left w:val="single" w:sz="2" w:space="6" w:color="003399"/>
        <w:bottom w:val="single" w:sz="2" w:space="6" w:color="003399"/>
        <w:right w:val="single" w:sz="2" w:space="6" w:color="003399"/>
      </w:pBdr>
      <w:shd w:val="clear" w:color="auto" w:fill="003399"/>
      <w:tabs>
        <w:tab w:val="left" w:pos="1372"/>
      </w:tabs>
      <w:spacing w:before="200" w:after="120"/>
      <w:ind w:left="1372" w:right="119" w:hanging="1230"/>
    </w:pPr>
    <w:rPr>
      <w:rFonts w:cs="Arial"/>
      <w:b/>
      <w:bCs/>
      <w:i w:val="0"/>
      <w:iCs w:val="0"/>
      <w:color w:val="FFFFFF"/>
      <w:sz w:val="22"/>
      <w:szCs w:val="22"/>
    </w:rPr>
  </w:style>
  <w:style w:type="character" w:customStyle="1" w:styleId="PECTableorFigureCaptionCharChar">
    <w:name w:val="PEC Table or Figure Caption Char Char"/>
    <w:basedOn w:val="DefaultParagraphFont"/>
    <w:link w:val="PECTableorFigureCaption"/>
    <w:rsid w:val="00D3455B"/>
    <w:rPr>
      <w:rFonts w:ascii="Arial" w:eastAsia="Times New Roman" w:hAnsi="Arial" w:cs="Arial"/>
      <w:b/>
      <w:bCs/>
      <w:color w:val="FFFFFF"/>
      <w:shd w:val="clear" w:color="auto" w:fill="003399"/>
      <w:lang w:val="en-GB"/>
    </w:rPr>
  </w:style>
  <w:style w:type="paragraph" w:customStyle="1" w:styleId="PECnum1HeadChapt">
    <w:name w:val="PEC num1 Head Chapt"/>
    <w:next w:val="PECtext"/>
    <w:qFormat/>
    <w:rsid w:val="00D3455B"/>
    <w:pPr>
      <w:keepNext/>
      <w:numPr>
        <w:numId w:val="1"/>
      </w:numPr>
      <w:spacing w:before="200" w:after="240" w:line="240" w:lineRule="auto"/>
      <w:jc w:val="center"/>
      <w:outlineLvl w:val="0"/>
    </w:pPr>
    <w:rPr>
      <w:rFonts w:ascii="Arial" w:eastAsia="Times New Roman" w:hAnsi="Arial" w:cs="Times New Roman"/>
      <w:b/>
      <w:caps/>
      <w:color w:val="003399"/>
      <w:kern w:val="28"/>
      <w:sz w:val="30"/>
      <w:szCs w:val="28"/>
      <w:lang w:val="en-GB"/>
    </w:rPr>
  </w:style>
  <w:style w:type="paragraph" w:customStyle="1" w:styleId="PECNum2Head">
    <w:name w:val="PEC Num2 Head"/>
    <w:next w:val="PECtext"/>
    <w:qFormat/>
    <w:rsid w:val="00D3455B"/>
    <w:pPr>
      <w:keepNext/>
      <w:numPr>
        <w:ilvl w:val="1"/>
        <w:numId w:val="1"/>
      </w:numPr>
      <w:spacing w:before="240" w:after="0" w:line="240" w:lineRule="auto"/>
      <w:outlineLvl w:val="1"/>
    </w:pPr>
    <w:rPr>
      <w:rFonts w:ascii="Arial" w:eastAsia="Times New Roman" w:hAnsi="Arial" w:cs="Times New Roman"/>
      <w:b/>
      <w:color w:val="003399"/>
      <w:sz w:val="26"/>
      <w:szCs w:val="26"/>
      <w:lang w:val="en-GB"/>
    </w:rPr>
  </w:style>
  <w:style w:type="paragraph" w:customStyle="1" w:styleId="PECNum3Head">
    <w:name w:val="PEC Num3 Head"/>
    <w:next w:val="PECtext"/>
    <w:qFormat/>
    <w:rsid w:val="00D3455B"/>
    <w:pPr>
      <w:keepNext/>
      <w:keepLines/>
      <w:numPr>
        <w:ilvl w:val="2"/>
        <w:numId w:val="1"/>
      </w:numPr>
      <w:spacing w:before="240" w:after="0" w:line="240" w:lineRule="auto"/>
    </w:pPr>
    <w:rPr>
      <w:rFonts w:ascii="Arial" w:eastAsia="Times New Roman" w:hAnsi="Arial" w:cs="Times New Roman"/>
      <w:b/>
      <w:i/>
      <w:color w:val="003399"/>
      <w:szCs w:val="26"/>
      <w:lang w:val="en-GB"/>
    </w:rPr>
  </w:style>
  <w:style w:type="paragraph" w:customStyle="1" w:styleId="PECNum4Head">
    <w:name w:val="PEC Num4 Head"/>
    <w:next w:val="PECtext"/>
    <w:qFormat/>
    <w:rsid w:val="00D3455B"/>
    <w:pPr>
      <w:keepNext/>
      <w:keepLines/>
      <w:numPr>
        <w:ilvl w:val="3"/>
        <w:numId w:val="1"/>
      </w:numPr>
      <w:spacing w:before="240" w:after="0" w:line="240" w:lineRule="auto"/>
    </w:pPr>
    <w:rPr>
      <w:rFonts w:ascii="Arial" w:eastAsia="Times New Roman" w:hAnsi="Arial" w:cs="Times New Roman"/>
      <w:i/>
      <w:color w:val="003399"/>
      <w:szCs w:val="2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455B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5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BDE"/>
    <w:pPr>
      <w:keepLines w:val="0"/>
      <w:pBdr>
        <w:bottom w:val="none" w:sz="0" w:space="0" w:color="auto"/>
      </w:pBd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BDE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D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Zulaikha Bait Ishaq</dc:creator>
  <cp:lastModifiedBy>Taylor, Sean (CCC)</cp:lastModifiedBy>
  <cp:revision>4</cp:revision>
  <dcterms:created xsi:type="dcterms:W3CDTF">2018-01-16T13:41:00Z</dcterms:created>
  <dcterms:modified xsi:type="dcterms:W3CDTF">2018-01-16T13:44:00Z</dcterms:modified>
</cp:coreProperties>
</file>