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24" w:rsidRPr="00D15E48" w:rsidRDefault="000E4977" w:rsidP="006F6019">
      <w:pPr>
        <w:rPr>
          <w:rFonts w:cs="Arial"/>
          <w:b/>
        </w:rPr>
      </w:pPr>
      <w:r>
        <w:rPr>
          <w:rFonts w:cs="Arial"/>
          <w:b/>
        </w:rPr>
        <w:t xml:space="preserve">NHS England South Region </w:t>
      </w:r>
      <w:r w:rsidR="006F6019" w:rsidRPr="00D15E48">
        <w:rPr>
          <w:rFonts w:cs="Arial"/>
          <w:b/>
        </w:rPr>
        <w:t xml:space="preserve">Children’s Services </w:t>
      </w:r>
      <w:r>
        <w:rPr>
          <w:rFonts w:cs="Arial"/>
          <w:b/>
        </w:rPr>
        <w:t>(under 13 year old inpatient mental health service)</w:t>
      </w:r>
      <w:r w:rsidR="00D67249">
        <w:rPr>
          <w:rFonts w:cs="Arial"/>
          <w:b/>
        </w:rPr>
        <w:t>:</w:t>
      </w:r>
      <w:r>
        <w:rPr>
          <w:rFonts w:cs="Arial"/>
          <w:b/>
        </w:rPr>
        <w:t xml:space="preserve"> Market </w:t>
      </w:r>
      <w:r w:rsidR="009B2D24">
        <w:rPr>
          <w:rFonts w:cs="Arial"/>
          <w:b/>
        </w:rPr>
        <w:t xml:space="preserve">Engagement </w:t>
      </w:r>
      <w:r>
        <w:rPr>
          <w:rFonts w:cs="Arial"/>
          <w:b/>
        </w:rPr>
        <w:t xml:space="preserve">information </w:t>
      </w:r>
    </w:p>
    <w:p w:rsidR="009B1B0C" w:rsidRPr="00D15E48" w:rsidRDefault="00D67249" w:rsidP="00E97301">
      <w:pPr>
        <w:pStyle w:val="ListParagraph"/>
        <w:numPr>
          <w:ilvl w:val="0"/>
          <w:numId w:val="28"/>
        </w:numPr>
        <w:rPr>
          <w:rFonts w:asciiTheme="minorHAnsi" w:hAnsiTheme="minorHAnsi" w:cs="Arial"/>
          <w:b/>
        </w:rPr>
      </w:pPr>
      <w:r>
        <w:rPr>
          <w:rFonts w:asciiTheme="minorHAnsi" w:hAnsiTheme="minorHAnsi" w:cs="Arial"/>
          <w:b/>
        </w:rPr>
        <w:t>Overview</w:t>
      </w:r>
    </w:p>
    <w:p w:rsidR="009B1B0C" w:rsidRPr="00D15E48" w:rsidRDefault="009B1B0C" w:rsidP="009B1B0C">
      <w:pPr>
        <w:pStyle w:val="ListParagraph"/>
        <w:ind w:left="792"/>
        <w:rPr>
          <w:rFonts w:asciiTheme="minorHAnsi" w:hAnsiTheme="minorHAnsi" w:cs="Arial"/>
          <w:b/>
        </w:rPr>
      </w:pPr>
    </w:p>
    <w:p w:rsidR="00EA4491" w:rsidRPr="00D15E48" w:rsidRDefault="00EA4491" w:rsidP="000822CC">
      <w:pPr>
        <w:pStyle w:val="ListParagraph"/>
        <w:numPr>
          <w:ilvl w:val="1"/>
          <w:numId w:val="28"/>
        </w:numPr>
        <w:ind w:hanging="792"/>
        <w:rPr>
          <w:rFonts w:asciiTheme="minorHAnsi" w:hAnsiTheme="minorHAnsi" w:cs="Arial"/>
          <w:b/>
        </w:rPr>
      </w:pPr>
      <w:r w:rsidRPr="00D15E48">
        <w:rPr>
          <w:rFonts w:asciiTheme="minorHAnsi" w:hAnsiTheme="minorHAnsi" w:cs="Arial"/>
        </w:rPr>
        <w:t>This paper sets</w:t>
      </w:r>
      <w:r w:rsidR="009B1B0C" w:rsidRPr="00D15E48">
        <w:rPr>
          <w:rFonts w:asciiTheme="minorHAnsi" w:hAnsiTheme="minorHAnsi" w:cs="Arial"/>
        </w:rPr>
        <w:t xml:space="preserve"> out</w:t>
      </w:r>
      <w:r w:rsidRPr="00D15E48">
        <w:rPr>
          <w:rFonts w:asciiTheme="minorHAnsi" w:hAnsiTheme="minorHAnsi" w:cs="Arial"/>
        </w:rPr>
        <w:t>:</w:t>
      </w:r>
    </w:p>
    <w:p w:rsidR="009B1B0C" w:rsidRPr="00D15E48" w:rsidRDefault="009B1B0C" w:rsidP="009B1B0C">
      <w:pPr>
        <w:pStyle w:val="ListParagraph"/>
        <w:ind w:left="792"/>
        <w:rPr>
          <w:rFonts w:asciiTheme="minorHAnsi" w:hAnsiTheme="minorHAnsi" w:cs="Arial"/>
          <w:b/>
        </w:rPr>
      </w:pPr>
    </w:p>
    <w:p w:rsidR="009B1B0C" w:rsidRPr="00D15E48" w:rsidRDefault="009B1B0C" w:rsidP="009B1B0C">
      <w:pPr>
        <w:pStyle w:val="ListParagraph"/>
        <w:numPr>
          <w:ilvl w:val="0"/>
          <w:numId w:val="25"/>
        </w:numPr>
        <w:rPr>
          <w:rFonts w:asciiTheme="minorHAnsi" w:hAnsiTheme="minorHAnsi" w:cs="Arial"/>
        </w:rPr>
      </w:pPr>
      <w:r w:rsidRPr="00D15E48">
        <w:rPr>
          <w:rFonts w:asciiTheme="minorHAnsi" w:hAnsiTheme="minorHAnsi" w:cs="Arial"/>
        </w:rPr>
        <w:t>National context</w:t>
      </w:r>
      <w:bookmarkStart w:id="0" w:name="_GoBack"/>
      <w:bookmarkEnd w:id="0"/>
    </w:p>
    <w:p w:rsidR="00EA4491" w:rsidRPr="00D15E48" w:rsidRDefault="00EA4491" w:rsidP="009B1B0C">
      <w:pPr>
        <w:pStyle w:val="ListParagraph"/>
        <w:numPr>
          <w:ilvl w:val="0"/>
          <w:numId w:val="25"/>
        </w:numPr>
        <w:rPr>
          <w:rFonts w:asciiTheme="minorHAnsi" w:hAnsiTheme="minorHAnsi" w:cs="Arial"/>
        </w:rPr>
      </w:pPr>
      <w:r w:rsidRPr="00D15E48">
        <w:rPr>
          <w:rFonts w:asciiTheme="minorHAnsi" w:hAnsiTheme="minorHAnsi" w:cs="Arial"/>
        </w:rPr>
        <w:t>Children’s Services</w:t>
      </w:r>
      <w:r w:rsidR="009B1B0C" w:rsidRPr="00D15E48">
        <w:rPr>
          <w:rFonts w:asciiTheme="minorHAnsi" w:hAnsiTheme="minorHAnsi" w:cs="Arial"/>
        </w:rPr>
        <w:t xml:space="preserve"> model </w:t>
      </w:r>
      <w:r w:rsidR="004C4A68">
        <w:rPr>
          <w:rFonts w:asciiTheme="minorHAnsi" w:hAnsiTheme="minorHAnsi" w:cs="Arial"/>
        </w:rPr>
        <w:t>desc</w:t>
      </w:r>
      <w:r w:rsidR="009B2D24">
        <w:rPr>
          <w:rFonts w:asciiTheme="minorHAnsi" w:hAnsiTheme="minorHAnsi" w:cs="Arial"/>
        </w:rPr>
        <w:t>r</w:t>
      </w:r>
      <w:r w:rsidR="004C4A68">
        <w:rPr>
          <w:rFonts w:asciiTheme="minorHAnsi" w:hAnsiTheme="minorHAnsi" w:cs="Arial"/>
        </w:rPr>
        <w:t>iption</w:t>
      </w:r>
    </w:p>
    <w:p w:rsidR="00C704E6" w:rsidRPr="00D15E48" w:rsidRDefault="009B1B0C" w:rsidP="009B1B0C">
      <w:pPr>
        <w:pStyle w:val="ListParagraph"/>
        <w:numPr>
          <w:ilvl w:val="0"/>
          <w:numId w:val="25"/>
        </w:numPr>
        <w:rPr>
          <w:rFonts w:asciiTheme="minorHAnsi" w:hAnsiTheme="minorHAnsi" w:cs="Arial"/>
        </w:rPr>
      </w:pPr>
      <w:r w:rsidRPr="00D15E48">
        <w:rPr>
          <w:rFonts w:asciiTheme="minorHAnsi" w:hAnsiTheme="minorHAnsi" w:cs="Arial"/>
        </w:rPr>
        <w:t>Demand and capacity requirements</w:t>
      </w:r>
    </w:p>
    <w:p w:rsidR="009B1B0C" w:rsidRDefault="009B1B0C" w:rsidP="009B1B0C">
      <w:pPr>
        <w:pStyle w:val="ListParagraph"/>
        <w:numPr>
          <w:ilvl w:val="0"/>
          <w:numId w:val="25"/>
        </w:numPr>
        <w:rPr>
          <w:rFonts w:asciiTheme="minorHAnsi" w:hAnsiTheme="minorHAnsi" w:cs="Arial"/>
        </w:rPr>
      </w:pPr>
      <w:r w:rsidRPr="00D15E48">
        <w:rPr>
          <w:rFonts w:asciiTheme="minorHAnsi" w:hAnsiTheme="minorHAnsi" w:cs="Arial"/>
        </w:rPr>
        <w:t>Challenges</w:t>
      </w:r>
    </w:p>
    <w:p w:rsidR="004C4A68" w:rsidRPr="00D15E48" w:rsidRDefault="004C4A68" w:rsidP="009B1B0C">
      <w:pPr>
        <w:pStyle w:val="ListParagraph"/>
        <w:numPr>
          <w:ilvl w:val="0"/>
          <w:numId w:val="25"/>
        </w:numPr>
        <w:rPr>
          <w:rFonts w:asciiTheme="minorHAnsi" w:hAnsiTheme="minorHAnsi" w:cs="Arial"/>
        </w:rPr>
      </w:pPr>
      <w:r>
        <w:rPr>
          <w:rFonts w:asciiTheme="minorHAnsi" w:hAnsiTheme="minorHAnsi" w:cs="Arial"/>
        </w:rPr>
        <w:t>Commissioning Intentions</w:t>
      </w:r>
    </w:p>
    <w:p w:rsidR="00D15E48" w:rsidRDefault="00D15E48" w:rsidP="00D15E48">
      <w:pPr>
        <w:spacing w:after="0"/>
        <w:rPr>
          <w:rFonts w:cs="Arial"/>
          <w:b/>
        </w:rPr>
      </w:pPr>
    </w:p>
    <w:p w:rsidR="008216E3" w:rsidRDefault="008216E3" w:rsidP="000822CC">
      <w:pPr>
        <w:pStyle w:val="ListParagraph"/>
        <w:numPr>
          <w:ilvl w:val="0"/>
          <w:numId w:val="28"/>
        </w:numPr>
        <w:rPr>
          <w:rFonts w:asciiTheme="minorHAnsi" w:hAnsiTheme="minorHAnsi" w:cs="Arial"/>
          <w:b/>
        </w:rPr>
      </w:pPr>
      <w:r w:rsidRPr="000822CC">
        <w:rPr>
          <w:rFonts w:asciiTheme="minorHAnsi" w:hAnsiTheme="minorHAnsi" w:cs="Arial"/>
          <w:b/>
        </w:rPr>
        <w:t>Introduction</w:t>
      </w:r>
    </w:p>
    <w:p w:rsidR="000822CC" w:rsidRPr="000822CC" w:rsidRDefault="000822CC" w:rsidP="000822CC">
      <w:pPr>
        <w:pStyle w:val="ListParagraph"/>
        <w:ind w:left="360"/>
        <w:rPr>
          <w:rFonts w:asciiTheme="minorHAnsi" w:hAnsiTheme="minorHAnsi" w:cs="Arial"/>
          <w:b/>
        </w:rPr>
      </w:pPr>
    </w:p>
    <w:p w:rsidR="008216E3" w:rsidRPr="000822CC" w:rsidRDefault="008216E3" w:rsidP="000822CC">
      <w:pPr>
        <w:pStyle w:val="ListParagraph"/>
        <w:numPr>
          <w:ilvl w:val="1"/>
          <w:numId w:val="28"/>
        </w:numPr>
        <w:ind w:hanging="792"/>
        <w:rPr>
          <w:rFonts w:asciiTheme="minorHAnsi" w:hAnsiTheme="minorHAnsi" w:cs="Arial"/>
        </w:rPr>
      </w:pPr>
      <w:r w:rsidRPr="000822CC">
        <w:rPr>
          <w:rFonts w:asciiTheme="minorHAnsi" w:hAnsiTheme="minorHAnsi" w:cs="Arial"/>
        </w:rPr>
        <w:t xml:space="preserve">Future in Mind (2015) emphasised the need for ‘improved care for children and young people in crisis so they are treated in the right place, at the right time and as close to home as possible’. This includes ‘implementing clear evidence-based pathways for community-based care, including intensive home treatment where appropriate, to avoid unnecessary admissions to inpatient care ‘however, there is recognition that there will always be some children and young people who require more intensive and specialised inpatient care. ‘The key to commissioning the right type of care, in the right places is to adopt a whole system commissioning perspective. This should address the role of pre-crisis, crisis and supported discharge services alongside inpatient provision.’ </w:t>
      </w:r>
    </w:p>
    <w:p w:rsidR="008216E3" w:rsidRPr="00D15E48" w:rsidRDefault="008216E3" w:rsidP="008216E3">
      <w:pPr>
        <w:pStyle w:val="Default"/>
        <w:rPr>
          <w:rFonts w:asciiTheme="minorHAnsi" w:hAnsiTheme="minorHAnsi"/>
          <w:sz w:val="22"/>
          <w:szCs w:val="22"/>
        </w:rPr>
      </w:pPr>
    </w:p>
    <w:p w:rsidR="008216E3" w:rsidRDefault="00D67249" w:rsidP="000822CC">
      <w:pPr>
        <w:pStyle w:val="ListParagraph"/>
        <w:numPr>
          <w:ilvl w:val="0"/>
          <w:numId w:val="28"/>
        </w:numPr>
        <w:rPr>
          <w:rFonts w:asciiTheme="minorHAnsi" w:hAnsiTheme="minorHAnsi" w:cs="Arial"/>
          <w:b/>
        </w:rPr>
      </w:pPr>
      <w:r>
        <w:rPr>
          <w:rFonts w:asciiTheme="minorHAnsi" w:hAnsiTheme="minorHAnsi" w:cs="Arial"/>
          <w:b/>
        </w:rPr>
        <w:t>Key challenges i</w:t>
      </w:r>
      <w:r w:rsidR="008216E3" w:rsidRPr="000822CC">
        <w:rPr>
          <w:rFonts w:asciiTheme="minorHAnsi" w:hAnsiTheme="minorHAnsi" w:cs="Arial"/>
          <w:b/>
        </w:rPr>
        <w:t>dentified</w:t>
      </w:r>
      <w:r>
        <w:rPr>
          <w:rFonts w:asciiTheme="minorHAnsi" w:hAnsiTheme="minorHAnsi" w:cs="Arial"/>
          <w:b/>
        </w:rPr>
        <w:t xml:space="preserve"> n</w:t>
      </w:r>
      <w:r w:rsidR="0090491F" w:rsidRPr="000822CC">
        <w:rPr>
          <w:rFonts w:asciiTheme="minorHAnsi" w:hAnsiTheme="minorHAnsi" w:cs="Arial"/>
          <w:b/>
        </w:rPr>
        <w:t>ationally</w:t>
      </w:r>
    </w:p>
    <w:p w:rsidR="000822CC" w:rsidRPr="000822CC" w:rsidRDefault="000822CC" w:rsidP="000822CC">
      <w:pPr>
        <w:pStyle w:val="ListParagraph"/>
        <w:ind w:left="360"/>
        <w:rPr>
          <w:rFonts w:asciiTheme="minorHAnsi" w:hAnsiTheme="minorHAnsi" w:cs="Arial"/>
          <w:b/>
        </w:rPr>
      </w:pPr>
    </w:p>
    <w:p w:rsidR="008216E3" w:rsidRPr="00D15E48" w:rsidRDefault="008216E3" w:rsidP="008216E3">
      <w:pPr>
        <w:pStyle w:val="NoSpacing"/>
        <w:numPr>
          <w:ilvl w:val="0"/>
          <w:numId w:val="10"/>
        </w:numPr>
        <w:rPr>
          <w:rFonts w:cs="Arial"/>
        </w:rPr>
      </w:pPr>
      <w:r w:rsidRPr="00D15E48">
        <w:rPr>
          <w:rFonts w:cs="Arial"/>
        </w:rPr>
        <w:t xml:space="preserve">Service model </w:t>
      </w:r>
      <w:r w:rsidR="009B2D24">
        <w:rPr>
          <w:rFonts w:cs="Arial"/>
        </w:rPr>
        <w:t xml:space="preserve"> </w:t>
      </w:r>
      <w:r w:rsidRPr="00D15E48">
        <w:rPr>
          <w:rFonts w:cs="Arial"/>
        </w:rPr>
        <w:t>- not all services are 7 day, co-location with paediatric units</w:t>
      </w:r>
    </w:p>
    <w:p w:rsidR="008216E3" w:rsidRPr="00D15E48" w:rsidRDefault="008216E3" w:rsidP="008216E3">
      <w:pPr>
        <w:pStyle w:val="NoSpacing"/>
        <w:numPr>
          <w:ilvl w:val="0"/>
          <w:numId w:val="10"/>
        </w:numPr>
        <w:rPr>
          <w:rFonts w:cs="Arial"/>
        </w:rPr>
      </w:pPr>
      <w:r w:rsidRPr="00D15E48">
        <w:rPr>
          <w:rFonts w:cs="Arial"/>
        </w:rPr>
        <w:t xml:space="preserve">Linked to the poor distribution is the challenge in providing access to non-admitted care services, outreach, intensive home treatment, crisis type services. Geography is crucial to the step up/ step down.  </w:t>
      </w:r>
    </w:p>
    <w:p w:rsidR="008216E3" w:rsidRPr="00D15E48" w:rsidRDefault="008216E3" w:rsidP="008216E3">
      <w:pPr>
        <w:pStyle w:val="NoSpacing"/>
        <w:numPr>
          <w:ilvl w:val="0"/>
          <w:numId w:val="10"/>
        </w:numPr>
        <w:rPr>
          <w:rFonts w:cs="Arial"/>
        </w:rPr>
      </w:pPr>
      <w:r w:rsidRPr="00D15E48">
        <w:rPr>
          <w:rFonts w:cs="Arial"/>
        </w:rPr>
        <w:t xml:space="preserve">Growing number of complex presentations and pathways -  those children who cannot be managed by general children’s service and require a more secure service, PICU, low secure,  children detailed under the MHA,  LD/ASD and Eating Disorders and other complex presentations.   </w:t>
      </w:r>
    </w:p>
    <w:p w:rsidR="008216E3" w:rsidRPr="00D15E48" w:rsidRDefault="008216E3" w:rsidP="008216E3">
      <w:pPr>
        <w:pStyle w:val="NoSpacing"/>
        <w:numPr>
          <w:ilvl w:val="0"/>
          <w:numId w:val="10"/>
        </w:numPr>
        <w:rPr>
          <w:rFonts w:cs="Arial"/>
        </w:rPr>
      </w:pPr>
      <w:r w:rsidRPr="00D15E48">
        <w:rPr>
          <w:rFonts w:cs="Arial"/>
        </w:rPr>
        <w:t>Number of  children’s beds being used for 13+ and understanding reasons for that</w:t>
      </w:r>
    </w:p>
    <w:p w:rsidR="008216E3" w:rsidRPr="00D15E48" w:rsidRDefault="008216E3" w:rsidP="008216E3">
      <w:pPr>
        <w:pStyle w:val="NoSpacing"/>
        <w:numPr>
          <w:ilvl w:val="0"/>
          <w:numId w:val="10"/>
        </w:numPr>
        <w:rPr>
          <w:rFonts w:cs="Arial"/>
        </w:rPr>
      </w:pPr>
      <w:r w:rsidRPr="00D15E48">
        <w:rPr>
          <w:rFonts w:cs="Arial"/>
        </w:rPr>
        <w:t>Challenge to agencies of children presenting as emergencies where there is a breakdown of ca</w:t>
      </w:r>
      <w:r w:rsidR="00D15E48">
        <w:rPr>
          <w:rFonts w:cs="Arial"/>
        </w:rPr>
        <w:t xml:space="preserve">re and primarily a behavioural </w:t>
      </w:r>
      <w:r w:rsidRPr="00D15E48">
        <w:rPr>
          <w:rFonts w:cs="Arial"/>
        </w:rPr>
        <w:t xml:space="preserve">presentation. </w:t>
      </w:r>
    </w:p>
    <w:p w:rsidR="008216E3" w:rsidRPr="00D15E48" w:rsidRDefault="008216E3" w:rsidP="008216E3">
      <w:pPr>
        <w:pStyle w:val="NoSpacing"/>
        <w:numPr>
          <w:ilvl w:val="0"/>
          <w:numId w:val="10"/>
        </w:numPr>
        <w:rPr>
          <w:rFonts w:cs="Arial"/>
        </w:rPr>
      </w:pPr>
      <w:r w:rsidRPr="00D15E48">
        <w:rPr>
          <w:rFonts w:cs="Arial"/>
        </w:rPr>
        <w:t xml:space="preserve">Workforce, nursing capacity and impact on ability to admit. </w:t>
      </w:r>
    </w:p>
    <w:p w:rsidR="008216E3" w:rsidRPr="00D15E48" w:rsidRDefault="008216E3" w:rsidP="008216E3">
      <w:pPr>
        <w:pStyle w:val="ListParagraph"/>
        <w:rPr>
          <w:rFonts w:asciiTheme="minorHAnsi" w:hAnsiTheme="minorHAnsi" w:cs="Arial"/>
        </w:rPr>
      </w:pPr>
    </w:p>
    <w:p w:rsidR="0090491F" w:rsidRPr="000822CC" w:rsidRDefault="0090491F" w:rsidP="000822CC">
      <w:pPr>
        <w:pStyle w:val="ListParagraph"/>
        <w:numPr>
          <w:ilvl w:val="0"/>
          <w:numId w:val="28"/>
        </w:numPr>
        <w:rPr>
          <w:rFonts w:asciiTheme="minorHAnsi" w:hAnsiTheme="minorHAnsi" w:cs="Arial"/>
          <w:b/>
        </w:rPr>
      </w:pPr>
      <w:r w:rsidRPr="000822CC">
        <w:rPr>
          <w:rFonts w:asciiTheme="minorHAnsi" w:hAnsiTheme="minorHAnsi" w:cs="Arial"/>
          <w:b/>
        </w:rPr>
        <w:t>What is the impact of there being no Childr</w:t>
      </w:r>
      <w:r w:rsidR="00D67249">
        <w:rPr>
          <w:rFonts w:asciiTheme="minorHAnsi" w:hAnsiTheme="minorHAnsi" w:cs="Arial"/>
          <w:b/>
        </w:rPr>
        <w:t>en’s Service beds in the South r</w:t>
      </w:r>
      <w:r w:rsidRPr="000822CC">
        <w:rPr>
          <w:rFonts w:asciiTheme="minorHAnsi" w:hAnsiTheme="minorHAnsi" w:cs="Arial"/>
          <w:b/>
        </w:rPr>
        <w:t>egion</w:t>
      </w:r>
      <w:r w:rsidR="009B2D24">
        <w:rPr>
          <w:rFonts w:asciiTheme="minorHAnsi" w:hAnsiTheme="minorHAnsi" w:cs="Arial"/>
          <w:b/>
        </w:rPr>
        <w:t>?</w:t>
      </w:r>
    </w:p>
    <w:p w:rsidR="0090491F" w:rsidRPr="00D15E48" w:rsidRDefault="0090491F" w:rsidP="0090491F">
      <w:pPr>
        <w:pStyle w:val="ListParagraph"/>
        <w:numPr>
          <w:ilvl w:val="0"/>
          <w:numId w:val="33"/>
        </w:numPr>
        <w:rPr>
          <w:rFonts w:asciiTheme="minorHAnsi" w:hAnsiTheme="minorHAnsi"/>
        </w:rPr>
      </w:pPr>
      <w:r w:rsidRPr="00D15E48">
        <w:rPr>
          <w:rFonts w:asciiTheme="minorHAnsi" w:hAnsiTheme="minorHAnsi"/>
        </w:rPr>
        <w:t>Children aged 12 years of age and under are admitted out of region or to a Child and Adolescent bed  (13 – 18 years of age)</w:t>
      </w:r>
    </w:p>
    <w:p w:rsidR="0090491F" w:rsidRPr="00D15E48" w:rsidRDefault="0090491F" w:rsidP="0090491F">
      <w:pPr>
        <w:pStyle w:val="ListParagraph"/>
        <w:numPr>
          <w:ilvl w:val="0"/>
          <w:numId w:val="33"/>
        </w:numPr>
        <w:rPr>
          <w:rFonts w:asciiTheme="minorHAnsi" w:hAnsiTheme="minorHAnsi"/>
        </w:rPr>
      </w:pPr>
      <w:r w:rsidRPr="00D15E48">
        <w:rPr>
          <w:rFonts w:asciiTheme="minorHAnsi" w:hAnsiTheme="minorHAnsi"/>
        </w:rPr>
        <w:t>Some of the children are accommodated in PICU or LSU to meet the levels of risk from dysregulated behaviour</w:t>
      </w:r>
    </w:p>
    <w:p w:rsidR="0090491F" w:rsidRPr="00D15E48" w:rsidRDefault="0090491F" w:rsidP="0090491F">
      <w:pPr>
        <w:pStyle w:val="ListParagraph"/>
        <w:numPr>
          <w:ilvl w:val="0"/>
          <w:numId w:val="33"/>
        </w:numPr>
        <w:rPr>
          <w:rFonts w:asciiTheme="minorHAnsi" w:hAnsiTheme="minorHAnsi"/>
        </w:rPr>
      </w:pPr>
      <w:r w:rsidRPr="00D15E48">
        <w:rPr>
          <w:rFonts w:asciiTheme="minorHAnsi" w:hAnsiTheme="minorHAnsi"/>
        </w:rPr>
        <w:t>Families are less able to visit and be an integral part of the child’s therapy</w:t>
      </w:r>
    </w:p>
    <w:p w:rsidR="0090491F" w:rsidRPr="00D15E48" w:rsidRDefault="0090491F" w:rsidP="0090491F">
      <w:pPr>
        <w:pStyle w:val="ListParagraph"/>
        <w:numPr>
          <w:ilvl w:val="0"/>
          <w:numId w:val="33"/>
        </w:numPr>
        <w:rPr>
          <w:rFonts w:asciiTheme="minorHAnsi" w:hAnsiTheme="minorHAnsi"/>
        </w:rPr>
      </w:pPr>
      <w:r w:rsidRPr="00D15E48">
        <w:rPr>
          <w:rFonts w:asciiTheme="minorHAnsi" w:hAnsiTheme="minorHAnsi"/>
        </w:rPr>
        <w:t>Local systems lose touch with the child increasing the challenges for discharge</w:t>
      </w:r>
      <w:r w:rsidR="00375B13" w:rsidRPr="00D15E48">
        <w:rPr>
          <w:rFonts w:asciiTheme="minorHAnsi" w:hAnsiTheme="minorHAnsi"/>
        </w:rPr>
        <w:t>r</w:t>
      </w:r>
    </w:p>
    <w:p w:rsidR="0090491F" w:rsidRPr="00D15E48" w:rsidRDefault="0090491F" w:rsidP="0090491F">
      <w:pPr>
        <w:pStyle w:val="ListParagraph"/>
        <w:numPr>
          <w:ilvl w:val="0"/>
          <w:numId w:val="33"/>
        </w:numPr>
        <w:rPr>
          <w:rFonts w:asciiTheme="minorHAnsi" w:hAnsiTheme="minorHAnsi"/>
        </w:rPr>
      </w:pPr>
      <w:r w:rsidRPr="00D15E48">
        <w:rPr>
          <w:rFonts w:asciiTheme="minorHAnsi" w:hAnsiTheme="minorHAnsi"/>
        </w:rPr>
        <w:t xml:space="preserve">Length of stay extended due to harm caused by having to </w:t>
      </w:r>
      <w:r w:rsidR="009B2D24">
        <w:rPr>
          <w:rFonts w:asciiTheme="minorHAnsi" w:hAnsiTheme="minorHAnsi"/>
        </w:rPr>
        <w:t xml:space="preserve">be </w:t>
      </w:r>
      <w:r w:rsidRPr="00D15E48">
        <w:rPr>
          <w:rFonts w:asciiTheme="minorHAnsi" w:hAnsiTheme="minorHAnsi"/>
        </w:rPr>
        <w:t>trans</w:t>
      </w:r>
      <w:r w:rsidR="00375B13" w:rsidRPr="00D15E48">
        <w:rPr>
          <w:rFonts w:asciiTheme="minorHAnsi" w:hAnsiTheme="minorHAnsi"/>
        </w:rPr>
        <w:t>ferred out of region</w:t>
      </w:r>
    </w:p>
    <w:p w:rsidR="00375B13" w:rsidRDefault="00375B13" w:rsidP="00625474"/>
    <w:p w:rsidR="000E4977" w:rsidRPr="00D15E48" w:rsidRDefault="000E4977" w:rsidP="00625474"/>
    <w:p w:rsidR="00375B13" w:rsidRDefault="00375B13" w:rsidP="000822CC">
      <w:pPr>
        <w:pStyle w:val="ListParagraph"/>
        <w:numPr>
          <w:ilvl w:val="0"/>
          <w:numId w:val="28"/>
        </w:numPr>
        <w:rPr>
          <w:rFonts w:asciiTheme="minorHAnsi" w:hAnsiTheme="minorHAnsi" w:cs="Arial"/>
          <w:b/>
        </w:rPr>
      </w:pPr>
      <w:r w:rsidRPr="000822CC">
        <w:rPr>
          <w:rFonts w:asciiTheme="minorHAnsi" w:hAnsiTheme="minorHAnsi" w:cs="Arial"/>
          <w:b/>
        </w:rPr>
        <w:lastRenderedPageBreak/>
        <w:t xml:space="preserve">Commissioning Intention </w:t>
      </w:r>
      <w:r w:rsidR="009B2D24">
        <w:rPr>
          <w:rFonts w:asciiTheme="minorHAnsi" w:hAnsiTheme="minorHAnsi" w:cs="Arial"/>
          <w:b/>
        </w:rPr>
        <w:t xml:space="preserve">- </w:t>
      </w:r>
      <w:r w:rsidRPr="000822CC">
        <w:rPr>
          <w:rFonts w:asciiTheme="minorHAnsi" w:hAnsiTheme="minorHAnsi" w:cs="Arial"/>
          <w:b/>
        </w:rPr>
        <w:t>short and longer term</w:t>
      </w:r>
    </w:p>
    <w:p w:rsidR="000822CC" w:rsidRPr="000822CC" w:rsidRDefault="000822CC" w:rsidP="000822CC">
      <w:pPr>
        <w:pStyle w:val="ListParagraph"/>
        <w:ind w:left="360"/>
        <w:rPr>
          <w:rFonts w:asciiTheme="minorHAnsi" w:hAnsiTheme="minorHAnsi" w:cs="Arial"/>
          <w:b/>
        </w:rPr>
      </w:pPr>
    </w:p>
    <w:p w:rsidR="00D15E48" w:rsidRPr="000822CC" w:rsidRDefault="000E4977" w:rsidP="000E4977">
      <w:pPr>
        <w:pStyle w:val="ListParagraph"/>
        <w:numPr>
          <w:ilvl w:val="1"/>
          <w:numId w:val="28"/>
        </w:numPr>
        <w:ind w:hanging="792"/>
        <w:rPr>
          <w:rFonts w:asciiTheme="minorHAnsi" w:hAnsiTheme="minorHAnsi" w:cs="Arial"/>
        </w:rPr>
      </w:pPr>
      <w:r>
        <w:rPr>
          <w:rFonts w:asciiTheme="minorHAnsi" w:hAnsiTheme="minorHAnsi" w:cs="Arial"/>
        </w:rPr>
        <w:t>The over arching ambition has to be that wherever possible children are not admitted to inpatient settings</w:t>
      </w:r>
      <w:r w:rsidR="009B2D24">
        <w:rPr>
          <w:rFonts w:asciiTheme="minorHAnsi" w:hAnsiTheme="minorHAnsi" w:cs="Arial"/>
        </w:rPr>
        <w:t>.</w:t>
      </w:r>
      <w:r>
        <w:rPr>
          <w:rFonts w:asciiTheme="minorHAnsi" w:hAnsiTheme="minorHAnsi" w:cs="Arial"/>
        </w:rPr>
        <w:t xml:space="preserve"> </w:t>
      </w:r>
      <w:r w:rsidR="009B2D24">
        <w:rPr>
          <w:rFonts w:asciiTheme="minorHAnsi" w:hAnsiTheme="minorHAnsi" w:cs="Arial"/>
        </w:rPr>
        <w:t>I</w:t>
      </w:r>
      <w:r>
        <w:rPr>
          <w:rFonts w:asciiTheme="minorHAnsi" w:hAnsiTheme="minorHAnsi" w:cs="Arial"/>
        </w:rPr>
        <w:t xml:space="preserve">n order to achieve </w:t>
      </w:r>
      <w:r w:rsidR="00D15E48" w:rsidRPr="000822CC">
        <w:rPr>
          <w:rFonts w:asciiTheme="minorHAnsi" w:hAnsiTheme="minorHAnsi" w:cs="Arial"/>
        </w:rPr>
        <w:t xml:space="preserve">this </w:t>
      </w:r>
      <w:r w:rsidRPr="000822CC">
        <w:rPr>
          <w:rFonts w:asciiTheme="minorHAnsi" w:hAnsiTheme="minorHAnsi" w:cs="Arial"/>
        </w:rPr>
        <w:t>ambition,</w:t>
      </w:r>
      <w:r w:rsidR="00D15E48" w:rsidRPr="000822CC">
        <w:rPr>
          <w:rFonts w:asciiTheme="minorHAnsi" w:hAnsiTheme="minorHAnsi" w:cs="Arial"/>
        </w:rPr>
        <w:t xml:space="preserve"> there needs to be a significant </w:t>
      </w:r>
      <w:r w:rsidR="00375B13" w:rsidRPr="000822CC">
        <w:rPr>
          <w:rFonts w:asciiTheme="minorHAnsi" w:hAnsiTheme="minorHAnsi" w:cs="Arial"/>
        </w:rPr>
        <w:t xml:space="preserve">cultural shift, </w:t>
      </w:r>
      <w:r w:rsidR="00D15E48" w:rsidRPr="000822CC">
        <w:rPr>
          <w:rFonts w:asciiTheme="minorHAnsi" w:hAnsiTheme="minorHAnsi" w:cs="Arial"/>
        </w:rPr>
        <w:t>across each of the local systems regionally</w:t>
      </w:r>
      <w:r w:rsidR="00375B13" w:rsidRPr="000822CC">
        <w:rPr>
          <w:rFonts w:asciiTheme="minorHAnsi" w:hAnsiTheme="minorHAnsi" w:cs="Arial"/>
        </w:rPr>
        <w:t xml:space="preserve">, </w:t>
      </w:r>
      <w:r>
        <w:rPr>
          <w:rFonts w:asciiTheme="minorHAnsi" w:hAnsiTheme="minorHAnsi" w:cs="Arial"/>
        </w:rPr>
        <w:t xml:space="preserve">where </w:t>
      </w:r>
      <w:r w:rsidR="00375B13" w:rsidRPr="000822CC">
        <w:rPr>
          <w:rFonts w:asciiTheme="minorHAnsi" w:hAnsiTheme="minorHAnsi" w:cs="Arial"/>
        </w:rPr>
        <w:t>a child’</w:t>
      </w:r>
      <w:r w:rsidR="00D15E48" w:rsidRPr="000822CC">
        <w:rPr>
          <w:rFonts w:asciiTheme="minorHAnsi" w:hAnsiTheme="minorHAnsi" w:cs="Arial"/>
        </w:rPr>
        <w:t>s care is every</w:t>
      </w:r>
      <w:r w:rsidR="00375B13" w:rsidRPr="000822CC">
        <w:rPr>
          <w:rFonts w:asciiTheme="minorHAnsi" w:hAnsiTheme="minorHAnsi" w:cs="Arial"/>
        </w:rPr>
        <w:t>one</w:t>
      </w:r>
      <w:r w:rsidR="00D15E48" w:rsidRPr="000822CC">
        <w:rPr>
          <w:rFonts w:asciiTheme="minorHAnsi" w:hAnsiTheme="minorHAnsi" w:cs="Arial"/>
        </w:rPr>
        <w:t>’s</w:t>
      </w:r>
      <w:r w:rsidR="00375B13" w:rsidRPr="000822CC">
        <w:rPr>
          <w:rFonts w:asciiTheme="minorHAnsi" w:hAnsiTheme="minorHAnsi" w:cs="Arial"/>
        </w:rPr>
        <w:t xml:space="preserve"> business</w:t>
      </w:r>
      <w:r>
        <w:rPr>
          <w:rFonts w:asciiTheme="minorHAnsi" w:hAnsiTheme="minorHAnsi" w:cs="Arial"/>
        </w:rPr>
        <w:t xml:space="preserve">.  This ambition will </w:t>
      </w:r>
      <w:r w:rsidR="00375B13" w:rsidRPr="000822CC">
        <w:rPr>
          <w:rFonts w:asciiTheme="minorHAnsi" w:hAnsiTheme="minorHAnsi" w:cs="Arial"/>
        </w:rPr>
        <w:t xml:space="preserve">take </w:t>
      </w:r>
      <w:r w:rsidR="00D15E48" w:rsidRPr="000822CC">
        <w:rPr>
          <w:rFonts w:asciiTheme="minorHAnsi" w:hAnsiTheme="minorHAnsi" w:cs="Arial"/>
        </w:rPr>
        <w:t>time and leadership capacity</w:t>
      </w:r>
      <w:r w:rsidR="009B2D24">
        <w:rPr>
          <w:rFonts w:asciiTheme="minorHAnsi" w:hAnsiTheme="minorHAnsi" w:cs="Arial"/>
        </w:rPr>
        <w:t>.</w:t>
      </w:r>
      <w:r w:rsidR="00D15E48" w:rsidRPr="000822CC">
        <w:rPr>
          <w:rFonts w:asciiTheme="minorHAnsi" w:hAnsiTheme="minorHAnsi" w:cs="Arial"/>
        </w:rPr>
        <w:t xml:space="preserve"> </w:t>
      </w:r>
      <w:r w:rsidR="009B2D24">
        <w:rPr>
          <w:rFonts w:asciiTheme="minorHAnsi" w:hAnsiTheme="minorHAnsi" w:cs="Arial"/>
        </w:rPr>
        <w:t>T</w:t>
      </w:r>
      <w:r w:rsidR="00375B13" w:rsidRPr="000822CC">
        <w:rPr>
          <w:rFonts w:asciiTheme="minorHAnsi" w:hAnsiTheme="minorHAnsi" w:cs="Arial"/>
        </w:rPr>
        <w:t>o develop a</w:t>
      </w:r>
      <w:r>
        <w:rPr>
          <w:rFonts w:asciiTheme="minorHAnsi" w:hAnsiTheme="minorHAnsi" w:cs="Arial"/>
        </w:rPr>
        <w:t>n</w:t>
      </w:r>
      <w:r w:rsidR="00375B13" w:rsidRPr="000822CC">
        <w:rPr>
          <w:rFonts w:asciiTheme="minorHAnsi" w:hAnsiTheme="minorHAnsi" w:cs="Arial"/>
        </w:rPr>
        <w:t xml:space="preserve"> </w:t>
      </w:r>
      <w:r>
        <w:rPr>
          <w:rFonts w:asciiTheme="minorHAnsi" w:hAnsiTheme="minorHAnsi" w:cs="Arial"/>
        </w:rPr>
        <w:t xml:space="preserve">out of hospital </w:t>
      </w:r>
      <w:r w:rsidR="00894691" w:rsidRPr="000822CC">
        <w:rPr>
          <w:rFonts w:asciiTheme="minorHAnsi" w:hAnsiTheme="minorHAnsi" w:cs="Arial"/>
        </w:rPr>
        <w:t xml:space="preserve">pathway </w:t>
      </w:r>
      <w:r w:rsidR="00D15E48" w:rsidRPr="000822CC">
        <w:rPr>
          <w:rFonts w:asciiTheme="minorHAnsi" w:hAnsiTheme="minorHAnsi" w:cs="Arial"/>
        </w:rPr>
        <w:t>commission</w:t>
      </w:r>
      <w:r>
        <w:rPr>
          <w:rFonts w:asciiTheme="minorHAnsi" w:hAnsiTheme="minorHAnsi" w:cs="Arial"/>
        </w:rPr>
        <w:t>ed</w:t>
      </w:r>
      <w:r w:rsidR="00D15E48" w:rsidRPr="000822CC">
        <w:rPr>
          <w:rFonts w:asciiTheme="minorHAnsi" w:hAnsiTheme="minorHAnsi" w:cs="Arial"/>
        </w:rPr>
        <w:t xml:space="preserve"> </w:t>
      </w:r>
      <w:r>
        <w:rPr>
          <w:rFonts w:asciiTheme="minorHAnsi" w:hAnsiTheme="minorHAnsi" w:cs="Arial"/>
        </w:rPr>
        <w:t xml:space="preserve">by the </w:t>
      </w:r>
      <w:r w:rsidR="00D15E48" w:rsidRPr="000822CC">
        <w:rPr>
          <w:rFonts w:asciiTheme="minorHAnsi" w:hAnsiTheme="minorHAnsi" w:cs="Arial"/>
        </w:rPr>
        <w:t xml:space="preserve">whole system </w:t>
      </w:r>
      <w:r>
        <w:rPr>
          <w:rFonts w:asciiTheme="minorHAnsi" w:hAnsiTheme="minorHAnsi" w:cs="Arial"/>
        </w:rPr>
        <w:t>w</w:t>
      </w:r>
      <w:r w:rsidR="00375B13" w:rsidRPr="000822CC">
        <w:rPr>
          <w:rFonts w:asciiTheme="minorHAnsi" w:hAnsiTheme="minorHAnsi" w:cs="Arial"/>
        </w:rPr>
        <w:t xml:space="preserve">ould take in the region of </w:t>
      </w:r>
      <w:r w:rsidR="00894691" w:rsidRPr="000822CC">
        <w:rPr>
          <w:rFonts w:asciiTheme="minorHAnsi" w:hAnsiTheme="minorHAnsi" w:cs="Arial"/>
        </w:rPr>
        <w:t xml:space="preserve">2-3 years.  </w:t>
      </w:r>
    </w:p>
    <w:p w:rsidR="000822CC" w:rsidRDefault="000822CC" w:rsidP="000822CC">
      <w:pPr>
        <w:pStyle w:val="ListParagraph"/>
        <w:ind w:left="792"/>
        <w:rPr>
          <w:rFonts w:asciiTheme="minorHAnsi" w:hAnsiTheme="minorHAnsi" w:cs="Arial"/>
        </w:rPr>
      </w:pPr>
    </w:p>
    <w:p w:rsidR="000822CC" w:rsidRDefault="00D15E48" w:rsidP="004D56B8">
      <w:pPr>
        <w:pStyle w:val="ListParagraph"/>
        <w:numPr>
          <w:ilvl w:val="1"/>
          <w:numId w:val="28"/>
        </w:numPr>
        <w:ind w:hanging="792"/>
        <w:rPr>
          <w:rFonts w:asciiTheme="minorHAnsi" w:hAnsiTheme="minorHAnsi" w:cs="Arial"/>
        </w:rPr>
      </w:pPr>
      <w:r w:rsidRPr="000E4977">
        <w:rPr>
          <w:rFonts w:asciiTheme="minorHAnsi" w:hAnsiTheme="minorHAnsi" w:cs="Arial"/>
        </w:rPr>
        <w:t xml:space="preserve">It is an essential part of the strategic ambition that </w:t>
      </w:r>
      <w:r w:rsidR="000E4977" w:rsidRPr="000E4977">
        <w:rPr>
          <w:rFonts w:asciiTheme="minorHAnsi" w:hAnsiTheme="minorHAnsi" w:cs="Arial"/>
        </w:rPr>
        <w:t xml:space="preserve">NHS England South region </w:t>
      </w:r>
      <w:r w:rsidRPr="000E4977">
        <w:rPr>
          <w:rFonts w:asciiTheme="minorHAnsi" w:hAnsiTheme="minorHAnsi" w:cs="Arial"/>
        </w:rPr>
        <w:t>commission</w:t>
      </w:r>
      <w:r w:rsidR="000E4977" w:rsidRPr="000E4977">
        <w:rPr>
          <w:rFonts w:asciiTheme="minorHAnsi" w:hAnsiTheme="minorHAnsi" w:cs="Arial"/>
        </w:rPr>
        <w:t>s</w:t>
      </w:r>
      <w:r w:rsidRPr="000E4977">
        <w:rPr>
          <w:rFonts w:asciiTheme="minorHAnsi" w:hAnsiTheme="minorHAnsi" w:cs="Arial"/>
        </w:rPr>
        <w:t xml:space="preserve"> children’s service beds</w:t>
      </w:r>
      <w:r w:rsidR="000E4977">
        <w:rPr>
          <w:rFonts w:asciiTheme="minorHAnsi" w:hAnsiTheme="minorHAnsi" w:cs="Arial"/>
        </w:rPr>
        <w:t>.</w:t>
      </w:r>
      <w:r w:rsidR="003F521D">
        <w:rPr>
          <w:rFonts w:asciiTheme="minorHAnsi" w:hAnsiTheme="minorHAnsi" w:cs="Arial"/>
        </w:rPr>
        <w:t xml:space="preserve">  NHS England South</w:t>
      </w:r>
      <w:r w:rsidR="009B2D24">
        <w:rPr>
          <w:rFonts w:asciiTheme="minorHAnsi" w:hAnsiTheme="minorHAnsi" w:cs="Arial"/>
        </w:rPr>
        <w:t>’s</w:t>
      </w:r>
      <w:r w:rsidR="003F521D">
        <w:rPr>
          <w:rFonts w:asciiTheme="minorHAnsi" w:hAnsiTheme="minorHAnsi" w:cs="Arial"/>
        </w:rPr>
        <w:t xml:space="preserve"> commissioning intention is to commission 12 Children’s Services beds for the South region</w:t>
      </w:r>
      <w:r w:rsidR="009B2D24">
        <w:rPr>
          <w:rFonts w:asciiTheme="minorHAnsi" w:hAnsiTheme="minorHAnsi" w:cs="Arial"/>
        </w:rPr>
        <w:t>.</w:t>
      </w:r>
      <w:r w:rsidR="003F521D">
        <w:rPr>
          <w:rFonts w:asciiTheme="minorHAnsi" w:hAnsiTheme="minorHAnsi" w:cs="Arial"/>
        </w:rPr>
        <w:t xml:space="preserve"> </w:t>
      </w:r>
      <w:r w:rsidR="009B2D24">
        <w:rPr>
          <w:rFonts w:asciiTheme="minorHAnsi" w:hAnsiTheme="minorHAnsi" w:cs="Arial"/>
        </w:rPr>
        <w:t>A</w:t>
      </w:r>
      <w:r w:rsidR="003F521D">
        <w:rPr>
          <w:rFonts w:asciiTheme="minorHAnsi" w:hAnsiTheme="minorHAnsi" w:cs="Arial"/>
        </w:rPr>
        <w:t xml:space="preserve">t present there is no one location identified or </w:t>
      </w:r>
      <w:r w:rsidR="009B2D24">
        <w:rPr>
          <w:rFonts w:asciiTheme="minorHAnsi" w:hAnsiTheme="minorHAnsi" w:cs="Arial"/>
        </w:rPr>
        <w:t xml:space="preserve">decision as to </w:t>
      </w:r>
      <w:r w:rsidR="003F521D">
        <w:rPr>
          <w:rFonts w:asciiTheme="minorHAnsi" w:hAnsiTheme="minorHAnsi" w:cs="Arial"/>
        </w:rPr>
        <w:t>whether this would be best served by 2 smaller units or one 12 bedded unit.</w:t>
      </w:r>
      <w:r w:rsidR="009B2D24">
        <w:rPr>
          <w:rFonts w:asciiTheme="minorHAnsi" w:hAnsiTheme="minorHAnsi" w:cs="Arial"/>
        </w:rPr>
        <w:t xml:space="preserve"> Market engagement will help to inform the contracting strategy.</w:t>
      </w:r>
    </w:p>
    <w:p w:rsidR="003F521D" w:rsidRPr="003F521D" w:rsidRDefault="003F521D" w:rsidP="003F521D">
      <w:pPr>
        <w:pStyle w:val="ListParagraph"/>
        <w:rPr>
          <w:rFonts w:asciiTheme="minorHAnsi" w:hAnsiTheme="minorHAnsi" w:cs="Arial"/>
        </w:rPr>
      </w:pPr>
    </w:p>
    <w:p w:rsidR="003F521D" w:rsidRDefault="009B2D24" w:rsidP="004D56B8">
      <w:pPr>
        <w:pStyle w:val="ListParagraph"/>
        <w:numPr>
          <w:ilvl w:val="1"/>
          <w:numId w:val="28"/>
        </w:numPr>
        <w:ind w:hanging="792"/>
        <w:rPr>
          <w:rFonts w:asciiTheme="minorHAnsi" w:hAnsiTheme="minorHAnsi" w:cs="Arial"/>
        </w:rPr>
      </w:pPr>
      <w:r>
        <w:rPr>
          <w:rFonts w:asciiTheme="minorHAnsi" w:hAnsiTheme="minorHAnsi" w:cs="Arial"/>
        </w:rPr>
        <w:t>P</w:t>
      </w:r>
      <w:r w:rsidR="003F521D">
        <w:rPr>
          <w:rFonts w:asciiTheme="minorHAnsi" w:hAnsiTheme="minorHAnsi" w:cs="Arial"/>
        </w:rPr>
        <w:t xml:space="preserve">artnership approaches </w:t>
      </w:r>
      <w:r>
        <w:rPr>
          <w:rFonts w:asciiTheme="minorHAnsi" w:hAnsiTheme="minorHAnsi" w:cs="Arial"/>
        </w:rPr>
        <w:t xml:space="preserve">are </w:t>
      </w:r>
      <w:r w:rsidR="001E5115">
        <w:rPr>
          <w:rFonts w:asciiTheme="minorHAnsi" w:hAnsiTheme="minorHAnsi" w:cs="Arial"/>
        </w:rPr>
        <w:t>encourag</w:t>
      </w:r>
      <w:r>
        <w:rPr>
          <w:rFonts w:asciiTheme="minorHAnsi" w:hAnsiTheme="minorHAnsi" w:cs="Arial"/>
        </w:rPr>
        <w:t xml:space="preserve">ed, </w:t>
      </w:r>
      <w:r w:rsidR="003F521D">
        <w:rPr>
          <w:rFonts w:asciiTheme="minorHAnsi" w:hAnsiTheme="minorHAnsi" w:cs="Arial"/>
        </w:rPr>
        <w:t xml:space="preserve">whereby paediatric and mental health </w:t>
      </w:r>
      <w:r w:rsidR="00241C30">
        <w:rPr>
          <w:rFonts w:asciiTheme="minorHAnsi" w:hAnsiTheme="minorHAnsi" w:cs="Arial"/>
        </w:rPr>
        <w:t xml:space="preserve">services </w:t>
      </w:r>
      <w:r w:rsidR="003F521D">
        <w:rPr>
          <w:rFonts w:asciiTheme="minorHAnsi" w:hAnsiTheme="minorHAnsi" w:cs="Arial"/>
        </w:rPr>
        <w:t>work together to achieve an appropriate clinical model that achieves the best outcomes for the children admitted.</w:t>
      </w:r>
    </w:p>
    <w:p w:rsidR="003F521D" w:rsidRPr="003F521D" w:rsidRDefault="003F521D" w:rsidP="003F521D">
      <w:pPr>
        <w:pStyle w:val="ListParagraph"/>
        <w:rPr>
          <w:rFonts w:asciiTheme="minorHAnsi" w:hAnsiTheme="minorHAnsi" w:cs="Arial"/>
        </w:rPr>
      </w:pPr>
    </w:p>
    <w:p w:rsidR="003F521D" w:rsidRDefault="009B2D24" w:rsidP="004D56B8">
      <w:pPr>
        <w:pStyle w:val="ListParagraph"/>
        <w:numPr>
          <w:ilvl w:val="1"/>
          <w:numId w:val="28"/>
        </w:numPr>
        <w:ind w:hanging="792"/>
        <w:rPr>
          <w:rFonts w:asciiTheme="minorHAnsi" w:hAnsiTheme="minorHAnsi" w:cs="Arial"/>
        </w:rPr>
      </w:pPr>
      <w:r>
        <w:rPr>
          <w:rFonts w:asciiTheme="minorHAnsi" w:hAnsiTheme="minorHAnsi" w:cs="Arial"/>
        </w:rPr>
        <w:t>A</w:t>
      </w:r>
      <w:r w:rsidRPr="009B2D24">
        <w:rPr>
          <w:rFonts w:asciiTheme="minorHAnsi" w:hAnsiTheme="minorHAnsi" w:cs="Arial"/>
        </w:rPr>
        <w:t>t present the contract value is estimated to be between £2.5m and £3m per annum, and the contract term is anticipated to be 3 years with an option to extend for a further 2 years.</w:t>
      </w:r>
    </w:p>
    <w:p w:rsidR="000822CC" w:rsidRPr="00B57DE6" w:rsidRDefault="000822CC" w:rsidP="00B57DE6">
      <w:pPr>
        <w:spacing w:after="0"/>
        <w:rPr>
          <w:rFonts w:cs="Arial"/>
        </w:rPr>
      </w:pPr>
    </w:p>
    <w:p w:rsidR="00BB0FAC" w:rsidRPr="000822CC" w:rsidRDefault="006620A6" w:rsidP="000822CC">
      <w:pPr>
        <w:pStyle w:val="ListParagraph"/>
        <w:numPr>
          <w:ilvl w:val="0"/>
          <w:numId w:val="28"/>
        </w:numPr>
        <w:rPr>
          <w:rFonts w:asciiTheme="minorHAnsi" w:hAnsiTheme="minorHAnsi" w:cs="Arial"/>
          <w:b/>
        </w:rPr>
      </w:pPr>
      <w:r w:rsidRPr="000822CC">
        <w:rPr>
          <w:rFonts w:asciiTheme="minorHAnsi" w:hAnsiTheme="minorHAnsi" w:cs="Arial"/>
          <w:b/>
        </w:rPr>
        <w:t xml:space="preserve">Needs analysis </w:t>
      </w:r>
    </w:p>
    <w:p w:rsidR="000822CC" w:rsidRDefault="000822CC" w:rsidP="000822CC">
      <w:pPr>
        <w:pStyle w:val="ListParagraph"/>
        <w:ind w:left="792"/>
        <w:rPr>
          <w:rFonts w:asciiTheme="minorHAnsi" w:hAnsiTheme="minorHAnsi" w:cs="Arial"/>
        </w:rPr>
      </w:pPr>
    </w:p>
    <w:p w:rsidR="00436617" w:rsidRDefault="00436617" w:rsidP="000822CC">
      <w:pPr>
        <w:pStyle w:val="ListParagraph"/>
        <w:numPr>
          <w:ilvl w:val="1"/>
          <w:numId w:val="28"/>
        </w:numPr>
        <w:ind w:hanging="792"/>
        <w:rPr>
          <w:rFonts w:asciiTheme="minorHAnsi" w:hAnsiTheme="minorHAnsi" w:cs="Arial"/>
        </w:rPr>
      </w:pPr>
      <w:r w:rsidRPr="000822CC">
        <w:rPr>
          <w:rFonts w:asciiTheme="minorHAnsi" w:hAnsiTheme="minorHAnsi" w:cs="Arial"/>
        </w:rPr>
        <w:t>The last nationwide survey of children’s mental health was completed in 2004. This survey found that</w:t>
      </w:r>
      <w:r w:rsidR="00625474" w:rsidRPr="000822CC">
        <w:rPr>
          <w:rFonts w:asciiTheme="minorHAnsi" w:hAnsiTheme="minorHAnsi" w:cs="Arial"/>
        </w:rPr>
        <w:t xml:space="preserve"> o</w:t>
      </w:r>
      <w:r w:rsidRPr="000822CC">
        <w:rPr>
          <w:rFonts w:asciiTheme="minorHAnsi" w:hAnsiTheme="minorHAnsi" w:cs="Arial"/>
        </w:rPr>
        <w:t>verall:</w:t>
      </w:r>
    </w:p>
    <w:p w:rsidR="000822CC" w:rsidRPr="000822CC" w:rsidRDefault="000822CC" w:rsidP="000822CC">
      <w:pPr>
        <w:pStyle w:val="ListParagraph"/>
        <w:ind w:left="792"/>
        <w:rPr>
          <w:rFonts w:asciiTheme="minorHAnsi" w:hAnsiTheme="minorHAnsi" w:cs="Arial"/>
        </w:rPr>
      </w:pPr>
    </w:p>
    <w:p w:rsidR="00625474" w:rsidRPr="00D15E48" w:rsidRDefault="00625474" w:rsidP="00625474">
      <w:pPr>
        <w:pStyle w:val="ListParagraph"/>
        <w:numPr>
          <w:ilvl w:val="0"/>
          <w:numId w:val="25"/>
        </w:numPr>
        <w:rPr>
          <w:rFonts w:asciiTheme="minorHAnsi" w:hAnsiTheme="minorHAnsi" w:cs="Arial"/>
        </w:rPr>
      </w:pPr>
      <w:r w:rsidRPr="00D15E48">
        <w:rPr>
          <w:rFonts w:asciiTheme="minorHAnsi" w:hAnsiTheme="minorHAnsi" w:cs="Arial"/>
        </w:rPr>
        <w:t>9.6% of children aged 5</w:t>
      </w:r>
      <w:r w:rsidR="009B2D24">
        <w:rPr>
          <w:rFonts w:asciiTheme="minorHAnsi" w:hAnsiTheme="minorHAnsi" w:cs="Arial"/>
        </w:rPr>
        <w:t xml:space="preserve"> </w:t>
      </w:r>
      <w:r w:rsidRPr="00D15E48">
        <w:rPr>
          <w:rFonts w:asciiTheme="minorHAnsi" w:hAnsiTheme="minorHAnsi" w:cs="Arial"/>
        </w:rPr>
        <w:t xml:space="preserve">- 16 have a mental health disorder </w:t>
      </w:r>
    </w:p>
    <w:p w:rsidR="00625474" w:rsidRPr="00D15E48" w:rsidRDefault="00436617" w:rsidP="00625474">
      <w:pPr>
        <w:pStyle w:val="ListParagraph"/>
        <w:numPr>
          <w:ilvl w:val="0"/>
          <w:numId w:val="25"/>
        </w:numPr>
        <w:rPr>
          <w:rFonts w:asciiTheme="minorHAnsi" w:hAnsiTheme="minorHAnsi" w:cs="Arial"/>
        </w:rPr>
      </w:pPr>
      <w:r w:rsidRPr="00D15E48">
        <w:rPr>
          <w:rFonts w:asciiTheme="minorHAnsi" w:hAnsiTheme="minorHAnsi" w:cs="Arial"/>
        </w:rPr>
        <w:t>7.7% of children aged 5 - 10 having a mental health disorder</w:t>
      </w:r>
    </w:p>
    <w:p w:rsidR="00436617" w:rsidRPr="00D15E48" w:rsidRDefault="00436617" w:rsidP="00625474">
      <w:pPr>
        <w:pStyle w:val="ListParagraph"/>
        <w:numPr>
          <w:ilvl w:val="0"/>
          <w:numId w:val="25"/>
        </w:numPr>
        <w:rPr>
          <w:rFonts w:asciiTheme="minorHAnsi" w:hAnsiTheme="minorHAnsi" w:cs="Arial"/>
        </w:rPr>
      </w:pPr>
      <w:r w:rsidRPr="00D15E48">
        <w:rPr>
          <w:rFonts w:asciiTheme="minorHAnsi" w:hAnsiTheme="minorHAnsi" w:cs="Arial"/>
        </w:rPr>
        <w:t>11.5% of children aged 11</w:t>
      </w:r>
      <w:r w:rsidR="009B2D24">
        <w:rPr>
          <w:rFonts w:asciiTheme="minorHAnsi" w:hAnsiTheme="minorHAnsi" w:cs="Arial"/>
        </w:rPr>
        <w:t xml:space="preserve"> </w:t>
      </w:r>
      <w:r w:rsidRPr="00D15E48">
        <w:rPr>
          <w:rFonts w:asciiTheme="minorHAnsi" w:hAnsiTheme="minorHAnsi" w:cs="Arial"/>
        </w:rPr>
        <w:t>- 16 having a mental health disorder</w:t>
      </w:r>
    </w:p>
    <w:p w:rsidR="000822CC" w:rsidRDefault="000822CC" w:rsidP="000822CC">
      <w:pPr>
        <w:pStyle w:val="ListParagraph"/>
        <w:ind w:left="792"/>
        <w:rPr>
          <w:rFonts w:asciiTheme="minorHAnsi" w:hAnsiTheme="minorHAnsi" w:cs="Arial"/>
        </w:rPr>
      </w:pPr>
    </w:p>
    <w:p w:rsidR="00625474" w:rsidRDefault="00625474" w:rsidP="000822CC">
      <w:pPr>
        <w:pStyle w:val="ListParagraph"/>
        <w:numPr>
          <w:ilvl w:val="1"/>
          <w:numId w:val="28"/>
        </w:numPr>
        <w:ind w:hanging="792"/>
        <w:rPr>
          <w:rFonts w:asciiTheme="minorHAnsi" w:hAnsiTheme="minorHAnsi" w:cs="Arial"/>
        </w:rPr>
      </w:pPr>
      <w:r w:rsidRPr="000822CC">
        <w:rPr>
          <w:rFonts w:asciiTheme="minorHAnsi" w:hAnsiTheme="minorHAnsi" w:cs="Arial"/>
        </w:rPr>
        <w:t xml:space="preserve">Our knowledge of the prevalence rates amongst children is much more limited and the next prevalence study of children is not expected to report until later this year (2018).  In the interim, the closest thing we have to a national prevalence study comes from </w:t>
      </w:r>
      <w:r w:rsidR="00310E32">
        <w:rPr>
          <w:rFonts w:asciiTheme="minorHAnsi" w:hAnsiTheme="minorHAnsi" w:cs="Arial"/>
        </w:rPr>
        <w:t xml:space="preserve">the </w:t>
      </w:r>
      <w:r w:rsidRPr="000822CC">
        <w:rPr>
          <w:rFonts w:asciiTheme="minorHAnsi" w:hAnsiTheme="minorHAnsi" w:cs="Arial"/>
        </w:rPr>
        <w:t>Millennium Cohort Study (MCS), a longitudinal study of over 10,000 children born in the year 2000. The MCS conducted detailed assessments at aged 7, 11 and 14. They found that:</w:t>
      </w:r>
    </w:p>
    <w:p w:rsidR="000822CC" w:rsidRPr="000822CC" w:rsidRDefault="000822CC" w:rsidP="000822CC">
      <w:pPr>
        <w:pStyle w:val="ListParagraph"/>
        <w:ind w:left="792"/>
        <w:rPr>
          <w:rFonts w:asciiTheme="minorHAnsi" w:hAnsiTheme="minorHAnsi" w:cs="Arial"/>
        </w:rPr>
      </w:pPr>
    </w:p>
    <w:p w:rsidR="00625474" w:rsidRPr="00D15E48" w:rsidRDefault="00625474" w:rsidP="00625474">
      <w:pPr>
        <w:pStyle w:val="ListParagraph"/>
        <w:numPr>
          <w:ilvl w:val="0"/>
          <w:numId w:val="30"/>
        </w:numPr>
        <w:rPr>
          <w:rFonts w:asciiTheme="minorHAnsi" w:hAnsiTheme="minorHAnsi" w:cs="Arial"/>
        </w:rPr>
      </w:pPr>
      <w:r w:rsidRPr="00D15E48">
        <w:rPr>
          <w:rFonts w:asciiTheme="minorHAnsi" w:hAnsiTheme="minorHAnsi" w:cs="Arial"/>
        </w:rPr>
        <w:t xml:space="preserve">At age 7, about 7% of both boys and girls have a diagnosable mental health condition. </w:t>
      </w:r>
    </w:p>
    <w:p w:rsidR="00625474" w:rsidRPr="00D15E48" w:rsidRDefault="00625474" w:rsidP="00625474">
      <w:pPr>
        <w:pStyle w:val="ListParagraph"/>
        <w:numPr>
          <w:ilvl w:val="0"/>
          <w:numId w:val="30"/>
        </w:numPr>
        <w:rPr>
          <w:rFonts w:asciiTheme="minorHAnsi" w:hAnsiTheme="minorHAnsi" w:cs="Arial"/>
        </w:rPr>
      </w:pPr>
      <w:r w:rsidRPr="00D15E48">
        <w:rPr>
          <w:rFonts w:asciiTheme="minorHAnsi" w:hAnsiTheme="minorHAnsi" w:cs="Arial"/>
        </w:rPr>
        <w:t>At age 11, about 12% of both boys and girls have a diagnosable mental health condition</w:t>
      </w:r>
    </w:p>
    <w:p w:rsidR="00625474" w:rsidRDefault="00625474" w:rsidP="00625474">
      <w:pPr>
        <w:pStyle w:val="ListParagraph"/>
        <w:numPr>
          <w:ilvl w:val="0"/>
          <w:numId w:val="30"/>
        </w:numPr>
        <w:rPr>
          <w:rFonts w:asciiTheme="minorHAnsi" w:hAnsiTheme="minorHAnsi" w:cs="Arial"/>
        </w:rPr>
      </w:pPr>
      <w:r w:rsidRPr="00D15E48">
        <w:rPr>
          <w:rFonts w:asciiTheme="minorHAnsi" w:hAnsiTheme="minorHAnsi" w:cs="Arial"/>
        </w:rPr>
        <w:t>At age 14, about 12% of boys and 18% of girls have a diagnosable mental health condition</w:t>
      </w:r>
    </w:p>
    <w:p w:rsidR="000822CC" w:rsidRPr="00D15E48" w:rsidRDefault="000822CC" w:rsidP="000822CC">
      <w:pPr>
        <w:pStyle w:val="ListParagraph"/>
        <w:ind w:left="1440"/>
        <w:rPr>
          <w:rFonts w:asciiTheme="minorHAnsi" w:hAnsiTheme="minorHAnsi" w:cs="Arial"/>
        </w:rPr>
      </w:pPr>
    </w:p>
    <w:p w:rsidR="00625474" w:rsidRPr="000822CC" w:rsidRDefault="00625474" w:rsidP="000822CC">
      <w:pPr>
        <w:pStyle w:val="ListParagraph"/>
        <w:numPr>
          <w:ilvl w:val="1"/>
          <w:numId w:val="28"/>
        </w:numPr>
        <w:ind w:hanging="792"/>
        <w:rPr>
          <w:rFonts w:asciiTheme="minorHAnsi" w:hAnsiTheme="minorHAnsi" w:cs="Arial"/>
        </w:rPr>
      </w:pPr>
      <w:r w:rsidRPr="000822CC">
        <w:rPr>
          <w:rFonts w:asciiTheme="minorHAnsi" w:hAnsiTheme="minorHAnsi" w:cs="Arial"/>
        </w:rPr>
        <w:t>In 2015 NHS England estimated that 7% of overall NHS mental health funding goes on children, which is broken down as follows:</w:t>
      </w:r>
    </w:p>
    <w:p w:rsidR="00625474" w:rsidRPr="00D15E48" w:rsidRDefault="00625474" w:rsidP="00946BA8">
      <w:pPr>
        <w:pStyle w:val="ListParagraph"/>
        <w:numPr>
          <w:ilvl w:val="0"/>
          <w:numId w:val="31"/>
        </w:numPr>
        <w:rPr>
          <w:rFonts w:asciiTheme="minorHAnsi" w:hAnsiTheme="minorHAnsi" w:cs="Arial"/>
        </w:rPr>
      </w:pPr>
      <w:r w:rsidRPr="00D15E48">
        <w:rPr>
          <w:rFonts w:asciiTheme="minorHAnsi" w:hAnsiTheme="minorHAnsi" w:cs="Arial"/>
        </w:rPr>
        <w:t>38% of spending comes from NHS England and is spent on in-patient and highly specialised care. This is accessed by about 0.001% of children aged 5- 17 each year.</w:t>
      </w:r>
    </w:p>
    <w:p w:rsidR="00625474" w:rsidRPr="00D15E48" w:rsidRDefault="00625474" w:rsidP="00946BA8">
      <w:pPr>
        <w:pStyle w:val="ListParagraph"/>
        <w:numPr>
          <w:ilvl w:val="0"/>
          <w:numId w:val="31"/>
        </w:numPr>
        <w:rPr>
          <w:rFonts w:asciiTheme="minorHAnsi" w:hAnsiTheme="minorHAnsi" w:cs="Arial"/>
        </w:rPr>
      </w:pPr>
      <w:r w:rsidRPr="00D15E48">
        <w:rPr>
          <w:rFonts w:asciiTheme="minorHAnsi" w:hAnsiTheme="minorHAnsi" w:cs="Arial"/>
        </w:rPr>
        <w:t xml:space="preserve">46% of spending comes from CCGs and is spent on CAMHS services. We estimate this is accessed by 2.6% of children each year. </w:t>
      </w:r>
    </w:p>
    <w:p w:rsidR="00625474" w:rsidRPr="00D15E48" w:rsidRDefault="00625474" w:rsidP="00946BA8">
      <w:pPr>
        <w:pStyle w:val="ListParagraph"/>
        <w:numPr>
          <w:ilvl w:val="0"/>
          <w:numId w:val="31"/>
        </w:numPr>
        <w:rPr>
          <w:rFonts w:asciiTheme="minorHAnsi" w:hAnsiTheme="minorHAnsi" w:cs="Arial"/>
        </w:rPr>
      </w:pPr>
      <w:r w:rsidRPr="00D15E48">
        <w:rPr>
          <w:rFonts w:asciiTheme="minorHAnsi" w:hAnsiTheme="minorHAnsi" w:cs="Arial"/>
        </w:rPr>
        <w:lastRenderedPageBreak/>
        <w:t>16% of spending comes from local authorities under their public health remit. This includes universal preventive services and support for those with emerging conditions. This is supporting all the children who are not accessing CAMHS.</w:t>
      </w:r>
    </w:p>
    <w:p w:rsidR="00625474" w:rsidRPr="00D15E48" w:rsidRDefault="00625474" w:rsidP="00625474">
      <w:pPr>
        <w:pStyle w:val="ListParagraph"/>
        <w:ind w:left="792"/>
        <w:rPr>
          <w:rFonts w:asciiTheme="minorHAnsi" w:hAnsiTheme="minorHAnsi" w:cs="Arial"/>
        </w:rPr>
      </w:pPr>
    </w:p>
    <w:p w:rsidR="00BB0FAC" w:rsidRPr="000822CC" w:rsidRDefault="00BB0FAC" w:rsidP="000822CC">
      <w:pPr>
        <w:pStyle w:val="ListParagraph"/>
        <w:numPr>
          <w:ilvl w:val="1"/>
          <w:numId w:val="28"/>
        </w:numPr>
        <w:ind w:hanging="792"/>
        <w:rPr>
          <w:rFonts w:asciiTheme="minorHAnsi" w:hAnsiTheme="minorHAnsi" w:cs="Arial"/>
        </w:rPr>
      </w:pPr>
      <w:r w:rsidRPr="000822CC">
        <w:rPr>
          <w:rFonts w:asciiTheme="minorHAnsi" w:hAnsiTheme="minorHAnsi" w:cs="Arial"/>
        </w:rPr>
        <w:t xml:space="preserve">Child and Adolescent Mental Health (CAMH) Tier 4 Children’s Services deliver specialist in-patient care to children who are suffering from severe and/or complex mental health conditions that cannot be adequately treated by community CAMH services. </w:t>
      </w:r>
    </w:p>
    <w:p w:rsidR="000822CC" w:rsidRDefault="000822CC" w:rsidP="000822CC">
      <w:pPr>
        <w:pStyle w:val="ListParagraph"/>
        <w:ind w:left="792"/>
        <w:rPr>
          <w:rFonts w:asciiTheme="minorHAnsi" w:hAnsiTheme="minorHAnsi" w:cs="Arial"/>
        </w:rPr>
      </w:pPr>
    </w:p>
    <w:p w:rsidR="00BB0FAC" w:rsidRPr="000E4977" w:rsidRDefault="00310E32" w:rsidP="005A3160">
      <w:pPr>
        <w:pStyle w:val="ListParagraph"/>
        <w:numPr>
          <w:ilvl w:val="1"/>
          <w:numId w:val="28"/>
        </w:numPr>
        <w:ind w:hanging="792"/>
        <w:rPr>
          <w:rFonts w:cs="Arial"/>
        </w:rPr>
      </w:pPr>
      <w:r>
        <w:rPr>
          <w:rFonts w:asciiTheme="minorHAnsi" w:hAnsiTheme="minorHAnsi" w:cs="Arial"/>
        </w:rPr>
        <w:t>The c</w:t>
      </w:r>
      <w:r w:rsidR="00BB0FAC" w:rsidRPr="000E4977">
        <w:rPr>
          <w:rFonts w:asciiTheme="minorHAnsi" w:hAnsiTheme="minorHAnsi" w:cs="Arial"/>
        </w:rPr>
        <w:t xml:space="preserve">urrent estimate of the total number of patients in England using the </w:t>
      </w:r>
      <w:r>
        <w:rPr>
          <w:rFonts w:asciiTheme="minorHAnsi" w:hAnsiTheme="minorHAnsi" w:cs="Arial"/>
        </w:rPr>
        <w:t>s</w:t>
      </w:r>
      <w:r w:rsidR="00BB0FAC" w:rsidRPr="000E4977">
        <w:rPr>
          <w:rFonts w:asciiTheme="minorHAnsi" w:hAnsiTheme="minorHAnsi" w:cs="Arial"/>
        </w:rPr>
        <w:t xml:space="preserve">ervices </w:t>
      </w:r>
      <w:r>
        <w:rPr>
          <w:rFonts w:asciiTheme="minorHAnsi" w:hAnsiTheme="minorHAnsi" w:cs="Arial"/>
        </w:rPr>
        <w:t>is</w:t>
      </w:r>
      <w:r w:rsidRPr="000E4977">
        <w:rPr>
          <w:rFonts w:asciiTheme="minorHAnsi" w:hAnsiTheme="minorHAnsi" w:cs="Arial"/>
        </w:rPr>
        <w:t xml:space="preserve"> </w:t>
      </w:r>
      <w:r w:rsidR="00BB0FAC" w:rsidRPr="000E4977">
        <w:rPr>
          <w:rFonts w:asciiTheme="minorHAnsi" w:hAnsiTheme="minorHAnsi" w:cs="Arial"/>
        </w:rPr>
        <w:t xml:space="preserve">140-150 per year (based on data gathered between 2008 and 2010). There are currently eight dedicated Tier 4 CAMHS Children’s Units in England these are located in Manchester, Liverpool, Sheffield, Birmingham, Cambridge and London. All units offer care to children aged 12 and under; occasionally younger adolescents 13 and over are admitted if their profile and needs are better met in a children’s unit. </w:t>
      </w:r>
    </w:p>
    <w:p w:rsidR="000E4977" w:rsidRPr="000E4977" w:rsidRDefault="000E4977" w:rsidP="000E4977">
      <w:pPr>
        <w:pStyle w:val="ListParagraph"/>
        <w:rPr>
          <w:rFonts w:cs="Arial"/>
        </w:rPr>
      </w:pPr>
    </w:p>
    <w:p w:rsidR="00BB0FAC" w:rsidRPr="000822CC" w:rsidRDefault="00D67249" w:rsidP="000822CC">
      <w:pPr>
        <w:pStyle w:val="ListParagraph"/>
        <w:numPr>
          <w:ilvl w:val="0"/>
          <w:numId w:val="28"/>
        </w:numPr>
        <w:rPr>
          <w:rFonts w:asciiTheme="minorHAnsi" w:hAnsiTheme="minorHAnsi" w:cs="Arial"/>
          <w:b/>
        </w:rPr>
      </w:pPr>
      <w:r>
        <w:rPr>
          <w:rFonts w:asciiTheme="minorHAnsi" w:hAnsiTheme="minorHAnsi" w:cs="Arial"/>
          <w:b/>
        </w:rPr>
        <w:t>Evidence b</w:t>
      </w:r>
      <w:r w:rsidR="00BB0FAC" w:rsidRPr="000822CC">
        <w:rPr>
          <w:rFonts w:asciiTheme="minorHAnsi" w:hAnsiTheme="minorHAnsi" w:cs="Arial"/>
          <w:b/>
        </w:rPr>
        <w:t xml:space="preserve">ase </w:t>
      </w:r>
    </w:p>
    <w:p w:rsidR="000822CC" w:rsidRDefault="000822CC" w:rsidP="000822CC">
      <w:pPr>
        <w:pStyle w:val="ListParagraph"/>
        <w:ind w:left="792"/>
        <w:rPr>
          <w:rFonts w:asciiTheme="minorHAnsi" w:hAnsiTheme="minorHAnsi" w:cs="Arial"/>
        </w:rPr>
      </w:pPr>
    </w:p>
    <w:p w:rsidR="00D15E48" w:rsidRPr="000822CC" w:rsidRDefault="00BB0FAC" w:rsidP="000822CC">
      <w:pPr>
        <w:pStyle w:val="ListParagraph"/>
        <w:numPr>
          <w:ilvl w:val="1"/>
          <w:numId w:val="28"/>
        </w:numPr>
        <w:ind w:hanging="792"/>
        <w:rPr>
          <w:rFonts w:asciiTheme="minorHAnsi" w:hAnsiTheme="minorHAnsi" w:cs="Arial"/>
        </w:rPr>
      </w:pPr>
      <w:r w:rsidRPr="000822CC">
        <w:rPr>
          <w:rFonts w:asciiTheme="minorHAnsi" w:hAnsiTheme="minorHAnsi" w:cs="Arial"/>
        </w:rPr>
        <w:t xml:space="preserve">The best UK research evidence regarding Tier 4 CAMHS </w:t>
      </w:r>
      <w:r w:rsidR="00310E32">
        <w:rPr>
          <w:rFonts w:asciiTheme="minorHAnsi" w:hAnsiTheme="minorHAnsi" w:cs="Arial"/>
        </w:rPr>
        <w:t>i</w:t>
      </w:r>
      <w:r w:rsidRPr="000822CC">
        <w:rPr>
          <w:rFonts w:asciiTheme="minorHAnsi" w:hAnsiTheme="minorHAnsi" w:cs="Arial"/>
        </w:rPr>
        <w:t>n-patient treatment for children is derived from the Children’s and Young Person’s Inpatient Evaluation (CHYPIE) Department of Health study (Green, Jacobs et al 2007) which examined care pathways, outcomes and health economics for children and adolescents using a selected group of Tier 4 services. For the children aged 12 and under in this large UK study, clinical outcome scores (The Children’s Global Assessment Scale (CGAS) and Health of the Nation Outcome Scale Children and</w:t>
      </w:r>
      <w:r w:rsidR="00A039C0" w:rsidRPr="000822CC">
        <w:rPr>
          <w:rFonts w:asciiTheme="minorHAnsi" w:hAnsiTheme="minorHAnsi" w:cs="Arial"/>
        </w:rPr>
        <w:t xml:space="preserve"> </w:t>
      </w:r>
      <w:r w:rsidRPr="000822CC">
        <w:rPr>
          <w:rFonts w:asciiTheme="minorHAnsi" w:hAnsiTheme="minorHAnsi" w:cs="Arial"/>
        </w:rPr>
        <w:t>Adolescents (</w:t>
      </w:r>
      <w:proofErr w:type="spellStart"/>
      <w:r w:rsidRPr="000822CC">
        <w:rPr>
          <w:rFonts w:asciiTheme="minorHAnsi" w:hAnsiTheme="minorHAnsi" w:cs="Arial"/>
        </w:rPr>
        <w:t>HoNOSCA</w:t>
      </w:r>
      <w:proofErr w:type="spellEnd"/>
      <w:r w:rsidRPr="000822CC">
        <w:rPr>
          <w:rFonts w:asciiTheme="minorHAnsi" w:hAnsiTheme="minorHAnsi" w:cs="Arial"/>
        </w:rPr>
        <w:t xml:space="preserve">)) showed clinically and statistically significant improvement in scores between admission and discharge. After discharge the clinical scores for children returned to levels commonly recorded in children attending outpatient clinics. Clinical gains made were maintained a year after discharge. </w:t>
      </w:r>
    </w:p>
    <w:p w:rsidR="00D15E48" w:rsidRPr="00D15E48" w:rsidRDefault="00D15E48" w:rsidP="000822CC">
      <w:pPr>
        <w:pStyle w:val="ListParagraph"/>
        <w:ind w:left="792"/>
        <w:rPr>
          <w:rFonts w:asciiTheme="minorHAnsi" w:hAnsiTheme="minorHAnsi" w:cs="Arial"/>
        </w:rPr>
      </w:pPr>
    </w:p>
    <w:p w:rsidR="00EA4491" w:rsidRPr="000822CC" w:rsidRDefault="00BB0FAC" w:rsidP="000822CC">
      <w:pPr>
        <w:pStyle w:val="ListParagraph"/>
        <w:numPr>
          <w:ilvl w:val="1"/>
          <w:numId w:val="28"/>
        </w:numPr>
        <w:ind w:hanging="792"/>
        <w:rPr>
          <w:rFonts w:asciiTheme="minorHAnsi" w:hAnsiTheme="minorHAnsi" w:cs="Arial"/>
        </w:rPr>
      </w:pPr>
      <w:r w:rsidRPr="000822CC">
        <w:rPr>
          <w:rFonts w:asciiTheme="minorHAnsi" w:hAnsiTheme="minorHAnsi" w:cs="Arial"/>
        </w:rPr>
        <w:t>The service also operates in compliance with the legislative frameworks of the Children Act 2004 and the Mental Health Act 1983, as amended by the Mental Health Act 2007. Care should be informed by evidence based practice including National Institute for Health and Care Excellence (NICE) and other best practice guidelines. The service will provide care within the framework provided by membership of the Quality Network for Inpatient CAMHS (QNIC) and will</w:t>
      </w:r>
      <w:r w:rsidR="00A039C0" w:rsidRPr="000822CC">
        <w:rPr>
          <w:rFonts w:asciiTheme="minorHAnsi" w:hAnsiTheme="minorHAnsi" w:cs="Arial"/>
        </w:rPr>
        <w:t xml:space="preserve"> </w:t>
      </w:r>
      <w:r w:rsidRPr="000822CC">
        <w:rPr>
          <w:rFonts w:asciiTheme="minorHAnsi" w:hAnsiTheme="minorHAnsi" w:cs="Arial"/>
        </w:rPr>
        <w:t>develop the service and maintain / improve quality through a system of review against QNIC service standards.</w:t>
      </w:r>
    </w:p>
    <w:p w:rsidR="00A039C0" w:rsidRPr="00D15E48" w:rsidRDefault="00A039C0" w:rsidP="00BB0FAC">
      <w:pPr>
        <w:spacing w:after="0"/>
        <w:rPr>
          <w:rFonts w:cs="Arial"/>
        </w:rPr>
      </w:pPr>
    </w:p>
    <w:p w:rsidR="00885CAF" w:rsidRPr="000822CC" w:rsidRDefault="000E4977" w:rsidP="000822CC">
      <w:pPr>
        <w:pStyle w:val="ListParagraph"/>
        <w:numPr>
          <w:ilvl w:val="0"/>
          <w:numId w:val="28"/>
        </w:numPr>
        <w:rPr>
          <w:rFonts w:asciiTheme="minorHAnsi" w:hAnsiTheme="minorHAnsi" w:cs="Arial"/>
          <w:b/>
        </w:rPr>
      </w:pPr>
      <w:r>
        <w:rPr>
          <w:rFonts w:asciiTheme="minorHAnsi" w:hAnsiTheme="minorHAnsi" w:cs="Arial"/>
          <w:b/>
        </w:rPr>
        <w:t xml:space="preserve">Current </w:t>
      </w:r>
      <w:r w:rsidR="00D67249">
        <w:rPr>
          <w:rFonts w:asciiTheme="minorHAnsi" w:hAnsiTheme="minorHAnsi" w:cs="Arial"/>
          <w:b/>
        </w:rPr>
        <w:t>d</w:t>
      </w:r>
      <w:r w:rsidR="00885CAF" w:rsidRPr="000822CC">
        <w:rPr>
          <w:rFonts w:asciiTheme="minorHAnsi" w:hAnsiTheme="minorHAnsi" w:cs="Arial"/>
          <w:b/>
        </w:rPr>
        <w:t xml:space="preserve">emand </w:t>
      </w:r>
      <w:r w:rsidR="00D67249">
        <w:rPr>
          <w:rFonts w:asciiTheme="minorHAnsi" w:hAnsiTheme="minorHAnsi" w:cs="Arial"/>
          <w:b/>
        </w:rPr>
        <w:t>and capacity r</w:t>
      </w:r>
      <w:r w:rsidR="006F6019" w:rsidRPr="000822CC">
        <w:rPr>
          <w:rFonts w:asciiTheme="minorHAnsi" w:hAnsiTheme="minorHAnsi" w:cs="Arial"/>
          <w:b/>
        </w:rPr>
        <w:t>equirements</w:t>
      </w:r>
    </w:p>
    <w:p w:rsidR="000822CC" w:rsidRDefault="000822CC" w:rsidP="000822CC">
      <w:pPr>
        <w:pStyle w:val="ListParagraph"/>
        <w:ind w:left="792"/>
        <w:rPr>
          <w:rFonts w:asciiTheme="minorHAnsi" w:hAnsiTheme="minorHAnsi" w:cs="Arial"/>
        </w:rPr>
      </w:pPr>
    </w:p>
    <w:p w:rsidR="00EA52A2" w:rsidRPr="000822CC" w:rsidRDefault="003E7214" w:rsidP="000822CC">
      <w:pPr>
        <w:pStyle w:val="ListParagraph"/>
        <w:numPr>
          <w:ilvl w:val="1"/>
          <w:numId w:val="28"/>
        </w:numPr>
        <w:ind w:hanging="792"/>
        <w:rPr>
          <w:rFonts w:asciiTheme="minorHAnsi" w:hAnsiTheme="minorHAnsi" w:cs="Arial"/>
        </w:rPr>
      </w:pPr>
      <w:r w:rsidRPr="000822CC">
        <w:rPr>
          <w:rFonts w:asciiTheme="minorHAnsi" w:hAnsiTheme="minorHAnsi" w:cs="Arial"/>
        </w:rPr>
        <w:t xml:space="preserve">There are </w:t>
      </w:r>
      <w:r w:rsidR="00EA4491" w:rsidRPr="000822CC">
        <w:rPr>
          <w:rFonts w:asciiTheme="minorHAnsi" w:hAnsiTheme="minorHAnsi" w:cs="Arial"/>
        </w:rPr>
        <w:t xml:space="preserve">currently </w:t>
      </w:r>
      <w:r w:rsidRPr="000822CC">
        <w:rPr>
          <w:rFonts w:asciiTheme="minorHAnsi" w:hAnsiTheme="minorHAnsi" w:cs="Arial"/>
        </w:rPr>
        <w:t xml:space="preserve">no services in the South </w:t>
      </w:r>
      <w:r w:rsidR="00BB0FAC" w:rsidRPr="000822CC">
        <w:rPr>
          <w:rFonts w:asciiTheme="minorHAnsi" w:hAnsiTheme="minorHAnsi" w:cs="Arial"/>
        </w:rPr>
        <w:t xml:space="preserve">for children under the age of 13 requiring specialist mental health inpatient services.  </w:t>
      </w:r>
      <w:r w:rsidR="00EA52A2" w:rsidRPr="000822CC">
        <w:rPr>
          <w:rFonts w:asciiTheme="minorHAnsi" w:hAnsiTheme="minorHAnsi" w:cs="Arial"/>
        </w:rPr>
        <w:t>As at the 18th July 2018 there were:</w:t>
      </w:r>
    </w:p>
    <w:p w:rsidR="00EA52A2" w:rsidRPr="00BB4D4B" w:rsidRDefault="00EA52A2" w:rsidP="00EA52A2">
      <w:pPr>
        <w:pStyle w:val="ListParagraph"/>
        <w:numPr>
          <w:ilvl w:val="0"/>
          <w:numId w:val="35"/>
        </w:numPr>
        <w:rPr>
          <w:rFonts w:cs="Arial"/>
        </w:rPr>
      </w:pPr>
      <w:r w:rsidRPr="00BB4D4B">
        <w:rPr>
          <w:rFonts w:cs="Arial"/>
        </w:rPr>
        <w:t xml:space="preserve">15 children </w:t>
      </w:r>
      <w:r w:rsidR="00BB4D4B" w:rsidRPr="00BB4D4B">
        <w:rPr>
          <w:rFonts w:cs="Arial"/>
        </w:rPr>
        <w:t>(12 girls and 3 boys)</w:t>
      </w:r>
      <w:r w:rsidR="00BB4D4B">
        <w:rPr>
          <w:rFonts w:cs="Arial"/>
        </w:rPr>
        <w:t xml:space="preserve"> </w:t>
      </w:r>
      <w:r w:rsidRPr="00BB4D4B">
        <w:rPr>
          <w:rFonts w:cs="Arial"/>
        </w:rPr>
        <w:t>inpatients from the South Region (6 South Central, 5 South East and 4 South West)</w:t>
      </w:r>
      <w:r w:rsidR="00BB4D4B" w:rsidRPr="00BB4D4B">
        <w:rPr>
          <w:rFonts w:cs="Arial"/>
        </w:rPr>
        <w:t>;</w:t>
      </w:r>
    </w:p>
    <w:p w:rsidR="00BB4D4B" w:rsidRDefault="00BB4D4B" w:rsidP="00EA52A2">
      <w:pPr>
        <w:pStyle w:val="ListParagraph"/>
        <w:numPr>
          <w:ilvl w:val="0"/>
          <w:numId w:val="35"/>
        </w:numPr>
        <w:rPr>
          <w:rFonts w:cs="Arial"/>
        </w:rPr>
      </w:pPr>
      <w:r>
        <w:rPr>
          <w:rFonts w:cs="Arial"/>
        </w:rPr>
        <w:t>One child has a Learning Disability and/or Autism and is on the AT register</w:t>
      </w:r>
    </w:p>
    <w:p w:rsidR="00EA52A2" w:rsidRDefault="00EA52A2" w:rsidP="00EA52A2">
      <w:pPr>
        <w:pStyle w:val="ListParagraph"/>
        <w:numPr>
          <w:ilvl w:val="0"/>
          <w:numId w:val="35"/>
        </w:numPr>
        <w:rPr>
          <w:rFonts w:cs="Arial"/>
        </w:rPr>
      </w:pPr>
      <w:r>
        <w:rPr>
          <w:rFonts w:cs="Arial"/>
        </w:rPr>
        <w:t>One</w:t>
      </w:r>
      <w:r w:rsidR="00BB4D4B">
        <w:rPr>
          <w:rFonts w:cs="Arial"/>
        </w:rPr>
        <w:t xml:space="preserve"> child has been an inpatient in </w:t>
      </w:r>
      <w:r w:rsidRPr="00EA52A2">
        <w:rPr>
          <w:rFonts w:cs="Arial"/>
        </w:rPr>
        <w:t xml:space="preserve">Northampton </w:t>
      </w:r>
      <w:r>
        <w:rPr>
          <w:rFonts w:cs="Arial"/>
        </w:rPr>
        <w:t>for 719 days</w:t>
      </w:r>
      <w:r w:rsidR="00BB4D4B">
        <w:rPr>
          <w:rFonts w:cs="Arial"/>
        </w:rPr>
        <w:t>, 53 miles from home;</w:t>
      </w:r>
    </w:p>
    <w:p w:rsidR="00BB4D4B" w:rsidRDefault="00EA52A2" w:rsidP="00EA52A2">
      <w:pPr>
        <w:pStyle w:val="ListParagraph"/>
        <w:numPr>
          <w:ilvl w:val="0"/>
          <w:numId w:val="35"/>
        </w:numPr>
        <w:rPr>
          <w:rFonts w:cs="Arial"/>
        </w:rPr>
      </w:pPr>
      <w:r>
        <w:rPr>
          <w:rFonts w:cs="Arial"/>
        </w:rPr>
        <w:t>10 children are inpatients in units  between 36 miles and 218 miles</w:t>
      </w:r>
    </w:p>
    <w:p w:rsidR="00EA52A2" w:rsidRDefault="00EA52A2" w:rsidP="00EA52A2">
      <w:pPr>
        <w:pStyle w:val="ListParagraph"/>
        <w:numPr>
          <w:ilvl w:val="0"/>
          <w:numId w:val="35"/>
        </w:numPr>
        <w:rPr>
          <w:rFonts w:cs="Arial"/>
        </w:rPr>
      </w:pPr>
      <w:r>
        <w:rPr>
          <w:rFonts w:cs="Arial"/>
        </w:rPr>
        <w:t>5 children are within 20 miles from home</w:t>
      </w:r>
      <w:r w:rsidR="00BB4D4B">
        <w:rPr>
          <w:rFonts w:cs="Arial"/>
        </w:rPr>
        <w:t>;</w:t>
      </w:r>
    </w:p>
    <w:p w:rsidR="00BB4D4B" w:rsidRDefault="00BB4D4B" w:rsidP="00EA52A2">
      <w:pPr>
        <w:pStyle w:val="ListParagraph"/>
        <w:numPr>
          <w:ilvl w:val="0"/>
          <w:numId w:val="35"/>
        </w:numPr>
        <w:rPr>
          <w:rFonts w:cs="Arial"/>
        </w:rPr>
      </w:pPr>
      <w:r>
        <w:rPr>
          <w:rFonts w:cs="Arial"/>
        </w:rPr>
        <w:t>80% (12) of the children are informal admissions and 20% (3) detained under the MHA section 3 assessment and treatment order;</w:t>
      </w:r>
    </w:p>
    <w:p w:rsidR="00BB4D4B" w:rsidRDefault="00BB4D4B" w:rsidP="00EA52A2">
      <w:pPr>
        <w:pStyle w:val="ListParagraph"/>
        <w:numPr>
          <w:ilvl w:val="0"/>
          <w:numId w:val="35"/>
        </w:numPr>
        <w:rPr>
          <w:rFonts w:cs="Arial"/>
        </w:rPr>
      </w:pPr>
      <w:r>
        <w:rPr>
          <w:rFonts w:cs="Arial"/>
        </w:rPr>
        <w:t>40% of the children are inpatient in specialist children’s services (12 and under) with 60% in CAMHS services (13 – 18 year olds)</w:t>
      </w:r>
    </w:p>
    <w:p w:rsidR="00BB4D4B" w:rsidRPr="00EA52A2" w:rsidRDefault="00BB4D4B" w:rsidP="00EA52A2">
      <w:pPr>
        <w:pStyle w:val="ListParagraph"/>
        <w:numPr>
          <w:ilvl w:val="0"/>
          <w:numId w:val="35"/>
        </w:numPr>
        <w:rPr>
          <w:rFonts w:cs="Arial"/>
        </w:rPr>
      </w:pPr>
      <w:r>
        <w:rPr>
          <w:rFonts w:cs="Arial"/>
        </w:rPr>
        <w:lastRenderedPageBreak/>
        <w:t>7 children in CAMHS GAU, 2 children in LSU and 6 ED beds (3 children’s service beds/3 CAMHS beds)</w:t>
      </w:r>
    </w:p>
    <w:p w:rsidR="000E4977" w:rsidRDefault="000E4977" w:rsidP="00D67249">
      <w:pPr>
        <w:spacing w:after="0"/>
        <w:rPr>
          <w:rFonts w:cs="Arial"/>
        </w:rPr>
      </w:pPr>
    </w:p>
    <w:p w:rsidR="00EA52A2" w:rsidRDefault="00BB4D4B" w:rsidP="000822CC">
      <w:pPr>
        <w:pStyle w:val="ListParagraph"/>
        <w:numPr>
          <w:ilvl w:val="0"/>
          <w:numId w:val="28"/>
        </w:numPr>
        <w:rPr>
          <w:rFonts w:asciiTheme="minorHAnsi" w:hAnsiTheme="minorHAnsi" w:cs="Arial"/>
          <w:b/>
        </w:rPr>
      </w:pPr>
      <w:r w:rsidRPr="000822CC">
        <w:rPr>
          <w:rFonts w:asciiTheme="minorHAnsi" w:hAnsiTheme="minorHAnsi" w:cs="Arial"/>
          <w:b/>
        </w:rPr>
        <w:t>Current admissions</w:t>
      </w:r>
    </w:p>
    <w:p w:rsidR="000822CC" w:rsidRPr="000822CC" w:rsidRDefault="000822CC" w:rsidP="000822CC">
      <w:pPr>
        <w:pStyle w:val="ListParagraph"/>
        <w:ind w:left="360"/>
        <w:rPr>
          <w:rFonts w:asciiTheme="minorHAnsi" w:hAnsiTheme="minorHAnsi" w:cs="Arial"/>
          <w:b/>
        </w:rPr>
      </w:pPr>
    </w:p>
    <w:tbl>
      <w:tblPr>
        <w:tblW w:w="8760" w:type="dxa"/>
        <w:tblInd w:w="93" w:type="dxa"/>
        <w:tblLook w:val="04A0" w:firstRow="1" w:lastRow="0" w:firstColumn="1" w:lastColumn="0" w:noHBand="0" w:noVBand="1"/>
      </w:tblPr>
      <w:tblGrid>
        <w:gridCol w:w="1460"/>
        <w:gridCol w:w="1460"/>
        <w:gridCol w:w="1460"/>
        <w:gridCol w:w="1460"/>
        <w:gridCol w:w="1460"/>
        <w:gridCol w:w="1460"/>
      </w:tblGrid>
      <w:tr w:rsidR="00EA52A2" w:rsidRPr="00EA52A2" w:rsidTr="00BB4D4B">
        <w:trPr>
          <w:trHeight w:val="900"/>
        </w:trPr>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 xml:space="preserve">Age at Admission </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 xml:space="preserve">Number of children </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Informal</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Section 3</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Children's Service</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4F81BD"/>
            <w:vAlign w:val="bottom"/>
            <w:hideMark/>
          </w:tcPr>
          <w:p w:rsidR="00EA52A2" w:rsidRPr="00EA52A2" w:rsidRDefault="00EA52A2" w:rsidP="00EA52A2">
            <w:pPr>
              <w:spacing w:after="0" w:line="240" w:lineRule="auto"/>
              <w:rPr>
                <w:rFonts w:ascii="Calibri" w:eastAsia="Times New Roman" w:hAnsi="Calibri" w:cs="Times New Roman"/>
                <w:b/>
                <w:bCs/>
                <w:color w:val="FFFFFF"/>
                <w:lang w:eastAsia="en-GB"/>
              </w:rPr>
            </w:pPr>
            <w:r w:rsidRPr="00EA52A2">
              <w:rPr>
                <w:rFonts w:ascii="Calibri" w:eastAsia="Times New Roman" w:hAnsi="Calibri" w:cs="Times New Roman"/>
                <w:b/>
                <w:bCs/>
                <w:color w:val="FFFFFF"/>
                <w:lang w:eastAsia="en-GB"/>
              </w:rPr>
              <w:t>CAMHS 13+</w:t>
            </w:r>
          </w:p>
        </w:tc>
      </w:tr>
      <w:tr w:rsidR="00EA52A2" w:rsidRPr="00EA52A2" w:rsidTr="00BB4D4B">
        <w:trPr>
          <w:trHeight w:val="300"/>
        </w:trPr>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10</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2</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r>
      <w:tr w:rsidR="00EA52A2" w:rsidRPr="00EA52A2" w:rsidTr="00BB4D4B">
        <w:trPr>
          <w:trHeight w:val="300"/>
        </w:trPr>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7</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6</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5</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2</w:t>
            </w:r>
          </w:p>
        </w:tc>
      </w:tr>
      <w:tr w:rsidR="00EA52A2" w:rsidRPr="00EA52A2" w:rsidTr="00BB4D4B">
        <w:trPr>
          <w:trHeight w:val="300"/>
        </w:trPr>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12</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6</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5</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1</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0</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lang w:eastAsia="en-GB"/>
              </w:rPr>
            </w:pPr>
            <w:r w:rsidRPr="00EA52A2">
              <w:rPr>
                <w:rFonts w:ascii="Calibri" w:eastAsia="Times New Roman" w:hAnsi="Calibri" w:cs="Times New Roman"/>
                <w:lang w:eastAsia="en-GB"/>
              </w:rPr>
              <w:t>6</w:t>
            </w:r>
          </w:p>
        </w:tc>
      </w:tr>
      <w:tr w:rsidR="00EA52A2" w:rsidRPr="00EA52A2" w:rsidTr="00BB4D4B">
        <w:trPr>
          <w:trHeight w:val="300"/>
        </w:trPr>
        <w:tc>
          <w:tcPr>
            <w:tcW w:w="1460" w:type="dxa"/>
            <w:tcBorders>
              <w:top w:val="single" w:sz="4" w:space="0" w:color="4F81BD" w:themeColor="accent1"/>
              <w:left w:val="nil"/>
              <w:bottom w:val="nil"/>
              <w:right w:val="single" w:sz="4" w:space="0" w:color="4F81BD" w:themeColor="accent1"/>
            </w:tcBorders>
            <w:shd w:val="clear" w:color="auto" w:fill="auto"/>
            <w:noWrap/>
            <w:vAlign w:val="bottom"/>
            <w:hideMark/>
          </w:tcPr>
          <w:p w:rsidR="00EA52A2" w:rsidRPr="00EA52A2" w:rsidRDefault="00EA52A2" w:rsidP="00EA52A2">
            <w:pPr>
              <w:spacing w:after="0" w:line="240" w:lineRule="auto"/>
              <w:rPr>
                <w:rFonts w:ascii="Calibri" w:eastAsia="Times New Roman" w:hAnsi="Calibri" w:cs="Times New Roman"/>
                <w:lang w:eastAsia="en-GB"/>
              </w:rPr>
            </w:pP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b/>
                <w:bCs/>
                <w:lang w:eastAsia="en-GB"/>
              </w:rPr>
            </w:pPr>
            <w:r w:rsidRPr="00EA52A2">
              <w:rPr>
                <w:rFonts w:ascii="Calibri" w:eastAsia="Times New Roman" w:hAnsi="Calibri" w:cs="Times New Roman"/>
                <w:b/>
                <w:bCs/>
                <w:lang w:eastAsia="en-GB"/>
              </w:rPr>
              <w:t>15</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b/>
                <w:bCs/>
                <w:lang w:eastAsia="en-GB"/>
              </w:rPr>
            </w:pPr>
            <w:r w:rsidRPr="00EA52A2">
              <w:rPr>
                <w:rFonts w:ascii="Calibri" w:eastAsia="Times New Roman" w:hAnsi="Calibri" w:cs="Times New Roman"/>
                <w:b/>
                <w:bCs/>
                <w:lang w:eastAsia="en-GB"/>
              </w:rPr>
              <w:t>12</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b/>
                <w:bCs/>
                <w:lang w:eastAsia="en-GB"/>
              </w:rPr>
            </w:pPr>
            <w:r w:rsidRPr="00EA52A2">
              <w:rPr>
                <w:rFonts w:ascii="Calibri" w:eastAsia="Times New Roman" w:hAnsi="Calibri" w:cs="Times New Roman"/>
                <w:b/>
                <w:bCs/>
                <w:lang w:eastAsia="en-GB"/>
              </w:rPr>
              <w:t>3</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b/>
                <w:bCs/>
                <w:lang w:eastAsia="en-GB"/>
              </w:rPr>
            </w:pPr>
            <w:r w:rsidRPr="00EA52A2">
              <w:rPr>
                <w:rFonts w:ascii="Calibri" w:eastAsia="Times New Roman" w:hAnsi="Calibri" w:cs="Times New Roman"/>
                <w:b/>
                <w:bCs/>
                <w:lang w:eastAsia="en-GB"/>
              </w:rPr>
              <w:t>6</w:t>
            </w:r>
          </w:p>
        </w:tc>
        <w:tc>
          <w:tcPr>
            <w:tcW w:w="14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bottom"/>
            <w:hideMark/>
          </w:tcPr>
          <w:p w:rsidR="00EA52A2" w:rsidRPr="00EA52A2" w:rsidRDefault="00EA52A2" w:rsidP="00EA52A2">
            <w:pPr>
              <w:spacing w:after="0" w:line="240" w:lineRule="auto"/>
              <w:jc w:val="right"/>
              <w:rPr>
                <w:rFonts w:ascii="Calibri" w:eastAsia="Times New Roman" w:hAnsi="Calibri" w:cs="Times New Roman"/>
                <w:b/>
                <w:bCs/>
                <w:lang w:eastAsia="en-GB"/>
              </w:rPr>
            </w:pPr>
            <w:r w:rsidRPr="00EA52A2">
              <w:rPr>
                <w:rFonts w:ascii="Calibri" w:eastAsia="Times New Roman" w:hAnsi="Calibri" w:cs="Times New Roman"/>
                <w:b/>
                <w:bCs/>
                <w:lang w:eastAsia="en-GB"/>
              </w:rPr>
              <w:t>9</w:t>
            </w:r>
          </w:p>
        </w:tc>
      </w:tr>
    </w:tbl>
    <w:p w:rsidR="00A96D73" w:rsidRPr="00D67249" w:rsidRDefault="00A96D73" w:rsidP="00D67249">
      <w:pPr>
        <w:rPr>
          <w:rFonts w:cs="Arial"/>
        </w:rPr>
      </w:pPr>
    </w:p>
    <w:p w:rsidR="00A039C0" w:rsidRPr="00D15E48" w:rsidRDefault="00A039C0" w:rsidP="00442C1B">
      <w:pPr>
        <w:pStyle w:val="ListParagraph"/>
        <w:numPr>
          <w:ilvl w:val="1"/>
          <w:numId w:val="28"/>
        </w:numPr>
        <w:ind w:hanging="792"/>
        <w:rPr>
          <w:rFonts w:asciiTheme="minorHAnsi" w:hAnsiTheme="minorHAnsi" w:cs="Arial"/>
        </w:rPr>
      </w:pPr>
      <w:r w:rsidRPr="00D15E48">
        <w:rPr>
          <w:rFonts w:asciiTheme="minorHAnsi" w:hAnsiTheme="minorHAnsi" w:cs="Arial"/>
        </w:rPr>
        <w:t xml:space="preserve">The aim of the service is to deliver family centred specialist inpatient, day patient and outpatient/outreach mental health care and treatment to children (and their families) who are suffering from severe and /or complex mental health conditions that cannot be adequately treated by community based services. The service will achieve this aim by: </w:t>
      </w:r>
    </w:p>
    <w:p w:rsidR="00A039C0" w:rsidRPr="00D15E48" w:rsidRDefault="00A039C0" w:rsidP="00A039C0">
      <w:pPr>
        <w:spacing w:after="0"/>
        <w:rPr>
          <w:rFonts w:cs="Arial"/>
        </w:rPr>
      </w:pP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Providing a holistic comprehensive assessment of the child’s needs and those of their family;</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Providing appropriate, multi-disciplinary, intensive mental health treatment appropriate to the child’s age and developmental stage, using agreed best practice protocols (e.g. NICE guidelines) where available;</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Providing treatment that will result in improved function and safe and sustainable recovery and improved resilience as shown by improved mental well-being, increased social inclusion, increased access to education and improved peer/family relationships;</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Providing treatment in a safe, age appropriate, child friendly environment where risks are managed proactively and in the least restrictive way ensuring the safety of the child and others;</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 xml:space="preserve">Working collaboratively with parents/carers to provide family centred care </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Providing care in a unit as close as possible to home unless specific circumstances suggest that more effective care could be delivered in a unit at a greater distance;</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 xml:space="preserve">Providing timely assessment and treatment including urgent admissions when needed and ensuring that children spend the least possible time in inpatient care consistent with safe and sustainable discharge; </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Ensuring effective communication between service users (including families), health providers and other involved agencies using the Care Planning Approach so that families and professionals are fully involved in the treatment and discharge process and that timely and appropriate community services are available upon discharge;</w:t>
      </w:r>
    </w:p>
    <w:p w:rsidR="00A039C0" w:rsidRPr="00D15E48" w:rsidRDefault="00A039C0" w:rsidP="00A039C0">
      <w:pPr>
        <w:pStyle w:val="ListParagraph"/>
        <w:numPr>
          <w:ilvl w:val="0"/>
          <w:numId w:val="25"/>
        </w:numPr>
        <w:rPr>
          <w:rFonts w:asciiTheme="minorHAnsi" w:hAnsiTheme="minorHAnsi" w:cs="Arial"/>
        </w:rPr>
      </w:pPr>
      <w:r w:rsidRPr="00D15E48">
        <w:rPr>
          <w:rFonts w:asciiTheme="minorHAnsi" w:hAnsiTheme="minorHAnsi" w:cs="Arial"/>
        </w:rPr>
        <w:t>Preventing inappropriate admissions of children with mental health disorders to adolescent mental health wards, paediatric wards or other residential settings;</w:t>
      </w:r>
    </w:p>
    <w:p w:rsidR="006F6019" w:rsidRDefault="00A039C0" w:rsidP="00EA4491">
      <w:pPr>
        <w:pStyle w:val="ListParagraph"/>
        <w:numPr>
          <w:ilvl w:val="0"/>
          <w:numId w:val="25"/>
        </w:numPr>
        <w:rPr>
          <w:rFonts w:asciiTheme="minorHAnsi" w:hAnsiTheme="minorHAnsi" w:cs="Arial"/>
        </w:rPr>
      </w:pPr>
      <w:r w:rsidRPr="00D15E48">
        <w:rPr>
          <w:rFonts w:asciiTheme="minorHAnsi" w:hAnsiTheme="minorHAnsi" w:cs="Arial"/>
        </w:rPr>
        <w:t>Collecting Service User and Carer feedback systematically to monitor and improve the quality of service provided.</w:t>
      </w:r>
    </w:p>
    <w:p w:rsidR="00D67249" w:rsidRPr="00D67249" w:rsidRDefault="00D67249" w:rsidP="00D67249">
      <w:pPr>
        <w:pStyle w:val="ListParagraph"/>
        <w:ind w:left="1152"/>
        <w:rPr>
          <w:rFonts w:asciiTheme="minorHAnsi" w:hAnsiTheme="minorHAnsi" w:cs="Arial"/>
        </w:rPr>
      </w:pPr>
    </w:p>
    <w:p w:rsidR="00A039C0" w:rsidRPr="00D15E48" w:rsidRDefault="00D67249" w:rsidP="009B1B0C">
      <w:pPr>
        <w:pStyle w:val="ListParagraph"/>
        <w:numPr>
          <w:ilvl w:val="0"/>
          <w:numId w:val="28"/>
        </w:numPr>
        <w:rPr>
          <w:rFonts w:asciiTheme="minorHAnsi" w:hAnsiTheme="minorHAnsi" w:cs="Arial"/>
          <w:b/>
        </w:rPr>
      </w:pPr>
      <w:r>
        <w:rPr>
          <w:rFonts w:asciiTheme="minorHAnsi" w:hAnsiTheme="minorHAnsi" w:cs="Arial"/>
          <w:b/>
        </w:rPr>
        <w:t>Service m</w:t>
      </w:r>
      <w:r w:rsidR="006F6019" w:rsidRPr="00D15E48">
        <w:rPr>
          <w:rFonts w:asciiTheme="minorHAnsi" w:hAnsiTheme="minorHAnsi" w:cs="Arial"/>
          <w:b/>
        </w:rPr>
        <w:t>odel</w:t>
      </w:r>
    </w:p>
    <w:p w:rsidR="009B1B0C" w:rsidRPr="00D15E48" w:rsidRDefault="009B1B0C" w:rsidP="009B1B0C">
      <w:pPr>
        <w:pStyle w:val="ListParagraph"/>
        <w:ind w:left="360"/>
        <w:rPr>
          <w:rFonts w:asciiTheme="minorHAnsi" w:hAnsiTheme="minorHAnsi" w:cs="Arial"/>
          <w:b/>
        </w:rPr>
      </w:pPr>
    </w:p>
    <w:p w:rsidR="009B1B0C" w:rsidRPr="00D15E48" w:rsidRDefault="006F6019" w:rsidP="00442C1B">
      <w:pPr>
        <w:pStyle w:val="ListParagraph"/>
        <w:numPr>
          <w:ilvl w:val="1"/>
          <w:numId w:val="28"/>
        </w:numPr>
        <w:ind w:hanging="792"/>
        <w:rPr>
          <w:rFonts w:asciiTheme="minorHAnsi" w:hAnsiTheme="minorHAnsi" w:cs="Arial"/>
        </w:rPr>
      </w:pPr>
      <w:r w:rsidRPr="00D15E48">
        <w:rPr>
          <w:rFonts w:asciiTheme="minorHAnsi" w:hAnsiTheme="minorHAnsi" w:cs="Arial"/>
        </w:rPr>
        <w:t xml:space="preserve">The service will provide care and treatment for children under </w:t>
      </w:r>
      <w:r w:rsidR="000E4977">
        <w:rPr>
          <w:rFonts w:asciiTheme="minorHAnsi" w:hAnsiTheme="minorHAnsi" w:cs="Arial"/>
        </w:rPr>
        <w:t xml:space="preserve">13 years of age </w:t>
      </w:r>
      <w:r w:rsidRPr="00D15E48">
        <w:rPr>
          <w:rFonts w:asciiTheme="minorHAnsi" w:hAnsiTheme="minorHAnsi" w:cs="Arial"/>
        </w:rPr>
        <w:t xml:space="preserve">who are experiencing severe mental disorders leading to significant impairment and/or risk. </w:t>
      </w:r>
    </w:p>
    <w:p w:rsidR="009B1B0C" w:rsidRPr="00D15E48" w:rsidRDefault="009B1B0C" w:rsidP="009B1B0C">
      <w:pPr>
        <w:pStyle w:val="ListParagraph"/>
        <w:ind w:left="792"/>
        <w:rPr>
          <w:rStyle w:val="BookTitle"/>
          <w:rFonts w:asciiTheme="minorHAnsi" w:hAnsiTheme="minorHAnsi"/>
        </w:rPr>
      </w:pPr>
    </w:p>
    <w:p w:rsidR="006F6019" w:rsidRPr="00D15E48" w:rsidRDefault="006F6019" w:rsidP="00442C1B">
      <w:pPr>
        <w:pStyle w:val="ListParagraph"/>
        <w:numPr>
          <w:ilvl w:val="1"/>
          <w:numId w:val="28"/>
        </w:numPr>
        <w:ind w:hanging="792"/>
        <w:rPr>
          <w:rFonts w:asciiTheme="minorHAnsi" w:hAnsiTheme="minorHAnsi" w:cs="Arial"/>
        </w:rPr>
      </w:pPr>
      <w:r w:rsidRPr="00D15E48">
        <w:rPr>
          <w:rFonts w:asciiTheme="minorHAnsi" w:hAnsiTheme="minorHAnsi" w:cs="Arial"/>
        </w:rPr>
        <w:lastRenderedPageBreak/>
        <w:t xml:space="preserve">The types of disorders include the following: </w:t>
      </w:r>
    </w:p>
    <w:p w:rsidR="006F6019" w:rsidRPr="00D15E48" w:rsidRDefault="006F6019" w:rsidP="006F6019">
      <w:pPr>
        <w:spacing w:after="0"/>
        <w:rPr>
          <w:rFonts w:cs="Arial"/>
        </w:rPr>
      </w:pP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Psychosis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Eating Disorders</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Affective Disorders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Developmental Disorders including Autism, Attention Deficit Hyperactivity Disorder (ADHD), Tic disorders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Obsessive Compulsive Disorders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Anxiety and Emotional Disorders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Self Harm, Attachment and Emotional Regulation Disorders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Primary diagnosis of Mental Illness with co-morbid Learning Difficulties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Frequently children present with very severe levels of challenging behaviour i.e. aggression/violence to others. Often children also have multiple risk factors including exposure to parental mental illness, parental offending behaviour, abuse, or parental substance misuse. Some children will be in the care of the local authority or live in families who are refugees or asylum seekers. </w:t>
      </w:r>
    </w:p>
    <w:p w:rsidR="009B1B0C" w:rsidRPr="00D15E48" w:rsidRDefault="009B1B0C" w:rsidP="009B1B0C">
      <w:pPr>
        <w:pStyle w:val="ListParagraph"/>
        <w:ind w:left="1152"/>
        <w:rPr>
          <w:rFonts w:asciiTheme="minorHAnsi" w:hAnsiTheme="minorHAnsi" w:cs="Arial"/>
        </w:rPr>
      </w:pPr>
    </w:p>
    <w:p w:rsidR="006F6019" w:rsidRPr="00D15E48" w:rsidRDefault="006F6019" w:rsidP="00442C1B">
      <w:pPr>
        <w:pStyle w:val="ListParagraph"/>
        <w:numPr>
          <w:ilvl w:val="1"/>
          <w:numId w:val="28"/>
        </w:numPr>
        <w:ind w:hanging="792"/>
        <w:rPr>
          <w:rFonts w:asciiTheme="minorHAnsi" w:hAnsiTheme="minorHAnsi" w:cs="Arial"/>
        </w:rPr>
      </w:pPr>
      <w:r w:rsidRPr="00D15E48">
        <w:rPr>
          <w:rFonts w:asciiTheme="minorHAnsi" w:hAnsiTheme="minorHAnsi" w:cs="Arial"/>
        </w:rPr>
        <w:t xml:space="preserve">Admissions occur for </w:t>
      </w:r>
      <w:r w:rsidR="000E4977">
        <w:rPr>
          <w:rFonts w:asciiTheme="minorHAnsi" w:hAnsiTheme="minorHAnsi" w:cs="Arial"/>
        </w:rPr>
        <w:t xml:space="preserve">four </w:t>
      </w:r>
      <w:r w:rsidRPr="00D15E48">
        <w:rPr>
          <w:rFonts w:asciiTheme="minorHAnsi" w:hAnsiTheme="minorHAnsi" w:cs="Arial"/>
        </w:rPr>
        <w:t xml:space="preserve">main reasons: </w:t>
      </w:r>
    </w:p>
    <w:p w:rsidR="009B1B0C" w:rsidRPr="00D15E48" w:rsidRDefault="009B1B0C" w:rsidP="009B1B0C">
      <w:pPr>
        <w:pStyle w:val="ListParagraph"/>
        <w:ind w:left="792"/>
        <w:rPr>
          <w:rFonts w:asciiTheme="minorHAnsi" w:hAnsiTheme="minorHAnsi" w:cs="Arial"/>
        </w:rPr>
      </w:pP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The child is experiencing significant impairment and their condition is deteriorating or failing to improve significantly despite appropriate outpatient management; </w:t>
      </w:r>
    </w:p>
    <w:p w:rsidR="000E4977" w:rsidRDefault="006F6019" w:rsidP="000E4977">
      <w:pPr>
        <w:pStyle w:val="ListParagraph"/>
        <w:numPr>
          <w:ilvl w:val="0"/>
          <w:numId w:val="25"/>
        </w:numPr>
        <w:rPr>
          <w:rFonts w:asciiTheme="minorHAnsi" w:hAnsiTheme="minorHAnsi" w:cs="Arial"/>
        </w:rPr>
      </w:pPr>
      <w:r w:rsidRPr="00D15E48">
        <w:rPr>
          <w:rFonts w:asciiTheme="minorHAnsi" w:hAnsiTheme="minorHAnsi" w:cs="Arial"/>
        </w:rPr>
        <w:t xml:space="preserve">There is a need for intensive assessment which could not be provided by Tier 3 CAMHS; </w:t>
      </w:r>
    </w:p>
    <w:p w:rsidR="000E4977" w:rsidRPr="000E4977" w:rsidRDefault="006F6019" w:rsidP="000E4977">
      <w:pPr>
        <w:pStyle w:val="ListParagraph"/>
        <w:numPr>
          <w:ilvl w:val="0"/>
          <w:numId w:val="25"/>
        </w:numPr>
        <w:rPr>
          <w:rFonts w:asciiTheme="minorHAnsi" w:hAnsiTheme="minorHAnsi" w:cs="Arial"/>
        </w:rPr>
      </w:pPr>
      <w:r w:rsidRPr="000E4977">
        <w:rPr>
          <w:rFonts w:cs="Arial"/>
        </w:rPr>
        <w:t xml:space="preserve">There is a need for intensive treatment which could not be provided within Tier 3 CAMHS </w:t>
      </w:r>
    </w:p>
    <w:p w:rsidR="000E4977" w:rsidRPr="000E4977" w:rsidRDefault="006F6019" w:rsidP="000E4977">
      <w:pPr>
        <w:pStyle w:val="ListParagraph"/>
        <w:numPr>
          <w:ilvl w:val="0"/>
          <w:numId w:val="25"/>
        </w:numPr>
        <w:rPr>
          <w:rFonts w:asciiTheme="minorHAnsi" w:hAnsiTheme="minorHAnsi" w:cs="Arial"/>
        </w:rPr>
      </w:pPr>
      <w:r w:rsidRPr="000E4977">
        <w:rPr>
          <w:rFonts w:cs="Arial"/>
        </w:rPr>
        <w:t>There is a need to reduce the risk to the child, family or others whilst offering intensive treatment.</w:t>
      </w:r>
    </w:p>
    <w:p w:rsidR="000E4977" w:rsidRDefault="000E4977" w:rsidP="00D67249">
      <w:pPr>
        <w:spacing w:after="0"/>
        <w:rPr>
          <w:rFonts w:cs="Arial"/>
        </w:rPr>
      </w:pPr>
    </w:p>
    <w:p w:rsidR="006F6019" w:rsidRPr="000E4977" w:rsidRDefault="006F6019" w:rsidP="000E4977">
      <w:pPr>
        <w:pStyle w:val="ListParagraph"/>
        <w:numPr>
          <w:ilvl w:val="1"/>
          <w:numId w:val="28"/>
        </w:numPr>
        <w:ind w:hanging="792"/>
        <w:rPr>
          <w:rFonts w:asciiTheme="minorHAnsi" w:hAnsiTheme="minorHAnsi" w:cs="Arial"/>
        </w:rPr>
      </w:pPr>
      <w:r w:rsidRPr="000E4977">
        <w:rPr>
          <w:rFonts w:asciiTheme="minorHAnsi" w:hAnsiTheme="minorHAnsi" w:cs="Arial"/>
        </w:rPr>
        <w:t xml:space="preserve">The service will provide safe and effective care across the different stages of the following care pathway: </w:t>
      </w:r>
    </w:p>
    <w:p w:rsidR="009B1B0C" w:rsidRPr="00D15E48" w:rsidRDefault="009B1B0C" w:rsidP="009B1B0C">
      <w:pPr>
        <w:pStyle w:val="ListParagraph"/>
        <w:ind w:left="792"/>
        <w:rPr>
          <w:rFonts w:asciiTheme="minorHAnsi" w:hAnsiTheme="minorHAnsi" w:cs="Arial"/>
        </w:rPr>
      </w:pP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Referral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Assessment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Admission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Treatment/ Care Programme Approach (CPA) process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Discharge planning and discharge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Transition to appropriate after care (usually Tier3 CAMHS services) </w:t>
      </w:r>
    </w:p>
    <w:p w:rsidR="006F6019" w:rsidRPr="00D15E48" w:rsidRDefault="006F6019" w:rsidP="00D67249">
      <w:pPr>
        <w:spacing w:after="0"/>
        <w:rPr>
          <w:rFonts w:cs="Arial"/>
        </w:rPr>
      </w:pPr>
    </w:p>
    <w:p w:rsidR="006F6019" w:rsidRPr="00D15E48" w:rsidRDefault="006F6019" w:rsidP="000E4977">
      <w:pPr>
        <w:pStyle w:val="ListParagraph"/>
        <w:numPr>
          <w:ilvl w:val="1"/>
          <w:numId w:val="28"/>
        </w:numPr>
        <w:ind w:hanging="792"/>
        <w:rPr>
          <w:rFonts w:asciiTheme="minorHAnsi" w:hAnsiTheme="minorHAnsi" w:cs="Arial"/>
        </w:rPr>
      </w:pPr>
      <w:r w:rsidRPr="00D15E48">
        <w:rPr>
          <w:rFonts w:asciiTheme="minorHAnsi" w:hAnsiTheme="minorHAnsi" w:cs="Arial"/>
        </w:rPr>
        <w:t>The services will also comprise the following elements:</w:t>
      </w:r>
    </w:p>
    <w:p w:rsidR="009B1B0C" w:rsidRPr="00D15E48" w:rsidRDefault="009B1B0C" w:rsidP="009B1B0C">
      <w:pPr>
        <w:pStyle w:val="ListParagraph"/>
        <w:ind w:left="792"/>
        <w:rPr>
          <w:rFonts w:asciiTheme="minorHAnsi" w:hAnsiTheme="minorHAnsi" w:cs="Arial"/>
        </w:rPr>
      </w:pP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In/day patient education provision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Outpatient second opinion assessments, advice and consultation to Tier 3 CAMHS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 xml:space="preserve">Outpatient attendance as part of discharge transition </w:t>
      </w:r>
    </w:p>
    <w:p w:rsidR="006F6019" w:rsidRPr="00442C1B" w:rsidRDefault="006F6019" w:rsidP="00442C1B">
      <w:pPr>
        <w:pStyle w:val="ListParagraph"/>
        <w:ind w:left="792"/>
        <w:rPr>
          <w:rFonts w:asciiTheme="minorHAnsi" w:hAnsiTheme="minorHAnsi" w:cs="Arial"/>
        </w:rPr>
      </w:pPr>
    </w:p>
    <w:p w:rsidR="006F6019" w:rsidRPr="00D15E48" w:rsidRDefault="006F6019" w:rsidP="000E4977">
      <w:pPr>
        <w:pStyle w:val="ListParagraph"/>
        <w:numPr>
          <w:ilvl w:val="1"/>
          <w:numId w:val="28"/>
        </w:numPr>
        <w:ind w:hanging="792"/>
        <w:rPr>
          <w:rFonts w:asciiTheme="minorHAnsi" w:hAnsiTheme="minorHAnsi" w:cs="Arial"/>
        </w:rPr>
      </w:pPr>
      <w:r w:rsidRPr="00D15E48">
        <w:rPr>
          <w:rFonts w:asciiTheme="minorHAnsi" w:hAnsiTheme="minorHAnsi" w:cs="Arial"/>
        </w:rPr>
        <w:t xml:space="preserve">In </w:t>
      </w:r>
      <w:r w:rsidR="009B1B0C" w:rsidRPr="00D15E48">
        <w:rPr>
          <w:rFonts w:asciiTheme="minorHAnsi" w:hAnsiTheme="minorHAnsi" w:cs="Arial"/>
        </w:rPr>
        <w:t>addition,</w:t>
      </w:r>
      <w:r w:rsidRPr="00D15E48">
        <w:rPr>
          <w:rFonts w:asciiTheme="minorHAnsi" w:hAnsiTheme="minorHAnsi" w:cs="Arial"/>
        </w:rPr>
        <w:t xml:space="preserve"> services may provide: </w:t>
      </w:r>
    </w:p>
    <w:p w:rsidR="009B1B0C" w:rsidRPr="00D15E48" w:rsidRDefault="009B1B0C" w:rsidP="009B1B0C">
      <w:pPr>
        <w:pStyle w:val="ListParagraph"/>
        <w:ind w:left="792"/>
        <w:rPr>
          <w:rFonts w:asciiTheme="minorHAnsi" w:hAnsiTheme="minorHAnsi" w:cs="Arial"/>
        </w:rPr>
      </w:pPr>
    </w:p>
    <w:p w:rsidR="006F6019" w:rsidRPr="00D15E48" w:rsidRDefault="006F6019" w:rsidP="006F6019">
      <w:pPr>
        <w:pStyle w:val="ListParagraph"/>
        <w:numPr>
          <w:ilvl w:val="0"/>
          <w:numId w:val="25"/>
        </w:numPr>
        <w:rPr>
          <w:rFonts w:asciiTheme="minorHAnsi" w:hAnsiTheme="minorHAnsi" w:cs="Arial"/>
        </w:rPr>
      </w:pPr>
      <w:r w:rsidRPr="00D15E48">
        <w:rPr>
          <w:rFonts w:asciiTheme="minorHAnsi" w:hAnsiTheme="minorHAnsi" w:cs="Arial"/>
        </w:rPr>
        <w:t xml:space="preserve">Outreach to facilitate transition from day/in-patient care </w:t>
      </w:r>
    </w:p>
    <w:p w:rsidR="006F6019" w:rsidRPr="00D15E48" w:rsidRDefault="006F6019" w:rsidP="000C3BDF">
      <w:pPr>
        <w:pStyle w:val="ListParagraph"/>
        <w:numPr>
          <w:ilvl w:val="0"/>
          <w:numId w:val="25"/>
        </w:numPr>
        <w:rPr>
          <w:rFonts w:asciiTheme="minorHAnsi" w:hAnsiTheme="minorHAnsi" w:cs="Arial"/>
        </w:rPr>
      </w:pPr>
      <w:r w:rsidRPr="00D15E48">
        <w:rPr>
          <w:rFonts w:asciiTheme="minorHAnsi" w:hAnsiTheme="minorHAnsi" w:cs="Arial"/>
        </w:rPr>
        <w:t>Access to accommodation for parents/carers to facilitate assessment/treatment.</w:t>
      </w:r>
    </w:p>
    <w:p w:rsidR="006F6019" w:rsidRPr="00D15E48" w:rsidRDefault="006F6019" w:rsidP="006F6019">
      <w:pPr>
        <w:pStyle w:val="ListParagraph"/>
        <w:ind w:left="1080"/>
        <w:rPr>
          <w:rFonts w:asciiTheme="minorHAnsi" w:hAnsiTheme="minorHAnsi" w:cs="Arial"/>
        </w:rPr>
      </w:pPr>
    </w:p>
    <w:sectPr w:rsidR="006F6019" w:rsidRPr="00D15E4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16" w:rsidRDefault="00DC7B16" w:rsidP="00F75339">
      <w:pPr>
        <w:spacing w:after="0" w:line="240" w:lineRule="auto"/>
      </w:pPr>
      <w:r>
        <w:separator/>
      </w:r>
    </w:p>
  </w:endnote>
  <w:endnote w:type="continuationSeparator" w:id="0">
    <w:p w:rsidR="00DC7B16" w:rsidRDefault="00DC7B16" w:rsidP="00F7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822283"/>
      <w:docPartObj>
        <w:docPartGallery w:val="Page Numbers (Bottom of Page)"/>
        <w:docPartUnique/>
      </w:docPartObj>
    </w:sdtPr>
    <w:sdtEndPr>
      <w:rPr>
        <w:noProof/>
      </w:rPr>
    </w:sdtEndPr>
    <w:sdtContent>
      <w:p w:rsidR="00946BA8" w:rsidRDefault="00946BA8">
        <w:pPr>
          <w:pStyle w:val="Footer"/>
          <w:jc w:val="center"/>
        </w:pPr>
        <w:r>
          <w:fldChar w:fldCharType="begin"/>
        </w:r>
        <w:r>
          <w:instrText xml:space="preserve"> PAGE   \* MERGEFORMAT </w:instrText>
        </w:r>
        <w:r>
          <w:fldChar w:fldCharType="separate"/>
        </w:r>
        <w:r w:rsidR="00241C30">
          <w:rPr>
            <w:noProof/>
          </w:rPr>
          <w:t>1</w:t>
        </w:r>
        <w:r>
          <w:rPr>
            <w:noProof/>
          </w:rPr>
          <w:fldChar w:fldCharType="end"/>
        </w:r>
      </w:p>
    </w:sdtContent>
  </w:sdt>
  <w:p w:rsidR="00946BA8" w:rsidRDefault="00946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16" w:rsidRDefault="00DC7B16" w:rsidP="00F75339">
      <w:pPr>
        <w:spacing w:after="0" w:line="240" w:lineRule="auto"/>
      </w:pPr>
      <w:r>
        <w:separator/>
      </w:r>
    </w:p>
  </w:footnote>
  <w:footnote w:type="continuationSeparator" w:id="0">
    <w:p w:rsidR="00DC7B16" w:rsidRDefault="00DC7B16" w:rsidP="00F7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DA3"/>
    <w:multiLevelType w:val="hybridMultilevel"/>
    <w:tmpl w:val="3A02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047DA"/>
    <w:multiLevelType w:val="hybridMultilevel"/>
    <w:tmpl w:val="77EAD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375C5E"/>
    <w:multiLevelType w:val="hybridMultilevel"/>
    <w:tmpl w:val="A22A9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90E1CDE"/>
    <w:multiLevelType w:val="hybridMultilevel"/>
    <w:tmpl w:val="74D8E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1B0D15"/>
    <w:multiLevelType w:val="hybridMultilevel"/>
    <w:tmpl w:val="065096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D24D5A"/>
    <w:multiLevelType w:val="hybridMultilevel"/>
    <w:tmpl w:val="946E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B96F31"/>
    <w:multiLevelType w:val="hybridMultilevel"/>
    <w:tmpl w:val="5CAC9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AF710A"/>
    <w:multiLevelType w:val="hybridMultilevel"/>
    <w:tmpl w:val="A29E3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545224F"/>
    <w:multiLevelType w:val="hybridMultilevel"/>
    <w:tmpl w:val="7CF06B4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nsid w:val="189242CC"/>
    <w:multiLevelType w:val="hybridMultilevel"/>
    <w:tmpl w:val="B24C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032E1"/>
    <w:multiLevelType w:val="multilevel"/>
    <w:tmpl w:val="5CBAB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A33EEF"/>
    <w:multiLevelType w:val="hybridMultilevel"/>
    <w:tmpl w:val="1574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432A66"/>
    <w:multiLevelType w:val="hybridMultilevel"/>
    <w:tmpl w:val="7366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404FD9"/>
    <w:multiLevelType w:val="hybridMultilevel"/>
    <w:tmpl w:val="DDC8F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B823D13"/>
    <w:multiLevelType w:val="hybridMultilevel"/>
    <w:tmpl w:val="15664A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FF2819"/>
    <w:multiLevelType w:val="multilevel"/>
    <w:tmpl w:val="5CBAB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8E5112"/>
    <w:multiLevelType w:val="hybridMultilevel"/>
    <w:tmpl w:val="0E12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6FF5C54"/>
    <w:multiLevelType w:val="hybridMultilevel"/>
    <w:tmpl w:val="59102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6F0EE5"/>
    <w:multiLevelType w:val="hybridMultilevel"/>
    <w:tmpl w:val="129EA27C"/>
    <w:lvl w:ilvl="0" w:tplc="5B16EEC2">
      <w:numFmt w:val="bullet"/>
      <w:lvlText w:val="•"/>
      <w:lvlJc w:val="left"/>
      <w:pPr>
        <w:ind w:left="1152" w:hanging="360"/>
      </w:pPr>
      <w:rPr>
        <w:rFonts w:ascii="Arial" w:eastAsiaTheme="minorHAnsi"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nsid w:val="4A2E1C53"/>
    <w:multiLevelType w:val="hybridMultilevel"/>
    <w:tmpl w:val="C504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0359BF"/>
    <w:multiLevelType w:val="hybridMultilevel"/>
    <w:tmpl w:val="67AEE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074F75"/>
    <w:multiLevelType w:val="hybridMultilevel"/>
    <w:tmpl w:val="18409C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2">
    <w:nsid w:val="52FA1766"/>
    <w:multiLevelType w:val="hybridMultilevel"/>
    <w:tmpl w:val="39642BE0"/>
    <w:lvl w:ilvl="0" w:tplc="5B16E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AC3722"/>
    <w:multiLevelType w:val="hybridMultilevel"/>
    <w:tmpl w:val="8326DC74"/>
    <w:lvl w:ilvl="0" w:tplc="5B16E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840619"/>
    <w:multiLevelType w:val="hybridMultilevel"/>
    <w:tmpl w:val="5132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446488"/>
    <w:multiLevelType w:val="hybridMultilevel"/>
    <w:tmpl w:val="15A8226A"/>
    <w:lvl w:ilvl="0" w:tplc="5B16E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DD31BC"/>
    <w:multiLevelType w:val="hybridMultilevel"/>
    <w:tmpl w:val="D0B8CE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E3666F"/>
    <w:multiLevelType w:val="hybridMultilevel"/>
    <w:tmpl w:val="365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DE6A90"/>
    <w:multiLevelType w:val="hybridMultilevel"/>
    <w:tmpl w:val="A9C8D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3251B44"/>
    <w:multiLevelType w:val="hybridMultilevel"/>
    <w:tmpl w:val="40D0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CA6399"/>
    <w:multiLevelType w:val="hybridMultilevel"/>
    <w:tmpl w:val="130032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992E1B"/>
    <w:multiLevelType w:val="hybridMultilevel"/>
    <w:tmpl w:val="DD827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9BE3175"/>
    <w:multiLevelType w:val="hybridMultilevel"/>
    <w:tmpl w:val="2B3E44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B776878"/>
    <w:multiLevelType w:val="hybridMultilevel"/>
    <w:tmpl w:val="D73A49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21"/>
  </w:num>
  <w:num w:numId="4">
    <w:abstractNumId w:val="2"/>
  </w:num>
  <w:num w:numId="5">
    <w:abstractNumId w:val="6"/>
  </w:num>
  <w:num w:numId="6">
    <w:abstractNumId w:val="16"/>
  </w:num>
  <w:num w:numId="7">
    <w:abstractNumId w:val="3"/>
  </w:num>
  <w:num w:numId="8">
    <w:abstractNumId w:val="29"/>
  </w:num>
  <w:num w:numId="9">
    <w:abstractNumId w:val="31"/>
  </w:num>
  <w:num w:numId="10">
    <w:abstractNumId w:val="5"/>
  </w:num>
  <w:num w:numId="11">
    <w:abstractNumId w:val="4"/>
  </w:num>
  <w:num w:numId="12">
    <w:abstractNumId w:val="8"/>
  </w:num>
  <w:num w:numId="13">
    <w:abstractNumId w:val="17"/>
  </w:num>
  <w:num w:numId="14">
    <w:abstractNumId w:val="33"/>
  </w:num>
  <w:num w:numId="15">
    <w:abstractNumId w:val="26"/>
  </w:num>
  <w:num w:numId="16">
    <w:abstractNumId w:val="27"/>
  </w:num>
  <w:num w:numId="17">
    <w:abstractNumId w:val="14"/>
  </w:num>
  <w:num w:numId="18">
    <w:abstractNumId w:val="30"/>
  </w:num>
  <w:num w:numId="19">
    <w:abstractNumId w:val="32"/>
  </w:num>
  <w:num w:numId="20">
    <w:abstractNumId w:val="11"/>
  </w:num>
  <w:num w:numId="21">
    <w:abstractNumId w:val="0"/>
  </w:num>
  <w:num w:numId="22">
    <w:abstractNumId w:val="24"/>
  </w:num>
  <w:num w:numId="23">
    <w:abstractNumId w:val="19"/>
  </w:num>
  <w:num w:numId="24">
    <w:abstractNumId w:val="22"/>
  </w:num>
  <w:num w:numId="25">
    <w:abstractNumId w:val="18"/>
  </w:num>
  <w:num w:numId="26">
    <w:abstractNumId w:val="23"/>
  </w:num>
  <w:num w:numId="27">
    <w:abstractNumId w:val="25"/>
  </w:num>
  <w:num w:numId="28">
    <w:abstractNumId w:val="10"/>
  </w:num>
  <w:num w:numId="29">
    <w:abstractNumId w:val="1"/>
  </w:num>
  <w:num w:numId="30">
    <w:abstractNumId w:val="28"/>
  </w:num>
  <w:num w:numId="31">
    <w:abstractNumId w:val="20"/>
  </w:num>
  <w:num w:numId="32">
    <w:abstractNumId w:val="9"/>
  </w:num>
  <w:num w:numId="33">
    <w:abstractNumId w:val="12"/>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DD"/>
    <w:rsid w:val="00000528"/>
    <w:rsid w:val="00015CD5"/>
    <w:rsid w:val="000207DD"/>
    <w:rsid w:val="000711CB"/>
    <w:rsid w:val="000822CC"/>
    <w:rsid w:val="00084B9A"/>
    <w:rsid w:val="000B65CF"/>
    <w:rsid w:val="000C3BDF"/>
    <w:rsid w:val="000D7563"/>
    <w:rsid w:val="000E4977"/>
    <w:rsid w:val="00121A2A"/>
    <w:rsid w:val="00150931"/>
    <w:rsid w:val="00156151"/>
    <w:rsid w:val="001A4B70"/>
    <w:rsid w:val="001D7DC6"/>
    <w:rsid w:val="001E5115"/>
    <w:rsid w:val="00241C30"/>
    <w:rsid w:val="0024677E"/>
    <w:rsid w:val="00254D05"/>
    <w:rsid w:val="00273699"/>
    <w:rsid w:val="002739E1"/>
    <w:rsid w:val="002B63C0"/>
    <w:rsid w:val="002C0A72"/>
    <w:rsid w:val="002C2E74"/>
    <w:rsid w:val="002D3EDD"/>
    <w:rsid w:val="002F2A07"/>
    <w:rsid w:val="00310E32"/>
    <w:rsid w:val="00375B13"/>
    <w:rsid w:val="003C7D73"/>
    <w:rsid w:val="003D1584"/>
    <w:rsid w:val="003E169B"/>
    <w:rsid w:val="003E7214"/>
    <w:rsid w:val="003F0AC9"/>
    <w:rsid w:val="003F19B7"/>
    <w:rsid w:val="003F521D"/>
    <w:rsid w:val="00405050"/>
    <w:rsid w:val="00436617"/>
    <w:rsid w:val="00442C1B"/>
    <w:rsid w:val="004C4A68"/>
    <w:rsid w:val="004D2BF3"/>
    <w:rsid w:val="005427E9"/>
    <w:rsid w:val="00587630"/>
    <w:rsid w:val="00594247"/>
    <w:rsid w:val="005C0E31"/>
    <w:rsid w:val="005F5F0E"/>
    <w:rsid w:val="00606133"/>
    <w:rsid w:val="00625474"/>
    <w:rsid w:val="00630ED1"/>
    <w:rsid w:val="006503F9"/>
    <w:rsid w:val="0065412C"/>
    <w:rsid w:val="006620A6"/>
    <w:rsid w:val="00693C85"/>
    <w:rsid w:val="006E6520"/>
    <w:rsid w:val="006F6019"/>
    <w:rsid w:val="007140ED"/>
    <w:rsid w:val="00722C44"/>
    <w:rsid w:val="007533D8"/>
    <w:rsid w:val="00765A4E"/>
    <w:rsid w:val="00786865"/>
    <w:rsid w:val="007B3B22"/>
    <w:rsid w:val="007E1502"/>
    <w:rsid w:val="007E4DA5"/>
    <w:rsid w:val="008216E3"/>
    <w:rsid w:val="00844020"/>
    <w:rsid w:val="0087219F"/>
    <w:rsid w:val="00875766"/>
    <w:rsid w:val="00885CAF"/>
    <w:rsid w:val="00894691"/>
    <w:rsid w:val="008B5B3D"/>
    <w:rsid w:val="0090491F"/>
    <w:rsid w:val="0090583D"/>
    <w:rsid w:val="0091474B"/>
    <w:rsid w:val="00946BA8"/>
    <w:rsid w:val="00955A55"/>
    <w:rsid w:val="00960407"/>
    <w:rsid w:val="00972DFB"/>
    <w:rsid w:val="0097391C"/>
    <w:rsid w:val="00982319"/>
    <w:rsid w:val="009B1B0C"/>
    <w:rsid w:val="009B2D24"/>
    <w:rsid w:val="009C3FF2"/>
    <w:rsid w:val="009F7980"/>
    <w:rsid w:val="00A039C0"/>
    <w:rsid w:val="00A22F3F"/>
    <w:rsid w:val="00A3676E"/>
    <w:rsid w:val="00A612A5"/>
    <w:rsid w:val="00A93901"/>
    <w:rsid w:val="00A96D73"/>
    <w:rsid w:val="00AC6F54"/>
    <w:rsid w:val="00AD00D4"/>
    <w:rsid w:val="00B335D3"/>
    <w:rsid w:val="00B33CFB"/>
    <w:rsid w:val="00B57DE6"/>
    <w:rsid w:val="00B75531"/>
    <w:rsid w:val="00B80B39"/>
    <w:rsid w:val="00B8318C"/>
    <w:rsid w:val="00B9434B"/>
    <w:rsid w:val="00B97D34"/>
    <w:rsid w:val="00BA3054"/>
    <w:rsid w:val="00BB0FAC"/>
    <w:rsid w:val="00BB4D4B"/>
    <w:rsid w:val="00BE04CB"/>
    <w:rsid w:val="00C07AD2"/>
    <w:rsid w:val="00C3081E"/>
    <w:rsid w:val="00C704E6"/>
    <w:rsid w:val="00C932AD"/>
    <w:rsid w:val="00C95BE5"/>
    <w:rsid w:val="00CA026B"/>
    <w:rsid w:val="00CB46A1"/>
    <w:rsid w:val="00CC34CC"/>
    <w:rsid w:val="00D15E48"/>
    <w:rsid w:val="00D53848"/>
    <w:rsid w:val="00D62C24"/>
    <w:rsid w:val="00D67172"/>
    <w:rsid w:val="00D67249"/>
    <w:rsid w:val="00DC7B16"/>
    <w:rsid w:val="00DE6049"/>
    <w:rsid w:val="00DF7A97"/>
    <w:rsid w:val="00E07859"/>
    <w:rsid w:val="00E74277"/>
    <w:rsid w:val="00E97301"/>
    <w:rsid w:val="00EA0636"/>
    <w:rsid w:val="00EA4491"/>
    <w:rsid w:val="00EA52A2"/>
    <w:rsid w:val="00EC472A"/>
    <w:rsid w:val="00F276B0"/>
    <w:rsid w:val="00F63CB5"/>
    <w:rsid w:val="00F75339"/>
    <w:rsid w:val="00F871B2"/>
    <w:rsid w:val="00F974D4"/>
    <w:rsid w:val="00FC0583"/>
    <w:rsid w:val="00FD125D"/>
    <w:rsid w:val="00FE0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03F9"/>
    <w:pPr>
      <w:spacing w:after="0" w:line="240" w:lineRule="auto"/>
      <w:ind w:left="720"/>
    </w:pPr>
    <w:rPr>
      <w:rFonts w:ascii="Calibri" w:hAnsi="Calibri" w:cs="Times New Roman"/>
    </w:rPr>
  </w:style>
  <w:style w:type="paragraph" w:styleId="NoSpacing">
    <w:name w:val="No Spacing"/>
    <w:uiPriority w:val="1"/>
    <w:qFormat/>
    <w:rsid w:val="00E97301"/>
    <w:pPr>
      <w:spacing w:after="0" w:line="240" w:lineRule="auto"/>
    </w:pPr>
  </w:style>
  <w:style w:type="paragraph" w:styleId="Header">
    <w:name w:val="header"/>
    <w:basedOn w:val="Normal"/>
    <w:link w:val="HeaderChar"/>
    <w:uiPriority w:val="99"/>
    <w:unhideWhenUsed/>
    <w:rsid w:val="00F75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339"/>
  </w:style>
  <w:style w:type="paragraph" w:styleId="Footer">
    <w:name w:val="footer"/>
    <w:basedOn w:val="Normal"/>
    <w:link w:val="FooterChar"/>
    <w:uiPriority w:val="99"/>
    <w:unhideWhenUsed/>
    <w:rsid w:val="00F75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339"/>
  </w:style>
  <w:style w:type="character" w:styleId="BookTitle">
    <w:name w:val="Book Title"/>
    <w:basedOn w:val="DefaultParagraphFont"/>
    <w:uiPriority w:val="33"/>
    <w:qFormat/>
    <w:rsid w:val="009B1B0C"/>
    <w:rPr>
      <w:b/>
      <w:bCs/>
      <w:i/>
      <w:iCs/>
      <w:spacing w:val="5"/>
    </w:rPr>
  </w:style>
  <w:style w:type="paragraph" w:customStyle="1" w:styleId="Default">
    <w:name w:val="Default"/>
    <w:rsid w:val="008216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6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A6"/>
    <w:rPr>
      <w:rFonts w:ascii="Tahoma" w:hAnsi="Tahoma" w:cs="Tahoma"/>
      <w:sz w:val="16"/>
      <w:szCs w:val="16"/>
    </w:rPr>
  </w:style>
  <w:style w:type="character" w:styleId="CommentReference">
    <w:name w:val="annotation reference"/>
    <w:basedOn w:val="DefaultParagraphFont"/>
    <w:uiPriority w:val="99"/>
    <w:semiHidden/>
    <w:unhideWhenUsed/>
    <w:rsid w:val="009B2D24"/>
    <w:rPr>
      <w:sz w:val="16"/>
      <w:szCs w:val="16"/>
    </w:rPr>
  </w:style>
  <w:style w:type="paragraph" w:styleId="CommentText">
    <w:name w:val="annotation text"/>
    <w:basedOn w:val="Normal"/>
    <w:link w:val="CommentTextChar"/>
    <w:uiPriority w:val="99"/>
    <w:semiHidden/>
    <w:unhideWhenUsed/>
    <w:rsid w:val="009B2D24"/>
    <w:pPr>
      <w:spacing w:line="240" w:lineRule="auto"/>
    </w:pPr>
    <w:rPr>
      <w:sz w:val="20"/>
      <w:szCs w:val="20"/>
    </w:rPr>
  </w:style>
  <w:style w:type="character" w:customStyle="1" w:styleId="CommentTextChar">
    <w:name w:val="Comment Text Char"/>
    <w:basedOn w:val="DefaultParagraphFont"/>
    <w:link w:val="CommentText"/>
    <w:uiPriority w:val="99"/>
    <w:semiHidden/>
    <w:rsid w:val="009B2D24"/>
    <w:rPr>
      <w:sz w:val="20"/>
      <w:szCs w:val="20"/>
    </w:rPr>
  </w:style>
  <w:style w:type="paragraph" w:styleId="CommentSubject">
    <w:name w:val="annotation subject"/>
    <w:basedOn w:val="CommentText"/>
    <w:next w:val="CommentText"/>
    <w:link w:val="CommentSubjectChar"/>
    <w:uiPriority w:val="99"/>
    <w:semiHidden/>
    <w:unhideWhenUsed/>
    <w:rsid w:val="009B2D24"/>
    <w:rPr>
      <w:b/>
      <w:bCs/>
    </w:rPr>
  </w:style>
  <w:style w:type="character" w:customStyle="1" w:styleId="CommentSubjectChar">
    <w:name w:val="Comment Subject Char"/>
    <w:basedOn w:val="CommentTextChar"/>
    <w:link w:val="CommentSubject"/>
    <w:uiPriority w:val="99"/>
    <w:semiHidden/>
    <w:rsid w:val="009B2D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03F9"/>
    <w:pPr>
      <w:spacing w:after="0" w:line="240" w:lineRule="auto"/>
      <w:ind w:left="720"/>
    </w:pPr>
    <w:rPr>
      <w:rFonts w:ascii="Calibri" w:hAnsi="Calibri" w:cs="Times New Roman"/>
    </w:rPr>
  </w:style>
  <w:style w:type="paragraph" w:styleId="NoSpacing">
    <w:name w:val="No Spacing"/>
    <w:uiPriority w:val="1"/>
    <w:qFormat/>
    <w:rsid w:val="00E97301"/>
    <w:pPr>
      <w:spacing w:after="0" w:line="240" w:lineRule="auto"/>
    </w:pPr>
  </w:style>
  <w:style w:type="paragraph" w:styleId="Header">
    <w:name w:val="header"/>
    <w:basedOn w:val="Normal"/>
    <w:link w:val="HeaderChar"/>
    <w:uiPriority w:val="99"/>
    <w:unhideWhenUsed/>
    <w:rsid w:val="00F75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339"/>
  </w:style>
  <w:style w:type="paragraph" w:styleId="Footer">
    <w:name w:val="footer"/>
    <w:basedOn w:val="Normal"/>
    <w:link w:val="FooterChar"/>
    <w:uiPriority w:val="99"/>
    <w:unhideWhenUsed/>
    <w:rsid w:val="00F75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339"/>
  </w:style>
  <w:style w:type="character" w:styleId="BookTitle">
    <w:name w:val="Book Title"/>
    <w:basedOn w:val="DefaultParagraphFont"/>
    <w:uiPriority w:val="33"/>
    <w:qFormat/>
    <w:rsid w:val="009B1B0C"/>
    <w:rPr>
      <w:b/>
      <w:bCs/>
      <w:i/>
      <w:iCs/>
      <w:spacing w:val="5"/>
    </w:rPr>
  </w:style>
  <w:style w:type="paragraph" w:customStyle="1" w:styleId="Default">
    <w:name w:val="Default"/>
    <w:rsid w:val="008216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6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A6"/>
    <w:rPr>
      <w:rFonts w:ascii="Tahoma" w:hAnsi="Tahoma" w:cs="Tahoma"/>
      <w:sz w:val="16"/>
      <w:szCs w:val="16"/>
    </w:rPr>
  </w:style>
  <w:style w:type="character" w:styleId="CommentReference">
    <w:name w:val="annotation reference"/>
    <w:basedOn w:val="DefaultParagraphFont"/>
    <w:uiPriority w:val="99"/>
    <w:semiHidden/>
    <w:unhideWhenUsed/>
    <w:rsid w:val="009B2D24"/>
    <w:rPr>
      <w:sz w:val="16"/>
      <w:szCs w:val="16"/>
    </w:rPr>
  </w:style>
  <w:style w:type="paragraph" w:styleId="CommentText">
    <w:name w:val="annotation text"/>
    <w:basedOn w:val="Normal"/>
    <w:link w:val="CommentTextChar"/>
    <w:uiPriority w:val="99"/>
    <w:semiHidden/>
    <w:unhideWhenUsed/>
    <w:rsid w:val="009B2D24"/>
    <w:pPr>
      <w:spacing w:line="240" w:lineRule="auto"/>
    </w:pPr>
    <w:rPr>
      <w:sz w:val="20"/>
      <w:szCs w:val="20"/>
    </w:rPr>
  </w:style>
  <w:style w:type="character" w:customStyle="1" w:styleId="CommentTextChar">
    <w:name w:val="Comment Text Char"/>
    <w:basedOn w:val="DefaultParagraphFont"/>
    <w:link w:val="CommentText"/>
    <w:uiPriority w:val="99"/>
    <w:semiHidden/>
    <w:rsid w:val="009B2D24"/>
    <w:rPr>
      <w:sz w:val="20"/>
      <w:szCs w:val="20"/>
    </w:rPr>
  </w:style>
  <w:style w:type="paragraph" w:styleId="CommentSubject">
    <w:name w:val="annotation subject"/>
    <w:basedOn w:val="CommentText"/>
    <w:next w:val="CommentText"/>
    <w:link w:val="CommentSubjectChar"/>
    <w:uiPriority w:val="99"/>
    <w:semiHidden/>
    <w:unhideWhenUsed/>
    <w:rsid w:val="009B2D24"/>
    <w:rPr>
      <w:b/>
      <w:bCs/>
    </w:rPr>
  </w:style>
  <w:style w:type="character" w:customStyle="1" w:styleId="CommentSubjectChar">
    <w:name w:val="Comment Subject Char"/>
    <w:basedOn w:val="CommentTextChar"/>
    <w:link w:val="CommentSubject"/>
    <w:uiPriority w:val="99"/>
    <w:semiHidden/>
    <w:rsid w:val="009B2D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9509">
      <w:bodyDiv w:val="1"/>
      <w:marLeft w:val="0"/>
      <w:marRight w:val="0"/>
      <w:marTop w:val="0"/>
      <w:marBottom w:val="0"/>
      <w:divBdr>
        <w:top w:val="none" w:sz="0" w:space="0" w:color="auto"/>
        <w:left w:val="none" w:sz="0" w:space="0" w:color="auto"/>
        <w:bottom w:val="none" w:sz="0" w:space="0" w:color="auto"/>
        <w:right w:val="none" w:sz="0" w:space="0" w:color="auto"/>
      </w:divBdr>
    </w:div>
    <w:div w:id="161118458">
      <w:bodyDiv w:val="1"/>
      <w:marLeft w:val="0"/>
      <w:marRight w:val="0"/>
      <w:marTop w:val="0"/>
      <w:marBottom w:val="0"/>
      <w:divBdr>
        <w:top w:val="none" w:sz="0" w:space="0" w:color="auto"/>
        <w:left w:val="none" w:sz="0" w:space="0" w:color="auto"/>
        <w:bottom w:val="none" w:sz="0" w:space="0" w:color="auto"/>
        <w:right w:val="none" w:sz="0" w:space="0" w:color="auto"/>
      </w:divBdr>
    </w:div>
    <w:div w:id="359670033">
      <w:bodyDiv w:val="1"/>
      <w:marLeft w:val="0"/>
      <w:marRight w:val="0"/>
      <w:marTop w:val="0"/>
      <w:marBottom w:val="0"/>
      <w:divBdr>
        <w:top w:val="none" w:sz="0" w:space="0" w:color="auto"/>
        <w:left w:val="none" w:sz="0" w:space="0" w:color="auto"/>
        <w:bottom w:val="none" w:sz="0" w:space="0" w:color="auto"/>
        <w:right w:val="none" w:sz="0" w:space="0" w:color="auto"/>
      </w:divBdr>
    </w:div>
    <w:div w:id="502087505">
      <w:bodyDiv w:val="1"/>
      <w:marLeft w:val="0"/>
      <w:marRight w:val="0"/>
      <w:marTop w:val="0"/>
      <w:marBottom w:val="0"/>
      <w:divBdr>
        <w:top w:val="none" w:sz="0" w:space="0" w:color="auto"/>
        <w:left w:val="none" w:sz="0" w:space="0" w:color="auto"/>
        <w:bottom w:val="none" w:sz="0" w:space="0" w:color="auto"/>
        <w:right w:val="none" w:sz="0" w:space="0" w:color="auto"/>
      </w:divBdr>
    </w:div>
    <w:div w:id="712580022">
      <w:bodyDiv w:val="1"/>
      <w:marLeft w:val="0"/>
      <w:marRight w:val="0"/>
      <w:marTop w:val="0"/>
      <w:marBottom w:val="0"/>
      <w:divBdr>
        <w:top w:val="none" w:sz="0" w:space="0" w:color="auto"/>
        <w:left w:val="none" w:sz="0" w:space="0" w:color="auto"/>
        <w:bottom w:val="none" w:sz="0" w:space="0" w:color="auto"/>
        <w:right w:val="none" w:sz="0" w:space="0" w:color="auto"/>
      </w:divBdr>
    </w:div>
    <w:div w:id="994452460">
      <w:bodyDiv w:val="1"/>
      <w:marLeft w:val="0"/>
      <w:marRight w:val="0"/>
      <w:marTop w:val="0"/>
      <w:marBottom w:val="0"/>
      <w:divBdr>
        <w:top w:val="none" w:sz="0" w:space="0" w:color="auto"/>
        <w:left w:val="none" w:sz="0" w:space="0" w:color="auto"/>
        <w:bottom w:val="none" w:sz="0" w:space="0" w:color="auto"/>
        <w:right w:val="none" w:sz="0" w:space="0" w:color="auto"/>
      </w:divBdr>
    </w:div>
    <w:div w:id="1040084344">
      <w:bodyDiv w:val="1"/>
      <w:marLeft w:val="0"/>
      <w:marRight w:val="0"/>
      <w:marTop w:val="0"/>
      <w:marBottom w:val="0"/>
      <w:divBdr>
        <w:top w:val="none" w:sz="0" w:space="0" w:color="auto"/>
        <w:left w:val="none" w:sz="0" w:space="0" w:color="auto"/>
        <w:bottom w:val="none" w:sz="0" w:space="0" w:color="auto"/>
        <w:right w:val="none" w:sz="0" w:space="0" w:color="auto"/>
      </w:divBdr>
    </w:div>
    <w:div w:id="1043402759">
      <w:bodyDiv w:val="1"/>
      <w:marLeft w:val="0"/>
      <w:marRight w:val="0"/>
      <w:marTop w:val="0"/>
      <w:marBottom w:val="0"/>
      <w:divBdr>
        <w:top w:val="none" w:sz="0" w:space="0" w:color="auto"/>
        <w:left w:val="none" w:sz="0" w:space="0" w:color="auto"/>
        <w:bottom w:val="none" w:sz="0" w:space="0" w:color="auto"/>
        <w:right w:val="none" w:sz="0" w:space="0" w:color="auto"/>
      </w:divBdr>
    </w:div>
    <w:div w:id="1181121315">
      <w:bodyDiv w:val="1"/>
      <w:marLeft w:val="0"/>
      <w:marRight w:val="0"/>
      <w:marTop w:val="0"/>
      <w:marBottom w:val="0"/>
      <w:divBdr>
        <w:top w:val="none" w:sz="0" w:space="0" w:color="auto"/>
        <w:left w:val="none" w:sz="0" w:space="0" w:color="auto"/>
        <w:bottom w:val="none" w:sz="0" w:space="0" w:color="auto"/>
        <w:right w:val="none" w:sz="0" w:space="0" w:color="auto"/>
      </w:divBdr>
    </w:div>
    <w:div w:id="1228958650">
      <w:bodyDiv w:val="1"/>
      <w:marLeft w:val="0"/>
      <w:marRight w:val="0"/>
      <w:marTop w:val="0"/>
      <w:marBottom w:val="0"/>
      <w:divBdr>
        <w:top w:val="none" w:sz="0" w:space="0" w:color="auto"/>
        <w:left w:val="none" w:sz="0" w:space="0" w:color="auto"/>
        <w:bottom w:val="none" w:sz="0" w:space="0" w:color="auto"/>
        <w:right w:val="none" w:sz="0" w:space="0" w:color="auto"/>
      </w:divBdr>
    </w:div>
    <w:div w:id="1568031989">
      <w:bodyDiv w:val="1"/>
      <w:marLeft w:val="0"/>
      <w:marRight w:val="0"/>
      <w:marTop w:val="0"/>
      <w:marBottom w:val="0"/>
      <w:divBdr>
        <w:top w:val="none" w:sz="0" w:space="0" w:color="auto"/>
        <w:left w:val="none" w:sz="0" w:space="0" w:color="auto"/>
        <w:bottom w:val="none" w:sz="0" w:space="0" w:color="auto"/>
        <w:right w:val="none" w:sz="0" w:space="0" w:color="auto"/>
      </w:divBdr>
    </w:div>
    <w:div w:id="16709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D0FF-6235-4B18-95F9-3FF46BD2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Doughty</dc:creator>
  <cp:lastModifiedBy>Griffiths Tom</cp:lastModifiedBy>
  <cp:revision>4</cp:revision>
  <dcterms:created xsi:type="dcterms:W3CDTF">2018-08-09T15:52:00Z</dcterms:created>
  <dcterms:modified xsi:type="dcterms:W3CDTF">2018-08-09T16:12:00Z</dcterms:modified>
</cp:coreProperties>
</file>