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0B7" w:rsidRDefault="00D314AC" w:rsidP="00D314AC">
      <w:pPr>
        <w:pStyle w:val="NoSpacing"/>
        <w:jc w:val="center"/>
        <w:rPr>
          <w:b/>
          <w:sz w:val="28"/>
          <w:szCs w:val="28"/>
        </w:rPr>
      </w:pPr>
      <w:r>
        <w:rPr>
          <w:b/>
          <w:sz w:val="28"/>
          <w:szCs w:val="28"/>
        </w:rPr>
        <w:t>Bat &amp; Ball Station Building Tender Queries</w:t>
      </w:r>
    </w:p>
    <w:p w:rsidR="00D314AC" w:rsidRDefault="00D314AC" w:rsidP="00D314AC">
      <w:pPr>
        <w:pStyle w:val="NoSpacing"/>
        <w:jc w:val="center"/>
        <w:rPr>
          <w:b/>
          <w:sz w:val="28"/>
          <w:szCs w:val="28"/>
        </w:rPr>
      </w:pPr>
    </w:p>
    <w:p w:rsidR="00D314AC" w:rsidRDefault="00D314AC" w:rsidP="00D314AC">
      <w:pPr>
        <w:pStyle w:val="NoSpacing"/>
        <w:jc w:val="center"/>
        <w:rPr>
          <w:b/>
          <w:sz w:val="28"/>
          <w:szCs w:val="28"/>
        </w:rPr>
      </w:pPr>
    </w:p>
    <w:tbl>
      <w:tblPr>
        <w:tblStyle w:val="TableGrid"/>
        <w:tblW w:w="0" w:type="auto"/>
        <w:tblLook w:val="04A0" w:firstRow="1" w:lastRow="0" w:firstColumn="1" w:lastColumn="0" w:noHBand="0" w:noVBand="1"/>
      </w:tblPr>
      <w:tblGrid>
        <w:gridCol w:w="460"/>
        <w:gridCol w:w="1133"/>
        <w:gridCol w:w="3387"/>
        <w:gridCol w:w="4036"/>
      </w:tblGrid>
      <w:tr w:rsidR="00D314AC" w:rsidTr="00497C64">
        <w:tc>
          <w:tcPr>
            <w:tcW w:w="460" w:type="dxa"/>
          </w:tcPr>
          <w:p w:rsidR="00D314AC" w:rsidRDefault="00D314AC" w:rsidP="00D314AC">
            <w:pPr>
              <w:pStyle w:val="NoSpacing"/>
              <w:rPr>
                <w:b/>
                <w:sz w:val="28"/>
                <w:szCs w:val="28"/>
              </w:rPr>
            </w:pPr>
          </w:p>
        </w:tc>
        <w:tc>
          <w:tcPr>
            <w:tcW w:w="1133" w:type="dxa"/>
          </w:tcPr>
          <w:p w:rsidR="00D314AC" w:rsidRPr="00D314AC" w:rsidRDefault="00D314AC" w:rsidP="00D314AC">
            <w:pPr>
              <w:pStyle w:val="NoSpacing"/>
              <w:rPr>
                <w:b/>
                <w:sz w:val="28"/>
                <w:szCs w:val="28"/>
              </w:rPr>
            </w:pPr>
            <w:r>
              <w:rPr>
                <w:b/>
                <w:sz w:val="28"/>
                <w:szCs w:val="28"/>
              </w:rPr>
              <w:t>Date</w:t>
            </w:r>
          </w:p>
        </w:tc>
        <w:tc>
          <w:tcPr>
            <w:tcW w:w="3387" w:type="dxa"/>
          </w:tcPr>
          <w:p w:rsidR="00D314AC" w:rsidRDefault="00D314AC" w:rsidP="00D314AC">
            <w:pPr>
              <w:pStyle w:val="NoSpacing"/>
              <w:rPr>
                <w:b/>
                <w:sz w:val="28"/>
                <w:szCs w:val="28"/>
              </w:rPr>
            </w:pPr>
            <w:r>
              <w:rPr>
                <w:b/>
                <w:sz w:val="28"/>
                <w:szCs w:val="28"/>
              </w:rPr>
              <w:t>Query</w:t>
            </w:r>
          </w:p>
          <w:p w:rsidR="00D314AC" w:rsidRPr="00D314AC" w:rsidRDefault="00D314AC" w:rsidP="00D314AC">
            <w:pPr>
              <w:pStyle w:val="NoSpacing"/>
              <w:rPr>
                <w:b/>
                <w:sz w:val="28"/>
                <w:szCs w:val="28"/>
              </w:rPr>
            </w:pPr>
          </w:p>
        </w:tc>
        <w:tc>
          <w:tcPr>
            <w:tcW w:w="4036" w:type="dxa"/>
          </w:tcPr>
          <w:p w:rsidR="00D314AC" w:rsidRPr="00D314AC" w:rsidRDefault="00D314AC" w:rsidP="00D314AC">
            <w:pPr>
              <w:pStyle w:val="NoSpacing"/>
              <w:rPr>
                <w:b/>
                <w:sz w:val="28"/>
                <w:szCs w:val="28"/>
              </w:rPr>
            </w:pPr>
            <w:r>
              <w:rPr>
                <w:b/>
                <w:sz w:val="28"/>
                <w:szCs w:val="28"/>
              </w:rPr>
              <w:t>STC Response</w:t>
            </w:r>
          </w:p>
        </w:tc>
      </w:tr>
      <w:tr w:rsidR="00D314AC" w:rsidRPr="00D314AC" w:rsidTr="00497C64">
        <w:tc>
          <w:tcPr>
            <w:tcW w:w="460" w:type="dxa"/>
          </w:tcPr>
          <w:p w:rsidR="00D314AC" w:rsidRDefault="00D314AC" w:rsidP="00D314AC">
            <w:pPr>
              <w:pStyle w:val="NoSpacing"/>
              <w:rPr>
                <w:sz w:val="24"/>
                <w:szCs w:val="24"/>
              </w:rPr>
            </w:pPr>
            <w:r>
              <w:rPr>
                <w:sz w:val="24"/>
                <w:szCs w:val="24"/>
              </w:rPr>
              <w:t>1</w:t>
            </w:r>
          </w:p>
        </w:tc>
        <w:tc>
          <w:tcPr>
            <w:tcW w:w="1133" w:type="dxa"/>
          </w:tcPr>
          <w:p w:rsidR="00D314AC" w:rsidRPr="00D314AC" w:rsidRDefault="00D314AC" w:rsidP="00D314AC">
            <w:pPr>
              <w:pStyle w:val="NoSpacing"/>
              <w:rPr>
                <w:sz w:val="24"/>
                <w:szCs w:val="24"/>
              </w:rPr>
            </w:pPr>
            <w:r>
              <w:rPr>
                <w:sz w:val="24"/>
                <w:szCs w:val="24"/>
              </w:rPr>
              <w:t>24.7.17</w:t>
            </w:r>
          </w:p>
        </w:tc>
        <w:tc>
          <w:tcPr>
            <w:tcW w:w="3387" w:type="dxa"/>
          </w:tcPr>
          <w:p w:rsidR="00D314AC" w:rsidRDefault="00D314AC" w:rsidP="00D314AC">
            <w:pPr>
              <w:rPr>
                <w:rFonts w:ascii="Arial" w:hAnsi="Arial" w:cs="Arial"/>
                <w:b/>
                <w:bCs/>
              </w:rPr>
            </w:pPr>
            <w:r>
              <w:rPr>
                <w:rFonts w:ascii="Arial" w:hAnsi="Arial" w:cs="Arial"/>
                <w:b/>
                <w:bCs/>
              </w:rPr>
              <w:t>Q1) “The Asbestos report issued with the tender documents is more than 18 years old, please request confirmation that is still current or is an up to date R &amp; D survey to be issued or are we to include cost within the tender?”</w:t>
            </w:r>
          </w:p>
          <w:p w:rsidR="00D314AC" w:rsidRPr="00D314AC" w:rsidRDefault="00D314AC" w:rsidP="00D314AC">
            <w:pPr>
              <w:pStyle w:val="NoSpacing"/>
              <w:rPr>
                <w:b/>
                <w:sz w:val="24"/>
                <w:szCs w:val="24"/>
              </w:rPr>
            </w:pPr>
          </w:p>
        </w:tc>
        <w:tc>
          <w:tcPr>
            <w:tcW w:w="4036" w:type="dxa"/>
          </w:tcPr>
          <w:p w:rsidR="00D314AC" w:rsidRDefault="00D314AC" w:rsidP="00D314AC">
            <w:pPr>
              <w:rPr>
                <w:color w:val="1F497D"/>
              </w:rPr>
            </w:pPr>
            <w:r>
              <w:rPr>
                <w:color w:val="1F497D"/>
              </w:rPr>
              <w:t xml:space="preserve">This is the only asbestos report available at present.  The building has been sealed since that date and no further work until very recently undertaken by southeastern.  </w:t>
            </w:r>
          </w:p>
          <w:p w:rsidR="00D314AC" w:rsidRDefault="00D314AC" w:rsidP="00D314AC">
            <w:pPr>
              <w:rPr>
                <w:color w:val="1F497D"/>
              </w:rPr>
            </w:pPr>
          </w:p>
          <w:p w:rsidR="00D314AC" w:rsidRDefault="00D314AC" w:rsidP="00D314AC">
            <w:pPr>
              <w:rPr>
                <w:color w:val="1F497D"/>
              </w:rPr>
            </w:pPr>
            <w:r>
              <w:rPr>
                <w:color w:val="1F497D"/>
              </w:rPr>
              <w:t>It would seem sensible to include costs for the new suggested survey – and show as an additional item.</w:t>
            </w:r>
          </w:p>
          <w:p w:rsidR="00D314AC" w:rsidRDefault="00D314AC" w:rsidP="00D314AC">
            <w:pPr>
              <w:rPr>
                <w:rFonts w:ascii="Arial" w:hAnsi="Arial" w:cs="Arial"/>
                <w:b/>
                <w:bCs/>
              </w:rPr>
            </w:pPr>
          </w:p>
          <w:p w:rsidR="005537E9" w:rsidRDefault="005537E9" w:rsidP="005537E9">
            <w:pPr>
              <w:rPr>
                <w:color w:val="1F497D"/>
              </w:rPr>
            </w:pPr>
            <w:r>
              <w:rPr>
                <w:color w:val="1F497D"/>
              </w:rPr>
              <w:t>Preliminaries; item 39 states:  </w:t>
            </w:r>
          </w:p>
          <w:p w:rsidR="005537E9" w:rsidRDefault="005537E9" w:rsidP="005537E9">
            <w:pPr>
              <w:rPr>
                <w:color w:val="1F497D"/>
              </w:rPr>
            </w:pPr>
          </w:p>
          <w:p w:rsidR="005537E9" w:rsidRDefault="005537E9" w:rsidP="005537E9">
            <w:pPr>
              <w:rPr>
                <w:rFonts w:ascii="Tahoma" w:hAnsi="Tahoma" w:cs="Tahoma"/>
                <w:i/>
                <w:iCs/>
                <w:sz w:val="20"/>
                <w:szCs w:val="20"/>
              </w:rPr>
            </w:pPr>
            <w:proofErr w:type="gramStart"/>
            <w:r>
              <w:rPr>
                <w:rFonts w:ascii="Tahoma" w:hAnsi="Tahoma" w:cs="Tahoma"/>
                <w:i/>
                <w:iCs/>
                <w:sz w:val="20"/>
                <w:szCs w:val="20"/>
              </w:rPr>
              <w:t>the</w:t>
            </w:r>
            <w:proofErr w:type="gramEnd"/>
            <w:r>
              <w:rPr>
                <w:rFonts w:ascii="Tahoma" w:hAnsi="Tahoma" w:cs="Tahoma"/>
                <w:i/>
                <w:iCs/>
                <w:sz w:val="20"/>
                <w:szCs w:val="20"/>
              </w:rPr>
              <w:t xml:space="preserve"> Contractor will be required to establish details of the existing installations by on-site surveys. An asbestos survey has been made available for the building dated 17</w:t>
            </w:r>
            <w:r>
              <w:rPr>
                <w:rFonts w:ascii="Tahoma" w:hAnsi="Tahoma" w:cs="Tahoma"/>
                <w:i/>
                <w:iCs/>
                <w:sz w:val="20"/>
                <w:szCs w:val="20"/>
                <w:vertAlign w:val="superscript"/>
              </w:rPr>
              <w:t>th</w:t>
            </w:r>
            <w:r>
              <w:rPr>
                <w:rFonts w:ascii="Tahoma" w:hAnsi="Tahoma" w:cs="Tahoma"/>
                <w:i/>
                <w:iCs/>
                <w:sz w:val="20"/>
                <w:szCs w:val="20"/>
              </w:rPr>
              <w:t xml:space="preserve"> March 1999 by Adams Environmental for Railtrack - Southern.</w:t>
            </w:r>
          </w:p>
          <w:p w:rsidR="005537E9" w:rsidRDefault="005537E9" w:rsidP="005537E9">
            <w:pPr>
              <w:rPr>
                <w:rFonts w:ascii="Tahoma" w:hAnsi="Tahoma" w:cs="Tahoma"/>
                <w:sz w:val="20"/>
                <w:szCs w:val="20"/>
              </w:rPr>
            </w:pPr>
          </w:p>
          <w:p w:rsidR="005537E9" w:rsidRDefault="005537E9" w:rsidP="005537E9">
            <w:pPr>
              <w:rPr>
                <w:color w:val="1F497D"/>
              </w:rPr>
            </w:pPr>
            <w:r>
              <w:rPr>
                <w:color w:val="1F497D"/>
              </w:rPr>
              <w:t>The contractor should price for any required surveys against this item in the Preliminaries</w:t>
            </w:r>
          </w:p>
          <w:p w:rsidR="005537E9" w:rsidRDefault="005537E9" w:rsidP="005537E9">
            <w:pPr>
              <w:rPr>
                <w:color w:val="1F497D"/>
              </w:rPr>
            </w:pPr>
          </w:p>
          <w:p w:rsidR="005537E9" w:rsidRDefault="005537E9" w:rsidP="00D314AC"/>
          <w:p w:rsidR="00D314AC" w:rsidRPr="00D314AC" w:rsidRDefault="00D314AC" w:rsidP="00D314AC">
            <w:pPr>
              <w:pStyle w:val="NoSpacing"/>
              <w:rPr>
                <w:b/>
                <w:sz w:val="24"/>
                <w:szCs w:val="24"/>
              </w:rPr>
            </w:pPr>
          </w:p>
        </w:tc>
      </w:tr>
      <w:tr w:rsidR="00D314AC" w:rsidRPr="00D314AC" w:rsidTr="00497C64">
        <w:tc>
          <w:tcPr>
            <w:tcW w:w="460" w:type="dxa"/>
          </w:tcPr>
          <w:p w:rsidR="00D314AC" w:rsidRDefault="00D314AC" w:rsidP="00D314AC">
            <w:pPr>
              <w:pStyle w:val="NoSpacing"/>
              <w:rPr>
                <w:sz w:val="24"/>
                <w:szCs w:val="24"/>
              </w:rPr>
            </w:pPr>
            <w:r>
              <w:rPr>
                <w:sz w:val="24"/>
                <w:szCs w:val="24"/>
              </w:rPr>
              <w:t>2</w:t>
            </w:r>
          </w:p>
        </w:tc>
        <w:tc>
          <w:tcPr>
            <w:tcW w:w="1133" w:type="dxa"/>
          </w:tcPr>
          <w:p w:rsidR="00D314AC" w:rsidRDefault="00D314AC" w:rsidP="00D314AC">
            <w:pPr>
              <w:pStyle w:val="NoSpacing"/>
              <w:rPr>
                <w:sz w:val="24"/>
                <w:szCs w:val="24"/>
              </w:rPr>
            </w:pPr>
            <w:r>
              <w:rPr>
                <w:sz w:val="24"/>
                <w:szCs w:val="24"/>
              </w:rPr>
              <w:t>24.7.17</w:t>
            </w:r>
          </w:p>
        </w:tc>
        <w:tc>
          <w:tcPr>
            <w:tcW w:w="3387" w:type="dxa"/>
          </w:tcPr>
          <w:p w:rsidR="00D314AC" w:rsidRDefault="00D314AC" w:rsidP="00D314AC">
            <w:pPr>
              <w:rPr>
                <w:rFonts w:ascii="Arial" w:hAnsi="Arial" w:cs="Arial"/>
                <w:b/>
                <w:bCs/>
              </w:rPr>
            </w:pPr>
            <w:r>
              <w:rPr>
                <w:rFonts w:ascii="Arial" w:hAnsi="Arial" w:cs="Arial"/>
                <w:b/>
                <w:bCs/>
              </w:rPr>
              <w:t>Q2) “The removal of the flaking high level paint specified within the café, has the paint been analysed for toxic ingredients especially lead if not is this being undertaken under a separate contract or are we to include the cost within our tender?”</w:t>
            </w:r>
          </w:p>
          <w:p w:rsidR="00D314AC" w:rsidRDefault="00D314AC" w:rsidP="00D314AC">
            <w:pPr>
              <w:rPr>
                <w:rFonts w:ascii="Arial" w:hAnsi="Arial" w:cs="Arial"/>
                <w:b/>
                <w:bCs/>
              </w:rPr>
            </w:pPr>
          </w:p>
        </w:tc>
        <w:tc>
          <w:tcPr>
            <w:tcW w:w="4036" w:type="dxa"/>
          </w:tcPr>
          <w:p w:rsidR="00D314AC" w:rsidRDefault="00D314AC" w:rsidP="00D314AC">
            <w:pPr>
              <w:rPr>
                <w:color w:val="1F497D"/>
              </w:rPr>
            </w:pPr>
            <w:r>
              <w:rPr>
                <w:color w:val="1F497D"/>
              </w:rPr>
              <w:t>It is understood that the paint has not been analysed for toxic ingredients.  Southeastern have stated that they will have removed all lead paint, however this would need to be verified.</w:t>
            </w:r>
          </w:p>
          <w:p w:rsidR="00D314AC" w:rsidRDefault="00D314AC" w:rsidP="00D314AC">
            <w:pPr>
              <w:rPr>
                <w:color w:val="1F497D"/>
              </w:rPr>
            </w:pPr>
          </w:p>
          <w:p w:rsidR="00D314AC" w:rsidRDefault="00D314AC" w:rsidP="00D314AC">
            <w:pPr>
              <w:rPr>
                <w:color w:val="1F497D"/>
              </w:rPr>
            </w:pPr>
            <w:r>
              <w:rPr>
                <w:color w:val="1F497D"/>
              </w:rPr>
              <w:t>It would seem sensible to include costs for the new suggested survey – and show as an additional item.</w:t>
            </w:r>
          </w:p>
          <w:p w:rsidR="00D314AC" w:rsidRDefault="00D314AC" w:rsidP="00D314AC">
            <w:pPr>
              <w:rPr>
                <w:color w:val="1F497D"/>
              </w:rPr>
            </w:pPr>
          </w:p>
        </w:tc>
      </w:tr>
      <w:tr w:rsidR="00D314AC" w:rsidRPr="00D314AC" w:rsidTr="00497C64">
        <w:tc>
          <w:tcPr>
            <w:tcW w:w="460" w:type="dxa"/>
          </w:tcPr>
          <w:p w:rsidR="00D314AC" w:rsidRDefault="00E9546C" w:rsidP="00D314AC">
            <w:pPr>
              <w:pStyle w:val="NoSpacing"/>
              <w:rPr>
                <w:sz w:val="24"/>
                <w:szCs w:val="24"/>
              </w:rPr>
            </w:pPr>
            <w:r>
              <w:rPr>
                <w:sz w:val="24"/>
                <w:szCs w:val="24"/>
              </w:rPr>
              <w:t>3</w:t>
            </w:r>
          </w:p>
        </w:tc>
        <w:tc>
          <w:tcPr>
            <w:tcW w:w="1133" w:type="dxa"/>
          </w:tcPr>
          <w:p w:rsidR="00D314AC" w:rsidRDefault="00E9546C" w:rsidP="00D314AC">
            <w:pPr>
              <w:pStyle w:val="NoSpacing"/>
              <w:rPr>
                <w:sz w:val="24"/>
                <w:szCs w:val="24"/>
              </w:rPr>
            </w:pPr>
            <w:r>
              <w:rPr>
                <w:sz w:val="24"/>
                <w:szCs w:val="24"/>
              </w:rPr>
              <w:t>27.7.17</w:t>
            </w:r>
          </w:p>
        </w:tc>
        <w:tc>
          <w:tcPr>
            <w:tcW w:w="3387" w:type="dxa"/>
          </w:tcPr>
          <w:p w:rsidR="00D314AC" w:rsidRDefault="00E9546C" w:rsidP="00D314AC">
            <w:pPr>
              <w:rPr>
                <w:rFonts w:ascii="Arial" w:hAnsi="Arial" w:cs="Arial"/>
                <w:b/>
                <w:bCs/>
              </w:rPr>
            </w:pPr>
            <w:r>
              <w:rPr>
                <w:rFonts w:ascii="Arial" w:hAnsi="Arial" w:cs="Arial"/>
                <w:b/>
                <w:bCs/>
              </w:rPr>
              <w:t>Is it possible to extend the tender period?</w:t>
            </w:r>
          </w:p>
        </w:tc>
        <w:tc>
          <w:tcPr>
            <w:tcW w:w="4036" w:type="dxa"/>
          </w:tcPr>
          <w:p w:rsidR="00E9546C" w:rsidRDefault="00E9546C" w:rsidP="00E9546C">
            <w:pPr>
              <w:rPr>
                <w:rFonts w:asciiTheme="minorHAnsi" w:hAnsiTheme="minorHAnsi" w:cstheme="minorBidi"/>
                <w:color w:val="1F497D"/>
              </w:rPr>
            </w:pPr>
            <w:r>
              <w:rPr>
                <w:rFonts w:asciiTheme="minorHAnsi" w:hAnsiTheme="minorHAnsi" w:cstheme="minorBidi"/>
                <w:color w:val="1F497D"/>
              </w:rPr>
              <w:t>The Town Council does not currently have plans to extend the tender period for the project for the following reasons:</w:t>
            </w:r>
          </w:p>
          <w:p w:rsidR="00E9546C" w:rsidRDefault="00E9546C" w:rsidP="00E9546C">
            <w:pPr>
              <w:rPr>
                <w:rFonts w:asciiTheme="minorHAnsi" w:hAnsiTheme="minorHAnsi" w:cstheme="minorBidi"/>
                <w:color w:val="1F497D"/>
              </w:rPr>
            </w:pPr>
          </w:p>
          <w:p w:rsidR="00E9546C" w:rsidRDefault="00E9546C" w:rsidP="00E9546C">
            <w:pPr>
              <w:pStyle w:val="ListParagraph"/>
              <w:numPr>
                <w:ilvl w:val="0"/>
                <w:numId w:val="1"/>
              </w:numPr>
              <w:rPr>
                <w:rFonts w:asciiTheme="minorHAnsi" w:hAnsiTheme="minorHAnsi" w:cstheme="minorBidi"/>
                <w:color w:val="1F497D"/>
                <w:sz w:val="22"/>
                <w:szCs w:val="22"/>
                <w:lang w:eastAsia="en-US"/>
              </w:rPr>
            </w:pPr>
            <w:r>
              <w:rPr>
                <w:rFonts w:asciiTheme="minorHAnsi" w:hAnsiTheme="minorHAnsi" w:cstheme="minorBidi"/>
                <w:color w:val="1F497D"/>
                <w:sz w:val="22"/>
                <w:szCs w:val="22"/>
                <w:lang w:eastAsia="en-US"/>
              </w:rPr>
              <w:t>It would mean missing the HLF bid submission date and a delay to the project of three months for the next round.</w:t>
            </w:r>
          </w:p>
          <w:p w:rsidR="00E9546C" w:rsidRDefault="00E9546C" w:rsidP="00E9546C">
            <w:pPr>
              <w:pStyle w:val="ListParagraph"/>
              <w:numPr>
                <w:ilvl w:val="0"/>
                <w:numId w:val="1"/>
              </w:numPr>
              <w:rPr>
                <w:rFonts w:asciiTheme="minorHAnsi" w:hAnsiTheme="minorHAnsi" w:cstheme="minorBidi"/>
                <w:color w:val="1F497D"/>
                <w:sz w:val="22"/>
                <w:szCs w:val="22"/>
                <w:lang w:eastAsia="en-US"/>
              </w:rPr>
            </w:pPr>
            <w:r>
              <w:rPr>
                <w:rFonts w:asciiTheme="minorHAnsi" w:hAnsiTheme="minorHAnsi" w:cstheme="minorBidi"/>
                <w:color w:val="1F497D"/>
                <w:sz w:val="22"/>
                <w:szCs w:val="22"/>
                <w:lang w:eastAsia="en-US"/>
              </w:rPr>
              <w:t xml:space="preserve">If the Town Council submitted the HLF bid on the August date it would need to do this solely with </w:t>
            </w:r>
            <w:r>
              <w:rPr>
                <w:rFonts w:asciiTheme="minorHAnsi" w:hAnsiTheme="minorHAnsi" w:cstheme="minorBidi"/>
                <w:color w:val="1F497D"/>
                <w:sz w:val="22"/>
                <w:szCs w:val="22"/>
                <w:lang w:eastAsia="en-US"/>
              </w:rPr>
              <w:lastRenderedPageBreak/>
              <w:t>QS figures without any supporting tender information.</w:t>
            </w:r>
          </w:p>
          <w:p w:rsidR="00E9546C" w:rsidRDefault="00E9546C" w:rsidP="00E9546C">
            <w:pPr>
              <w:rPr>
                <w:rFonts w:asciiTheme="minorHAnsi" w:hAnsiTheme="minorHAnsi" w:cstheme="minorBidi"/>
                <w:color w:val="1F497D"/>
              </w:rPr>
            </w:pPr>
          </w:p>
          <w:p w:rsidR="00E9546C" w:rsidRDefault="00E9546C" w:rsidP="00E9546C">
            <w:pPr>
              <w:rPr>
                <w:rFonts w:asciiTheme="minorHAnsi" w:hAnsiTheme="minorHAnsi" w:cstheme="minorBidi"/>
                <w:color w:val="1F497D"/>
              </w:rPr>
            </w:pPr>
            <w:r>
              <w:rPr>
                <w:rFonts w:asciiTheme="minorHAnsi" w:hAnsiTheme="minorHAnsi" w:cstheme="minorBidi"/>
                <w:color w:val="1F497D"/>
              </w:rPr>
              <w:t>Both of these scenarios are unlikely to be beneficial to the project.</w:t>
            </w:r>
          </w:p>
          <w:p w:rsidR="00D314AC" w:rsidRDefault="00D314AC" w:rsidP="00D314AC">
            <w:pPr>
              <w:rPr>
                <w:color w:val="1F497D"/>
              </w:rPr>
            </w:pPr>
          </w:p>
        </w:tc>
      </w:tr>
      <w:tr w:rsidR="00484786" w:rsidRPr="00D314AC" w:rsidTr="00497C64">
        <w:tc>
          <w:tcPr>
            <w:tcW w:w="460" w:type="dxa"/>
          </w:tcPr>
          <w:p w:rsidR="00484786" w:rsidRDefault="00484786" w:rsidP="00D314AC">
            <w:pPr>
              <w:pStyle w:val="NoSpacing"/>
              <w:rPr>
                <w:sz w:val="24"/>
                <w:szCs w:val="24"/>
              </w:rPr>
            </w:pPr>
            <w:r>
              <w:rPr>
                <w:sz w:val="24"/>
                <w:szCs w:val="24"/>
              </w:rPr>
              <w:lastRenderedPageBreak/>
              <w:t>4</w:t>
            </w:r>
          </w:p>
        </w:tc>
        <w:tc>
          <w:tcPr>
            <w:tcW w:w="1133" w:type="dxa"/>
          </w:tcPr>
          <w:p w:rsidR="00484786" w:rsidRDefault="00484786" w:rsidP="00D314AC">
            <w:pPr>
              <w:pStyle w:val="NoSpacing"/>
              <w:rPr>
                <w:sz w:val="24"/>
                <w:szCs w:val="24"/>
              </w:rPr>
            </w:pPr>
            <w:r>
              <w:rPr>
                <w:sz w:val="24"/>
                <w:szCs w:val="24"/>
              </w:rPr>
              <w:t>31.7.17</w:t>
            </w:r>
          </w:p>
        </w:tc>
        <w:tc>
          <w:tcPr>
            <w:tcW w:w="3387" w:type="dxa"/>
          </w:tcPr>
          <w:p w:rsidR="00484786" w:rsidRDefault="00484786" w:rsidP="00D314AC">
            <w:pPr>
              <w:rPr>
                <w:rFonts w:ascii="Arial" w:hAnsi="Arial" w:cs="Arial"/>
                <w:b/>
                <w:bCs/>
              </w:rPr>
            </w:pPr>
            <w:r>
              <w:rPr>
                <w:rFonts w:ascii="Arial" w:hAnsi="Arial" w:cs="Arial"/>
                <w:b/>
                <w:bCs/>
              </w:rPr>
              <w:t>We have just received the tender information leaving us only two weeks to put the tender together.</w:t>
            </w:r>
          </w:p>
        </w:tc>
        <w:tc>
          <w:tcPr>
            <w:tcW w:w="4036" w:type="dxa"/>
          </w:tcPr>
          <w:p w:rsidR="00484786" w:rsidRDefault="00484786" w:rsidP="00484786">
            <w:pPr>
              <w:rPr>
                <w:color w:val="1F497D"/>
              </w:rPr>
            </w:pPr>
            <w:r>
              <w:rPr>
                <w:color w:val="1F497D"/>
              </w:rPr>
              <w:t>We would recommend your organisation reviews its notification profile on the site.</w:t>
            </w:r>
          </w:p>
          <w:p w:rsidR="00484786" w:rsidRDefault="00484786" w:rsidP="00484786">
            <w:pPr>
              <w:rPr>
                <w:color w:val="1F497D"/>
              </w:rPr>
            </w:pPr>
          </w:p>
          <w:p w:rsidR="00484786" w:rsidRDefault="00484786" w:rsidP="00484786">
            <w:pPr>
              <w:rPr>
                <w:color w:val="1F4E79"/>
              </w:rPr>
            </w:pPr>
            <w:r>
              <w:rPr>
                <w:color w:val="1F4E79"/>
              </w:rPr>
              <w:t xml:space="preserve">We would assume contractors can specify how regularly they will be contacted by contract finder with projects which may be of interest to them, clearly some companies chose only receive emails irregularly. </w:t>
            </w:r>
          </w:p>
          <w:p w:rsidR="00484786" w:rsidRDefault="00484786" w:rsidP="00484786">
            <w:pPr>
              <w:rPr>
                <w:color w:val="1F4E79"/>
              </w:rPr>
            </w:pPr>
          </w:p>
          <w:p w:rsidR="00484786" w:rsidRDefault="00484786" w:rsidP="00484786">
            <w:pPr>
              <w:rPr>
                <w:color w:val="1F4E79"/>
              </w:rPr>
            </w:pPr>
            <w:r>
              <w:rPr>
                <w:color w:val="1F4E79"/>
              </w:rPr>
              <w:t>From our perspective it was published on the 19</w:t>
            </w:r>
            <w:r>
              <w:rPr>
                <w:color w:val="1F4E79"/>
                <w:vertAlign w:val="superscript"/>
              </w:rPr>
              <w:t>th</w:t>
            </w:r>
            <w:r>
              <w:rPr>
                <w:color w:val="1F4E79"/>
              </w:rPr>
              <w:t xml:space="preserve"> – and clearly people were aware of it or we wouldn’t have had any contact before today!  We were arranging site meetings from the day after it was posted.</w:t>
            </w:r>
          </w:p>
          <w:p w:rsidR="00484786" w:rsidRDefault="00484786" w:rsidP="00484786">
            <w:pPr>
              <w:rPr>
                <w:color w:val="1F4E79"/>
              </w:rPr>
            </w:pPr>
          </w:p>
          <w:p w:rsidR="00484786" w:rsidRDefault="00484786" w:rsidP="00484786">
            <w:pPr>
              <w:rPr>
                <w:color w:val="1F4E79"/>
              </w:rPr>
            </w:pPr>
            <w:r>
              <w:rPr>
                <w:color w:val="1F4E79"/>
              </w:rPr>
              <w:t>I hope this information helps you.</w:t>
            </w:r>
          </w:p>
          <w:p w:rsidR="00484786" w:rsidRDefault="00484786" w:rsidP="00484786">
            <w:pPr>
              <w:rPr>
                <w:color w:val="1F4E79"/>
              </w:rPr>
            </w:pPr>
          </w:p>
          <w:p w:rsidR="00484786" w:rsidRDefault="00484786" w:rsidP="00E9546C">
            <w:pPr>
              <w:rPr>
                <w:rFonts w:asciiTheme="minorHAnsi" w:hAnsiTheme="minorHAnsi" w:cstheme="minorBidi"/>
                <w:color w:val="1F497D"/>
              </w:rPr>
            </w:pPr>
          </w:p>
        </w:tc>
      </w:tr>
      <w:tr w:rsidR="00484786" w:rsidRPr="00D314AC" w:rsidTr="00497C64">
        <w:tc>
          <w:tcPr>
            <w:tcW w:w="460" w:type="dxa"/>
          </w:tcPr>
          <w:p w:rsidR="00484786" w:rsidRDefault="00484786" w:rsidP="00D314AC">
            <w:pPr>
              <w:pStyle w:val="NoSpacing"/>
              <w:rPr>
                <w:sz w:val="24"/>
                <w:szCs w:val="24"/>
              </w:rPr>
            </w:pPr>
            <w:r>
              <w:rPr>
                <w:sz w:val="24"/>
                <w:szCs w:val="24"/>
              </w:rPr>
              <w:t>5</w:t>
            </w:r>
          </w:p>
        </w:tc>
        <w:tc>
          <w:tcPr>
            <w:tcW w:w="1133" w:type="dxa"/>
          </w:tcPr>
          <w:p w:rsidR="00484786" w:rsidRDefault="00484786" w:rsidP="00D314AC">
            <w:pPr>
              <w:pStyle w:val="NoSpacing"/>
              <w:rPr>
                <w:sz w:val="24"/>
                <w:szCs w:val="24"/>
              </w:rPr>
            </w:pPr>
            <w:r>
              <w:rPr>
                <w:sz w:val="24"/>
                <w:szCs w:val="24"/>
              </w:rPr>
              <w:t>31.7.17</w:t>
            </w:r>
          </w:p>
        </w:tc>
        <w:tc>
          <w:tcPr>
            <w:tcW w:w="3387" w:type="dxa"/>
          </w:tcPr>
          <w:p w:rsidR="00484786" w:rsidRPr="00484786" w:rsidRDefault="00484786" w:rsidP="00484786">
            <w:pPr>
              <w:rPr>
                <w:b/>
                <w:sz w:val="24"/>
                <w:szCs w:val="24"/>
              </w:rPr>
            </w:pPr>
            <w:r w:rsidRPr="00484786">
              <w:rPr>
                <w:b/>
                <w:sz w:val="24"/>
                <w:szCs w:val="24"/>
              </w:rPr>
              <w:t>Request for copy of the tender drawings and specifications as individual files, as the single pdf that contains all the 373 pages of these is too big a file to send out to sub-contractors pricing individual discrete elements of the works for them.  </w:t>
            </w:r>
          </w:p>
          <w:p w:rsidR="00484786" w:rsidRDefault="00484786" w:rsidP="00484786">
            <w:pPr>
              <w:rPr>
                <w:rFonts w:ascii="Arial" w:hAnsi="Arial" w:cs="Arial"/>
                <w:b/>
                <w:bCs/>
              </w:rPr>
            </w:pPr>
          </w:p>
        </w:tc>
        <w:tc>
          <w:tcPr>
            <w:tcW w:w="4036" w:type="dxa"/>
          </w:tcPr>
          <w:p w:rsidR="00484786" w:rsidRDefault="00484786" w:rsidP="00484786">
            <w:pPr>
              <w:rPr>
                <w:color w:val="1F497D"/>
              </w:rPr>
            </w:pPr>
            <w:r w:rsidRPr="00484786">
              <w:rPr>
                <w:color w:val="1F4E79" w:themeColor="accent1" w:themeShade="80"/>
              </w:rPr>
              <w:t>We can put such a folder together that does this, to then put onto Dropbox to provide the tender information in this format.  Information will be posted to the contract finder website.</w:t>
            </w:r>
          </w:p>
        </w:tc>
      </w:tr>
      <w:tr w:rsidR="004870A1" w:rsidRPr="00D314AC" w:rsidTr="00497C64">
        <w:tc>
          <w:tcPr>
            <w:tcW w:w="460" w:type="dxa"/>
          </w:tcPr>
          <w:p w:rsidR="004870A1" w:rsidRDefault="004870A1" w:rsidP="00D314AC">
            <w:pPr>
              <w:pStyle w:val="NoSpacing"/>
              <w:rPr>
                <w:sz w:val="24"/>
                <w:szCs w:val="24"/>
              </w:rPr>
            </w:pPr>
            <w:r>
              <w:rPr>
                <w:sz w:val="24"/>
                <w:szCs w:val="24"/>
              </w:rPr>
              <w:t>6</w:t>
            </w:r>
          </w:p>
        </w:tc>
        <w:tc>
          <w:tcPr>
            <w:tcW w:w="1133" w:type="dxa"/>
          </w:tcPr>
          <w:p w:rsidR="004870A1" w:rsidRDefault="004870A1" w:rsidP="00D314AC">
            <w:pPr>
              <w:pStyle w:val="NoSpacing"/>
              <w:rPr>
                <w:sz w:val="24"/>
                <w:szCs w:val="24"/>
              </w:rPr>
            </w:pPr>
            <w:r>
              <w:rPr>
                <w:sz w:val="24"/>
                <w:szCs w:val="24"/>
              </w:rPr>
              <w:t>31.7.17</w:t>
            </w:r>
          </w:p>
        </w:tc>
        <w:tc>
          <w:tcPr>
            <w:tcW w:w="3387" w:type="dxa"/>
          </w:tcPr>
          <w:p w:rsidR="004870A1" w:rsidRPr="004870A1" w:rsidRDefault="004870A1" w:rsidP="004870A1">
            <w:pPr>
              <w:rPr>
                <w:b/>
              </w:rPr>
            </w:pPr>
            <w:r w:rsidRPr="004870A1">
              <w:rPr>
                <w:b/>
              </w:rPr>
              <w:t>We have located the relevant documents on Contacts Finder.</w:t>
            </w:r>
          </w:p>
          <w:p w:rsidR="004870A1" w:rsidRPr="004870A1" w:rsidRDefault="004870A1" w:rsidP="004870A1">
            <w:pPr>
              <w:rPr>
                <w:b/>
              </w:rPr>
            </w:pPr>
          </w:p>
          <w:p w:rsidR="004870A1" w:rsidRPr="004870A1" w:rsidRDefault="004870A1" w:rsidP="004870A1">
            <w:pPr>
              <w:rPr>
                <w:b/>
              </w:rPr>
            </w:pPr>
            <w:r w:rsidRPr="004870A1">
              <w:rPr>
                <w:b/>
              </w:rPr>
              <w:t xml:space="preserve">Would it be possible to confirm an estimated value </w:t>
            </w:r>
            <w:proofErr w:type="gramStart"/>
            <w:r w:rsidRPr="004870A1">
              <w:rPr>
                <w:b/>
              </w:rPr>
              <w:t>please.</w:t>
            </w:r>
            <w:proofErr w:type="gramEnd"/>
          </w:p>
          <w:p w:rsidR="004870A1" w:rsidRPr="00484786" w:rsidRDefault="004870A1" w:rsidP="00484786">
            <w:pPr>
              <w:rPr>
                <w:b/>
                <w:sz w:val="24"/>
                <w:szCs w:val="24"/>
              </w:rPr>
            </w:pPr>
          </w:p>
        </w:tc>
        <w:tc>
          <w:tcPr>
            <w:tcW w:w="4036" w:type="dxa"/>
          </w:tcPr>
          <w:p w:rsidR="004870A1" w:rsidRDefault="004870A1" w:rsidP="004870A1">
            <w:r>
              <w:rPr>
                <w:color w:val="1F497D"/>
              </w:rPr>
              <w:t>The contractor may wish initially to establish whether it’s within their company’s scope of work so we can advise it’s anticipated to be between £500k and £1m</w:t>
            </w:r>
          </w:p>
          <w:p w:rsidR="004870A1" w:rsidRDefault="004870A1" w:rsidP="004870A1">
            <w:r>
              <w:rPr>
                <w:color w:val="1F497D"/>
              </w:rPr>
              <w:t> </w:t>
            </w:r>
          </w:p>
          <w:p w:rsidR="004870A1" w:rsidRPr="00484786" w:rsidRDefault="004870A1" w:rsidP="00484786">
            <w:pPr>
              <w:rPr>
                <w:color w:val="1F4E79" w:themeColor="accent1" w:themeShade="80"/>
              </w:rPr>
            </w:pPr>
          </w:p>
        </w:tc>
      </w:tr>
      <w:tr w:rsidR="00435F6B" w:rsidRPr="00D314AC" w:rsidTr="00497C64">
        <w:tc>
          <w:tcPr>
            <w:tcW w:w="460" w:type="dxa"/>
          </w:tcPr>
          <w:p w:rsidR="00435F6B" w:rsidRDefault="00435F6B" w:rsidP="00D314AC">
            <w:pPr>
              <w:pStyle w:val="NoSpacing"/>
              <w:rPr>
                <w:sz w:val="24"/>
                <w:szCs w:val="24"/>
              </w:rPr>
            </w:pPr>
            <w:r>
              <w:rPr>
                <w:sz w:val="24"/>
                <w:szCs w:val="24"/>
              </w:rPr>
              <w:t>7</w:t>
            </w:r>
          </w:p>
        </w:tc>
        <w:tc>
          <w:tcPr>
            <w:tcW w:w="1133" w:type="dxa"/>
          </w:tcPr>
          <w:p w:rsidR="00435F6B" w:rsidRDefault="00435F6B" w:rsidP="00D314AC">
            <w:pPr>
              <w:pStyle w:val="NoSpacing"/>
              <w:rPr>
                <w:sz w:val="24"/>
                <w:szCs w:val="24"/>
              </w:rPr>
            </w:pPr>
            <w:r>
              <w:rPr>
                <w:sz w:val="24"/>
                <w:szCs w:val="24"/>
              </w:rPr>
              <w:t>1.8.17</w:t>
            </w:r>
          </w:p>
        </w:tc>
        <w:tc>
          <w:tcPr>
            <w:tcW w:w="3387" w:type="dxa"/>
          </w:tcPr>
          <w:p w:rsidR="00435F6B" w:rsidRDefault="00435F6B" w:rsidP="00435F6B">
            <w:pPr>
              <w:rPr>
                <w:rFonts w:ascii="Arial" w:hAnsi="Arial" w:cs="Arial"/>
                <w:b/>
                <w:bCs/>
              </w:rPr>
            </w:pPr>
            <w:r>
              <w:rPr>
                <w:rFonts w:ascii="Arial" w:hAnsi="Arial" w:cs="Arial"/>
                <w:b/>
                <w:bCs/>
              </w:rPr>
              <w:t xml:space="preserve">Please request clarification of item 7 facilitating works. Description reads reinstate existing fireplace, drawing states new Victorian fireplace. If it is to be new please request a provisional sum for the supply of same. Also can we have a description of the </w:t>
            </w:r>
            <w:r>
              <w:rPr>
                <w:rFonts w:ascii="Arial" w:hAnsi="Arial" w:cs="Arial"/>
                <w:b/>
                <w:bCs/>
              </w:rPr>
              <w:lastRenderedPageBreak/>
              <w:t>slate hearth i.e. thickness, finish, are edges to be square, bull nosed, chamfered, type of slate Welsh, Chinese etc.</w:t>
            </w:r>
          </w:p>
          <w:p w:rsidR="00435F6B" w:rsidRPr="004870A1" w:rsidRDefault="00435F6B" w:rsidP="004870A1">
            <w:pPr>
              <w:rPr>
                <w:b/>
              </w:rPr>
            </w:pPr>
          </w:p>
        </w:tc>
        <w:tc>
          <w:tcPr>
            <w:tcW w:w="4036" w:type="dxa"/>
          </w:tcPr>
          <w:p w:rsidR="00435F6B" w:rsidRDefault="00435F6B" w:rsidP="00435F6B">
            <w:pPr>
              <w:rPr>
                <w:color w:val="1F497D"/>
              </w:rPr>
            </w:pPr>
            <w:r>
              <w:rPr>
                <w:color w:val="1F497D"/>
              </w:rPr>
              <w:lastRenderedPageBreak/>
              <w:t>Suggest specification is provided for the slate hearths and for the required works to, and acceptable finished condition of, the existing fireplaces. If these cannot be renovated, or a client supplied surround is located the cot can be adjusted accordingly</w:t>
            </w:r>
          </w:p>
          <w:p w:rsidR="00435F6B" w:rsidRDefault="00435F6B" w:rsidP="004870A1">
            <w:pPr>
              <w:rPr>
                <w:color w:val="1F497D"/>
              </w:rPr>
            </w:pPr>
          </w:p>
        </w:tc>
      </w:tr>
      <w:tr w:rsidR="00435F6B" w:rsidRPr="00D314AC" w:rsidTr="00497C64">
        <w:tc>
          <w:tcPr>
            <w:tcW w:w="460" w:type="dxa"/>
          </w:tcPr>
          <w:p w:rsidR="00435F6B" w:rsidRDefault="00435F6B" w:rsidP="00D314AC">
            <w:pPr>
              <w:pStyle w:val="NoSpacing"/>
              <w:rPr>
                <w:sz w:val="24"/>
                <w:szCs w:val="24"/>
              </w:rPr>
            </w:pPr>
            <w:r>
              <w:rPr>
                <w:sz w:val="24"/>
                <w:szCs w:val="24"/>
              </w:rPr>
              <w:t>8</w:t>
            </w:r>
          </w:p>
        </w:tc>
        <w:tc>
          <w:tcPr>
            <w:tcW w:w="1133" w:type="dxa"/>
          </w:tcPr>
          <w:p w:rsidR="00435F6B" w:rsidRDefault="00435F6B" w:rsidP="00D314AC">
            <w:pPr>
              <w:pStyle w:val="NoSpacing"/>
              <w:rPr>
                <w:sz w:val="24"/>
                <w:szCs w:val="24"/>
              </w:rPr>
            </w:pPr>
            <w:r>
              <w:rPr>
                <w:sz w:val="24"/>
                <w:szCs w:val="24"/>
              </w:rPr>
              <w:t>1.8.17</w:t>
            </w:r>
          </w:p>
        </w:tc>
        <w:tc>
          <w:tcPr>
            <w:tcW w:w="3387" w:type="dxa"/>
          </w:tcPr>
          <w:p w:rsidR="00435F6B" w:rsidRDefault="00435F6B" w:rsidP="00435F6B">
            <w:pPr>
              <w:rPr>
                <w:rFonts w:ascii="Arial" w:hAnsi="Arial" w:cs="Arial"/>
                <w:b/>
                <w:bCs/>
              </w:rPr>
            </w:pPr>
            <w:r>
              <w:rPr>
                <w:rFonts w:ascii="Arial" w:hAnsi="Arial" w:cs="Arial"/>
                <w:b/>
                <w:bCs/>
              </w:rPr>
              <w:t>Clarification please Item 8 Facilitating works description states reinstate existing fireplace including hearth (hearth measured separately) drawing states reclaimed Victorian fireplace and surround. If the drawing description is correct please request either a specified supplier and fireplace or a provisional sum for same.</w:t>
            </w:r>
          </w:p>
          <w:p w:rsidR="00435F6B" w:rsidRDefault="00435F6B" w:rsidP="00435F6B">
            <w:pPr>
              <w:rPr>
                <w:rFonts w:ascii="Arial" w:hAnsi="Arial" w:cs="Arial"/>
                <w:b/>
                <w:bCs/>
              </w:rPr>
            </w:pPr>
          </w:p>
        </w:tc>
        <w:tc>
          <w:tcPr>
            <w:tcW w:w="4036" w:type="dxa"/>
          </w:tcPr>
          <w:p w:rsidR="00435F6B" w:rsidRDefault="00435F6B" w:rsidP="00435F6B">
            <w:pPr>
              <w:rPr>
                <w:color w:val="1F497D"/>
              </w:rPr>
            </w:pPr>
            <w:r>
              <w:rPr>
                <w:color w:val="1F497D"/>
              </w:rPr>
              <w:t>Ditto</w:t>
            </w:r>
          </w:p>
          <w:p w:rsidR="00435F6B" w:rsidRDefault="00435F6B" w:rsidP="00435F6B">
            <w:pPr>
              <w:rPr>
                <w:color w:val="1F497D"/>
              </w:rPr>
            </w:pPr>
          </w:p>
        </w:tc>
      </w:tr>
      <w:tr w:rsidR="00435F6B" w:rsidRPr="00D314AC" w:rsidTr="00497C64">
        <w:tc>
          <w:tcPr>
            <w:tcW w:w="460" w:type="dxa"/>
          </w:tcPr>
          <w:p w:rsidR="00435F6B" w:rsidRDefault="00435F6B" w:rsidP="00D314AC">
            <w:pPr>
              <w:pStyle w:val="NoSpacing"/>
              <w:rPr>
                <w:sz w:val="24"/>
                <w:szCs w:val="24"/>
              </w:rPr>
            </w:pPr>
            <w:r>
              <w:rPr>
                <w:sz w:val="24"/>
                <w:szCs w:val="24"/>
              </w:rPr>
              <w:t>9</w:t>
            </w:r>
          </w:p>
        </w:tc>
        <w:tc>
          <w:tcPr>
            <w:tcW w:w="1133" w:type="dxa"/>
          </w:tcPr>
          <w:p w:rsidR="00435F6B" w:rsidRDefault="00435F6B" w:rsidP="00D314AC">
            <w:pPr>
              <w:pStyle w:val="NoSpacing"/>
              <w:rPr>
                <w:sz w:val="24"/>
                <w:szCs w:val="24"/>
              </w:rPr>
            </w:pPr>
            <w:r>
              <w:rPr>
                <w:sz w:val="24"/>
                <w:szCs w:val="24"/>
              </w:rPr>
              <w:t>1.8.17</w:t>
            </w:r>
          </w:p>
        </w:tc>
        <w:tc>
          <w:tcPr>
            <w:tcW w:w="3387" w:type="dxa"/>
          </w:tcPr>
          <w:p w:rsidR="00435F6B" w:rsidRDefault="00435F6B" w:rsidP="00435F6B">
            <w:pPr>
              <w:rPr>
                <w:rFonts w:ascii="Arial" w:hAnsi="Arial" w:cs="Arial"/>
                <w:b/>
                <w:bCs/>
              </w:rPr>
            </w:pPr>
            <w:r>
              <w:rPr>
                <w:rFonts w:ascii="Arial" w:hAnsi="Arial" w:cs="Arial"/>
                <w:b/>
                <w:bCs/>
              </w:rPr>
              <w:t>Please request clarification of second part of item 39 of the facilitating works Removing window and enlarging opening for new door. Is this a repeat of items 19 and 20?</w:t>
            </w:r>
          </w:p>
          <w:p w:rsidR="00435F6B" w:rsidRDefault="00435F6B" w:rsidP="00435F6B">
            <w:pPr>
              <w:rPr>
                <w:rFonts w:ascii="Arial" w:hAnsi="Arial" w:cs="Arial"/>
                <w:b/>
                <w:bCs/>
              </w:rPr>
            </w:pPr>
          </w:p>
        </w:tc>
        <w:tc>
          <w:tcPr>
            <w:tcW w:w="4036" w:type="dxa"/>
          </w:tcPr>
          <w:p w:rsidR="00B612A7" w:rsidRDefault="00B612A7" w:rsidP="00B612A7">
            <w:pPr>
              <w:rPr>
                <w:color w:val="1F497D"/>
              </w:rPr>
            </w:pPr>
            <w:r>
              <w:rPr>
                <w:color w:val="1F497D"/>
              </w:rPr>
              <w:t>3) below looks like a repeat</w:t>
            </w:r>
          </w:p>
          <w:p w:rsidR="00B612A7" w:rsidRDefault="00B612A7" w:rsidP="00B612A7">
            <w:pPr>
              <w:rPr>
                <w:color w:val="1F497D"/>
              </w:rPr>
            </w:pPr>
          </w:p>
          <w:p w:rsidR="00B612A7" w:rsidRDefault="00B612A7" w:rsidP="00B612A7">
            <w:pPr>
              <w:rPr>
                <w:color w:val="1F497D"/>
              </w:rPr>
            </w:pPr>
            <w:r>
              <w:rPr>
                <w:color w:val="1F497D"/>
              </w:rPr>
              <w:t>Later item can be removed in the contract BQ and the tender sum adjusted accordingly in agreement with the contractor pre-contract</w:t>
            </w:r>
          </w:p>
          <w:p w:rsidR="00435F6B" w:rsidRDefault="00435F6B" w:rsidP="00435F6B">
            <w:pPr>
              <w:rPr>
                <w:color w:val="1F497D"/>
              </w:rPr>
            </w:pPr>
          </w:p>
        </w:tc>
      </w:tr>
      <w:tr w:rsidR="00FB399C" w:rsidRPr="00D314AC" w:rsidTr="00497C64">
        <w:tc>
          <w:tcPr>
            <w:tcW w:w="460" w:type="dxa"/>
          </w:tcPr>
          <w:p w:rsidR="00FB399C" w:rsidRDefault="00FB399C" w:rsidP="00D314AC">
            <w:pPr>
              <w:pStyle w:val="NoSpacing"/>
              <w:rPr>
                <w:sz w:val="24"/>
                <w:szCs w:val="24"/>
              </w:rPr>
            </w:pPr>
            <w:r>
              <w:rPr>
                <w:sz w:val="24"/>
                <w:szCs w:val="24"/>
              </w:rPr>
              <w:t>10</w:t>
            </w:r>
          </w:p>
        </w:tc>
        <w:tc>
          <w:tcPr>
            <w:tcW w:w="1133" w:type="dxa"/>
          </w:tcPr>
          <w:p w:rsidR="00FB399C" w:rsidRDefault="00FB399C" w:rsidP="00D314AC">
            <w:pPr>
              <w:pStyle w:val="NoSpacing"/>
              <w:rPr>
                <w:sz w:val="24"/>
                <w:szCs w:val="24"/>
              </w:rPr>
            </w:pPr>
            <w:r>
              <w:rPr>
                <w:sz w:val="24"/>
                <w:szCs w:val="24"/>
              </w:rPr>
              <w:t>2.8.17</w:t>
            </w:r>
          </w:p>
        </w:tc>
        <w:tc>
          <w:tcPr>
            <w:tcW w:w="3387" w:type="dxa"/>
          </w:tcPr>
          <w:p w:rsidR="00FB399C" w:rsidRDefault="00FB399C" w:rsidP="00435F6B">
            <w:pPr>
              <w:rPr>
                <w:b/>
                <w:sz w:val="24"/>
                <w:szCs w:val="24"/>
              </w:rPr>
            </w:pPr>
            <w:r w:rsidRPr="00FB399C">
              <w:rPr>
                <w:b/>
                <w:sz w:val="24"/>
                <w:szCs w:val="24"/>
              </w:rPr>
              <w:t xml:space="preserve">I am assuming that tender submissions will have to be returned to your email address as there is no facility on Contracts Finder to do this. The CF portal only publishes tender opportunities with a link to the </w:t>
            </w:r>
            <w:r w:rsidR="00A86BC7" w:rsidRPr="00FB399C">
              <w:rPr>
                <w:b/>
                <w:sz w:val="24"/>
                <w:szCs w:val="24"/>
              </w:rPr>
              <w:t>publishers’</w:t>
            </w:r>
            <w:r w:rsidRPr="00FB399C">
              <w:rPr>
                <w:b/>
                <w:sz w:val="24"/>
                <w:szCs w:val="24"/>
              </w:rPr>
              <w:t xml:space="preserve"> website where documents are issued and returned upon completion.</w:t>
            </w:r>
          </w:p>
          <w:p w:rsidR="00A86BC7" w:rsidRPr="00FB399C" w:rsidRDefault="00A86BC7" w:rsidP="00435F6B">
            <w:pPr>
              <w:rPr>
                <w:rFonts w:ascii="Arial" w:hAnsi="Arial" w:cs="Arial"/>
                <w:b/>
                <w:bCs/>
                <w:sz w:val="24"/>
                <w:szCs w:val="24"/>
              </w:rPr>
            </w:pPr>
          </w:p>
        </w:tc>
        <w:tc>
          <w:tcPr>
            <w:tcW w:w="4036" w:type="dxa"/>
          </w:tcPr>
          <w:p w:rsidR="00FB399C" w:rsidRDefault="00FB399C" w:rsidP="00FB399C">
            <w:pPr>
              <w:rPr>
                <w:color w:val="1F497D"/>
              </w:rPr>
            </w:pPr>
            <w:r>
              <w:rPr>
                <w:color w:val="1F497D"/>
              </w:rPr>
              <w:t>The option is to return by email or post (hand delivery).</w:t>
            </w:r>
          </w:p>
          <w:p w:rsidR="00FB399C" w:rsidRDefault="00FB399C" w:rsidP="00FB399C">
            <w:pPr>
              <w:rPr>
                <w:color w:val="1F497D"/>
              </w:rPr>
            </w:pPr>
          </w:p>
          <w:p w:rsidR="00FB399C" w:rsidRDefault="00FB399C" w:rsidP="00B612A7">
            <w:pPr>
              <w:rPr>
                <w:color w:val="1F497D"/>
              </w:rPr>
            </w:pPr>
          </w:p>
        </w:tc>
      </w:tr>
      <w:tr w:rsidR="00FB399C" w:rsidRPr="00D314AC" w:rsidTr="00497C64">
        <w:tc>
          <w:tcPr>
            <w:tcW w:w="460" w:type="dxa"/>
          </w:tcPr>
          <w:p w:rsidR="00FB399C" w:rsidRDefault="00A86BC7" w:rsidP="00D314AC">
            <w:pPr>
              <w:pStyle w:val="NoSpacing"/>
              <w:rPr>
                <w:sz w:val="24"/>
                <w:szCs w:val="24"/>
              </w:rPr>
            </w:pPr>
            <w:r>
              <w:rPr>
                <w:sz w:val="24"/>
                <w:szCs w:val="24"/>
              </w:rPr>
              <w:t>11</w:t>
            </w:r>
          </w:p>
        </w:tc>
        <w:tc>
          <w:tcPr>
            <w:tcW w:w="1133" w:type="dxa"/>
          </w:tcPr>
          <w:p w:rsidR="00FB399C" w:rsidRDefault="00A86BC7" w:rsidP="00D314AC">
            <w:pPr>
              <w:pStyle w:val="NoSpacing"/>
              <w:rPr>
                <w:sz w:val="24"/>
                <w:szCs w:val="24"/>
              </w:rPr>
            </w:pPr>
            <w:r>
              <w:rPr>
                <w:sz w:val="24"/>
                <w:szCs w:val="24"/>
              </w:rPr>
              <w:t>7.8.17</w:t>
            </w:r>
          </w:p>
        </w:tc>
        <w:tc>
          <w:tcPr>
            <w:tcW w:w="3387" w:type="dxa"/>
          </w:tcPr>
          <w:p w:rsidR="00A86BC7" w:rsidRPr="00A86BC7" w:rsidRDefault="00A86BC7" w:rsidP="00A86BC7">
            <w:pPr>
              <w:rPr>
                <w:b/>
              </w:rPr>
            </w:pPr>
            <w:r w:rsidRPr="00A86BC7">
              <w:rPr>
                <w:b/>
              </w:rPr>
              <w:t>On the schematic drawing 6021-</w:t>
            </w:r>
            <w:proofErr w:type="gramStart"/>
            <w:r w:rsidRPr="00A86BC7">
              <w:rPr>
                <w:b/>
              </w:rPr>
              <w:t>U(</w:t>
            </w:r>
            <w:proofErr w:type="gramEnd"/>
            <w:r w:rsidRPr="00A86BC7">
              <w:rPr>
                <w:b/>
              </w:rPr>
              <w:t>10)200-T1 to the Kitchen Area, Extract Fan 7, it shows fire rated ductwork with 5no terminations through the roof, this isn’t shown on drawing number 6021-U(10)100-T1 Kitchen Area. Fire rated ductwork will have an impact on our price therefore can we have further information/drawings showing this section of works please – a cross-section of the ductwork area would be great if this exists to determine the lengths of the runs and any dampers required in this section.</w:t>
            </w:r>
          </w:p>
          <w:p w:rsidR="00A86BC7" w:rsidRPr="00A86BC7" w:rsidRDefault="00A86BC7" w:rsidP="00A86BC7">
            <w:pPr>
              <w:rPr>
                <w:b/>
              </w:rPr>
            </w:pPr>
          </w:p>
          <w:p w:rsidR="00A86BC7" w:rsidRPr="00A86BC7" w:rsidRDefault="00A86BC7" w:rsidP="00A86BC7">
            <w:pPr>
              <w:rPr>
                <w:b/>
              </w:rPr>
            </w:pPr>
            <w:r w:rsidRPr="00A86BC7">
              <w:rPr>
                <w:b/>
              </w:rPr>
              <w:t>For the same run of ductwork with the fire rated, there are 2no attenuators shown on the schematic, there is no schedule for these items.</w:t>
            </w:r>
          </w:p>
          <w:p w:rsidR="00A86BC7" w:rsidRDefault="00A86BC7" w:rsidP="00A86BC7"/>
          <w:p w:rsidR="00FB399C" w:rsidRPr="00FB399C" w:rsidRDefault="00FB399C" w:rsidP="00435F6B">
            <w:pPr>
              <w:rPr>
                <w:b/>
                <w:sz w:val="24"/>
                <w:szCs w:val="24"/>
              </w:rPr>
            </w:pPr>
          </w:p>
        </w:tc>
        <w:tc>
          <w:tcPr>
            <w:tcW w:w="4036" w:type="dxa"/>
          </w:tcPr>
          <w:p w:rsidR="00FB399C" w:rsidRPr="00BD6875" w:rsidRDefault="00BD6875" w:rsidP="00FB399C">
            <w:pPr>
              <w:rPr>
                <w:color w:val="1F497D"/>
                <w:sz w:val="24"/>
                <w:szCs w:val="24"/>
              </w:rPr>
            </w:pPr>
            <w:r w:rsidRPr="00BD6875">
              <w:rPr>
                <w:color w:val="1F4E79" w:themeColor="accent1" w:themeShade="80"/>
                <w:sz w:val="24"/>
                <w:szCs w:val="24"/>
              </w:rPr>
              <w:t>Fire rated ductwork is required for the kitchen extract duct only as it runs through the roof void above the kitchen. We are currently unable to provide a section for this as we do not have survey information for this area.</w:t>
            </w:r>
            <w:r w:rsidRPr="00BD6875">
              <w:rPr>
                <w:color w:val="1F4E79" w:themeColor="accent1" w:themeShade="80"/>
                <w:sz w:val="24"/>
                <w:szCs w:val="24"/>
              </w:rPr>
              <w:br/>
            </w:r>
          </w:p>
        </w:tc>
      </w:tr>
      <w:tr w:rsidR="00A86BC7" w:rsidRPr="00D314AC" w:rsidTr="00497C64">
        <w:tc>
          <w:tcPr>
            <w:tcW w:w="460" w:type="dxa"/>
          </w:tcPr>
          <w:p w:rsidR="00A86BC7" w:rsidRDefault="00A86BC7" w:rsidP="00D314AC">
            <w:pPr>
              <w:pStyle w:val="NoSpacing"/>
              <w:rPr>
                <w:sz w:val="24"/>
                <w:szCs w:val="24"/>
              </w:rPr>
            </w:pPr>
            <w:r>
              <w:rPr>
                <w:sz w:val="24"/>
                <w:szCs w:val="24"/>
              </w:rPr>
              <w:t>12</w:t>
            </w:r>
          </w:p>
        </w:tc>
        <w:tc>
          <w:tcPr>
            <w:tcW w:w="1133" w:type="dxa"/>
          </w:tcPr>
          <w:p w:rsidR="00A86BC7" w:rsidRDefault="00A86BC7" w:rsidP="00D314AC">
            <w:pPr>
              <w:pStyle w:val="NoSpacing"/>
              <w:rPr>
                <w:sz w:val="24"/>
                <w:szCs w:val="24"/>
              </w:rPr>
            </w:pPr>
            <w:r>
              <w:rPr>
                <w:sz w:val="24"/>
                <w:szCs w:val="24"/>
              </w:rPr>
              <w:t>7.8.17</w:t>
            </w:r>
          </w:p>
        </w:tc>
        <w:tc>
          <w:tcPr>
            <w:tcW w:w="3387" w:type="dxa"/>
          </w:tcPr>
          <w:p w:rsidR="00A86BC7" w:rsidRPr="00A86BC7" w:rsidRDefault="00A86BC7" w:rsidP="00A86BC7">
            <w:pPr>
              <w:rPr>
                <w:b/>
              </w:rPr>
            </w:pPr>
            <w:r w:rsidRPr="00A86BC7">
              <w:rPr>
                <w:b/>
              </w:rPr>
              <w:t>Page 54, Item 17 mentions stainless steel doors – are these the same as item 23 on the same page?</w:t>
            </w:r>
          </w:p>
          <w:p w:rsidR="00A86BC7" w:rsidRPr="00A86BC7" w:rsidRDefault="00A86BC7" w:rsidP="00A86BC7">
            <w:pPr>
              <w:rPr>
                <w:b/>
              </w:rPr>
            </w:pPr>
          </w:p>
        </w:tc>
        <w:tc>
          <w:tcPr>
            <w:tcW w:w="4036" w:type="dxa"/>
          </w:tcPr>
          <w:p w:rsidR="00A86BC7" w:rsidRDefault="00A86BC7" w:rsidP="00A86BC7">
            <w:pPr>
              <w:rPr>
                <w:color w:val="1F497D"/>
              </w:rPr>
            </w:pPr>
            <w:r>
              <w:rPr>
                <w:color w:val="1F497D"/>
              </w:rPr>
              <w:t>These are all part of KCCJ item 29; please price complete item as described in the KCCJ specification</w:t>
            </w:r>
          </w:p>
          <w:p w:rsidR="00A86BC7" w:rsidRDefault="00A86BC7" w:rsidP="00FB399C">
            <w:pPr>
              <w:rPr>
                <w:color w:val="1F497D"/>
              </w:rPr>
            </w:pPr>
          </w:p>
        </w:tc>
      </w:tr>
      <w:tr w:rsidR="00A86BC7" w:rsidRPr="00D314AC" w:rsidTr="00497C64">
        <w:tc>
          <w:tcPr>
            <w:tcW w:w="460" w:type="dxa"/>
          </w:tcPr>
          <w:p w:rsidR="00A86BC7" w:rsidRDefault="00A86BC7" w:rsidP="00D314AC">
            <w:pPr>
              <w:pStyle w:val="NoSpacing"/>
              <w:rPr>
                <w:sz w:val="24"/>
                <w:szCs w:val="24"/>
              </w:rPr>
            </w:pPr>
            <w:r>
              <w:rPr>
                <w:sz w:val="24"/>
                <w:szCs w:val="24"/>
              </w:rPr>
              <w:t>13</w:t>
            </w:r>
          </w:p>
        </w:tc>
        <w:tc>
          <w:tcPr>
            <w:tcW w:w="1133" w:type="dxa"/>
          </w:tcPr>
          <w:p w:rsidR="00A86BC7" w:rsidRDefault="00A86BC7" w:rsidP="00D314AC">
            <w:pPr>
              <w:pStyle w:val="NoSpacing"/>
              <w:rPr>
                <w:sz w:val="24"/>
                <w:szCs w:val="24"/>
              </w:rPr>
            </w:pPr>
            <w:r>
              <w:rPr>
                <w:sz w:val="24"/>
                <w:szCs w:val="24"/>
              </w:rPr>
              <w:t>7.8.17</w:t>
            </w:r>
          </w:p>
        </w:tc>
        <w:tc>
          <w:tcPr>
            <w:tcW w:w="3387" w:type="dxa"/>
          </w:tcPr>
          <w:p w:rsidR="00A86BC7" w:rsidRPr="00A86BC7" w:rsidRDefault="00A86BC7" w:rsidP="00A86BC7">
            <w:pPr>
              <w:rPr>
                <w:b/>
              </w:rPr>
            </w:pPr>
            <w:r w:rsidRPr="00A86BC7">
              <w:rPr>
                <w:b/>
              </w:rPr>
              <w:t>Page 56, Item 43 – Can you please provide more details/ manufacturers reference number as to what kind of cutlery/condiment dispenser is required.</w:t>
            </w:r>
          </w:p>
          <w:p w:rsidR="00A86BC7" w:rsidRPr="00A86BC7" w:rsidRDefault="00A86BC7" w:rsidP="00A86BC7">
            <w:pPr>
              <w:rPr>
                <w:b/>
              </w:rPr>
            </w:pPr>
          </w:p>
        </w:tc>
        <w:tc>
          <w:tcPr>
            <w:tcW w:w="4036" w:type="dxa"/>
          </w:tcPr>
          <w:p w:rsidR="00A86BC7" w:rsidRDefault="00A86BC7" w:rsidP="00FB399C">
            <w:pPr>
              <w:rPr>
                <w:color w:val="1F497D"/>
              </w:rPr>
            </w:pPr>
          </w:p>
        </w:tc>
      </w:tr>
      <w:tr w:rsidR="00A86BC7" w:rsidRPr="00D314AC" w:rsidTr="00497C64">
        <w:tc>
          <w:tcPr>
            <w:tcW w:w="460" w:type="dxa"/>
          </w:tcPr>
          <w:p w:rsidR="00A86BC7" w:rsidRDefault="00A86BC7" w:rsidP="00D314AC">
            <w:pPr>
              <w:pStyle w:val="NoSpacing"/>
              <w:rPr>
                <w:sz w:val="24"/>
                <w:szCs w:val="24"/>
              </w:rPr>
            </w:pPr>
            <w:r>
              <w:rPr>
                <w:sz w:val="24"/>
                <w:szCs w:val="24"/>
              </w:rPr>
              <w:t>14</w:t>
            </w:r>
          </w:p>
        </w:tc>
        <w:tc>
          <w:tcPr>
            <w:tcW w:w="1133" w:type="dxa"/>
          </w:tcPr>
          <w:p w:rsidR="00A86BC7" w:rsidRDefault="00A86BC7" w:rsidP="00D314AC">
            <w:pPr>
              <w:pStyle w:val="NoSpacing"/>
              <w:rPr>
                <w:sz w:val="24"/>
                <w:szCs w:val="24"/>
              </w:rPr>
            </w:pPr>
            <w:r>
              <w:rPr>
                <w:sz w:val="24"/>
                <w:szCs w:val="24"/>
              </w:rPr>
              <w:t>7.8.17</w:t>
            </w:r>
          </w:p>
        </w:tc>
        <w:tc>
          <w:tcPr>
            <w:tcW w:w="3387" w:type="dxa"/>
          </w:tcPr>
          <w:p w:rsidR="00A86BC7" w:rsidRDefault="00A86BC7" w:rsidP="00A86BC7">
            <w:pPr>
              <w:rPr>
                <w:b/>
              </w:rPr>
            </w:pPr>
            <w:r w:rsidRPr="00A86BC7">
              <w:rPr>
                <w:b/>
              </w:rPr>
              <w:t>Page 56 – item 46 – Can you please provide more detail/size/specification</w:t>
            </w:r>
          </w:p>
          <w:p w:rsidR="00A86BC7" w:rsidRPr="00A86BC7" w:rsidRDefault="00A86BC7" w:rsidP="00A86BC7">
            <w:pPr>
              <w:rPr>
                <w:b/>
              </w:rPr>
            </w:pPr>
          </w:p>
        </w:tc>
        <w:tc>
          <w:tcPr>
            <w:tcW w:w="4036" w:type="dxa"/>
          </w:tcPr>
          <w:p w:rsidR="00A86BC7" w:rsidRDefault="00A86BC7" w:rsidP="00FB399C">
            <w:pPr>
              <w:rPr>
                <w:color w:val="1F497D"/>
              </w:rPr>
            </w:pPr>
          </w:p>
        </w:tc>
      </w:tr>
      <w:tr w:rsidR="00A86BC7" w:rsidRPr="00D314AC" w:rsidTr="00497C64">
        <w:tc>
          <w:tcPr>
            <w:tcW w:w="460" w:type="dxa"/>
          </w:tcPr>
          <w:p w:rsidR="00A86BC7" w:rsidRDefault="00A86BC7" w:rsidP="00D314AC">
            <w:pPr>
              <w:pStyle w:val="NoSpacing"/>
              <w:rPr>
                <w:sz w:val="24"/>
                <w:szCs w:val="24"/>
              </w:rPr>
            </w:pPr>
            <w:r>
              <w:rPr>
                <w:sz w:val="24"/>
                <w:szCs w:val="24"/>
              </w:rPr>
              <w:t>15</w:t>
            </w:r>
          </w:p>
        </w:tc>
        <w:tc>
          <w:tcPr>
            <w:tcW w:w="1133" w:type="dxa"/>
          </w:tcPr>
          <w:p w:rsidR="00A86BC7" w:rsidRDefault="00A86BC7" w:rsidP="00D314AC">
            <w:pPr>
              <w:pStyle w:val="NoSpacing"/>
              <w:rPr>
                <w:sz w:val="24"/>
                <w:szCs w:val="24"/>
              </w:rPr>
            </w:pPr>
            <w:r>
              <w:rPr>
                <w:sz w:val="24"/>
                <w:szCs w:val="24"/>
              </w:rPr>
              <w:t>7.8.17</w:t>
            </w:r>
          </w:p>
        </w:tc>
        <w:tc>
          <w:tcPr>
            <w:tcW w:w="3387" w:type="dxa"/>
          </w:tcPr>
          <w:p w:rsidR="00A86BC7" w:rsidRPr="00A86BC7" w:rsidRDefault="00A86BC7" w:rsidP="00A86BC7">
            <w:pPr>
              <w:rPr>
                <w:b/>
              </w:rPr>
            </w:pPr>
            <w:r w:rsidRPr="00A86BC7">
              <w:rPr>
                <w:b/>
              </w:rPr>
              <w:t>Page 56 – item 56 – We are unable to locate a cleans storage rack on the drawings, do we have any reference for this please</w:t>
            </w:r>
          </w:p>
          <w:p w:rsidR="00A86BC7" w:rsidRPr="00A86BC7" w:rsidRDefault="00A86BC7" w:rsidP="00A86BC7">
            <w:pPr>
              <w:rPr>
                <w:b/>
              </w:rPr>
            </w:pPr>
          </w:p>
        </w:tc>
        <w:tc>
          <w:tcPr>
            <w:tcW w:w="4036" w:type="dxa"/>
          </w:tcPr>
          <w:p w:rsidR="00A86BC7" w:rsidRDefault="00A86BC7" w:rsidP="00FB399C">
            <w:pPr>
              <w:rPr>
                <w:color w:val="1F497D"/>
              </w:rPr>
            </w:pPr>
          </w:p>
        </w:tc>
      </w:tr>
      <w:tr w:rsidR="00A86BC7" w:rsidRPr="00D314AC" w:rsidTr="00497C64">
        <w:tc>
          <w:tcPr>
            <w:tcW w:w="460" w:type="dxa"/>
          </w:tcPr>
          <w:p w:rsidR="00A86BC7" w:rsidRDefault="00A86BC7" w:rsidP="00D314AC">
            <w:pPr>
              <w:pStyle w:val="NoSpacing"/>
              <w:rPr>
                <w:sz w:val="24"/>
                <w:szCs w:val="24"/>
              </w:rPr>
            </w:pPr>
            <w:r>
              <w:rPr>
                <w:sz w:val="24"/>
                <w:szCs w:val="24"/>
              </w:rPr>
              <w:t>16</w:t>
            </w:r>
          </w:p>
        </w:tc>
        <w:tc>
          <w:tcPr>
            <w:tcW w:w="1133" w:type="dxa"/>
          </w:tcPr>
          <w:p w:rsidR="00A86BC7" w:rsidRDefault="00A86BC7" w:rsidP="00D314AC">
            <w:pPr>
              <w:pStyle w:val="NoSpacing"/>
              <w:rPr>
                <w:sz w:val="24"/>
                <w:szCs w:val="24"/>
              </w:rPr>
            </w:pPr>
            <w:r>
              <w:rPr>
                <w:sz w:val="24"/>
                <w:szCs w:val="24"/>
              </w:rPr>
              <w:t>7.8.17</w:t>
            </w:r>
          </w:p>
        </w:tc>
        <w:tc>
          <w:tcPr>
            <w:tcW w:w="3387" w:type="dxa"/>
          </w:tcPr>
          <w:p w:rsidR="00A86BC7" w:rsidRPr="00A86BC7" w:rsidRDefault="00A86BC7" w:rsidP="00A86BC7">
            <w:pPr>
              <w:rPr>
                <w:b/>
              </w:rPr>
            </w:pPr>
            <w:r w:rsidRPr="00A86BC7">
              <w:rPr>
                <w:b/>
              </w:rPr>
              <w:t>Page 56 – item 61 states a recirculation hood, but drawings state extract ventilation canopy – we will allow for an extract canopy and trust this is correct</w:t>
            </w:r>
          </w:p>
          <w:p w:rsidR="00A86BC7" w:rsidRPr="00A86BC7" w:rsidRDefault="00A86BC7" w:rsidP="00A86BC7">
            <w:pPr>
              <w:rPr>
                <w:b/>
              </w:rPr>
            </w:pPr>
          </w:p>
        </w:tc>
        <w:tc>
          <w:tcPr>
            <w:tcW w:w="4036" w:type="dxa"/>
          </w:tcPr>
          <w:p w:rsidR="00A86BC7" w:rsidRDefault="00A86BC7" w:rsidP="00A86BC7">
            <w:pPr>
              <w:pStyle w:val="ListParagraph"/>
              <w:ind w:left="0"/>
              <w:rPr>
                <w:rFonts w:ascii="Calibri" w:hAnsi="Calibri"/>
                <w:color w:val="1F497D"/>
              </w:rPr>
            </w:pPr>
            <w:r>
              <w:rPr>
                <w:color w:val="1F497D"/>
              </w:rPr>
              <w:t>Correct this is now an extract ventilation canopy</w:t>
            </w:r>
          </w:p>
          <w:p w:rsidR="00A86BC7" w:rsidRDefault="00A86BC7" w:rsidP="00A86BC7">
            <w:pPr>
              <w:pStyle w:val="ListParagraph"/>
              <w:ind w:left="0"/>
              <w:rPr>
                <w:color w:val="1F497D"/>
              </w:rPr>
            </w:pPr>
          </w:p>
          <w:p w:rsidR="00A86BC7" w:rsidRDefault="00A86BC7" w:rsidP="00FB399C">
            <w:pPr>
              <w:rPr>
                <w:color w:val="1F497D"/>
              </w:rPr>
            </w:pPr>
          </w:p>
        </w:tc>
      </w:tr>
      <w:tr w:rsidR="00A86BC7" w:rsidRPr="00D314AC" w:rsidTr="00497C64">
        <w:tc>
          <w:tcPr>
            <w:tcW w:w="460" w:type="dxa"/>
          </w:tcPr>
          <w:p w:rsidR="00A86BC7" w:rsidRDefault="00A86BC7" w:rsidP="00D314AC">
            <w:pPr>
              <w:pStyle w:val="NoSpacing"/>
              <w:rPr>
                <w:sz w:val="24"/>
                <w:szCs w:val="24"/>
              </w:rPr>
            </w:pPr>
            <w:r>
              <w:rPr>
                <w:sz w:val="24"/>
                <w:szCs w:val="24"/>
              </w:rPr>
              <w:t>17</w:t>
            </w:r>
          </w:p>
        </w:tc>
        <w:tc>
          <w:tcPr>
            <w:tcW w:w="1133" w:type="dxa"/>
          </w:tcPr>
          <w:p w:rsidR="00A86BC7" w:rsidRDefault="00A86BC7" w:rsidP="00D314AC">
            <w:pPr>
              <w:pStyle w:val="NoSpacing"/>
              <w:rPr>
                <w:sz w:val="24"/>
                <w:szCs w:val="24"/>
              </w:rPr>
            </w:pPr>
            <w:r>
              <w:rPr>
                <w:sz w:val="24"/>
                <w:szCs w:val="24"/>
              </w:rPr>
              <w:t>7.8.17</w:t>
            </w:r>
          </w:p>
        </w:tc>
        <w:tc>
          <w:tcPr>
            <w:tcW w:w="3387" w:type="dxa"/>
          </w:tcPr>
          <w:p w:rsidR="00A86BC7" w:rsidRPr="00A86BC7" w:rsidRDefault="00A86BC7" w:rsidP="00A86BC7">
            <w:pPr>
              <w:rPr>
                <w:b/>
              </w:rPr>
            </w:pPr>
            <w:r w:rsidRPr="00A86BC7">
              <w:rPr>
                <w:b/>
              </w:rPr>
              <w:t xml:space="preserve">Page 56 - item 64 – is this a duplicate of item 44 </w:t>
            </w:r>
          </w:p>
          <w:p w:rsidR="00A86BC7" w:rsidRPr="00A86BC7" w:rsidRDefault="00A86BC7" w:rsidP="00A86BC7">
            <w:pPr>
              <w:rPr>
                <w:b/>
              </w:rPr>
            </w:pPr>
          </w:p>
        </w:tc>
        <w:tc>
          <w:tcPr>
            <w:tcW w:w="4036" w:type="dxa"/>
          </w:tcPr>
          <w:p w:rsidR="00CC032A" w:rsidRDefault="00CC032A" w:rsidP="00CC032A">
            <w:pPr>
              <w:pStyle w:val="ListParagraph"/>
              <w:ind w:left="0"/>
              <w:rPr>
                <w:rFonts w:ascii="Calibri" w:hAnsi="Calibri"/>
                <w:color w:val="1F497D"/>
              </w:rPr>
            </w:pPr>
            <w:r>
              <w:rPr>
                <w:color w:val="1F497D"/>
              </w:rPr>
              <w:t>Please price both items as per the BQ; any adjustment will be made post-tender</w:t>
            </w:r>
          </w:p>
          <w:p w:rsidR="00CC032A" w:rsidRDefault="00CC032A" w:rsidP="00CC032A">
            <w:pPr>
              <w:pStyle w:val="ListParagraph"/>
              <w:ind w:left="0"/>
              <w:rPr>
                <w:color w:val="1F497D"/>
              </w:rPr>
            </w:pPr>
          </w:p>
          <w:p w:rsidR="00A86BC7" w:rsidRDefault="00A86BC7" w:rsidP="00FB399C">
            <w:pPr>
              <w:rPr>
                <w:color w:val="1F497D"/>
              </w:rPr>
            </w:pPr>
          </w:p>
        </w:tc>
      </w:tr>
      <w:tr w:rsidR="00497C64" w:rsidRPr="00D314AC" w:rsidTr="00497C64">
        <w:tc>
          <w:tcPr>
            <w:tcW w:w="460" w:type="dxa"/>
          </w:tcPr>
          <w:p w:rsidR="00497C64" w:rsidRDefault="00497C64" w:rsidP="00497C64">
            <w:pPr>
              <w:pStyle w:val="NoSpacing"/>
              <w:rPr>
                <w:sz w:val="24"/>
                <w:szCs w:val="24"/>
              </w:rPr>
            </w:pPr>
            <w:r>
              <w:rPr>
                <w:sz w:val="24"/>
                <w:szCs w:val="24"/>
              </w:rPr>
              <w:t>18</w:t>
            </w:r>
          </w:p>
        </w:tc>
        <w:tc>
          <w:tcPr>
            <w:tcW w:w="1133" w:type="dxa"/>
          </w:tcPr>
          <w:p w:rsidR="00497C64" w:rsidRDefault="00497C64" w:rsidP="00497C64">
            <w:pPr>
              <w:pStyle w:val="NoSpacing"/>
              <w:rPr>
                <w:sz w:val="24"/>
                <w:szCs w:val="24"/>
              </w:rPr>
            </w:pPr>
            <w:r w:rsidRPr="00383303">
              <w:t>02/08/17</w:t>
            </w:r>
          </w:p>
        </w:tc>
        <w:tc>
          <w:tcPr>
            <w:tcW w:w="3387" w:type="dxa"/>
          </w:tcPr>
          <w:p w:rsidR="00497C64" w:rsidRPr="003139DC" w:rsidRDefault="00497C64" w:rsidP="00497C64">
            <w:pPr>
              <w:rPr>
                <w:rFonts w:eastAsia="Times New Roman" w:cs="Arial"/>
                <w:b/>
                <w:bCs/>
                <w:lang w:eastAsia="en-GB"/>
              </w:rPr>
            </w:pPr>
            <w:r w:rsidRPr="003139DC">
              <w:rPr>
                <w:rFonts w:eastAsia="Times New Roman" w:cs="Arial"/>
                <w:b/>
                <w:bCs/>
                <w:lang w:eastAsia="en-GB"/>
              </w:rPr>
              <w:t xml:space="preserve">Floor Boxes - on schedule of power accessories Y(6)501 reads series 500 floor boxes with stainless steel recess, Cableduct only do stainless steel recess in the 700 series, all remaining sizes are the same, please confirm if we go with series 500 or series 700 </w:t>
            </w:r>
          </w:p>
          <w:p w:rsidR="00497C64" w:rsidRPr="00A86BC7" w:rsidRDefault="00497C64" w:rsidP="00497C64">
            <w:pPr>
              <w:rPr>
                <w:b/>
              </w:rPr>
            </w:pPr>
          </w:p>
        </w:tc>
        <w:tc>
          <w:tcPr>
            <w:tcW w:w="4036" w:type="dxa"/>
          </w:tcPr>
          <w:p w:rsidR="00497C64" w:rsidRPr="00497C64" w:rsidRDefault="00497C64" w:rsidP="00497C64">
            <w:pPr>
              <w:rPr>
                <w:rFonts w:eastAsia="Times New Roman" w:cs="Arial"/>
                <w:bCs/>
                <w:color w:val="1F4E79" w:themeColor="accent1" w:themeShade="80"/>
                <w:lang w:eastAsia="en-GB"/>
              </w:rPr>
            </w:pPr>
            <w:r w:rsidRPr="00497C64">
              <w:rPr>
                <w:rFonts w:eastAsia="Times New Roman" w:cs="Arial"/>
                <w:bCs/>
                <w:color w:val="1F4E79" w:themeColor="accent1" w:themeShade="80"/>
                <w:lang w:eastAsia="en-GB"/>
              </w:rPr>
              <w:t>Cableduct 700 series with stainless steel recessed lid to be used</w:t>
            </w:r>
          </w:p>
          <w:p w:rsidR="00497C64" w:rsidRPr="00383303" w:rsidRDefault="00497C64" w:rsidP="00497C64"/>
        </w:tc>
      </w:tr>
      <w:tr w:rsidR="00497C64" w:rsidRPr="00D314AC" w:rsidTr="00497C64">
        <w:tc>
          <w:tcPr>
            <w:tcW w:w="460" w:type="dxa"/>
          </w:tcPr>
          <w:p w:rsidR="00497C64" w:rsidRDefault="00497C64" w:rsidP="00497C64">
            <w:pPr>
              <w:pStyle w:val="NoSpacing"/>
              <w:rPr>
                <w:sz w:val="24"/>
                <w:szCs w:val="24"/>
              </w:rPr>
            </w:pPr>
            <w:r>
              <w:rPr>
                <w:sz w:val="24"/>
                <w:szCs w:val="24"/>
              </w:rPr>
              <w:t>19</w:t>
            </w:r>
          </w:p>
        </w:tc>
        <w:tc>
          <w:tcPr>
            <w:tcW w:w="1133" w:type="dxa"/>
          </w:tcPr>
          <w:p w:rsidR="00497C64" w:rsidRPr="00383303" w:rsidRDefault="00497C64" w:rsidP="00497C64">
            <w:pPr>
              <w:pStyle w:val="NoSpacing"/>
            </w:pPr>
            <w:r w:rsidRPr="00383303">
              <w:t>02/08/17</w:t>
            </w:r>
          </w:p>
        </w:tc>
        <w:tc>
          <w:tcPr>
            <w:tcW w:w="3387" w:type="dxa"/>
          </w:tcPr>
          <w:p w:rsidR="00F02EFF" w:rsidRPr="003139DC" w:rsidRDefault="00F02EFF" w:rsidP="00F02EFF">
            <w:pPr>
              <w:rPr>
                <w:rFonts w:eastAsia="Times New Roman" w:cs="Arial"/>
                <w:b/>
                <w:bCs/>
                <w:lang w:eastAsia="en-GB"/>
              </w:rPr>
            </w:pPr>
            <w:r w:rsidRPr="003139DC">
              <w:rPr>
                <w:rFonts w:eastAsia="Times New Roman" w:cs="Arial"/>
                <w:b/>
                <w:bCs/>
                <w:lang w:eastAsia="en-GB"/>
              </w:rPr>
              <w:t>Fire Alarm - The electrical specification Rev T1 reads for the electrical contractor to obtain quotations from our choice of subcontractor, yet in 3040 station preliminaries section 48, reads the employer will go directly for the fire alarm, intruder, AV, IT, telephone, access control &amp; cctv. the drawing V(22)100 reads fire alarm, door control &amp; alarm  to be confirmed with an specialist contractor, or are  we to arrange for an  sub-contractor to provide an quotation for the fire alarms</w:t>
            </w:r>
          </w:p>
          <w:p w:rsidR="00497C64" w:rsidRPr="00383303" w:rsidRDefault="00497C64" w:rsidP="00497C64">
            <w:pPr>
              <w:rPr>
                <w:rFonts w:eastAsia="Times New Roman" w:cs="Arial"/>
                <w:bCs/>
                <w:lang w:eastAsia="en-GB"/>
              </w:rPr>
            </w:pPr>
          </w:p>
        </w:tc>
        <w:tc>
          <w:tcPr>
            <w:tcW w:w="4036" w:type="dxa"/>
          </w:tcPr>
          <w:p w:rsidR="00497C64" w:rsidRPr="00497C64" w:rsidRDefault="00F02EFF" w:rsidP="00497C64">
            <w:pPr>
              <w:rPr>
                <w:rFonts w:eastAsia="Times New Roman" w:cs="Arial"/>
                <w:bCs/>
                <w:color w:val="1F4E79" w:themeColor="accent1" w:themeShade="80"/>
                <w:lang w:eastAsia="en-GB"/>
              </w:rPr>
            </w:pPr>
            <w:r w:rsidRPr="00F02EFF">
              <w:rPr>
                <w:color w:val="1F4E79" w:themeColor="accent1" w:themeShade="80"/>
              </w:rPr>
              <w:t>Fire alarm is a Contractor Design item. Contractor to confirm with client preferred specialists to liaise with</w:t>
            </w:r>
            <w:r w:rsidRPr="00383303">
              <w:t>.</w:t>
            </w:r>
          </w:p>
        </w:tc>
      </w:tr>
      <w:tr w:rsidR="00F02EFF" w:rsidRPr="00D314AC" w:rsidTr="00497C64">
        <w:tc>
          <w:tcPr>
            <w:tcW w:w="460" w:type="dxa"/>
          </w:tcPr>
          <w:p w:rsidR="00F02EFF" w:rsidRDefault="003139DC" w:rsidP="00F02EFF">
            <w:pPr>
              <w:pStyle w:val="NoSpacing"/>
              <w:rPr>
                <w:sz w:val="24"/>
                <w:szCs w:val="24"/>
              </w:rPr>
            </w:pPr>
            <w:r>
              <w:rPr>
                <w:sz w:val="24"/>
                <w:szCs w:val="24"/>
              </w:rPr>
              <w:t>20</w:t>
            </w:r>
          </w:p>
        </w:tc>
        <w:tc>
          <w:tcPr>
            <w:tcW w:w="1133" w:type="dxa"/>
          </w:tcPr>
          <w:p w:rsidR="00F02EFF" w:rsidRPr="00383303" w:rsidRDefault="00F02EFF" w:rsidP="00F02EFF">
            <w:pPr>
              <w:pStyle w:val="NoSpacing"/>
            </w:pPr>
            <w:r w:rsidRPr="00383303">
              <w:t>02/08/17</w:t>
            </w:r>
          </w:p>
        </w:tc>
        <w:tc>
          <w:tcPr>
            <w:tcW w:w="3387" w:type="dxa"/>
          </w:tcPr>
          <w:p w:rsidR="00F02EFF" w:rsidRPr="003139DC" w:rsidRDefault="00F02EFF" w:rsidP="00F02EFF">
            <w:pPr>
              <w:rPr>
                <w:rFonts w:eastAsia="Times New Roman" w:cs="Arial"/>
                <w:b/>
                <w:bCs/>
                <w:lang w:eastAsia="en-GB"/>
              </w:rPr>
            </w:pPr>
            <w:r w:rsidRPr="003139DC">
              <w:rPr>
                <w:rFonts w:eastAsia="Times New Roman" w:cs="Arial"/>
                <w:b/>
                <w:bCs/>
                <w:lang w:eastAsia="en-GB"/>
              </w:rPr>
              <w:t xml:space="preserve">Small Power accessories schedule ref D6 dimming  switch is not available in Mk Aspect, also not suitable for Led, please confirm replacement </w:t>
            </w:r>
          </w:p>
          <w:p w:rsidR="00F02EFF" w:rsidRPr="00383303" w:rsidRDefault="00F02EFF" w:rsidP="00F02EFF"/>
        </w:tc>
        <w:tc>
          <w:tcPr>
            <w:tcW w:w="4036" w:type="dxa"/>
          </w:tcPr>
          <w:p w:rsidR="00F02EFF" w:rsidRPr="003139DC" w:rsidRDefault="00F02EFF" w:rsidP="00F02EFF">
            <w:pPr>
              <w:rPr>
                <w:rFonts w:eastAsia="Times New Roman" w:cs="Arial"/>
                <w:bCs/>
                <w:color w:val="1F4E79" w:themeColor="accent1" w:themeShade="80"/>
                <w:lang w:eastAsia="en-GB"/>
              </w:rPr>
            </w:pPr>
            <w:r w:rsidRPr="003139DC">
              <w:rPr>
                <w:rFonts w:eastAsia="Times New Roman" w:cs="Arial"/>
                <w:bCs/>
                <w:color w:val="1F4E79" w:themeColor="accent1" w:themeShade="80"/>
                <w:lang w:eastAsia="en-GB"/>
              </w:rPr>
              <w:t>MK Aspect retractive switch.</w:t>
            </w:r>
          </w:p>
          <w:p w:rsidR="00F02EFF" w:rsidRPr="00F02EFF" w:rsidRDefault="00F02EFF" w:rsidP="00F02EFF">
            <w:pPr>
              <w:rPr>
                <w:color w:val="1F4E79" w:themeColor="accent1" w:themeShade="80"/>
              </w:rPr>
            </w:pPr>
          </w:p>
        </w:tc>
      </w:tr>
      <w:tr w:rsidR="00F02EFF" w:rsidRPr="00D314AC" w:rsidTr="00497C64">
        <w:tc>
          <w:tcPr>
            <w:tcW w:w="460" w:type="dxa"/>
          </w:tcPr>
          <w:p w:rsidR="00F02EFF" w:rsidRDefault="003139DC" w:rsidP="00F02EFF">
            <w:pPr>
              <w:pStyle w:val="NoSpacing"/>
              <w:rPr>
                <w:sz w:val="24"/>
                <w:szCs w:val="24"/>
              </w:rPr>
            </w:pPr>
            <w:r>
              <w:rPr>
                <w:sz w:val="24"/>
                <w:szCs w:val="24"/>
              </w:rPr>
              <w:t>21</w:t>
            </w:r>
          </w:p>
        </w:tc>
        <w:tc>
          <w:tcPr>
            <w:tcW w:w="1133" w:type="dxa"/>
          </w:tcPr>
          <w:p w:rsidR="00F02EFF" w:rsidRPr="00383303" w:rsidRDefault="00F02EFF" w:rsidP="00F02EFF">
            <w:pPr>
              <w:pStyle w:val="NoSpacing"/>
            </w:pPr>
            <w:r w:rsidRPr="00383303">
              <w:t>02/08/17</w:t>
            </w:r>
          </w:p>
        </w:tc>
        <w:tc>
          <w:tcPr>
            <w:tcW w:w="3387" w:type="dxa"/>
          </w:tcPr>
          <w:p w:rsidR="00F02EFF" w:rsidRPr="003139DC" w:rsidRDefault="00F02EFF" w:rsidP="00F02EFF">
            <w:pPr>
              <w:rPr>
                <w:b/>
              </w:rPr>
            </w:pPr>
            <w:r w:rsidRPr="003139DC">
              <w:rPr>
                <w:b/>
              </w:rPr>
              <w:t>Small Power accessories schedule  ref P1,P2</w:t>
            </w:r>
          </w:p>
          <w:p w:rsidR="00F02EFF" w:rsidRPr="003139DC" w:rsidRDefault="00F02EFF" w:rsidP="00F02EFF">
            <w:pPr>
              <w:rPr>
                <w:b/>
              </w:rPr>
            </w:pPr>
          </w:p>
          <w:p w:rsidR="00F02EFF" w:rsidRPr="003139DC" w:rsidRDefault="00F02EFF" w:rsidP="00F02EFF">
            <w:pPr>
              <w:rPr>
                <w:b/>
              </w:rPr>
            </w:pPr>
            <w:r w:rsidRPr="003139DC">
              <w:rPr>
                <w:b/>
              </w:rPr>
              <w:t>K9610BLU obsolete now replace with K73601BLU</w:t>
            </w:r>
          </w:p>
          <w:p w:rsidR="00F02EFF" w:rsidRPr="003139DC" w:rsidRDefault="00F02EFF" w:rsidP="00F02EFF">
            <w:pPr>
              <w:rPr>
                <w:b/>
              </w:rPr>
            </w:pPr>
          </w:p>
          <w:p w:rsidR="00F02EFF" w:rsidRPr="003139DC" w:rsidRDefault="00F02EFF" w:rsidP="00F02EFF">
            <w:pPr>
              <w:rPr>
                <w:b/>
              </w:rPr>
            </w:pPr>
            <w:r w:rsidRPr="003139DC">
              <w:rPr>
                <w:b/>
              </w:rPr>
              <w:t>K9643BLU obsolete now replace with K73633BLU</w:t>
            </w:r>
          </w:p>
          <w:p w:rsidR="00F02EFF" w:rsidRPr="003139DC" w:rsidRDefault="00F02EFF" w:rsidP="00F02EFF">
            <w:pPr>
              <w:rPr>
                <w:b/>
              </w:rPr>
            </w:pPr>
          </w:p>
          <w:p w:rsidR="00F02EFF" w:rsidRPr="003139DC" w:rsidRDefault="00F02EFF" w:rsidP="00F02EFF">
            <w:pPr>
              <w:rPr>
                <w:b/>
              </w:rPr>
            </w:pPr>
            <w:r w:rsidRPr="003139DC">
              <w:rPr>
                <w:b/>
              </w:rPr>
              <w:t>K9608RED obsolete now replace with K73615RED</w:t>
            </w:r>
          </w:p>
          <w:p w:rsidR="00F02EFF" w:rsidRPr="003139DC" w:rsidRDefault="00F02EFF" w:rsidP="00F02EFF">
            <w:pPr>
              <w:rPr>
                <w:b/>
              </w:rPr>
            </w:pPr>
          </w:p>
          <w:p w:rsidR="00F02EFF" w:rsidRPr="003139DC" w:rsidRDefault="00F02EFF" w:rsidP="00F02EFF">
            <w:pPr>
              <w:rPr>
                <w:b/>
              </w:rPr>
            </w:pPr>
            <w:r w:rsidRPr="003139DC">
              <w:rPr>
                <w:b/>
              </w:rPr>
              <w:t>K9640RED obsolete now replace with K73641RED</w:t>
            </w:r>
          </w:p>
          <w:p w:rsidR="00F02EFF" w:rsidRPr="003139DC" w:rsidRDefault="00F02EFF" w:rsidP="00F02EFF">
            <w:pPr>
              <w:rPr>
                <w:b/>
              </w:rPr>
            </w:pPr>
          </w:p>
          <w:p w:rsidR="00F02EFF" w:rsidRPr="003139DC" w:rsidRDefault="00F02EFF" w:rsidP="00F02EFF">
            <w:pPr>
              <w:rPr>
                <w:b/>
              </w:rPr>
            </w:pPr>
            <w:r w:rsidRPr="003139DC">
              <w:rPr>
                <w:b/>
              </w:rPr>
              <w:t>K9670RED obsolete now replace with K73643RED</w:t>
            </w:r>
          </w:p>
          <w:p w:rsidR="00F02EFF" w:rsidRPr="003139DC" w:rsidRDefault="00F02EFF" w:rsidP="00F02EFF">
            <w:pPr>
              <w:rPr>
                <w:b/>
              </w:rPr>
            </w:pPr>
          </w:p>
          <w:p w:rsidR="00F02EFF" w:rsidRPr="003139DC" w:rsidRDefault="00F02EFF" w:rsidP="00F02EFF">
            <w:pPr>
              <w:rPr>
                <w:b/>
              </w:rPr>
            </w:pPr>
            <w:r w:rsidRPr="003139DC">
              <w:rPr>
                <w:b/>
              </w:rPr>
              <w:t>none of the above + P3,P4,P5 &amp; P10 are marked on the drawings</w:t>
            </w:r>
          </w:p>
          <w:p w:rsidR="00F02EFF" w:rsidRPr="00383303" w:rsidRDefault="00F02EFF" w:rsidP="00F02EFF">
            <w:pPr>
              <w:rPr>
                <w:rFonts w:eastAsia="Times New Roman" w:cs="Arial"/>
                <w:bCs/>
                <w:lang w:eastAsia="en-GB"/>
              </w:rPr>
            </w:pPr>
          </w:p>
        </w:tc>
        <w:tc>
          <w:tcPr>
            <w:tcW w:w="4036" w:type="dxa"/>
          </w:tcPr>
          <w:p w:rsidR="00F02EFF" w:rsidRPr="003139DC" w:rsidRDefault="00F02EFF" w:rsidP="00F02EFF">
            <w:pPr>
              <w:rPr>
                <w:rFonts w:eastAsia="Times New Roman" w:cs="Arial"/>
                <w:bCs/>
                <w:color w:val="1F4E79" w:themeColor="accent1" w:themeShade="80"/>
                <w:lang w:eastAsia="en-GB"/>
              </w:rPr>
            </w:pPr>
            <w:r w:rsidRPr="003139DC">
              <w:rPr>
                <w:rFonts w:eastAsia="Times New Roman" w:cs="Arial"/>
                <w:bCs/>
                <w:color w:val="1F4E79" w:themeColor="accent1" w:themeShade="80"/>
                <w:lang w:eastAsia="en-GB"/>
              </w:rPr>
              <w:t>Part numbers to be updated as appropriate to current references. Commando sockets not currently believed to be required. To be confirmed with catering and ICT consultant.</w:t>
            </w:r>
          </w:p>
          <w:p w:rsidR="00F02EFF" w:rsidRPr="00383303" w:rsidRDefault="00F02EFF" w:rsidP="00F02EFF">
            <w:pPr>
              <w:rPr>
                <w:rFonts w:eastAsia="Times New Roman" w:cs="Arial"/>
                <w:bCs/>
                <w:lang w:eastAsia="en-GB"/>
              </w:rPr>
            </w:pPr>
          </w:p>
        </w:tc>
      </w:tr>
      <w:tr w:rsidR="00F02EFF" w:rsidRPr="00D314AC" w:rsidTr="00497C64">
        <w:tc>
          <w:tcPr>
            <w:tcW w:w="460" w:type="dxa"/>
          </w:tcPr>
          <w:p w:rsidR="00F02EFF" w:rsidRDefault="003139DC" w:rsidP="00F02EFF">
            <w:pPr>
              <w:pStyle w:val="NoSpacing"/>
              <w:rPr>
                <w:sz w:val="24"/>
                <w:szCs w:val="24"/>
              </w:rPr>
            </w:pPr>
            <w:r>
              <w:rPr>
                <w:sz w:val="24"/>
                <w:szCs w:val="24"/>
              </w:rPr>
              <w:t>22</w:t>
            </w:r>
          </w:p>
        </w:tc>
        <w:tc>
          <w:tcPr>
            <w:tcW w:w="1133" w:type="dxa"/>
          </w:tcPr>
          <w:p w:rsidR="00F02EFF" w:rsidRPr="00383303" w:rsidRDefault="00F02EFF" w:rsidP="00F02EFF">
            <w:pPr>
              <w:pStyle w:val="NoSpacing"/>
            </w:pPr>
            <w:r w:rsidRPr="00383303">
              <w:t>02/08/17</w:t>
            </w:r>
          </w:p>
        </w:tc>
        <w:tc>
          <w:tcPr>
            <w:tcW w:w="3387" w:type="dxa"/>
          </w:tcPr>
          <w:p w:rsidR="00F02EFF" w:rsidRDefault="00F02EFF" w:rsidP="00F02EFF">
            <w:pPr>
              <w:rPr>
                <w:rFonts w:eastAsia="Times New Roman" w:cs="Arial"/>
                <w:b/>
                <w:bCs/>
                <w:lang w:eastAsia="en-GB"/>
              </w:rPr>
            </w:pPr>
            <w:r w:rsidRPr="003139DC">
              <w:rPr>
                <w:rFonts w:eastAsia="Times New Roman" w:cs="Arial"/>
                <w:b/>
                <w:bCs/>
                <w:lang w:eastAsia="en-GB"/>
              </w:rPr>
              <w:t xml:space="preserve">Luminaire XAL ref L1 &amp; L1e - have confirmed as an stock luminire they only can supply, with Dali dimmable or non-dimmable please confirm if either </w:t>
            </w:r>
          </w:p>
          <w:p w:rsidR="003139DC" w:rsidRPr="003139DC" w:rsidRDefault="003139DC" w:rsidP="00F02EFF">
            <w:pPr>
              <w:rPr>
                <w:rFonts w:eastAsia="Times New Roman" w:cs="Arial"/>
                <w:b/>
                <w:bCs/>
                <w:lang w:eastAsia="en-GB"/>
              </w:rPr>
            </w:pPr>
          </w:p>
          <w:p w:rsidR="00F02EFF" w:rsidRPr="00383303" w:rsidRDefault="00F02EFF" w:rsidP="00F02EFF"/>
        </w:tc>
        <w:tc>
          <w:tcPr>
            <w:tcW w:w="4036" w:type="dxa"/>
          </w:tcPr>
          <w:p w:rsidR="00F02EFF" w:rsidRPr="003139DC" w:rsidRDefault="00F02EFF" w:rsidP="00F02EFF">
            <w:pPr>
              <w:rPr>
                <w:rFonts w:eastAsia="Times New Roman" w:cs="Arial"/>
                <w:bCs/>
                <w:color w:val="1F4E79" w:themeColor="accent1" w:themeShade="80"/>
                <w:lang w:eastAsia="en-GB"/>
              </w:rPr>
            </w:pPr>
            <w:r w:rsidRPr="003139DC">
              <w:rPr>
                <w:rFonts w:eastAsia="Times New Roman" w:cs="Arial"/>
                <w:bCs/>
                <w:color w:val="1F4E79" w:themeColor="accent1" w:themeShade="80"/>
                <w:lang w:eastAsia="en-GB"/>
              </w:rPr>
              <w:t>Dali Dimmable</w:t>
            </w:r>
          </w:p>
          <w:p w:rsidR="00F02EFF" w:rsidRPr="00383303" w:rsidRDefault="00F02EFF" w:rsidP="00F02EFF">
            <w:pPr>
              <w:rPr>
                <w:rFonts w:eastAsia="Times New Roman" w:cs="Arial"/>
                <w:bCs/>
                <w:lang w:eastAsia="en-GB"/>
              </w:rPr>
            </w:pPr>
          </w:p>
        </w:tc>
      </w:tr>
      <w:tr w:rsidR="007923A5" w:rsidRPr="00D314AC" w:rsidTr="00497C64">
        <w:tc>
          <w:tcPr>
            <w:tcW w:w="460" w:type="dxa"/>
          </w:tcPr>
          <w:p w:rsidR="007923A5" w:rsidRDefault="003139DC" w:rsidP="00F02EFF">
            <w:pPr>
              <w:pStyle w:val="NoSpacing"/>
              <w:rPr>
                <w:sz w:val="24"/>
                <w:szCs w:val="24"/>
              </w:rPr>
            </w:pPr>
            <w:r>
              <w:rPr>
                <w:sz w:val="24"/>
                <w:szCs w:val="24"/>
              </w:rPr>
              <w:t>23</w:t>
            </w:r>
          </w:p>
        </w:tc>
        <w:tc>
          <w:tcPr>
            <w:tcW w:w="1133" w:type="dxa"/>
          </w:tcPr>
          <w:p w:rsidR="007923A5" w:rsidRPr="00383303" w:rsidRDefault="003139DC" w:rsidP="00F02EFF">
            <w:pPr>
              <w:pStyle w:val="NoSpacing"/>
            </w:pPr>
            <w:r>
              <w:t>8.8.17</w:t>
            </w:r>
          </w:p>
        </w:tc>
        <w:tc>
          <w:tcPr>
            <w:tcW w:w="3387" w:type="dxa"/>
          </w:tcPr>
          <w:p w:rsidR="003139DC" w:rsidRDefault="003139DC" w:rsidP="003139DC">
            <w:r>
              <w:rPr>
                <w:rFonts w:ascii="Arial" w:hAnsi="Arial" w:cs="Arial"/>
                <w:b/>
                <w:bCs/>
              </w:rPr>
              <w:t>The B0Q refers to N12/400 relating to the kitchen equipment it has not been issued within the specification”.</w:t>
            </w:r>
          </w:p>
          <w:p w:rsidR="007923A5" w:rsidRPr="00383303" w:rsidRDefault="007923A5" w:rsidP="00F02EFF">
            <w:pPr>
              <w:rPr>
                <w:rFonts w:eastAsia="Times New Roman" w:cs="Arial"/>
                <w:bCs/>
                <w:lang w:eastAsia="en-GB"/>
              </w:rPr>
            </w:pPr>
          </w:p>
        </w:tc>
        <w:tc>
          <w:tcPr>
            <w:tcW w:w="4036" w:type="dxa"/>
          </w:tcPr>
          <w:p w:rsidR="003139DC" w:rsidRPr="003139DC" w:rsidRDefault="003139DC" w:rsidP="003139DC">
            <w:pPr>
              <w:rPr>
                <w:rFonts w:ascii="Helvetica" w:eastAsia="Times New Roman" w:hAnsi="Helvetica" w:cs="Helvetica"/>
                <w:color w:val="1F4E79" w:themeColor="accent1" w:themeShade="80"/>
                <w:sz w:val="18"/>
                <w:szCs w:val="18"/>
              </w:rPr>
            </w:pPr>
            <w:r w:rsidRPr="003139DC">
              <w:rPr>
                <w:rFonts w:ascii="Helvetica" w:eastAsia="Times New Roman" w:hAnsi="Helvetica" w:cs="Helvetica"/>
                <w:color w:val="1F4E79" w:themeColor="accent1" w:themeShade="80"/>
                <w:sz w:val="18"/>
                <w:szCs w:val="18"/>
              </w:rPr>
              <w:t>KCCJ have prepared the following information:</w:t>
            </w:r>
          </w:p>
          <w:p w:rsidR="003139DC" w:rsidRPr="003139DC" w:rsidRDefault="003139DC" w:rsidP="003139DC">
            <w:pPr>
              <w:rPr>
                <w:rFonts w:ascii="Helvetica" w:eastAsia="Times New Roman" w:hAnsi="Helvetica" w:cs="Helvetica"/>
                <w:color w:val="1F4E79" w:themeColor="accent1" w:themeShade="80"/>
                <w:sz w:val="18"/>
                <w:szCs w:val="18"/>
              </w:rPr>
            </w:pPr>
          </w:p>
          <w:p w:rsidR="003139DC" w:rsidRPr="003139DC" w:rsidRDefault="003139DC" w:rsidP="003139DC">
            <w:pPr>
              <w:rPr>
                <w:rFonts w:ascii="Helvetica" w:eastAsia="Times New Roman" w:hAnsi="Helvetica" w:cs="Helvetica"/>
                <w:color w:val="1F4E79" w:themeColor="accent1" w:themeShade="80"/>
                <w:sz w:val="18"/>
                <w:szCs w:val="18"/>
              </w:rPr>
            </w:pPr>
            <w:r w:rsidRPr="003139DC">
              <w:rPr>
                <w:rFonts w:ascii="Helvetica" w:eastAsia="Times New Roman" w:hAnsi="Helvetica" w:cs="Helvetica"/>
                <w:color w:val="1F4E79" w:themeColor="accent1" w:themeShade="80"/>
                <w:sz w:val="18"/>
                <w:szCs w:val="18"/>
              </w:rPr>
              <w:t>- Services Schedule 14.07</w:t>
            </w:r>
          </w:p>
          <w:p w:rsidR="003139DC" w:rsidRPr="003139DC" w:rsidRDefault="003139DC" w:rsidP="003139DC">
            <w:pPr>
              <w:pStyle w:val="NormalWeb"/>
              <w:rPr>
                <w:rFonts w:ascii="Helvetica" w:hAnsi="Helvetica" w:cs="Helvetica"/>
                <w:color w:val="1F4E79" w:themeColor="accent1" w:themeShade="80"/>
                <w:sz w:val="18"/>
                <w:szCs w:val="18"/>
              </w:rPr>
            </w:pPr>
            <w:r w:rsidRPr="003139DC">
              <w:rPr>
                <w:rFonts w:ascii="Helvetica" w:hAnsi="Helvetica" w:cs="Helvetica"/>
                <w:color w:val="1F4E79" w:themeColor="accent1" w:themeShade="80"/>
                <w:sz w:val="18"/>
                <w:szCs w:val="18"/>
              </w:rPr>
              <w:t>- Specification 14.07 </w:t>
            </w:r>
          </w:p>
          <w:p w:rsidR="003139DC" w:rsidRPr="003139DC" w:rsidRDefault="003139DC" w:rsidP="003139DC">
            <w:pPr>
              <w:pStyle w:val="NormalWeb"/>
              <w:rPr>
                <w:rFonts w:ascii="Helvetica" w:hAnsi="Helvetica" w:cs="Helvetica"/>
                <w:color w:val="1F4E79" w:themeColor="accent1" w:themeShade="80"/>
                <w:sz w:val="18"/>
                <w:szCs w:val="18"/>
              </w:rPr>
            </w:pPr>
            <w:r w:rsidRPr="003139DC">
              <w:rPr>
                <w:rFonts w:ascii="Helvetica" w:hAnsi="Helvetica" w:cs="Helvetica"/>
                <w:color w:val="1F4E79" w:themeColor="accent1" w:themeShade="80"/>
                <w:sz w:val="18"/>
                <w:szCs w:val="18"/>
              </w:rPr>
              <w:t>- 8183-STN-GF-01 </w:t>
            </w:r>
          </w:p>
          <w:p w:rsidR="003139DC" w:rsidRPr="003139DC" w:rsidRDefault="003139DC" w:rsidP="003139DC">
            <w:pPr>
              <w:rPr>
                <w:rFonts w:ascii="Helvetica" w:eastAsia="Times New Roman" w:hAnsi="Helvetica" w:cs="Helvetica"/>
                <w:color w:val="1F4E79" w:themeColor="accent1" w:themeShade="80"/>
                <w:sz w:val="18"/>
                <w:szCs w:val="18"/>
              </w:rPr>
            </w:pPr>
            <w:r w:rsidRPr="003139DC">
              <w:rPr>
                <w:rFonts w:ascii="Helvetica" w:eastAsia="Times New Roman" w:hAnsi="Helvetica" w:cs="Helvetica"/>
                <w:color w:val="1F4E79" w:themeColor="accent1" w:themeShade="80"/>
                <w:sz w:val="18"/>
                <w:szCs w:val="18"/>
              </w:rPr>
              <w:t>KCCJ have not prepared a N12/400 spec but all the information should be contained within the above schedules and drawings.</w:t>
            </w:r>
          </w:p>
          <w:p w:rsidR="007923A5" w:rsidRPr="00383303" w:rsidRDefault="007923A5" w:rsidP="00F02EFF">
            <w:pPr>
              <w:rPr>
                <w:rFonts w:eastAsia="Times New Roman" w:cs="Arial"/>
                <w:bCs/>
                <w:lang w:eastAsia="en-GB"/>
              </w:rPr>
            </w:pPr>
          </w:p>
        </w:tc>
      </w:tr>
      <w:tr w:rsidR="007923A5" w:rsidRPr="00D314AC" w:rsidTr="00497C64">
        <w:tc>
          <w:tcPr>
            <w:tcW w:w="460" w:type="dxa"/>
          </w:tcPr>
          <w:p w:rsidR="007923A5" w:rsidRDefault="003139DC" w:rsidP="00F02EFF">
            <w:pPr>
              <w:pStyle w:val="NoSpacing"/>
              <w:rPr>
                <w:sz w:val="24"/>
                <w:szCs w:val="24"/>
              </w:rPr>
            </w:pPr>
            <w:r>
              <w:rPr>
                <w:sz w:val="24"/>
                <w:szCs w:val="24"/>
              </w:rPr>
              <w:t>24</w:t>
            </w:r>
          </w:p>
        </w:tc>
        <w:tc>
          <w:tcPr>
            <w:tcW w:w="1133" w:type="dxa"/>
          </w:tcPr>
          <w:p w:rsidR="007923A5" w:rsidRPr="00383303" w:rsidRDefault="003139DC" w:rsidP="00F02EFF">
            <w:pPr>
              <w:pStyle w:val="NoSpacing"/>
            </w:pPr>
            <w:r>
              <w:t>8.8.17</w:t>
            </w:r>
          </w:p>
        </w:tc>
        <w:tc>
          <w:tcPr>
            <w:tcW w:w="3387" w:type="dxa"/>
          </w:tcPr>
          <w:p w:rsidR="003139DC" w:rsidRDefault="003139DC" w:rsidP="003139DC">
            <w:r>
              <w:rPr>
                <w:rFonts w:ascii="Arial" w:hAnsi="Arial" w:cs="Arial"/>
                <w:b/>
                <w:bCs/>
              </w:rPr>
              <w:t>The BoQ Internal Walls and Partitions sub section Masonry items 5 &amp; 6 timber stud duct walls refers us to drawing 1084/3 302 2 which has not been issued”</w:t>
            </w:r>
          </w:p>
          <w:p w:rsidR="007923A5" w:rsidRPr="00383303" w:rsidRDefault="007923A5" w:rsidP="00F02EFF">
            <w:pPr>
              <w:rPr>
                <w:rFonts w:eastAsia="Times New Roman" w:cs="Arial"/>
                <w:bCs/>
                <w:lang w:eastAsia="en-GB"/>
              </w:rPr>
            </w:pPr>
          </w:p>
        </w:tc>
        <w:tc>
          <w:tcPr>
            <w:tcW w:w="4036" w:type="dxa"/>
          </w:tcPr>
          <w:p w:rsidR="00EF5540" w:rsidRPr="00EF5540" w:rsidRDefault="00EF5540" w:rsidP="00EF5540">
            <w:pPr>
              <w:rPr>
                <w:rFonts w:asciiTheme="minorHAnsi" w:eastAsia="Times New Roman" w:hAnsiTheme="minorHAnsi" w:cs="Helvetica"/>
                <w:color w:val="1F4E79" w:themeColor="accent1" w:themeShade="80"/>
              </w:rPr>
            </w:pPr>
            <w:r w:rsidRPr="00EF5540">
              <w:rPr>
                <w:rFonts w:asciiTheme="minorHAnsi" w:eastAsia="Times New Roman" w:hAnsiTheme="minorHAnsi" w:cs="Helvetica"/>
                <w:color w:val="1F4E79" w:themeColor="accent1" w:themeShade="80"/>
              </w:rPr>
              <w:t xml:space="preserve">Drawing 1084_3_302.2 is not a drawing </w:t>
            </w:r>
            <w:bookmarkStart w:id="0" w:name="_GoBack"/>
            <w:bookmarkEnd w:id="0"/>
            <w:r w:rsidRPr="00EF5540">
              <w:rPr>
                <w:rFonts w:asciiTheme="minorHAnsi" w:eastAsia="Times New Roman" w:hAnsiTheme="minorHAnsi" w:cs="Helvetica"/>
                <w:color w:val="1F4E79" w:themeColor="accent1" w:themeShade="80"/>
              </w:rPr>
              <w:t xml:space="preserve"> produced so it should not have been referred to. All the information is contained in drawings 1084_3_302.1.</w:t>
            </w:r>
          </w:p>
          <w:p w:rsidR="00EF5540" w:rsidRDefault="00EF5540" w:rsidP="00EF5540">
            <w:pPr>
              <w:rPr>
                <w:rFonts w:ascii="Helvetica" w:eastAsia="Times New Roman" w:hAnsi="Helvetica" w:cs="Helvetica"/>
                <w:color w:val="000000"/>
                <w:sz w:val="18"/>
                <w:szCs w:val="18"/>
              </w:rPr>
            </w:pPr>
          </w:p>
          <w:p w:rsidR="007923A5" w:rsidRPr="00383303" w:rsidRDefault="007923A5" w:rsidP="00F02EFF">
            <w:pPr>
              <w:rPr>
                <w:rFonts w:eastAsia="Times New Roman" w:cs="Arial"/>
                <w:bCs/>
                <w:lang w:eastAsia="en-GB"/>
              </w:rPr>
            </w:pPr>
          </w:p>
        </w:tc>
      </w:tr>
      <w:tr w:rsidR="007923A5" w:rsidRPr="00D314AC" w:rsidTr="00497C64">
        <w:tc>
          <w:tcPr>
            <w:tcW w:w="460" w:type="dxa"/>
          </w:tcPr>
          <w:p w:rsidR="007923A5" w:rsidRDefault="003139DC" w:rsidP="00F02EFF">
            <w:pPr>
              <w:pStyle w:val="NoSpacing"/>
              <w:rPr>
                <w:sz w:val="24"/>
                <w:szCs w:val="24"/>
              </w:rPr>
            </w:pPr>
            <w:r>
              <w:rPr>
                <w:sz w:val="24"/>
                <w:szCs w:val="24"/>
              </w:rPr>
              <w:t>25</w:t>
            </w:r>
          </w:p>
        </w:tc>
        <w:tc>
          <w:tcPr>
            <w:tcW w:w="1133" w:type="dxa"/>
          </w:tcPr>
          <w:p w:rsidR="007923A5" w:rsidRPr="00383303" w:rsidRDefault="007923A5" w:rsidP="00F02EFF">
            <w:pPr>
              <w:pStyle w:val="NoSpacing"/>
            </w:pPr>
            <w:r>
              <w:t>8.8.17</w:t>
            </w:r>
          </w:p>
        </w:tc>
        <w:tc>
          <w:tcPr>
            <w:tcW w:w="3387" w:type="dxa"/>
          </w:tcPr>
          <w:p w:rsidR="003139DC" w:rsidRPr="003139DC" w:rsidRDefault="003139DC" w:rsidP="003139DC">
            <w:pPr>
              <w:rPr>
                <w:b/>
              </w:rPr>
            </w:pPr>
            <w:r w:rsidRPr="003139DC">
              <w:rPr>
                <w:rFonts w:ascii="Arial" w:hAnsi="Arial" w:cs="Arial"/>
                <w:b/>
              </w:rPr>
              <w:t>The BoQ ceiling finishes section refers to specification item P10/125 this has not been issued”.</w:t>
            </w:r>
          </w:p>
          <w:p w:rsidR="003139DC" w:rsidRDefault="003139DC" w:rsidP="003139DC">
            <w:r>
              <w:rPr>
                <w:rFonts w:ascii="Arial" w:hAnsi="Arial" w:cs="Arial"/>
              </w:rPr>
              <w:t> </w:t>
            </w:r>
          </w:p>
          <w:p w:rsidR="007923A5" w:rsidRPr="00383303" w:rsidRDefault="007923A5" w:rsidP="00F02EFF">
            <w:pPr>
              <w:rPr>
                <w:rFonts w:eastAsia="Times New Roman" w:cs="Arial"/>
                <w:bCs/>
                <w:lang w:eastAsia="en-GB"/>
              </w:rPr>
            </w:pPr>
          </w:p>
        </w:tc>
        <w:tc>
          <w:tcPr>
            <w:tcW w:w="4036" w:type="dxa"/>
          </w:tcPr>
          <w:p w:rsidR="003139DC" w:rsidRPr="003139DC" w:rsidRDefault="003139DC" w:rsidP="003139DC">
            <w:pPr>
              <w:rPr>
                <w:rFonts w:asciiTheme="minorHAnsi" w:eastAsia="Times New Roman" w:hAnsiTheme="minorHAnsi" w:cs="Helvetica"/>
                <w:color w:val="1F4E79" w:themeColor="accent1" w:themeShade="80"/>
              </w:rPr>
            </w:pPr>
            <w:r w:rsidRPr="003139DC">
              <w:rPr>
                <w:rFonts w:asciiTheme="minorHAnsi" w:eastAsia="Times New Roman" w:hAnsiTheme="minorHAnsi" w:cs="Helvetica"/>
                <w:color w:val="1F4E79" w:themeColor="accent1" w:themeShade="80"/>
              </w:rPr>
              <w:t>The BoQ should refer to P10/136 for this insulation as shown on drawing 3_131_T8.</w:t>
            </w:r>
          </w:p>
          <w:p w:rsidR="003139DC" w:rsidRDefault="003139DC" w:rsidP="003139DC">
            <w:pPr>
              <w:rPr>
                <w:rFonts w:ascii="Helvetica" w:eastAsia="Times New Roman" w:hAnsi="Helvetica" w:cs="Helvetica"/>
                <w:color w:val="000000"/>
                <w:sz w:val="18"/>
                <w:szCs w:val="18"/>
              </w:rPr>
            </w:pPr>
          </w:p>
          <w:p w:rsidR="007923A5" w:rsidRPr="00383303" w:rsidRDefault="007923A5" w:rsidP="00F02EFF">
            <w:pPr>
              <w:rPr>
                <w:rFonts w:eastAsia="Times New Roman" w:cs="Arial"/>
                <w:bCs/>
                <w:lang w:eastAsia="en-GB"/>
              </w:rPr>
            </w:pPr>
          </w:p>
        </w:tc>
      </w:tr>
    </w:tbl>
    <w:p w:rsidR="00D314AC" w:rsidRPr="00D314AC" w:rsidRDefault="00D314AC" w:rsidP="00D314AC">
      <w:pPr>
        <w:pStyle w:val="NoSpacing"/>
        <w:rPr>
          <w:sz w:val="24"/>
          <w:szCs w:val="24"/>
        </w:rPr>
      </w:pPr>
    </w:p>
    <w:sectPr w:rsidR="00D314AC" w:rsidRPr="00D314AC" w:rsidSect="00412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15A5"/>
    <w:multiLevelType w:val="hybridMultilevel"/>
    <w:tmpl w:val="FC3060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A2F682D"/>
    <w:multiLevelType w:val="hybridMultilevel"/>
    <w:tmpl w:val="A2E6E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AC"/>
    <w:rsid w:val="003139DC"/>
    <w:rsid w:val="004121FC"/>
    <w:rsid w:val="00435F6B"/>
    <w:rsid w:val="00484786"/>
    <w:rsid w:val="004870A1"/>
    <w:rsid w:val="00497C64"/>
    <w:rsid w:val="005537E9"/>
    <w:rsid w:val="007920B7"/>
    <w:rsid w:val="007923A5"/>
    <w:rsid w:val="00A86BC7"/>
    <w:rsid w:val="00B1534C"/>
    <w:rsid w:val="00B612A7"/>
    <w:rsid w:val="00BD6875"/>
    <w:rsid w:val="00CC032A"/>
    <w:rsid w:val="00D314AC"/>
    <w:rsid w:val="00E9546C"/>
    <w:rsid w:val="00EF5540"/>
    <w:rsid w:val="00F02EFF"/>
    <w:rsid w:val="00FB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6F1EE-DE15-4563-8D05-9D4021A6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4A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4AC"/>
    <w:pPr>
      <w:spacing w:after="0" w:line="240" w:lineRule="auto"/>
    </w:pPr>
  </w:style>
  <w:style w:type="table" w:styleId="TableGrid">
    <w:name w:val="Table Grid"/>
    <w:basedOn w:val="TableNormal"/>
    <w:uiPriority w:val="39"/>
    <w:rsid w:val="00D3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46C"/>
    <w:pPr>
      <w:ind w:left="720"/>
    </w:pPr>
    <w:rPr>
      <w:rFonts w:ascii="Times New Roman" w:hAnsi="Times New Roman"/>
      <w:sz w:val="24"/>
      <w:szCs w:val="24"/>
      <w:lang w:eastAsia="en-GB"/>
    </w:rPr>
  </w:style>
  <w:style w:type="paragraph" w:styleId="NormalWeb">
    <w:name w:val="Normal (Web)"/>
    <w:basedOn w:val="Normal"/>
    <w:uiPriority w:val="99"/>
    <w:semiHidden/>
    <w:unhideWhenUsed/>
    <w:rsid w:val="003139DC"/>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7919">
      <w:bodyDiv w:val="1"/>
      <w:marLeft w:val="0"/>
      <w:marRight w:val="0"/>
      <w:marTop w:val="0"/>
      <w:marBottom w:val="0"/>
      <w:divBdr>
        <w:top w:val="none" w:sz="0" w:space="0" w:color="auto"/>
        <w:left w:val="none" w:sz="0" w:space="0" w:color="auto"/>
        <w:bottom w:val="none" w:sz="0" w:space="0" w:color="auto"/>
        <w:right w:val="none" w:sz="0" w:space="0" w:color="auto"/>
      </w:divBdr>
    </w:div>
    <w:div w:id="285237699">
      <w:bodyDiv w:val="1"/>
      <w:marLeft w:val="0"/>
      <w:marRight w:val="0"/>
      <w:marTop w:val="0"/>
      <w:marBottom w:val="0"/>
      <w:divBdr>
        <w:top w:val="none" w:sz="0" w:space="0" w:color="auto"/>
        <w:left w:val="none" w:sz="0" w:space="0" w:color="auto"/>
        <w:bottom w:val="none" w:sz="0" w:space="0" w:color="auto"/>
        <w:right w:val="none" w:sz="0" w:space="0" w:color="auto"/>
      </w:divBdr>
    </w:div>
    <w:div w:id="315106438">
      <w:bodyDiv w:val="1"/>
      <w:marLeft w:val="0"/>
      <w:marRight w:val="0"/>
      <w:marTop w:val="0"/>
      <w:marBottom w:val="0"/>
      <w:divBdr>
        <w:top w:val="none" w:sz="0" w:space="0" w:color="auto"/>
        <w:left w:val="none" w:sz="0" w:space="0" w:color="auto"/>
        <w:bottom w:val="none" w:sz="0" w:space="0" w:color="auto"/>
        <w:right w:val="none" w:sz="0" w:space="0" w:color="auto"/>
      </w:divBdr>
    </w:div>
    <w:div w:id="330838020">
      <w:bodyDiv w:val="1"/>
      <w:marLeft w:val="0"/>
      <w:marRight w:val="0"/>
      <w:marTop w:val="0"/>
      <w:marBottom w:val="0"/>
      <w:divBdr>
        <w:top w:val="none" w:sz="0" w:space="0" w:color="auto"/>
        <w:left w:val="none" w:sz="0" w:space="0" w:color="auto"/>
        <w:bottom w:val="none" w:sz="0" w:space="0" w:color="auto"/>
        <w:right w:val="none" w:sz="0" w:space="0" w:color="auto"/>
      </w:divBdr>
    </w:div>
    <w:div w:id="430014055">
      <w:bodyDiv w:val="1"/>
      <w:marLeft w:val="0"/>
      <w:marRight w:val="0"/>
      <w:marTop w:val="0"/>
      <w:marBottom w:val="0"/>
      <w:divBdr>
        <w:top w:val="none" w:sz="0" w:space="0" w:color="auto"/>
        <w:left w:val="none" w:sz="0" w:space="0" w:color="auto"/>
        <w:bottom w:val="none" w:sz="0" w:space="0" w:color="auto"/>
        <w:right w:val="none" w:sz="0" w:space="0" w:color="auto"/>
      </w:divBdr>
    </w:div>
    <w:div w:id="433983417">
      <w:bodyDiv w:val="1"/>
      <w:marLeft w:val="0"/>
      <w:marRight w:val="0"/>
      <w:marTop w:val="0"/>
      <w:marBottom w:val="0"/>
      <w:divBdr>
        <w:top w:val="none" w:sz="0" w:space="0" w:color="auto"/>
        <w:left w:val="none" w:sz="0" w:space="0" w:color="auto"/>
        <w:bottom w:val="none" w:sz="0" w:space="0" w:color="auto"/>
        <w:right w:val="none" w:sz="0" w:space="0" w:color="auto"/>
      </w:divBdr>
    </w:div>
    <w:div w:id="510263551">
      <w:bodyDiv w:val="1"/>
      <w:marLeft w:val="0"/>
      <w:marRight w:val="0"/>
      <w:marTop w:val="0"/>
      <w:marBottom w:val="0"/>
      <w:divBdr>
        <w:top w:val="none" w:sz="0" w:space="0" w:color="auto"/>
        <w:left w:val="none" w:sz="0" w:space="0" w:color="auto"/>
        <w:bottom w:val="none" w:sz="0" w:space="0" w:color="auto"/>
        <w:right w:val="none" w:sz="0" w:space="0" w:color="auto"/>
      </w:divBdr>
    </w:div>
    <w:div w:id="555894393">
      <w:bodyDiv w:val="1"/>
      <w:marLeft w:val="0"/>
      <w:marRight w:val="0"/>
      <w:marTop w:val="0"/>
      <w:marBottom w:val="0"/>
      <w:divBdr>
        <w:top w:val="none" w:sz="0" w:space="0" w:color="auto"/>
        <w:left w:val="none" w:sz="0" w:space="0" w:color="auto"/>
        <w:bottom w:val="none" w:sz="0" w:space="0" w:color="auto"/>
        <w:right w:val="none" w:sz="0" w:space="0" w:color="auto"/>
      </w:divBdr>
    </w:div>
    <w:div w:id="594560984">
      <w:bodyDiv w:val="1"/>
      <w:marLeft w:val="0"/>
      <w:marRight w:val="0"/>
      <w:marTop w:val="0"/>
      <w:marBottom w:val="0"/>
      <w:divBdr>
        <w:top w:val="none" w:sz="0" w:space="0" w:color="auto"/>
        <w:left w:val="none" w:sz="0" w:space="0" w:color="auto"/>
        <w:bottom w:val="none" w:sz="0" w:space="0" w:color="auto"/>
        <w:right w:val="none" w:sz="0" w:space="0" w:color="auto"/>
      </w:divBdr>
    </w:div>
    <w:div w:id="687559826">
      <w:bodyDiv w:val="1"/>
      <w:marLeft w:val="0"/>
      <w:marRight w:val="0"/>
      <w:marTop w:val="0"/>
      <w:marBottom w:val="0"/>
      <w:divBdr>
        <w:top w:val="none" w:sz="0" w:space="0" w:color="auto"/>
        <w:left w:val="none" w:sz="0" w:space="0" w:color="auto"/>
        <w:bottom w:val="none" w:sz="0" w:space="0" w:color="auto"/>
        <w:right w:val="none" w:sz="0" w:space="0" w:color="auto"/>
      </w:divBdr>
    </w:div>
    <w:div w:id="813790837">
      <w:bodyDiv w:val="1"/>
      <w:marLeft w:val="0"/>
      <w:marRight w:val="0"/>
      <w:marTop w:val="0"/>
      <w:marBottom w:val="0"/>
      <w:divBdr>
        <w:top w:val="none" w:sz="0" w:space="0" w:color="auto"/>
        <w:left w:val="none" w:sz="0" w:space="0" w:color="auto"/>
        <w:bottom w:val="none" w:sz="0" w:space="0" w:color="auto"/>
        <w:right w:val="none" w:sz="0" w:space="0" w:color="auto"/>
      </w:divBdr>
    </w:div>
    <w:div w:id="834877037">
      <w:bodyDiv w:val="1"/>
      <w:marLeft w:val="0"/>
      <w:marRight w:val="0"/>
      <w:marTop w:val="0"/>
      <w:marBottom w:val="0"/>
      <w:divBdr>
        <w:top w:val="none" w:sz="0" w:space="0" w:color="auto"/>
        <w:left w:val="none" w:sz="0" w:space="0" w:color="auto"/>
        <w:bottom w:val="none" w:sz="0" w:space="0" w:color="auto"/>
        <w:right w:val="none" w:sz="0" w:space="0" w:color="auto"/>
      </w:divBdr>
    </w:div>
    <w:div w:id="870412430">
      <w:bodyDiv w:val="1"/>
      <w:marLeft w:val="0"/>
      <w:marRight w:val="0"/>
      <w:marTop w:val="0"/>
      <w:marBottom w:val="0"/>
      <w:divBdr>
        <w:top w:val="none" w:sz="0" w:space="0" w:color="auto"/>
        <w:left w:val="none" w:sz="0" w:space="0" w:color="auto"/>
        <w:bottom w:val="none" w:sz="0" w:space="0" w:color="auto"/>
        <w:right w:val="none" w:sz="0" w:space="0" w:color="auto"/>
      </w:divBdr>
    </w:div>
    <w:div w:id="931668856">
      <w:bodyDiv w:val="1"/>
      <w:marLeft w:val="0"/>
      <w:marRight w:val="0"/>
      <w:marTop w:val="0"/>
      <w:marBottom w:val="0"/>
      <w:divBdr>
        <w:top w:val="none" w:sz="0" w:space="0" w:color="auto"/>
        <w:left w:val="none" w:sz="0" w:space="0" w:color="auto"/>
        <w:bottom w:val="none" w:sz="0" w:space="0" w:color="auto"/>
        <w:right w:val="none" w:sz="0" w:space="0" w:color="auto"/>
      </w:divBdr>
    </w:div>
    <w:div w:id="1019740726">
      <w:bodyDiv w:val="1"/>
      <w:marLeft w:val="0"/>
      <w:marRight w:val="0"/>
      <w:marTop w:val="0"/>
      <w:marBottom w:val="0"/>
      <w:divBdr>
        <w:top w:val="none" w:sz="0" w:space="0" w:color="auto"/>
        <w:left w:val="none" w:sz="0" w:space="0" w:color="auto"/>
        <w:bottom w:val="none" w:sz="0" w:space="0" w:color="auto"/>
        <w:right w:val="none" w:sz="0" w:space="0" w:color="auto"/>
      </w:divBdr>
    </w:div>
    <w:div w:id="1120301331">
      <w:bodyDiv w:val="1"/>
      <w:marLeft w:val="0"/>
      <w:marRight w:val="0"/>
      <w:marTop w:val="0"/>
      <w:marBottom w:val="0"/>
      <w:divBdr>
        <w:top w:val="none" w:sz="0" w:space="0" w:color="auto"/>
        <w:left w:val="none" w:sz="0" w:space="0" w:color="auto"/>
        <w:bottom w:val="none" w:sz="0" w:space="0" w:color="auto"/>
        <w:right w:val="none" w:sz="0" w:space="0" w:color="auto"/>
      </w:divBdr>
    </w:div>
    <w:div w:id="1185555475">
      <w:bodyDiv w:val="1"/>
      <w:marLeft w:val="0"/>
      <w:marRight w:val="0"/>
      <w:marTop w:val="0"/>
      <w:marBottom w:val="0"/>
      <w:divBdr>
        <w:top w:val="none" w:sz="0" w:space="0" w:color="auto"/>
        <w:left w:val="none" w:sz="0" w:space="0" w:color="auto"/>
        <w:bottom w:val="none" w:sz="0" w:space="0" w:color="auto"/>
        <w:right w:val="none" w:sz="0" w:space="0" w:color="auto"/>
      </w:divBdr>
    </w:div>
    <w:div w:id="1203712424">
      <w:bodyDiv w:val="1"/>
      <w:marLeft w:val="0"/>
      <w:marRight w:val="0"/>
      <w:marTop w:val="0"/>
      <w:marBottom w:val="0"/>
      <w:divBdr>
        <w:top w:val="none" w:sz="0" w:space="0" w:color="auto"/>
        <w:left w:val="none" w:sz="0" w:space="0" w:color="auto"/>
        <w:bottom w:val="none" w:sz="0" w:space="0" w:color="auto"/>
        <w:right w:val="none" w:sz="0" w:space="0" w:color="auto"/>
      </w:divBdr>
    </w:div>
    <w:div w:id="1386181663">
      <w:bodyDiv w:val="1"/>
      <w:marLeft w:val="0"/>
      <w:marRight w:val="0"/>
      <w:marTop w:val="0"/>
      <w:marBottom w:val="0"/>
      <w:divBdr>
        <w:top w:val="none" w:sz="0" w:space="0" w:color="auto"/>
        <w:left w:val="none" w:sz="0" w:space="0" w:color="auto"/>
        <w:bottom w:val="none" w:sz="0" w:space="0" w:color="auto"/>
        <w:right w:val="none" w:sz="0" w:space="0" w:color="auto"/>
      </w:divBdr>
    </w:div>
    <w:div w:id="1463957813">
      <w:bodyDiv w:val="1"/>
      <w:marLeft w:val="0"/>
      <w:marRight w:val="0"/>
      <w:marTop w:val="0"/>
      <w:marBottom w:val="0"/>
      <w:divBdr>
        <w:top w:val="none" w:sz="0" w:space="0" w:color="auto"/>
        <w:left w:val="none" w:sz="0" w:space="0" w:color="auto"/>
        <w:bottom w:val="none" w:sz="0" w:space="0" w:color="auto"/>
        <w:right w:val="none" w:sz="0" w:space="0" w:color="auto"/>
      </w:divBdr>
    </w:div>
    <w:div w:id="1489789587">
      <w:bodyDiv w:val="1"/>
      <w:marLeft w:val="0"/>
      <w:marRight w:val="0"/>
      <w:marTop w:val="0"/>
      <w:marBottom w:val="0"/>
      <w:divBdr>
        <w:top w:val="none" w:sz="0" w:space="0" w:color="auto"/>
        <w:left w:val="none" w:sz="0" w:space="0" w:color="auto"/>
        <w:bottom w:val="none" w:sz="0" w:space="0" w:color="auto"/>
        <w:right w:val="none" w:sz="0" w:space="0" w:color="auto"/>
      </w:divBdr>
    </w:div>
    <w:div w:id="1558929681">
      <w:bodyDiv w:val="1"/>
      <w:marLeft w:val="0"/>
      <w:marRight w:val="0"/>
      <w:marTop w:val="0"/>
      <w:marBottom w:val="0"/>
      <w:divBdr>
        <w:top w:val="none" w:sz="0" w:space="0" w:color="auto"/>
        <w:left w:val="none" w:sz="0" w:space="0" w:color="auto"/>
        <w:bottom w:val="none" w:sz="0" w:space="0" w:color="auto"/>
        <w:right w:val="none" w:sz="0" w:space="0" w:color="auto"/>
      </w:divBdr>
    </w:div>
    <w:div w:id="1560439117">
      <w:bodyDiv w:val="1"/>
      <w:marLeft w:val="0"/>
      <w:marRight w:val="0"/>
      <w:marTop w:val="0"/>
      <w:marBottom w:val="0"/>
      <w:divBdr>
        <w:top w:val="none" w:sz="0" w:space="0" w:color="auto"/>
        <w:left w:val="none" w:sz="0" w:space="0" w:color="auto"/>
        <w:bottom w:val="none" w:sz="0" w:space="0" w:color="auto"/>
        <w:right w:val="none" w:sz="0" w:space="0" w:color="auto"/>
      </w:divBdr>
    </w:div>
    <w:div w:id="1682587568">
      <w:bodyDiv w:val="1"/>
      <w:marLeft w:val="0"/>
      <w:marRight w:val="0"/>
      <w:marTop w:val="0"/>
      <w:marBottom w:val="0"/>
      <w:divBdr>
        <w:top w:val="none" w:sz="0" w:space="0" w:color="auto"/>
        <w:left w:val="none" w:sz="0" w:space="0" w:color="auto"/>
        <w:bottom w:val="none" w:sz="0" w:space="0" w:color="auto"/>
        <w:right w:val="none" w:sz="0" w:space="0" w:color="auto"/>
      </w:divBdr>
    </w:div>
    <w:div w:id="1789467070">
      <w:bodyDiv w:val="1"/>
      <w:marLeft w:val="0"/>
      <w:marRight w:val="0"/>
      <w:marTop w:val="0"/>
      <w:marBottom w:val="0"/>
      <w:divBdr>
        <w:top w:val="none" w:sz="0" w:space="0" w:color="auto"/>
        <w:left w:val="none" w:sz="0" w:space="0" w:color="auto"/>
        <w:bottom w:val="none" w:sz="0" w:space="0" w:color="auto"/>
        <w:right w:val="none" w:sz="0" w:space="0" w:color="auto"/>
      </w:divBdr>
    </w:div>
    <w:div w:id="1821145461">
      <w:bodyDiv w:val="1"/>
      <w:marLeft w:val="0"/>
      <w:marRight w:val="0"/>
      <w:marTop w:val="0"/>
      <w:marBottom w:val="0"/>
      <w:divBdr>
        <w:top w:val="none" w:sz="0" w:space="0" w:color="auto"/>
        <w:left w:val="none" w:sz="0" w:space="0" w:color="auto"/>
        <w:bottom w:val="none" w:sz="0" w:space="0" w:color="auto"/>
        <w:right w:val="none" w:sz="0" w:space="0" w:color="auto"/>
      </w:divBdr>
    </w:div>
    <w:div w:id="1939942140">
      <w:bodyDiv w:val="1"/>
      <w:marLeft w:val="0"/>
      <w:marRight w:val="0"/>
      <w:marTop w:val="0"/>
      <w:marBottom w:val="0"/>
      <w:divBdr>
        <w:top w:val="none" w:sz="0" w:space="0" w:color="auto"/>
        <w:left w:val="none" w:sz="0" w:space="0" w:color="auto"/>
        <w:bottom w:val="none" w:sz="0" w:space="0" w:color="auto"/>
        <w:right w:val="none" w:sz="0" w:space="0" w:color="auto"/>
      </w:divBdr>
    </w:div>
    <w:div w:id="1979918081">
      <w:bodyDiv w:val="1"/>
      <w:marLeft w:val="0"/>
      <w:marRight w:val="0"/>
      <w:marTop w:val="0"/>
      <w:marBottom w:val="0"/>
      <w:divBdr>
        <w:top w:val="none" w:sz="0" w:space="0" w:color="auto"/>
        <w:left w:val="none" w:sz="0" w:space="0" w:color="auto"/>
        <w:bottom w:val="none" w:sz="0" w:space="0" w:color="auto"/>
        <w:right w:val="none" w:sz="0" w:space="0" w:color="auto"/>
      </w:divBdr>
    </w:div>
    <w:div w:id="2022926691">
      <w:bodyDiv w:val="1"/>
      <w:marLeft w:val="0"/>
      <w:marRight w:val="0"/>
      <w:marTop w:val="0"/>
      <w:marBottom w:val="0"/>
      <w:divBdr>
        <w:top w:val="none" w:sz="0" w:space="0" w:color="auto"/>
        <w:left w:val="none" w:sz="0" w:space="0" w:color="auto"/>
        <w:bottom w:val="none" w:sz="0" w:space="0" w:color="auto"/>
        <w:right w:val="none" w:sz="0" w:space="0" w:color="auto"/>
      </w:divBdr>
    </w:div>
    <w:div w:id="2066761000">
      <w:bodyDiv w:val="1"/>
      <w:marLeft w:val="0"/>
      <w:marRight w:val="0"/>
      <w:marTop w:val="0"/>
      <w:marBottom w:val="0"/>
      <w:divBdr>
        <w:top w:val="none" w:sz="0" w:space="0" w:color="auto"/>
        <w:left w:val="none" w:sz="0" w:space="0" w:color="auto"/>
        <w:bottom w:val="none" w:sz="0" w:space="0" w:color="auto"/>
        <w:right w:val="none" w:sz="0" w:space="0" w:color="auto"/>
      </w:divBdr>
    </w:div>
    <w:div w:id="2077244085">
      <w:bodyDiv w:val="1"/>
      <w:marLeft w:val="0"/>
      <w:marRight w:val="0"/>
      <w:marTop w:val="0"/>
      <w:marBottom w:val="0"/>
      <w:divBdr>
        <w:top w:val="none" w:sz="0" w:space="0" w:color="auto"/>
        <w:left w:val="none" w:sz="0" w:space="0" w:color="auto"/>
        <w:bottom w:val="none" w:sz="0" w:space="0" w:color="auto"/>
        <w:right w:val="none" w:sz="0" w:space="0" w:color="auto"/>
      </w:divBdr>
    </w:div>
    <w:div w:id="209289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Larter</dc:creator>
  <cp:keywords/>
  <dc:description/>
  <cp:lastModifiedBy>Linda Larter</cp:lastModifiedBy>
  <cp:revision>17</cp:revision>
  <cp:lastPrinted>2017-08-07T14:48:00Z</cp:lastPrinted>
  <dcterms:created xsi:type="dcterms:W3CDTF">2017-07-24T11:30:00Z</dcterms:created>
  <dcterms:modified xsi:type="dcterms:W3CDTF">2017-08-08T16:45:00Z</dcterms:modified>
</cp:coreProperties>
</file>