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6B02" w:rsidRPr="00FE6E71" w:rsidRDefault="00FE6E71" w:rsidP="00FE6E71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E6E71">
        <w:rPr>
          <w:rFonts w:ascii="Arial" w:hAnsi="Arial" w:cs="Arial"/>
          <w:sz w:val="28"/>
          <w:szCs w:val="28"/>
        </w:rPr>
        <w:t>Request for Information</w:t>
      </w:r>
      <w:r>
        <w:rPr>
          <w:rFonts w:ascii="Arial" w:hAnsi="Arial" w:cs="Arial"/>
          <w:sz w:val="28"/>
          <w:szCs w:val="28"/>
        </w:rPr>
        <w:t xml:space="preserve"> (RFI)</w:t>
      </w:r>
    </w:p>
    <w:p w:rsidR="00FE6E71" w:rsidRPr="00FE6E71" w:rsidRDefault="00FE6E71" w:rsidP="00FE6E71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E6E71">
        <w:rPr>
          <w:rFonts w:ascii="Arial" w:hAnsi="Arial" w:cs="Arial"/>
          <w:sz w:val="28"/>
          <w:szCs w:val="28"/>
        </w:rPr>
        <w:t>Based on</w:t>
      </w:r>
      <w:r>
        <w:rPr>
          <w:rFonts w:ascii="Arial" w:hAnsi="Arial" w:cs="Arial"/>
          <w:sz w:val="28"/>
          <w:szCs w:val="28"/>
        </w:rPr>
        <w:t>:</w:t>
      </w:r>
    </w:p>
    <w:p w:rsidR="00FE6E71" w:rsidRDefault="00FE6E71" w:rsidP="00FE6E71">
      <w:pPr>
        <w:pStyle w:val="NoSpacing"/>
        <w:jc w:val="center"/>
        <w:rPr>
          <w:rFonts w:ascii="Arial" w:hAnsi="Arial" w:cs="Arial"/>
          <w:sz w:val="28"/>
          <w:szCs w:val="28"/>
        </w:rPr>
      </w:pPr>
      <w:r w:rsidRPr="00FE6E71">
        <w:rPr>
          <w:rFonts w:ascii="Arial" w:hAnsi="Arial" w:cs="Arial"/>
          <w:sz w:val="28"/>
          <w:szCs w:val="28"/>
        </w:rPr>
        <w:t>Prior Information Notice</w:t>
      </w:r>
      <w:r>
        <w:rPr>
          <w:rFonts w:ascii="Arial" w:hAnsi="Arial" w:cs="Arial"/>
          <w:sz w:val="28"/>
          <w:szCs w:val="28"/>
        </w:rPr>
        <w:t xml:space="preserve"> for Managed Security Service</w:t>
      </w:r>
    </w:p>
    <w:p w:rsidR="00FE6E71" w:rsidRDefault="00FE6E71" w:rsidP="00FE6E7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Staffordshire County Council (The </w:t>
      </w:r>
      <w:r w:rsidR="00654901">
        <w:rPr>
          <w:rFonts w:ascii="Arial" w:hAnsi="Arial" w:cs="Arial"/>
          <w:sz w:val="24"/>
          <w:szCs w:val="24"/>
        </w:rPr>
        <w:t>Council</w:t>
      </w:r>
      <w:r>
        <w:rPr>
          <w:rFonts w:ascii="Arial" w:hAnsi="Arial" w:cs="Arial"/>
          <w:sz w:val="24"/>
          <w:szCs w:val="24"/>
        </w:rPr>
        <w:t xml:space="preserve">) </w:t>
      </w:r>
      <w:r w:rsidR="001F7FB9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>seeking assistance from economic operators interested in helping shape the</w:t>
      </w:r>
      <w:r w:rsidR="00846359">
        <w:rPr>
          <w:rFonts w:ascii="Arial" w:hAnsi="Arial" w:cs="Arial"/>
          <w:sz w:val="24"/>
          <w:szCs w:val="24"/>
        </w:rPr>
        <w:t xml:space="preserve"> draft</w:t>
      </w:r>
      <w:r>
        <w:rPr>
          <w:rFonts w:ascii="Arial" w:hAnsi="Arial" w:cs="Arial"/>
          <w:sz w:val="24"/>
          <w:szCs w:val="24"/>
        </w:rPr>
        <w:t xml:space="preserve"> specification for a Managed Security Service (MSS) to encompass a Security Incident and Event Management (SIEM) </w:t>
      </w:r>
      <w:r w:rsidR="00786137">
        <w:rPr>
          <w:rFonts w:ascii="Arial" w:hAnsi="Arial" w:cs="Arial"/>
          <w:sz w:val="24"/>
          <w:szCs w:val="24"/>
        </w:rPr>
        <w:t>service</w:t>
      </w:r>
      <w:r>
        <w:rPr>
          <w:rFonts w:ascii="Arial" w:hAnsi="Arial" w:cs="Arial"/>
          <w:sz w:val="24"/>
          <w:szCs w:val="24"/>
        </w:rPr>
        <w:t xml:space="preserve"> and associated Security Operations Centre (SOC) monitoring </w:t>
      </w:r>
      <w:r w:rsidR="008A4AA3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 xml:space="preserve">services. </w:t>
      </w: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654901">
        <w:rPr>
          <w:rFonts w:ascii="Arial" w:hAnsi="Arial" w:cs="Arial"/>
          <w:sz w:val="24"/>
          <w:szCs w:val="24"/>
        </w:rPr>
        <w:t>Council</w:t>
      </w:r>
      <w:r>
        <w:rPr>
          <w:rFonts w:ascii="Arial" w:hAnsi="Arial" w:cs="Arial"/>
          <w:sz w:val="24"/>
          <w:szCs w:val="24"/>
        </w:rPr>
        <w:t xml:space="preserve"> has produced a </w:t>
      </w:r>
      <w:r w:rsidR="00846359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 xml:space="preserve">specification for the essential criteria that </w:t>
      </w:r>
      <w:r w:rsidR="008A4AA3">
        <w:rPr>
          <w:rFonts w:ascii="Arial" w:hAnsi="Arial" w:cs="Arial"/>
          <w:sz w:val="24"/>
          <w:szCs w:val="24"/>
        </w:rPr>
        <w:t>they expect the SOC\</w:t>
      </w:r>
      <w:r>
        <w:rPr>
          <w:rFonts w:ascii="Arial" w:hAnsi="Arial" w:cs="Arial"/>
          <w:sz w:val="24"/>
          <w:szCs w:val="24"/>
        </w:rPr>
        <w:t xml:space="preserve">SIEM service would need to </w:t>
      </w:r>
      <w:r w:rsidR="008A4AA3">
        <w:rPr>
          <w:rFonts w:ascii="Arial" w:hAnsi="Arial" w:cs="Arial"/>
          <w:sz w:val="24"/>
          <w:szCs w:val="24"/>
        </w:rPr>
        <w:t>deliver</w:t>
      </w:r>
      <w:r>
        <w:rPr>
          <w:rFonts w:ascii="Arial" w:hAnsi="Arial" w:cs="Arial"/>
          <w:sz w:val="24"/>
          <w:szCs w:val="24"/>
        </w:rPr>
        <w:t xml:space="preserve">. </w:t>
      </w:r>
      <w:r w:rsidR="008A4AA3">
        <w:rPr>
          <w:rFonts w:ascii="Arial" w:hAnsi="Arial" w:cs="Arial"/>
          <w:sz w:val="24"/>
          <w:szCs w:val="24"/>
        </w:rPr>
        <w:t xml:space="preserve">The </w:t>
      </w:r>
      <w:r w:rsidR="006D57CF">
        <w:rPr>
          <w:rFonts w:ascii="Arial" w:hAnsi="Arial" w:cs="Arial"/>
          <w:sz w:val="24"/>
          <w:szCs w:val="24"/>
        </w:rPr>
        <w:t>council’s</w:t>
      </w:r>
      <w:r w:rsidR="008A4A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indicative budget</w:t>
      </w:r>
      <w:r w:rsidR="008A4AA3">
        <w:rPr>
          <w:rFonts w:ascii="Arial" w:hAnsi="Arial" w:cs="Arial"/>
          <w:sz w:val="24"/>
          <w:szCs w:val="24"/>
        </w:rPr>
        <w:t>ary</w:t>
      </w:r>
      <w:r>
        <w:rPr>
          <w:rFonts w:ascii="Arial" w:hAnsi="Arial" w:cs="Arial"/>
          <w:sz w:val="24"/>
          <w:szCs w:val="24"/>
        </w:rPr>
        <w:t xml:space="preserve"> figure has been included within the specification.</w:t>
      </w: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 to the </w:t>
      </w:r>
      <w:r w:rsidR="00846359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 xml:space="preserve">specification, the </w:t>
      </w:r>
      <w:r w:rsidR="00654901">
        <w:rPr>
          <w:rFonts w:ascii="Arial" w:hAnsi="Arial" w:cs="Arial"/>
          <w:sz w:val="24"/>
          <w:szCs w:val="24"/>
        </w:rPr>
        <w:t>Council</w:t>
      </w:r>
      <w:r>
        <w:rPr>
          <w:rFonts w:ascii="Arial" w:hAnsi="Arial" w:cs="Arial"/>
          <w:sz w:val="24"/>
          <w:szCs w:val="24"/>
        </w:rPr>
        <w:t xml:space="preserve"> is seeking answers to </w:t>
      </w:r>
      <w:r w:rsidR="006D57CF">
        <w:rPr>
          <w:rFonts w:ascii="Arial" w:hAnsi="Arial" w:cs="Arial"/>
          <w:sz w:val="24"/>
          <w:szCs w:val="24"/>
        </w:rPr>
        <w:t>several</w:t>
      </w:r>
      <w:r>
        <w:rPr>
          <w:rFonts w:ascii="Arial" w:hAnsi="Arial" w:cs="Arial"/>
          <w:sz w:val="24"/>
          <w:szCs w:val="24"/>
        </w:rPr>
        <w:t xml:space="preserve"> questions as part of an RFI process in order to assist with the prioritisation and shaping of the </w:t>
      </w:r>
      <w:r w:rsidR="00846359">
        <w:rPr>
          <w:rFonts w:ascii="Arial" w:hAnsi="Arial" w:cs="Arial"/>
          <w:sz w:val="24"/>
          <w:szCs w:val="24"/>
        </w:rPr>
        <w:t xml:space="preserve">draft </w:t>
      </w:r>
      <w:r>
        <w:rPr>
          <w:rFonts w:ascii="Arial" w:hAnsi="Arial" w:cs="Arial"/>
          <w:sz w:val="24"/>
          <w:szCs w:val="24"/>
        </w:rPr>
        <w:t xml:space="preserve">specification. </w:t>
      </w: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questions that the </w:t>
      </w:r>
      <w:r w:rsidR="00654901">
        <w:rPr>
          <w:rFonts w:ascii="Arial" w:hAnsi="Arial" w:cs="Arial"/>
          <w:sz w:val="24"/>
          <w:szCs w:val="24"/>
        </w:rPr>
        <w:t>Council</w:t>
      </w:r>
      <w:r>
        <w:rPr>
          <w:rFonts w:ascii="Arial" w:hAnsi="Arial" w:cs="Arial"/>
          <w:sz w:val="24"/>
          <w:szCs w:val="24"/>
        </w:rPr>
        <w:t xml:space="preserve"> would like interested economic operators to answer are as follows:</w:t>
      </w:r>
    </w:p>
    <w:p w:rsidR="005F22E0" w:rsidRDefault="005F22E0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5F22E0" w:rsidRDefault="005F22E0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Responses should be returned to us no later than </w:t>
      </w:r>
      <w:r w:rsidRPr="005F22E0">
        <w:rPr>
          <w:rFonts w:ascii="Arial" w:hAnsi="Arial" w:cs="Arial"/>
          <w:b/>
          <w:sz w:val="24"/>
          <w:szCs w:val="24"/>
        </w:rPr>
        <w:t>2</w:t>
      </w:r>
      <w:r w:rsidRPr="005F22E0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5F22E0">
        <w:rPr>
          <w:rFonts w:ascii="Arial" w:hAnsi="Arial" w:cs="Arial"/>
          <w:b/>
          <w:sz w:val="24"/>
          <w:szCs w:val="24"/>
        </w:rPr>
        <w:t xml:space="preserve"> September 2019</w:t>
      </w:r>
      <w:r>
        <w:rPr>
          <w:rFonts w:ascii="Arial" w:hAnsi="Arial" w:cs="Arial"/>
          <w:sz w:val="24"/>
          <w:szCs w:val="24"/>
        </w:rPr>
        <w:t xml:space="preserve"> and should be submitted via email to </w:t>
      </w:r>
      <w:hyperlink r:id="rId7" w:history="1">
        <w:r w:rsidRPr="005662F3">
          <w:rPr>
            <w:rStyle w:val="Hyperlink"/>
            <w:rFonts w:ascii="Arial" w:hAnsi="Arial" w:cs="Arial"/>
            <w:sz w:val="24"/>
            <w:szCs w:val="24"/>
          </w:rPr>
          <w:t>john.tapsell@staffordshire.gov.uk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:rsidR="005F22E0" w:rsidRDefault="005F22E0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5F22E0" w:rsidTr="005F22E0">
        <w:tc>
          <w:tcPr>
            <w:tcW w:w="9067" w:type="dxa"/>
          </w:tcPr>
          <w:p w:rsidR="005F22E0" w:rsidRDefault="005F22E0" w:rsidP="00163E81">
            <w:pPr>
              <w:pStyle w:val="NoSpacing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</w:t>
            </w: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1a)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outline the solution that you would propose to use to deliver our draft specification?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</w:p>
          <w:p w:rsid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1b)</w:t>
            </w:r>
            <w:r>
              <w:rPr>
                <w:rFonts w:ascii="Arial" w:hAnsi="Arial" w:cs="Arial"/>
                <w:sz w:val="24"/>
                <w:szCs w:val="24"/>
              </w:rPr>
              <w:t xml:space="preserve"> Would it be solely delivered by one organisation? Or as a partnership?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Pr="00163E81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2a)</w:t>
            </w:r>
            <w:r>
              <w:rPr>
                <w:rFonts w:ascii="Arial" w:hAnsi="Arial" w:cs="Arial"/>
                <w:sz w:val="24"/>
                <w:szCs w:val="24"/>
              </w:rPr>
              <w:t xml:space="preserve"> Is our draft specification deliverable within the stated budget?</w:t>
            </w: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2b)</w:t>
            </w:r>
            <w:r>
              <w:rPr>
                <w:rFonts w:ascii="Arial" w:hAnsi="Arial" w:cs="Arial"/>
                <w:sz w:val="24"/>
                <w:szCs w:val="24"/>
              </w:rPr>
              <w:t xml:space="preserve"> If not, please give details as to what you feel would be realistic when compared to our budget, or alternatively where we would need to refine our draft specification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Pr="00163E81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3a)</w:t>
            </w:r>
            <w:r>
              <w:rPr>
                <w:rFonts w:ascii="Arial" w:hAnsi="Arial" w:cs="Arial"/>
                <w:sz w:val="24"/>
                <w:szCs w:val="24"/>
              </w:rPr>
              <w:t xml:space="preserve"> If Lot 2 and Lot 3 (referred to in the Specification) were added to the draft specification, would you be able to supply those elements?</w:t>
            </w: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3b)</w:t>
            </w:r>
            <w:r>
              <w:rPr>
                <w:rFonts w:ascii="Arial" w:hAnsi="Arial" w:cs="Arial"/>
                <w:sz w:val="24"/>
                <w:szCs w:val="24"/>
              </w:rPr>
              <w:t xml:space="preserve"> If yes, please provide details of your proposed solutions for these lots with indicative pricing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4)</w:t>
            </w:r>
            <w:r>
              <w:rPr>
                <w:rFonts w:ascii="Arial" w:hAnsi="Arial" w:cs="Arial"/>
                <w:sz w:val="24"/>
                <w:szCs w:val="24"/>
              </w:rPr>
              <w:t xml:space="preserve"> What would your suggested implementation timescale for your proposed solution look like and what dependencies would this place on the council and its resources?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5)</w:t>
            </w:r>
            <w:r>
              <w:rPr>
                <w:rFonts w:ascii="Arial" w:hAnsi="Arial" w:cs="Arial"/>
                <w:sz w:val="24"/>
                <w:szCs w:val="24"/>
              </w:rPr>
              <w:t xml:space="preserve"> If the Council wanted to make the proposed solution available to partners (via a framework agreement for example) would you support that approach, and would such an approach reduce unit costs to the council and any wider participants?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  <w:shd w:val="clear" w:color="auto" w:fill="BFBFBF" w:themeFill="background1" w:themeFillShade="BF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5F22E0">
              <w:rPr>
                <w:rFonts w:ascii="Arial" w:hAnsi="Arial" w:cs="Arial"/>
                <w:b/>
                <w:sz w:val="24"/>
                <w:szCs w:val="24"/>
              </w:rPr>
              <w:t>6)</w:t>
            </w:r>
            <w:r>
              <w:rPr>
                <w:rFonts w:ascii="Arial" w:hAnsi="Arial" w:cs="Arial"/>
                <w:sz w:val="24"/>
                <w:szCs w:val="24"/>
              </w:rPr>
              <w:t xml:space="preserve"> Please provide details of other local government clients for whom you have implement a similar solution (if you have not worked with other LG clients, please provide details of client organisations of a similar size to ours)</w:t>
            </w:r>
          </w:p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F22E0" w:rsidTr="005F22E0">
        <w:tc>
          <w:tcPr>
            <w:tcW w:w="9067" w:type="dxa"/>
          </w:tcPr>
          <w:p w:rsidR="005F22E0" w:rsidRDefault="005F22E0" w:rsidP="005F22E0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Supplier Response</w:t>
            </w:r>
          </w:p>
          <w:p w:rsidR="005F22E0" w:rsidRPr="005F22E0" w:rsidRDefault="005F22E0" w:rsidP="005F22E0">
            <w:pPr>
              <w:pStyle w:val="NoSpacing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8B0DBC" w:rsidRDefault="008B0DBC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E6E71" w:rsidRDefault="00FE6E71" w:rsidP="00FE6E71">
      <w:pPr>
        <w:pStyle w:val="NoSpacing"/>
        <w:jc w:val="both"/>
        <w:rPr>
          <w:rFonts w:ascii="Arial" w:hAnsi="Arial" w:cs="Arial"/>
          <w:sz w:val="24"/>
          <w:szCs w:val="24"/>
        </w:rPr>
      </w:pPr>
    </w:p>
    <w:p w:rsidR="00FE6E71" w:rsidRPr="009C6B02" w:rsidRDefault="00FE6E71">
      <w:pPr>
        <w:rPr>
          <w:rFonts w:ascii="Arial" w:hAnsi="Arial" w:cs="Arial"/>
          <w:sz w:val="24"/>
          <w:szCs w:val="24"/>
        </w:rPr>
      </w:pPr>
    </w:p>
    <w:sectPr w:rsidR="00FE6E71" w:rsidRPr="009C6B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E81" w:rsidRDefault="00163E81" w:rsidP="001F7FB9">
      <w:pPr>
        <w:spacing w:after="0" w:line="240" w:lineRule="auto"/>
      </w:pPr>
      <w:r>
        <w:separator/>
      </w:r>
    </w:p>
  </w:endnote>
  <w:endnote w:type="continuationSeparator" w:id="0">
    <w:p w:rsidR="00163E81" w:rsidRDefault="00163E81" w:rsidP="001F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E81" w:rsidRDefault="00163E81" w:rsidP="001F7FB9">
      <w:pPr>
        <w:spacing w:after="0" w:line="240" w:lineRule="auto"/>
      </w:pPr>
      <w:r>
        <w:separator/>
      </w:r>
    </w:p>
  </w:footnote>
  <w:footnote w:type="continuationSeparator" w:id="0">
    <w:p w:rsidR="00163E81" w:rsidRDefault="00163E81" w:rsidP="001F7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D364C2"/>
    <w:multiLevelType w:val="hybridMultilevel"/>
    <w:tmpl w:val="AED0E87A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336DC4"/>
    <w:multiLevelType w:val="hybridMultilevel"/>
    <w:tmpl w:val="FE047080"/>
    <w:lvl w:ilvl="0" w:tplc="08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4917A4"/>
    <w:multiLevelType w:val="hybridMultilevel"/>
    <w:tmpl w:val="75140B8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71"/>
    <w:rsid w:val="00163E81"/>
    <w:rsid w:val="001F7FB9"/>
    <w:rsid w:val="004258E1"/>
    <w:rsid w:val="005F22E0"/>
    <w:rsid w:val="00654901"/>
    <w:rsid w:val="00655599"/>
    <w:rsid w:val="006D57CF"/>
    <w:rsid w:val="00786137"/>
    <w:rsid w:val="007C2FB5"/>
    <w:rsid w:val="00834D45"/>
    <w:rsid w:val="00846359"/>
    <w:rsid w:val="00876FC7"/>
    <w:rsid w:val="008A4AA3"/>
    <w:rsid w:val="008B0DBC"/>
    <w:rsid w:val="009C6B02"/>
    <w:rsid w:val="00E25218"/>
    <w:rsid w:val="00FE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8B93CD"/>
  <w15:chartTrackingRefBased/>
  <w15:docId w15:val="{266A353D-4EA0-4A6E-888D-69C309225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E6E7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252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4A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AA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63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F2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22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tapsell@staffordshire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Stuart (Corporate)</dc:creator>
  <cp:keywords/>
  <dc:description/>
  <cp:lastModifiedBy>Tapsell, John (Corporate)</cp:lastModifiedBy>
  <cp:revision>2</cp:revision>
  <dcterms:created xsi:type="dcterms:W3CDTF">2019-08-05T10:55:00Z</dcterms:created>
  <dcterms:modified xsi:type="dcterms:W3CDTF">2019-08-05T10:55:00Z</dcterms:modified>
</cp:coreProperties>
</file>