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87578A" w14:textId="77777777" w:rsidR="00CA1712" w:rsidRDefault="00CA1712" w:rsidP="004D1053">
      <w:pPr>
        <w:jc w:val="both"/>
      </w:pPr>
    </w:p>
    <w:p w14:paraId="643631F5" w14:textId="4FC29454" w:rsidR="00F84384" w:rsidRDefault="00EA4286" w:rsidP="004D1053">
      <w:pPr>
        <w:jc w:val="both"/>
      </w:pPr>
      <w:r>
        <w:rPr>
          <w:noProof/>
        </w:rPr>
        <w:drawing>
          <wp:inline distT="0" distB="0" distL="0" distR="0" wp14:anchorId="72E508FB" wp14:editId="1B2E06AB">
            <wp:extent cx="1828800" cy="9747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8800" cy="974725"/>
                    </a:xfrm>
                    <a:prstGeom prst="rect">
                      <a:avLst/>
                    </a:prstGeom>
                    <a:noFill/>
                    <a:ln>
                      <a:noFill/>
                    </a:ln>
                  </pic:spPr>
                </pic:pic>
              </a:graphicData>
            </a:graphic>
          </wp:inline>
        </w:drawing>
      </w:r>
    </w:p>
    <w:p w14:paraId="0E276258" w14:textId="77777777" w:rsidR="00CA1712" w:rsidRDefault="00CA1712"/>
    <w:p w14:paraId="17F47162" w14:textId="77777777" w:rsidR="00F84384" w:rsidRDefault="00F84384"/>
    <w:p w14:paraId="17AE84E9" w14:textId="77777777" w:rsidR="00F84384" w:rsidRPr="00F84384" w:rsidRDefault="00F84384" w:rsidP="00F84384">
      <w:pPr>
        <w:jc w:val="both"/>
        <w:rPr>
          <w:b/>
          <w:sz w:val="24"/>
        </w:rPr>
      </w:pPr>
      <w:r w:rsidRPr="00F84384">
        <w:rPr>
          <w:b/>
          <w:sz w:val="24"/>
        </w:rPr>
        <w:t>INVITATION TO TENDER LETTER</w:t>
      </w:r>
    </w:p>
    <w:p w14:paraId="1D2D9CFD" w14:textId="77777777" w:rsidR="00F84384" w:rsidRDefault="00F84384"/>
    <w:p w14:paraId="79EC4E2E" w14:textId="77777777" w:rsidR="00CA1712" w:rsidRDefault="00D54A9D">
      <w:r>
        <w:t>Social Mobility Commission</w:t>
      </w:r>
      <w:bookmarkStart w:id="0" w:name="_GoBack"/>
      <w:bookmarkEnd w:id="0"/>
    </w:p>
    <w:p w14:paraId="7980245B" w14:textId="77777777" w:rsidR="00D54A9D" w:rsidRDefault="00D54A9D">
      <w:r>
        <w:t>Sanctuary Buildings,</w:t>
      </w:r>
    </w:p>
    <w:p w14:paraId="43FFBBC2" w14:textId="77777777" w:rsidR="00D54A9D" w:rsidRPr="004471E5" w:rsidRDefault="00D54A9D">
      <w:pPr>
        <w:rPr>
          <w:b/>
          <w:i/>
        </w:rPr>
      </w:pPr>
      <w:r>
        <w:t>Westminster, SW1</w:t>
      </w:r>
      <w:r w:rsidR="00CF17C7">
        <w:t>P 3BT</w:t>
      </w:r>
    </w:p>
    <w:p w14:paraId="44D2CF54" w14:textId="77777777" w:rsidR="00CA1712" w:rsidRDefault="00CA1712"/>
    <w:p w14:paraId="666898CA" w14:textId="77777777" w:rsidR="00CA1712" w:rsidRDefault="00CA1712">
      <w:pPr>
        <w:widowControl/>
      </w:pPr>
      <w:bookmarkStart w:id="1" w:name="Address"/>
      <w:bookmarkStart w:id="2" w:name="Sal"/>
      <w:bookmarkEnd w:id="1"/>
      <w:bookmarkEnd w:id="2"/>
    </w:p>
    <w:p w14:paraId="55BA5DF7" w14:textId="77777777" w:rsidR="00CA1712" w:rsidRDefault="00CA1712">
      <w:pPr>
        <w:widowControl/>
      </w:pPr>
      <w:r>
        <w:t>Dear</w:t>
      </w:r>
      <w:r w:rsidR="00CF17C7">
        <w:t xml:space="preserve"> Researcher,</w:t>
      </w:r>
    </w:p>
    <w:p w14:paraId="69B3ABBD" w14:textId="77777777" w:rsidR="00CA1712" w:rsidRDefault="00CA1712">
      <w:pPr>
        <w:widowControl/>
      </w:pPr>
    </w:p>
    <w:p w14:paraId="2CD057CA" w14:textId="77777777" w:rsidR="00CA1712" w:rsidRDefault="00CA1712">
      <w:pPr>
        <w:widowControl/>
      </w:pPr>
    </w:p>
    <w:p w14:paraId="4FC4A9F6" w14:textId="77777777" w:rsidR="00CA1712" w:rsidRDefault="00CA1712">
      <w:pPr>
        <w:widowControl/>
      </w:pPr>
      <w:r>
        <w:rPr>
          <w:b/>
        </w:rPr>
        <w:t>INVITATION TO TENDER (ITT) for</w:t>
      </w:r>
      <w:r w:rsidR="002C24C8">
        <w:rPr>
          <w:b/>
        </w:rPr>
        <w:t xml:space="preserve"> </w:t>
      </w:r>
      <w:r w:rsidR="00BC41D0">
        <w:rPr>
          <w:b/>
        </w:rPr>
        <w:t>Progressing out of low pay</w:t>
      </w:r>
    </w:p>
    <w:p w14:paraId="46B92A71" w14:textId="77777777" w:rsidR="00CA1712" w:rsidRDefault="00CA1712">
      <w:pPr>
        <w:widowControl/>
      </w:pPr>
    </w:p>
    <w:p w14:paraId="489E165B" w14:textId="77777777" w:rsidR="00CA1712" w:rsidRDefault="00CA1712">
      <w:pPr>
        <w:widowControl/>
      </w:pPr>
    </w:p>
    <w:p w14:paraId="73CC6AB6"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1</w:t>
      </w:r>
      <w:r>
        <w:tab/>
        <w:t>Your organisation along with others is invited to offer a tender for provision of the above, to the specification outlined in the attached documents.  Enclosed are:</w:t>
      </w:r>
    </w:p>
    <w:p w14:paraId="0426B72A"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C4D813A"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r>
      <w:hyperlink w:anchor="Document1" w:history="1">
        <w:r w:rsidRPr="00F84384">
          <w:rPr>
            <w:rStyle w:val="Hyperlink"/>
          </w:rPr>
          <w:t>Document 1</w:t>
        </w:r>
        <w:r w:rsidRPr="00F84384">
          <w:rPr>
            <w:rStyle w:val="Hyperlink"/>
          </w:rPr>
          <w:tab/>
        </w:r>
        <w:r w:rsidR="00F84384" w:rsidRPr="00F84384">
          <w:rPr>
            <w:rStyle w:val="Hyperlink"/>
          </w:rPr>
          <w:t>Specification of the requirement.</w:t>
        </w:r>
      </w:hyperlink>
    </w:p>
    <w:p w14:paraId="2463660A" w14:textId="77777777" w:rsidR="000B145D" w:rsidRDefault="00301D6F" w:rsidP="004D1053">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720"/>
      </w:pPr>
      <w:hyperlink w:anchor="Document2" w:history="1">
        <w:r w:rsidR="00FC4E46" w:rsidRPr="00F84384">
          <w:rPr>
            <w:rStyle w:val="Hyperlink"/>
          </w:rPr>
          <w:t>Document 2</w:t>
        </w:r>
        <w:r w:rsidR="00FC4E46" w:rsidRPr="00F84384">
          <w:rPr>
            <w:rStyle w:val="Hyperlink"/>
          </w:rPr>
          <w:tab/>
        </w:r>
        <w:r w:rsidR="00F84384" w:rsidRPr="00F84384">
          <w:rPr>
            <w:rStyle w:val="Hyperlink"/>
          </w:rPr>
          <w:t>Instructions on the tendering procedures.</w:t>
        </w:r>
      </w:hyperlink>
    </w:p>
    <w:p w14:paraId="144E4A8D" w14:textId="77777777" w:rsidR="00F84384" w:rsidRDefault="00301D6F" w:rsidP="00F84384">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ind w:left="720"/>
      </w:pPr>
      <w:hyperlink w:anchor="Document3" w:history="1">
        <w:r w:rsidR="00CA1712" w:rsidRPr="00F84384">
          <w:rPr>
            <w:rStyle w:val="Hyperlink"/>
          </w:rPr>
          <w:t xml:space="preserve">Document </w:t>
        </w:r>
        <w:r w:rsidR="001B549A" w:rsidRPr="00F84384">
          <w:rPr>
            <w:rStyle w:val="Hyperlink"/>
          </w:rPr>
          <w:t>3</w:t>
        </w:r>
        <w:r w:rsidR="00CA1712" w:rsidRPr="00F84384">
          <w:rPr>
            <w:rStyle w:val="Hyperlink"/>
          </w:rPr>
          <w:tab/>
        </w:r>
        <w:r w:rsidR="00F84384" w:rsidRPr="00F84384">
          <w:rPr>
            <w:rStyle w:val="Hyperlink"/>
          </w:rPr>
          <w:t>Departmental standard requirements.</w:t>
        </w:r>
      </w:hyperlink>
    </w:p>
    <w:p w14:paraId="1A8ED08D"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spacing w:line="360" w:lineRule="auto"/>
      </w:pPr>
      <w:r>
        <w:tab/>
      </w:r>
      <w:hyperlink w:anchor="Document4" w:history="1">
        <w:r w:rsidRPr="00F84384">
          <w:rPr>
            <w:rStyle w:val="Hyperlink"/>
          </w:rPr>
          <w:t xml:space="preserve">Document </w:t>
        </w:r>
        <w:r w:rsidR="001B549A" w:rsidRPr="00F84384">
          <w:rPr>
            <w:rStyle w:val="Hyperlink"/>
          </w:rPr>
          <w:t>4</w:t>
        </w:r>
        <w:r w:rsidRPr="00F84384">
          <w:rPr>
            <w:rStyle w:val="Hyperlink"/>
          </w:rPr>
          <w:tab/>
          <w:t>List of attachments.</w:t>
        </w:r>
      </w:hyperlink>
    </w:p>
    <w:p w14:paraId="109A67EC" w14:textId="0465DD10" w:rsidR="004C4417"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Style w:val="Hyperlink"/>
        </w:rPr>
      </w:pPr>
      <w:r>
        <w:tab/>
      </w:r>
      <w:hyperlink w:anchor="Document5" w:history="1">
        <w:r w:rsidRPr="00F84384">
          <w:rPr>
            <w:rStyle w:val="Hyperlink"/>
          </w:rPr>
          <w:t xml:space="preserve">Document </w:t>
        </w:r>
        <w:r w:rsidR="001B549A" w:rsidRPr="00F84384">
          <w:rPr>
            <w:rStyle w:val="Hyperlink"/>
          </w:rPr>
          <w:t>5</w:t>
        </w:r>
        <w:r w:rsidRPr="00F84384">
          <w:rPr>
            <w:rStyle w:val="Hyperlink"/>
          </w:rPr>
          <w:tab/>
          <w:t>Declaration and information to be provided by tenderer.</w:t>
        </w:r>
      </w:hyperlink>
    </w:p>
    <w:p w14:paraId="52DE5DA4" w14:textId="77777777" w:rsidR="00F16A26" w:rsidRDefault="00F16A26">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rPr>
          <w:rStyle w:val="Hyperlink"/>
        </w:rPr>
      </w:pPr>
    </w:p>
    <w:p w14:paraId="0028A058" w14:textId="42766928" w:rsidR="004C4417" w:rsidRDefault="00301D6F" w:rsidP="002C2E50">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2160" w:hanging="1440"/>
      </w:pPr>
      <w:hyperlink w:anchor="Attachment1" w:history="1">
        <w:r w:rsidR="004C4417" w:rsidRPr="004C4417">
          <w:rPr>
            <w:rStyle w:val="Hyperlink"/>
          </w:rPr>
          <w:t>Attachments</w:t>
        </w:r>
        <w:r w:rsidR="002C2E50">
          <w:rPr>
            <w:rStyle w:val="Hyperlink"/>
          </w:rPr>
          <w:tab/>
        </w:r>
        <w:r w:rsidR="004C4417" w:rsidRPr="004C4417">
          <w:rPr>
            <w:rStyle w:val="Hyperlink"/>
          </w:rPr>
          <w:t>Draft Terms and Conditions, Evaluation Criteria, Departmental Security Standards</w:t>
        </w:r>
      </w:hyperlink>
    </w:p>
    <w:p w14:paraId="7835DAB1"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ab/>
      </w:r>
    </w:p>
    <w:p w14:paraId="4513BB33"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2</w:t>
      </w:r>
      <w:r>
        <w:tab/>
        <w:t>Please read the instructions on the tendering procedures carefully.  Failure to comply with them may invalidate your tender which must be returned by the date and time given below</w:t>
      </w:r>
      <w:r w:rsidR="00650775">
        <w:t>.</w:t>
      </w:r>
      <w:r>
        <w:t xml:space="preserve"> </w:t>
      </w:r>
    </w:p>
    <w:p w14:paraId="210179F5"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50B06B18"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3</w:t>
      </w:r>
      <w:r>
        <w:tab/>
      </w:r>
      <w:r w:rsidR="00A1619A" w:rsidRPr="00CF17C7">
        <w:t>An electronic</w:t>
      </w:r>
      <w:r w:rsidR="00A1619A">
        <w:rPr>
          <w:b/>
        </w:rPr>
        <w:t xml:space="preserve"> </w:t>
      </w:r>
      <w:r>
        <w:t>cop</w:t>
      </w:r>
      <w:r w:rsidR="00A1619A">
        <w:t>y</w:t>
      </w:r>
      <w:r>
        <w:t xml:space="preserve"> of your tender must be </w:t>
      </w:r>
      <w:r w:rsidR="00A70FB2">
        <w:t xml:space="preserve">submitted to </w:t>
      </w:r>
      <w:r>
        <w:t xml:space="preserve"> </w:t>
      </w:r>
      <w:hyperlink r:id="rId12" w:history="1">
        <w:r w:rsidR="00CF17C7" w:rsidRPr="00AF729B">
          <w:rPr>
            <w:rStyle w:val="Hyperlink"/>
          </w:rPr>
          <w:t>contact@socialmobilitycommission.gov.uk</w:t>
        </w:r>
      </w:hyperlink>
      <w:r w:rsidR="00CF17C7">
        <w:t xml:space="preserve"> </w:t>
      </w:r>
      <w:r>
        <w:t xml:space="preserve">no later than </w:t>
      </w:r>
      <w:r w:rsidR="00F1449A" w:rsidRPr="001B5D8B">
        <w:rPr>
          <w:b/>
        </w:rPr>
        <w:t xml:space="preserve">12 </w:t>
      </w:r>
      <w:r w:rsidR="005D7D23">
        <w:rPr>
          <w:b/>
        </w:rPr>
        <w:t>n</w:t>
      </w:r>
      <w:r w:rsidR="001B5D8B" w:rsidRPr="001B5D8B">
        <w:rPr>
          <w:b/>
        </w:rPr>
        <w:t>oon on</w:t>
      </w:r>
      <w:r w:rsidR="00F1449A" w:rsidRPr="001B5D8B">
        <w:rPr>
          <w:b/>
        </w:rPr>
        <w:t xml:space="preserve"> </w:t>
      </w:r>
      <w:r w:rsidR="001B5D8B" w:rsidRPr="001B5D8B">
        <w:rPr>
          <w:b/>
        </w:rPr>
        <w:t>3</w:t>
      </w:r>
      <w:r w:rsidR="001B5D8B" w:rsidRPr="001B5D8B">
        <w:rPr>
          <w:b/>
          <w:vertAlign w:val="superscript"/>
        </w:rPr>
        <w:t>rd</w:t>
      </w:r>
      <w:r w:rsidR="00A1619A" w:rsidRPr="001B5D8B">
        <w:rPr>
          <w:b/>
        </w:rPr>
        <w:t xml:space="preserve"> </w:t>
      </w:r>
      <w:r w:rsidR="00F1449A" w:rsidRPr="001B5D8B">
        <w:rPr>
          <w:b/>
        </w:rPr>
        <w:t>May 2019</w:t>
      </w:r>
      <w:r w:rsidRPr="001B5D8B">
        <w:t>.  Late</w:t>
      </w:r>
      <w:r>
        <w:t xml:space="preserve"> tenders will </w:t>
      </w:r>
      <w:r>
        <w:rPr>
          <w:b/>
        </w:rPr>
        <w:t>not</w:t>
      </w:r>
      <w:r>
        <w:t xml:space="preserve"> be considered.</w:t>
      </w:r>
    </w:p>
    <w:p w14:paraId="1B094F50"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4F347080"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4</w:t>
      </w:r>
      <w:r>
        <w:tab/>
        <w:t xml:space="preserve">If having read the enclosed specification you decide not to submit a tender, I would be grateful if could send your reasons (though you are under no obligation to do so) to </w:t>
      </w:r>
      <w:hyperlink r:id="rId13" w:history="1">
        <w:r w:rsidR="00CF17C7" w:rsidRPr="00AF729B">
          <w:rPr>
            <w:rStyle w:val="Hyperlink"/>
          </w:rPr>
          <w:t>contact@socialmobilitycommission.gov.uk</w:t>
        </w:r>
      </w:hyperlink>
      <w:r w:rsidR="00CF17C7">
        <w:t xml:space="preserve">, </w:t>
      </w:r>
      <w:r>
        <w:t>at the above address marked 'No Tender'.</w:t>
      </w:r>
    </w:p>
    <w:p w14:paraId="29CCC06F"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2EFF2550"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ind w:left="720" w:hanging="720"/>
      </w:pPr>
      <w:r>
        <w:t>5</w:t>
      </w:r>
      <w:r>
        <w:tab/>
        <w:t xml:space="preserve">Please contact me if you have any questions about the tendering procedure.  </w:t>
      </w:r>
    </w:p>
    <w:p w14:paraId="0D473061"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7F17A332"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48DCAA94"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Yours sincerely</w:t>
      </w:r>
      <w:r w:rsidR="00A6648E">
        <w:t>,</w:t>
      </w:r>
    </w:p>
    <w:p w14:paraId="5488BB84" w14:textId="77777777" w:rsidR="00A6648E" w:rsidRDefault="00A664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p>
    <w:p w14:paraId="1C8EA94C" w14:textId="638D777C" w:rsidR="00A6648E" w:rsidRDefault="004C4417">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Sasha Morgan,</w:t>
      </w:r>
    </w:p>
    <w:p w14:paraId="28018321" w14:textId="5CA36780" w:rsidR="00A6648E" w:rsidRDefault="00A6648E">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pPr>
      <w:r>
        <w:t xml:space="preserve">Head of </w:t>
      </w:r>
      <w:r w:rsidR="004C4417">
        <w:t>Secretariat</w:t>
      </w:r>
      <w:r>
        <w:t>, Social Mobility Commission</w:t>
      </w:r>
    </w:p>
    <w:p w14:paraId="5D105D82"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r>
        <w:br w:type="page"/>
      </w:r>
      <w:bookmarkStart w:id="3" w:name="Document1"/>
      <w:bookmarkEnd w:id="3"/>
      <w:r>
        <w:rPr>
          <w:b/>
        </w:rPr>
        <w:lastRenderedPageBreak/>
        <w:t>DOCUMENT 1</w:t>
      </w:r>
    </w:p>
    <w:p w14:paraId="57E019DE" w14:textId="77777777" w:rsidR="00CA1712" w:rsidRDefault="00CA1712">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s>
        <w:jc w:val="right"/>
        <w:rPr>
          <w:b/>
        </w:rPr>
      </w:pPr>
    </w:p>
    <w:p w14:paraId="4B4D4B17" w14:textId="77777777" w:rsidR="002F14C5" w:rsidRDefault="002F14C5" w:rsidP="002F14C5">
      <w:pPr>
        <w:pStyle w:val="Numbered"/>
        <w:widowControl/>
        <w:rPr>
          <w:b/>
        </w:rPr>
      </w:pPr>
      <w:r>
        <w:rPr>
          <w:b/>
        </w:rPr>
        <w:t>SPECIFICATION</w:t>
      </w:r>
    </w:p>
    <w:p w14:paraId="6F468B57" w14:textId="77777777" w:rsidR="002F14C5" w:rsidRDefault="002F14C5" w:rsidP="00686C76">
      <w:pPr>
        <w:pStyle w:val="Numbered"/>
        <w:widowControl/>
        <w:rPr>
          <w:color w:val="000000"/>
        </w:rPr>
      </w:pPr>
      <w:r>
        <w:rPr>
          <w:b/>
          <w:color w:val="000000"/>
        </w:rPr>
        <w:t>1</w:t>
      </w:r>
      <w:r>
        <w:rPr>
          <w:b/>
          <w:color w:val="000000"/>
        </w:rPr>
        <w:tab/>
        <w:t>Introduction/Background</w:t>
      </w:r>
    </w:p>
    <w:p w14:paraId="005C8E95" w14:textId="77777777" w:rsidR="002F14C5" w:rsidRPr="00F6261B" w:rsidRDefault="002F14C5" w:rsidP="00686C76">
      <w:pPr>
        <w:widowControl/>
        <w:overflowPunct/>
        <w:autoSpaceDE/>
        <w:autoSpaceDN/>
        <w:adjustRightInd/>
        <w:ind w:left="720"/>
        <w:textAlignment w:val="auto"/>
        <w:rPr>
          <w:rFonts w:eastAsia="Calibri" w:cs="Arial"/>
        </w:rPr>
      </w:pPr>
      <w:r w:rsidRPr="00F6261B">
        <w:rPr>
          <w:rFonts w:eastAsia="Calibri" w:cs="Arial"/>
        </w:rPr>
        <w:t xml:space="preserve">The </w:t>
      </w:r>
      <w:hyperlink r:id="rId14" w:history="1">
        <w:r w:rsidRPr="00F6261B">
          <w:rPr>
            <w:rFonts w:eastAsia="Calibri" w:cs="Arial"/>
            <w:color w:val="0563C1"/>
            <w:u w:val="single"/>
          </w:rPr>
          <w:t>Social Mobility Commission</w:t>
        </w:r>
      </w:hyperlink>
      <w:r w:rsidRPr="00F6261B">
        <w:rPr>
          <w:rFonts w:eastAsia="Calibri" w:cs="Arial"/>
        </w:rPr>
        <w:t xml:space="preserve"> is inviting proposals for research to understand </w:t>
      </w:r>
      <w:r w:rsidR="00BC41D0">
        <w:rPr>
          <w:rFonts w:eastAsia="Calibri" w:cs="Arial"/>
        </w:rPr>
        <w:t xml:space="preserve">what forms of adult education and training best meet adults’ needs, and how policy can incentivise those stuck in low pay to progress in work. </w:t>
      </w:r>
    </w:p>
    <w:p w14:paraId="79D694E9" w14:textId="77777777" w:rsidR="002F14C5" w:rsidRPr="00F6261B" w:rsidRDefault="002F14C5" w:rsidP="00686C76">
      <w:pPr>
        <w:widowControl/>
        <w:overflowPunct/>
        <w:autoSpaceDE/>
        <w:autoSpaceDN/>
        <w:adjustRightInd/>
        <w:ind w:left="1440"/>
        <w:textAlignment w:val="auto"/>
        <w:rPr>
          <w:rFonts w:eastAsia="Calibri" w:cs="Arial"/>
        </w:rPr>
      </w:pPr>
    </w:p>
    <w:p w14:paraId="381BA3FC" w14:textId="77777777" w:rsidR="00BC41D0" w:rsidRPr="007C72BF" w:rsidRDefault="00BC41D0" w:rsidP="00BC41D0">
      <w:pPr>
        <w:ind w:left="720"/>
        <w:rPr>
          <w:rFonts w:cs="Arial"/>
          <w:color w:val="000000"/>
        </w:rPr>
      </w:pPr>
      <w:r>
        <w:rPr>
          <w:rFonts w:cs="Arial"/>
          <w:color w:val="000000"/>
        </w:rPr>
        <w:t>Britain has a long problem with low pay and low progression.</w:t>
      </w:r>
      <w:r>
        <w:rPr>
          <w:rStyle w:val="FootnoteReference"/>
          <w:rFonts w:cs="Arial"/>
          <w:color w:val="000000"/>
        </w:rPr>
        <w:footnoteReference w:id="2"/>
      </w:r>
      <w:r>
        <w:rPr>
          <w:rFonts w:cs="Arial"/>
          <w:color w:val="000000"/>
          <w:vertAlign w:val="superscript"/>
        </w:rPr>
        <w:t xml:space="preserve">, </w:t>
      </w:r>
      <w:r>
        <w:rPr>
          <w:rStyle w:val="FootnoteReference"/>
          <w:rFonts w:cs="Arial"/>
          <w:color w:val="000000"/>
        </w:rPr>
        <w:footnoteReference w:id="3"/>
      </w:r>
      <w:r>
        <w:rPr>
          <w:rFonts w:cs="Arial"/>
          <w:color w:val="000000"/>
        </w:rPr>
        <w:t xml:space="preserve"> Added to that is a problem with who gets access to training at work. Recent research from the Commission found that 49 per cent of adults from disadvantaged backgrounds received no further training after leaving school.</w:t>
      </w:r>
      <w:r>
        <w:rPr>
          <w:rStyle w:val="FootnoteReference"/>
          <w:rFonts w:cs="Arial"/>
          <w:color w:val="000000"/>
        </w:rPr>
        <w:footnoteReference w:id="4"/>
      </w:r>
      <w:r>
        <w:rPr>
          <w:rFonts w:cs="Arial"/>
          <w:color w:val="000000"/>
        </w:rPr>
        <w:t xml:space="preserve"> This is especially worrying, as disadvantaged students are twice as likely as their more affluent peers to leave school without a Level 2 qualification (52 per cent compared to 25 per cent).</w:t>
      </w:r>
      <w:r>
        <w:rPr>
          <w:rStyle w:val="FootnoteReference"/>
          <w:rFonts w:cs="Arial"/>
          <w:color w:val="000000"/>
        </w:rPr>
        <w:footnoteReference w:id="5"/>
      </w:r>
      <w:r>
        <w:rPr>
          <w:rFonts w:cs="Arial"/>
          <w:color w:val="000000"/>
        </w:rPr>
        <w:t xml:space="preserve"> Those who get training at work are significantly more likely to hold higher levels of qualifications.</w:t>
      </w:r>
      <w:r>
        <w:rPr>
          <w:rStyle w:val="FootnoteReference"/>
          <w:rFonts w:cs="Arial"/>
          <w:color w:val="000000"/>
        </w:rPr>
        <w:footnoteReference w:id="6"/>
      </w:r>
      <w:r>
        <w:rPr>
          <w:rFonts w:cs="Arial"/>
          <w:color w:val="000000"/>
        </w:rPr>
        <w:t xml:space="preserve"> Employer investment in training has been stagnant for decades, while government investment has fallen by 45 per cent since 2010.</w:t>
      </w:r>
      <w:r>
        <w:rPr>
          <w:rStyle w:val="FootnoteReference"/>
          <w:rFonts w:cs="Arial"/>
          <w:color w:val="000000"/>
        </w:rPr>
        <w:footnoteReference w:id="7"/>
      </w:r>
      <w:r>
        <w:rPr>
          <w:rFonts w:cs="Arial"/>
          <w:color w:val="000000"/>
          <w:vertAlign w:val="superscript"/>
        </w:rPr>
        <w:t>,</w:t>
      </w:r>
      <w:r>
        <w:rPr>
          <w:rStyle w:val="FootnoteReference"/>
          <w:rFonts w:cs="Arial"/>
          <w:color w:val="000000"/>
        </w:rPr>
        <w:footnoteReference w:id="8"/>
      </w:r>
      <w:r>
        <w:rPr>
          <w:rFonts w:cs="Arial"/>
          <w:color w:val="000000"/>
        </w:rPr>
        <w:t xml:space="preserve"> </w:t>
      </w:r>
    </w:p>
    <w:p w14:paraId="176ECDA5" w14:textId="77777777" w:rsidR="00BC41D0" w:rsidRDefault="00BC41D0" w:rsidP="00BC41D0">
      <w:pPr>
        <w:rPr>
          <w:rFonts w:cs="Arial"/>
          <w:color w:val="000000"/>
        </w:rPr>
      </w:pPr>
    </w:p>
    <w:p w14:paraId="10D3F747" w14:textId="77777777" w:rsidR="00BC41D0" w:rsidRDefault="00BC41D0" w:rsidP="00BC41D0">
      <w:pPr>
        <w:ind w:left="720"/>
        <w:rPr>
          <w:rFonts w:cs="Arial"/>
          <w:color w:val="000000"/>
        </w:rPr>
      </w:pPr>
      <w:r>
        <w:rPr>
          <w:rFonts w:cs="Arial"/>
          <w:color w:val="000000"/>
        </w:rPr>
        <w:t>Further, a</w:t>
      </w:r>
      <w:r w:rsidRPr="003A4E53">
        <w:rPr>
          <w:rFonts w:cs="Arial"/>
          <w:color w:val="000000"/>
        </w:rPr>
        <w:t>s automation continues to develop, almost all ‘future of work’ studies predict that jobs requiring low skilled workers are at greatest risk of being automated.</w:t>
      </w:r>
      <w:r>
        <w:rPr>
          <w:rStyle w:val="FootnoteReference"/>
          <w:rFonts w:cs="Arial"/>
          <w:color w:val="000000"/>
        </w:rPr>
        <w:footnoteReference w:id="9"/>
      </w:r>
      <w:r w:rsidRPr="003A4E53">
        <w:rPr>
          <w:rFonts w:cs="Arial"/>
          <w:color w:val="000000"/>
        </w:rPr>
        <w:t xml:space="preserve"> </w:t>
      </w:r>
      <w:r>
        <w:rPr>
          <w:rFonts w:cs="Arial"/>
          <w:color w:val="000000"/>
        </w:rPr>
        <w:t xml:space="preserve">Determining the most effect way for adults to move out of low pay or retrain </w:t>
      </w:r>
      <w:r w:rsidRPr="003A4E53">
        <w:rPr>
          <w:rFonts w:cs="Arial"/>
          <w:color w:val="000000"/>
        </w:rPr>
        <w:t xml:space="preserve">is critical for social mobility. </w:t>
      </w:r>
    </w:p>
    <w:p w14:paraId="2EC22B72" w14:textId="77777777" w:rsidR="00BC41D0" w:rsidRDefault="00BC41D0" w:rsidP="00BC41D0">
      <w:pPr>
        <w:rPr>
          <w:rFonts w:cs="Arial"/>
          <w:color w:val="000000"/>
        </w:rPr>
      </w:pPr>
    </w:p>
    <w:p w14:paraId="6A098748" w14:textId="77777777" w:rsidR="00BC41D0" w:rsidRDefault="00BC41D0" w:rsidP="00BC41D0">
      <w:pPr>
        <w:ind w:left="720"/>
        <w:rPr>
          <w:rFonts w:cs="Arial"/>
          <w:color w:val="000000"/>
        </w:rPr>
      </w:pPr>
      <w:r w:rsidRPr="003A4E53">
        <w:rPr>
          <w:rFonts w:cs="Arial"/>
          <w:color w:val="000000"/>
        </w:rPr>
        <w:t>This</w:t>
      </w:r>
      <w:r>
        <w:rPr>
          <w:rFonts w:cs="Arial"/>
          <w:color w:val="000000"/>
        </w:rPr>
        <w:t xml:space="preserve"> work</w:t>
      </w:r>
      <w:r w:rsidRPr="003A4E53">
        <w:rPr>
          <w:rFonts w:cs="Arial"/>
          <w:color w:val="000000"/>
        </w:rPr>
        <w:t xml:space="preserve"> will build on research from the Commission and </w:t>
      </w:r>
      <w:r>
        <w:rPr>
          <w:rFonts w:cs="Arial"/>
          <w:color w:val="000000"/>
        </w:rPr>
        <w:t>others</w:t>
      </w:r>
      <w:r w:rsidRPr="003A4E53">
        <w:rPr>
          <w:rFonts w:cs="Arial"/>
          <w:color w:val="000000"/>
        </w:rPr>
        <w:t xml:space="preserve"> to understand</w:t>
      </w:r>
      <w:r>
        <w:rPr>
          <w:rFonts w:cs="Arial"/>
          <w:color w:val="000000"/>
        </w:rPr>
        <w:t xml:space="preserve"> how training and adult education can help adults progress out of low pay. It will identify who progresses out of low pay by various characteristics (such as region, occupation, industry, and personal characteristics). It will then look at how workers who have been successful in progressing out of low pay have done so, compared to peers who did not, and how their outcomes differ. It will then look critically at what form of training or education enabled this progression, particularly for those from lower socioeconomic backgrounds. It will evaluate the wage returns of apprenticeships and classroom-based training for adults compared to their needs to determine what form of adult training is the most effective for this group. Finally, it will assess where there may be a </w:t>
      </w:r>
      <w:proofErr w:type="gramStart"/>
      <w:r>
        <w:rPr>
          <w:rFonts w:cs="Arial"/>
          <w:color w:val="000000"/>
        </w:rPr>
        <w:t>particular need</w:t>
      </w:r>
      <w:proofErr w:type="gramEnd"/>
      <w:r>
        <w:rPr>
          <w:rFonts w:cs="Arial"/>
          <w:color w:val="000000"/>
        </w:rPr>
        <w:t xml:space="preserve"> for retraining, geographically, with rising automation. It will end with policy recommendations on the adult education system that are informed by a literature review.</w:t>
      </w:r>
    </w:p>
    <w:p w14:paraId="0A97D151" w14:textId="77777777" w:rsidR="002F14C5" w:rsidRPr="00F73DFA" w:rsidRDefault="002F14C5" w:rsidP="00686C76">
      <w:pPr>
        <w:pStyle w:val="Numbered"/>
        <w:widowControl/>
        <w:ind w:left="720"/>
        <w:rPr>
          <w:b/>
          <w:i/>
        </w:rPr>
      </w:pPr>
    </w:p>
    <w:p w14:paraId="7D45C313" w14:textId="77777777" w:rsidR="002F14C5" w:rsidRDefault="002F14C5" w:rsidP="00686C76">
      <w:pPr>
        <w:pStyle w:val="Numbered"/>
        <w:widowControl/>
        <w:rPr>
          <w:color w:val="000000"/>
        </w:rPr>
      </w:pPr>
      <w:r>
        <w:rPr>
          <w:b/>
          <w:color w:val="000000"/>
        </w:rPr>
        <w:t>2</w:t>
      </w:r>
      <w:r>
        <w:rPr>
          <w:b/>
          <w:color w:val="000000"/>
        </w:rPr>
        <w:tab/>
        <w:t>Purpose/Objectives</w:t>
      </w:r>
    </w:p>
    <w:p w14:paraId="7859A802" w14:textId="77777777" w:rsidR="002F14C5" w:rsidRDefault="002F14C5" w:rsidP="00686C76">
      <w:pPr>
        <w:ind w:left="360"/>
        <w:rPr>
          <w:rFonts w:cs="Arial"/>
        </w:rPr>
      </w:pPr>
      <w:r w:rsidRPr="00BB07D1">
        <w:rPr>
          <w:rFonts w:cs="Arial"/>
        </w:rPr>
        <w:t>The Commission</w:t>
      </w:r>
      <w:r>
        <w:rPr>
          <w:rFonts w:cs="Arial"/>
        </w:rPr>
        <w:t xml:space="preserve"> is interested in the following research questions:</w:t>
      </w:r>
    </w:p>
    <w:p w14:paraId="228F5B86" w14:textId="77777777" w:rsidR="002F14C5" w:rsidRDefault="002F14C5" w:rsidP="00686C76">
      <w:pPr>
        <w:ind w:left="360"/>
        <w:rPr>
          <w:rFonts w:cs="Arial"/>
        </w:rPr>
      </w:pPr>
    </w:p>
    <w:p w14:paraId="70B6F4D3" w14:textId="77777777" w:rsidR="00BC41D0" w:rsidRPr="00BC41D0" w:rsidRDefault="00BC41D0" w:rsidP="00EA4286">
      <w:pPr>
        <w:pStyle w:val="ListParagraph"/>
        <w:widowControl/>
        <w:numPr>
          <w:ilvl w:val="0"/>
          <w:numId w:val="45"/>
        </w:numPr>
        <w:overflowPunct/>
        <w:autoSpaceDE/>
        <w:autoSpaceDN/>
        <w:adjustRightInd/>
        <w:spacing w:line="276" w:lineRule="auto"/>
        <w:textAlignment w:val="auto"/>
        <w:rPr>
          <w:rFonts w:cs="Arial"/>
          <w:b/>
        </w:rPr>
      </w:pPr>
      <w:r w:rsidRPr="00BC41D0">
        <w:rPr>
          <w:rFonts w:cs="Arial"/>
          <w:b/>
        </w:rPr>
        <w:t>What forms of adult training best meet adults’ needs, particularly by the adults’ skill level, industry, and social background?</w:t>
      </w:r>
    </w:p>
    <w:p w14:paraId="35DB37FE" w14:textId="77777777" w:rsidR="00BC41D0" w:rsidRPr="00BC41D0" w:rsidRDefault="00BC41D0" w:rsidP="00EA4286">
      <w:pPr>
        <w:pStyle w:val="ListParagraph"/>
        <w:widowControl/>
        <w:numPr>
          <w:ilvl w:val="0"/>
          <w:numId w:val="45"/>
        </w:numPr>
        <w:overflowPunct/>
        <w:autoSpaceDE/>
        <w:autoSpaceDN/>
        <w:adjustRightInd/>
        <w:spacing w:line="276" w:lineRule="auto"/>
        <w:textAlignment w:val="auto"/>
        <w:rPr>
          <w:rFonts w:cs="Arial"/>
          <w:b/>
        </w:rPr>
      </w:pPr>
      <w:r w:rsidRPr="00BC41D0">
        <w:rPr>
          <w:rFonts w:cs="Arial"/>
          <w:b/>
        </w:rPr>
        <w:lastRenderedPageBreak/>
        <w:t>How have adults from low socioeconomic backgrounds progressed out of low pay? For example, did they stay within their own industry or did they move?</w:t>
      </w:r>
    </w:p>
    <w:p w14:paraId="35FFD022" w14:textId="77777777" w:rsidR="00BC41D0" w:rsidRDefault="00BC41D0" w:rsidP="00EA4286">
      <w:pPr>
        <w:pStyle w:val="ListParagraph"/>
        <w:widowControl/>
        <w:numPr>
          <w:ilvl w:val="1"/>
          <w:numId w:val="45"/>
        </w:numPr>
        <w:overflowPunct/>
        <w:autoSpaceDE/>
        <w:autoSpaceDN/>
        <w:adjustRightInd/>
        <w:spacing w:line="276" w:lineRule="auto"/>
        <w:textAlignment w:val="auto"/>
        <w:rPr>
          <w:rFonts w:cs="Arial"/>
        </w:rPr>
      </w:pPr>
      <w:r>
        <w:rPr>
          <w:rFonts w:cs="Arial"/>
        </w:rPr>
        <w:t>Where, geographically and within industries, does progression out of low pay happen?</w:t>
      </w:r>
    </w:p>
    <w:p w14:paraId="31E07F6B" w14:textId="77777777" w:rsidR="00BC41D0" w:rsidRDefault="00BC41D0" w:rsidP="00EA4286">
      <w:pPr>
        <w:pStyle w:val="ListParagraph"/>
        <w:widowControl/>
        <w:numPr>
          <w:ilvl w:val="1"/>
          <w:numId w:val="45"/>
        </w:numPr>
        <w:overflowPunct/>
        <w:autoSpaceDE/>
        <w:autoSpaceDN/>
        <w:adjustRightInd/>
        <w:spacing w:line="276" w:lineRule="auto"/>
        <w:textAlignment w:val="auto"/>
        <w:rPr>
          <w:rFonts w:cs="Arial"/>
        </w:rPr>
      </w:pPr>
      <w:r>
        <w:rPr>
          <w:rFonts w:cs="Arial"/>
        </w:rPr>
        <w:t>What skills or qualifications aided people to get out of low pay?</w:t>
      </w:r>
    </w:p>
    <w:p w14:paraId="0C850843" w14:textId="1C4B6B30" w:rsidR="00BC41D0" w:rsidRDefault="00BC41D0" w:rsidP="00EA4286">
      <w:pPr>
        <w:pStyle w:val="ListParagraph"/>
        <w:widowControl/>
        <w:numPr>
          <w:ilvl w:val="1"/>
          <w:numId w:val="45"/>
        </w:numPr>
        <w:overflowPunct/>
        <w:autoSpaceDE/>
        <w:autoSpaceDN/>
        <w:adjustRightInd/>
        <w:spacing w:line="276" w:lineRule="auto"/>
        <w:textAlignment w:val="auto"/>
        <w:rPr>
          <w:rFonts w:cs="Arial"/>
        </w:rPr>
      </w:pPr>
      <w:r>
        <w:rPr>
          <w:rFonts w:cs="Arial"/>
        </w:rPr>
        <w:t>How do they compare against those with similar characteristics but who did not progress?</w:t>
      </w:r>
    </w:p>
    <w:p w14:paraId="145BC87D" w14:textId="49518372" w:rsidR="00174D45" w:rsidRDefault="00174D45" w:rsidP="00EA4286">
      <w:pPr>
        <w:pStyle w:val="ListParagraph"/>
        <w:widowControl/>
        <w:numPr>
          <w:ilvl w:val="1"/>
          <w:numId w:val="45"/>
        </w:numPr>
        <w:overflowPunct/>
        <w:autoSpaceDE/>
        <w:autoSpaceDN/>
        <w:adjustRightInd/>
        <w:spacing w:line="276" w:lineRule="auto"/>
        <w:textAlignment w:val="auto"/>
        <w:rPr>
          <w:rFonts w:cs="Arial"/>
        </w:rPr>
      </w:pPr>
      <w:r>
        <w:rPr>
          <w:rFonts w:cs="Arial"/>
        </w:rPr>
        <w:t>How</w:t>
      </w:r>
      <w:r w:rsidR="007473A8">
        <w:rPr>
          <w:rFonts w:cs="Arial"/>
        </w:rPr>
        <w:t>,</w:t>
      </w:r>
      <w:r>
        <w:rPr>
          <w:rFonts w:cs="Arial"/>
        </w:rPr>
        <w:t xml:space="preserve"> if at all</w:t>
      </w:r>
      <w:r w:rsidR="007473A8">
        <w:rPr>
          <w:rFonts w:cs="Arial"/>
        </w:rPr>
        <w:t>,</w:t>
      </w:r>
      <w:r>
        <w:rPr>
          <w:rFonts w:cs="Arial"/>
        </w:rPr>
        <w:t xml:space="preserve"> </w:t>
      </w:r>
      <w:r w:rsidR="007473A8">
        <w:rPr>
          <w:rFonts w:cs="Arial"/>
        </w:rPr>
        <w:t xml:space="preserve">is this different for those progressing out of benefits? </w:t>
      </w:r>
    </w:p>
    <w:p w14:paraId="669AA464" w14:textId="77777777" w:rsidR="00BC41D0" w:rsidRPr="00BC41D0" w:rsidRDefault="00BC41D0" w:rsidP="00EA4286">
      <w:pPr>
        <w:pStyle w:val="ListParagraph"/>
        <w:widowControl/>
        <w:numPr>
          <w:ilvl w:val="0"/>
          <w:numId w:val="45"/>
        </w:numPr>
        <w:overflowPunct/>
        <w:autoSpaceDE/>
        <w:autoSpaceDN/>
        <w:adjustRightInd/>
        <w:spacing w:line="276" w:lineRule="auto"/>
        <w:textAlignment w:val="auto"/>
        <w:rPr>
          <w:rFonts w:cs="Arial"/>
          <w:b/>
        </w:rPr>
      </w:pPr>
      <w:r w:rsidRPr="00BC41D0">
        <w:rPr>
          <w:rFonts w:cs="Arial"/>
          <w:b/>
        </w:rPr>
        <w:t xml:space="preserve">Who retrains and changes fields? </w:t>
      </w:r>
    </w:p>
    <w:p w14:paraId="55A1770E" w14:textId="77777777" w:rsidR="00BC41D0" w:rsidRDefault="00BC41D0" w:rsidP="00EA4286">
      <w:pPr>
        <w:pStyle w:val="ListParagraph"/>
        <w:widowControl/>
        <w:numPr>
          <w:ilvl w:val="1"/>
          <w:numId w:val="45"/>
        </w:numPr>
        <w:overflowPunct/>
        <w:autoSpaceDE/>
        <w:autoSpaceDN/>
        <w:adjustRightInd/>
        <w:spacing w:line="276" w:lineRule="auto"/>
        <w:textAlignment w:val="auto"/>
        <w:rPr>
          <w:rFonts w:cs="Arial"/>
        </w:rPr>
      </w:pPr>
      <w:r>
        <w:rPr>
          <w:rFonts w:cs="Arial"/>
        </w:rPr>
        <w:t>What are their characteristics (age, socioeconomic background, ethnicity, gender, etc.)?</w:t>
      </w:r>
    </w:p>
    <w:p w14:paraId="2E612F0D" w14:textId="77777777" w:rsidR="00BC41D0" w:rsidRDefault="00BC41D0" w:rsidP="00EA4286">
      <w:pPr>
        <w:pStyle w:val="ListParagraph"/>
        <w:widowControl/>
        <w:numPr>
          <w:ilvl w:val="1"/>
          <w:numId w:val="45"/>
        </w:numPr>
        <w:overflowPunct/>
        <w:autoSpaceDE/>
        <w:autoSpaceDN/>
        <w:adjustRightInd/>
        <w:spacing w:line="276" w:lineRule="auto"/>
        <w:textAlignment w:val="auto"/>
        <w:rPr>
          <w:rFonts w:cs="Arial"/>
        </w:rPr>
      </w:pPr>
      <w:r>
        <w:rPr>
          <w:rFonts w:cs="Arial"/>
        </w:rPr>
        <w:t>In what industries are they?</w:t>
      </w:r>
    </w:p>
    <w:p w14:paraId="6156CCD4" w14:textId="77777777" w:rsidR="00BC41D0" w:rsidRDefault="00BC41D0" w:rsidP="00EA4286">
      <w:pPr>
        <w:pStyle w:val="ListParagraph"/>
        <w:widowControl/>
        <w:numPr>
          <w:ilvl w:val="1"/>
          <w:numId w:val="45"/>
        </w:numPr>
        <w:overflowPunct/>
        <w:autoSpaceDE/>
        <w:autoSpaceDN/>
        <w:adjustRightInd/>
        <w:spacing w:line="276" w:lineRule="auto"/>
        <w:textAlignment w:val="auto"/>
        <w:rPr>
          <w:rFonts w:cs="Arial"/>
        </w:rPr>
      </w:pPr>
      <w:r>
        <w:rPr>
          <w:rFonts w:cs="Arial"/>
        </w:rPr>
        <w:t>What training do they access? What qualifications did they hold prior and after taking a ‘second chance?’</w:t>
      </w:r>
    </w:p>
    <w:p w14:paraId="59FCC951" w14:textId="77777777" w:rsidR="00BC41D0" w:rsidRDefault="00BC41D0" w:rsidP="00EA4286">
      <w:pPr>
        <w:pStyle w:val="ListParagraph"/>
        <w:widowControl/>
        <w:numPr>
          <w:ilvl w:val="1"/>
          <w:numId w:val="45"/>
        </w:numPr>
        <w:overflowPunct/>
        <w:autoSpaceDE/>
        <w:autoSpaceDN/>
        <w:adjustRightInd/>
        <w:spacing w:line="276" w:lineRule="auto"/>
        <w:textAlignment w:val="auto"/>
        <w:rPr>
          <w:rFonts w:cs="Arial"/>
        </w:rPr>
      </w:pPr>
      <w:r>
        <w:rPr>
          <w:rFonts w:cs="Arial"/>
        </w:rPr>
        <w:t>What labour market returns do they receive compared to those who did not retrain?</w:t>
      </w:r>
    </w:p>
    <w:p w14:paraId="51C3FC45" w14:textId="77777777" w:rsidR="00BC41D0" w:rsidRPr="00BC41D0" w:rsidRDefault="00BC41D0" w:rsidP="00EA4286">
      <w:pPr>
        <w:pStyle w:val="ListParagraph"/>
        <w:widowControl/>
        <w:numPr>
          <w:ilvl w:val="0"/>
          <w:numId w:val="45"/>
        </w:numPr>
        <w:overflowPunct/>
        <w:autoSpaceDE/>
        <w:autoSpaceDN/>
        <w:adjustRightInd/>
        <w:spacing w:line="276" w:lineRule="auto"/>
        <w:textAlignment w:val="auto"/>
        <w:rPr>
          <w:rFonts w:cs="Arial"/>
          <w:b/>
        </w:rPr>
      </w:pPr>
      <w:r w:rsidRPr="00BC41D0">
        <w:rPr>
          <w:rFonts w:cs="Arial"/>
          <w:b/>
        </w:rPr>
        <w:t>Policy design:</w:t>
      </w:r>
    </w:p>
    <w:p w14:paraId="66B1C6B8" w14:textId="77777777" w:rsidR="00BC41D0" w:rsidRDefault="00BC41D0" w:rsidP="00EA4286">
      <w:pPr>
        <w:pStyle w:val="ListParagraph"/>
        <w:widowControl/>
        <w:numPr>
          <w:ilvl w:val="1"/>
          <w:numId w:val="45"/>
        </w:numPr>
        <w:overflowPunct/>
        <w:autoSpaceDE/>
        <w:autoSpaceDN/>
        <w:adjustRightInd/>
        <w:spacing w:line="276" w:lineRule="auto"/>
        <w:textAlignment w:val="auto"/>
        <w:rPr>
          <w:rFonts w:cs="Arial"/>
        </w:rPr>
      </w:pPr>
      <w:r>
        <w:rPr>
          <w:rFonts w:cs="Arial"/>
        </w:rPr>
        <w:t>How can both supply and demand side policies be used to incentivise employers to upskill workers stuck in low pay, as well as those from lower socioeconomic backgrounds who are least likely to access training?</w:t>
      </w:r>
      <w:r>
        <w:rPr>
          <w:rStyle w:val="FootnoteReference"/>
          <w:rFonts w:cs="Arial"/>
        </w:rPr>
        <w:footnoteReference w:id="10"/>
      </w:r>
    </w:p>
    <w:p w14:paraId="4D217103" w14:textId="77777777" w:rsidR="00BC41D0" w:rsidRDefault="00BC41D0" w:rsidP="00EA4286">
      <w:pPr>
        <w:pStyle w:val="ListParagraph"/>
        <w:widowControl/>
        <w:numPr>
          <w:ilvl w:val="1"/>
          <w:numId w:val="45"/>
        </w:numPr>
        <w:overflowPunct/>
        <w:autoSpaceDE/>
        <w:autoSpaceDN/>
        <w:adjustRightInd/>
        <w:spacing w:line="276" w:lineRule="auto"/>
        <w:textAlignment w:val="auto"/>
        <w:rPr>
          <w:rFonts w:cs="Arial"/>
        </w:rPr>
      </w:pPr>
      <w:r>
        <w:rPr>
          <w:rFonts w:cs="Arial"/>
        </w:rPr>
        <w:t>What are the characteristics of the type of training that is needed to upskill the currently low skilled, e.g. length of time, qualification level, cost, etc.?</w:t>
      </w:r>
    </w:p>
    <w:p w14:paraId="16F956B6" w14:textId="77777777" w:rsidR="00BC41D0" w:rsidRDefault="00BC41D0" w:rsidP="00EA4286">
      <w:pPr>
        <w:pStyle w:val="ListParagraph"/>
        <w:widowControl/>
        <w:numPr>
          <w:ilvl w:val="1"/>
          <w:numId w:val="45"/>
        </w:numPr>
        <w:overflowPunct/>
        <w:autoSpaceDE/>
        <w:autoSpaceDN/>
        <w:adjustRightInd/>
        <w:spacing w:line="276" w:lineRule="auto"/>
        <w:textAlignment w:val="auto"/>
        <w:rPr>
          <w:rFonts w:cs="Arial"/>
        </w:rPr>
      </w:pPr>
      <w:r>
        <w:rPr>
          <w:rFonts w:cs="Arial"/>
        </w:rPr>
        <w:t>Are apprenticeships the most effective way to train adults?</w:t>
      </w:r>
    </w:p>
    <w:p w14:paraId="768036B1" w14:textId="77777777" w:rsidR="00BC41D0" w:rsidRPr="00BC41D0" w:rsidRDefault="00BC41D0" w:rsidP="00EA4286">
      <w:pPr>
        <w:pStyle w:val="ListParagraph"/>
        <w:widowControl/>
        <w:numPr>
          <w:ilvl w:val="0"/>
          <w:numId w:val="45"/>
        </w:numPr>
        <w:overflowPunct/>
        <w:autoSpaceDE/>
        <w:autoSpaceDN/>
        <w:adjustRightInd/>
        <w:spacing w:line="276" w:lineRule="auto"/>
        <w:textAlignment w:val="auto"/>
        <w:rPr>
          <w:rFonts w:cs="Arial"/>
          <w:b/>
        </w:rPr>
      </w:pPr>
      <w:r w:rsidRPr="00BC41D0">
        <w:rPr>
          <w:rFonts w:cs="Arial"/>
          <w:b/>
        </w:rPr>
        <w:t>How can we shore up the adult skills system ahead of rising automation?</w:t>
      </w:r>
    </w:p>
    <w:p w14:paraId="2FBF1572" w14:textId="77777777" w:rsidR="00BC41D0" w:rsidRDefault="00BC41D0" w:rsidP="00EA4286">
      <w:pPr>
        <w:pStyle w:val="ListParagraph"/>
        <w:widowControl/>
        <w:numPr>
          <w:ilvl w:val="1"/>
          <w:numId w:val="45"/>
        </w:numPr>
        <w:overflowPunct/>
        <w:autoSpaceDE/>
        <w:autoSpaceDN/>
        <w:adjustRightInd/>
        <w:spacing w:line="276" w:lineRule="auto"/>
        <w:textAlignment w:val="auto"/>
        <w:rPr>
          <w:rFonts w:cs="Arial"/>
        </w:rPr>
      </w:pPr>
      <w:r>
        <w:rPr>
          <w:rFonts w:cs="Arial"/>
        </w:rPr>
        <w:t>How does a potential disruptive Fourth Industrial Revolution change how we think about occupational mobility?</w:t>
      </w:r>
    </w:p>
    <w:p w14:paraId="50A674AE" w14:textId="77777777" w:rsidR="00BC41D0" w:rsidRDefault="00BC41D0" w:rsidP="00EA4286">
      <w:pPr>
        <w:pStyle w:val="ListParagraph"/>
        <w:widowControl/>
        <w:numPr>
          <w:ilvl w:val="1"/>
          <w:numId w:val="45"/>
        </w:numPr>
        <w:overflowPunct/>
        <w:autoSpaceDE/>
        <w:autoSpaceDN/>
        <w:adjustRightInd/>
        <w:spacing w:line="276" w:lineRule="auto"/>
        <w:textAlignment w:val="auto"/>
        <w:rPr>
          <w:rFonts w:cs="Arial"/>
        </w:rPr>
      </w:pPr>
      <w:r>
        <w:rPr>
          <w:rFonts w:cs="Arial"/>
        </w:rPr>
        <w:t>Within the context of increasing automation, where, geographically, are future training opportunities most needed?</w:t>
      </w:r>
    </w:p>
    <w:p w14:paraId="1CD70EE1" w14:textId="77777777" w:rsidR="00BC41D0" w:rsidRPr="00173183" w:rsidRDefault="00BC41D0" w:rsidP="00BC41D0">
      <w:pPr>
        <w:spacing w:line="276" w:lineRule="auto"/>
        <w:rPr>
          <w:rFonts w:cs="Arial"/>
        </w:rPr>
      </w:pPr>
    </w:p>
    <w:p w14:paraId="01629526" w14:textId="313DFA60" w:rsidR="00BC41D0" w:rsidRPr="00E47944" w:rsidRDefault="00BC41D0" w:rsidP="00BC41D0">
      <w:pPr>
        <w:spacing w:after="160" w:line="259" w:lineRule="auto"/>
        <w:contextualSpacing/>
        <w:rPr>
          <w:rFonts w:cs="Arial"/>
        </w:rPr>
      </w:pPr>
      <w:r w:rsidRPr="00E47944">
        <w:rPr>
          <w:rFonts w:cs="Arial"/>
          <w:b/>
          <w:u w:val="single"/>
        </w:rPr>
        <w:t>Please note that we do not expect the researchers to answer every question in equal depth.</w:t>
      </w:r>
      <w:r w:rsidRPr="00E47944">
        <w:rPr>
          <w:rFonts w:cs="Arial"/>
        </w:rPr>
        <w:t xml:space="preserve"> </w:t>
      </w:r>
      <w:r w:rsidR="00046651">
        <w:rPr>
          <w:rFonts w:cs="Arial"/>
        </w:rPr>
        <w:t xml:space="preserve">We also acknowledge that some questions may not be possible to answer, dependent on data limitations. </w:t>
      </w:r>
      <w:r w:rsidRPr="00E47944">
        <w:rPr>
          <w:rFonts w:cs="Arial"/>
        </w:rPr>
        <w:t xml:space="preserve">We request that bidders indicate which questions and issues they will focus on primarily (using our suggestions from the ‘research considerations’ section below). </w:t>
      </w:r>
    </w:p>
    <w:p w14:paraId="3E008A41" w14:textId="77777777" w:rsidR="002F14C5" w:rsidRDefault="002F14C5" w:rsidP="00686C76">
      <w:pPr>
        <w:ind w:left="360"/>
        <w:rPr>
          <w:rFonts w:cs="Arial"/>
          <w:b/>
        </w:rPr>
      </w:pPr>
    </w:p>
    <w:p w14:paraId="35C4A2FA" w14:textId="77777777" w:rsidR="002F14C5" w:rsidRDefault="002F14C5" w:rsidP="00686C76">
      <w:pPr>
        <w:ind w:left="360"/>
        <w:rPr>
          <w:rFonts w:cs="Arial"/>
          <w:b/>
        </w:rPr>
      </w:pPr>
      <w:r w:rsidRPr="00BB07D1">
        <w:rPr>
          <w:rFonts w:cs="Arial"/>
          <w:b/>
        </w:rPr>
        <w:t>Research considerations and detail</w:t>
      </w:r>
    </w:p>
    <w:p w14:paraId="53AD1B13" w14:textId="77777777" w:rsidR="002F14C5" w:rsidRPr="008F09AA" w:rsidRDefault="002F14C5" w:rsidP="00686C76">
      <w:pPr>
        <w:ind w:left="360"/>
        <w:rPr>
          <w:rFonts w:cs="Arial"/>
          <w:b/>
        </w:rPr>
      </w:pPr>
    </w:p>
    <w:p w14:paraId="32F481F8" w14:textId="77777777" w:rsidR="00F67835" w:rsidRDefault="00F67835" w:rsidP="00EA4286">
      <w:pPr>
        <w:pStyle w:val="ListParagraph"/>
        <w:widowControl/>
        <w:numPr>
          <w:ilvl w:val="0"/>
          <w:numId w:val="29"/>
        </w:numPr>
        <w:overflowPunct/>
        <w:autoSpaceDE/>
        <w:autoSpaceDN/>
        <w:adjustRightInd/>
        <w:spacing w:line="276" w:lineRule="auto"/>
        <w:textAlignment w:val="auto"/>
        <w:rPr>
          <w:rFonts w:cs="Arial"/>
        </w:rPr>
      </w:pPr>
      <w:r>
        <w:rPr>
          <w:rFonts w:cs="Arial"/>
        </w:rPr>
        <w:t xml:space="preserve">Age range: All those 25 and older. </w:t>
      </w:r>
    </w:p>
    <w:p w14:paraId="692AC74E" w14:textId="77777777" w:rsidR="00F67835" w:rsidRPr="00D76CCD" w:rsidRDefault="00F67835" w:rsidP="00F67835">
      <w:pPr>
        <w:pStyle w:val="ListParagraph"/>
        <w:ind w:left="1080"/>
        <w:rPr>
          <w:rFonts w:cs="Arial"/>
        </w:rPr>
      </w:pPr>
    </w:p>
    <w:p w14:paraId="292CEEBA" w14:textId="77777777" w:rsidR="00F67835" w:rsidRDefault="00F67835" w:rsidP="00EA4286">
      <w:pPr>
        <w:pStyle w:val="ListParagraph"/>
        <w:widowControl/>
        <w:numPr>
          <w:ilvl w:val="0"/>
          <w:numId w:val="29"/>
        </w:numPr>
        <w:overflowPunct/>
        <w:autoSpaceDE/>
        <w:autoSpaceDN/>
        <w:adjustRightInd/>
        <w:spacing w:line="276" w:lineRule="auto"/>
        <w:textAlignment w:val="auto"/>
        <w:rPr>
          <w:rFonts w:cs="Arial"/>
        </w:rPr>
      </w:pPr>
      <w:r w:rsidRPr="008F09AA">
        <w:rPr>
          <w:rFonts w:cs="Arial"/>
        </w:rPr>
        <w:t xml:space="preserve">Data analysis: This will form the bulk of the research. </w:t>
      </w:r>
      <w:r>
        <w:rPr>
          <w:rFonts w:cs="Arial"/>
        </w:rPr>
        <w:t xml:space="preserve">This will build upon the descriptive data and analysis that the Commission has done in its State of the Nation 2018 report.  More sophisticated analyses (e.g. regressions or Differences in Differences) will be needed and are at the discretion of the researcher to identify in bids. </w:t>
      </w:r>
    </w:p>
    <w:p w14:paraId="3BCF24EC" w14:textId="77777777" w:rsidR="00F67835" w:rsidRPr="008D5AE2" w:rsidRDefault="00F67835" w:rsidP="00F67835">
      <w:pPr>
        <w:pStyle w:val="ListParagraph"/>
        <w:ind w:left="1080"/>
        <w:rPr>
          <w:rFonts w:cs="Arial"/>
          <w:sz w:val="10"/>
          <w:szCs w:val="10"/>
        </w:rPr>
      </w:pPr>
    </w:p>
    <w:p w14:paraId="14C832ED" w14:textId="77777777" w:rsidR="00F67835" w:rsidRDefault="00F67835" w:rsidP="00EA4286">
      <w:pPr>
        <w:pStyle w:val="ListParagraph"/>
        <w:widowControl/>
        <w:numPr>
          <w:ilvl w:val="0"/>
          <w:numId w:val="30"/>
        </w:numPr>
        <w:overflowPunct/>
        <w:autoSpaceDE/>
        <w:autoSpaceDN/>
        <w:adjustRightInd/>
        <w:spacing w:line="276" w:lineRule="auto"/>
        <w:ind w:left="1080"/>
        <w:textAlignment w:val="auto"/>
        <w:rPr>
          <w:rFonts w:cs="Arial"/>
        </w:rPr>
      </w:pPr>
      <w:r w:rsidRPr="004D16E4">
        <w:rPr>
          <w:rFonts w:cs="Arial"/>
        </w:rPr>
        <w:lastRenderedPageBreak/>
        <w:t>Outcomes: We are ultimately interested in social mobility</w:t>
      </w:r>
      <w:r>
        <w:rPr>
          <w:rFonts w:cs="Arial"/>
        </w:rPr>
        <w:t xml:space="preserve"> (i.e., the link between an individual’s eventual occupation or earnings and the occupation or earnings of their parents)</w:t>
      </w:r>
      <w:r w:rsidRPr="004D16E4">
        <w:rPr>
          <w:rFonts w:cs="Arial"/>
        </w:rPr>
        <w:t xml:space="preserve">. </w:t>
      </w:r>
    </w:p>
    <w:p w14:paraId="5F56629F" w14:textId="77777777" w:rsidR="00F67835" w:rsidRPr="00E53491" w:rsidRDefault="00F67835" w:rsidP="00F67835">
      <w:pPr>
        <w:pStyle w:val="ListParagraph"/>
        <w:spacing w:line="276" w:lineRule="auto"/>
        <w:ind w:left="1080"/>
        <w:rPr>
          <w:rFonts w:cs="Arial"/>
          <w:sz w:val="10"/>
          <w:szCs w:val="10"/>
        </w:rPr>
      </w:pPr>
    </w:p>
    <w:p w14:paraId="10125444" w14:textId="77777777" w:rsidR="00F67835" w:rsidRDefault="00F67835" w:rsidP="00EA4286">
      <w:pPr>
        <w:pStyle w:val="ListParagraph"/>
        <w:widowControl/>
        <w:numPr>
          <w:ilvl w:val="0"/>
          <w:numId w:val="30"/>
        </w:numPr>
        <w:overflowPunct/>
        <w:autoSpaceDE/>
        <w:autoSpaceDN/>
        <w:adjustRightInd/>
        <w:spacing w:line="276" w:lineRule="auto"/>
        <w:ind w:left="1080"/>
        <w:textAlignment w:val="auto"/>
        <w:rPr>
          <w:rFonts w:cs="Arial"/>
        </w:rPr>
      </w:pPr>
      <w:r>
        <w:rPr>
          <w:rFonts w:cs="Arial"/>
        </w:rPr>
        <w:t xml:space="preserve">Regions: Where possible, please cut the data by broad region and area deprivation. </w:t>
      </w:r>
    </w:p>
    <w:p w14:paraId="2A377AC3" w14:textId="77777777" w:rsidR="00F67835" w:rsidRPr="004D16E4" w:rsidRDefault="00F67835" w:rsidP="00F67835">
      <w:pPr>
        <w:pStyle w:val="ListParagraph"/>
        <w:spacing w:line="276" w:lineRule="auto"/>
        <w:ind w:left="1080"/>
        <w:rPr>
          <w:rFonts w:cs="Arial"/>
          <w:sz w:val="10"/>
          <w:szCs w:val="10"/>
        </w:rPr>
      </w:pPr>
    </w:p>
    <w:p w14:paraId="2D6D5E50" w14:textId="77777777" w:rsidR="00F67835" w:rsidRPr="009225F0" w:rsidRDefault="00F67835" w:rsidP="00EA4286">
      <w:pPr>
        <w:pStyle w:val="ListParagraph"/>
        <w:widowControl/>
        <w:numPr>
          <w:ilvl w:val="0"/>
          <w:numId w:val="30"/>
        </w:numPr>
        <w:overflowPunct/>
        <w:autoSpaceDE/>
        <w:autoSpaceDN/>
        <w:adjustRightInd/>
        <w:spacing w:line="276" w:lineRule="auto"/>
        <w:ind w:left="1080"/>
        <w:textAlignment w:val="auto"/>
        <w:rPr>
          <w:rFonts w:cs="Arial"/>
        </w:rPr>
      </w:pPr>
      <w:r w:rsidRPr="009225F0">
        <w:rPr>
          <w:rFonts w:cs="Arial"/>
        </w:rPr>
        <w:t xml:space="preserve">Controls: Appropriate controls will need to be in place to allow conclusions to be drawn about the impact of </w:t>
      </w:r>
      <w:r>
        <w:rPr>
          <w:rFonts w:cs="Arial"/>
        </w:rPr>
        <w:t xml:space="preserve">apprenticeships </w:t>
      </w:r>
      <w:r w:rsidRPr="009225F0">
        <w:rPr>
          <w:rFonts w:cs="Arial"/>
        </w:rPr>
        <w:t>on individuals’ attainment and employment outcomes.</w:t>
      </w:r>
    </w:p>
    <w:p w14:paraId="57C7E3E0" w14:textId="77777777" w:rsidR="00F67835" w:rsidRPr="008D5AE2" w:rsidRDefault="00F67835" w:rsidP="00F67835">
      <w:pPr>
        <w:spacing w:line="276" w:lineRule="auto"/>
        <w:ind w:left="720"/>
        <w:rPr>
          <w:rFonts w:cs="Arial"/>
          <w:sz w:val="10"/>
          <w:szCs w:val="10"/>
        </w:rPr>
      </w:pPr>
    </w:p>
    <w:p w14:paraId="2A7DE6C9" w14:textId="77777777" w:rsidR="00F67835" w:rsidRPr="009225F0" w:rsidRDefault="00F67835" w:rsidP="00EA4286">
      <w:pPr>
        <w:pStyle w:val="ListParagraph"/>
        <w:widowControl/>
        <w:numPr>
          <w:ilvl w:val="0"/>
          <w:numId w:val="30"/>
        </w:numPr>
        <w:overflowPunct/>
        <w:autoSpaceDE/>
        <w:autoSpaceDN/>
        <w:adjustRightInd/>
        <w:spacing w:line="276" w:lineRule="auto"/>
        <w:ind w:left="1080"/>
        <w:textAlignment w:val="auto"/>
        <w:rPr>
          <w:rFonts w:cs="Arial"/>
        </w:rPr>
      </w:pPr>
      <w:r w:rsidRPr="009225F0">
        <w:rPr>
          <w:rFonts w:cs="Arial"/>
        </w:rPr>
        <w:t xml:space="preserve">Measures of socioeconomic background: </w:t>
      </w:r>
      <w:r>
        <w:rPr>
          <w:rFonts w:cs="Arial"/>
        </w:rPr>
        <w:t>These could include</w:t>
      </w:r>
      <w:r w:rsidRPr="009225F0">
        <w:rPr>
          <w:rFonts w:cs="Arial"/>
        </w:rPr>
        <w:t xml:space="preserve"> any of, or a combination of, the common measures used by government. These </w:t>
      </w:r>
      <w:proofErr w:type="gramStart"/>
      <w:r w:rsidRPr="009225F0">
        <w:rPr>
          <w:rFonts w:cs="Arial"/>
        </w:rPr>
        <w:t>include:</w:t>
      </w:r>
      <w:proofErr w:type="gramEnd"/>
      <w:r w:rsidRPr="009225F0">
        <w:rPr>
          <w:rFonts w:cs="Arial"/>
        </w:rPr>
        <w:t xml:space="preserve"> eligibility for Free School Meals, </w:t>
      </w:r>
      <w:r>
        <w:rPr>
          <w:rFonts w:cs="Arial"/>
        </w:rPr>
        <w:t xml:space="preserve">parental education, </w:t>
      </w:r>
      <w:r w:rsidRPr="009225F0">
        <w:rPr>
          <w:rFonts w:cs="Arial"/>
        </w:rPr>
        <w:t xml:space="preserve">parental occupation (measured by the NS-SEC), </w:t>
      </w:r>
      <w:r>
        <w:rPr>
          <w:rFonts w:cs="Arial"/>
        </w:rPr>
        <w:t xml:space="preserve">Indices of Multiple Deprivation, </w:t>
      </w:r>
      <w:r w:rsidRPr="009225F0">
        <w:rPr>
          <w:rFonts w:cs="Arial"/>
        </w:rPr>
        <w:t>parental income, type of school attended, name of school attended, home postcode.</w:t>
      </w:r>
    </w:p>
    <w:p w14:paraId="3B0B81C4" w14:textId="77777777" w:rsidR="00F67835" w:rsidRPr="008D5AE2" w:rsidRDefault="00F67835" w:rsidP="00F67835">
      <w:pPr>
        <w:pStyle w:val="ListParagraph"/>
        <w:ind w:left="1080"/>
        <w:rPr>
          <w:rFonts w:cs="Arial"/>
          <w:sz w:val="10"/>
          <w:szCs w:val="10"/>
        </w:rPr>
      </w:pPr>
    </w:p>
    <w:p w14:paraId="437E0063" w14:textId="77777777" w:rsidR="00F67835" w:rsidRPr="008F09AA" w:rsidRDefault="00F67835" w:rsidP="00EA4286">
      <w:pPr>
        <w:pStyle w:val="ListParagraph"/>
        <w:widowControl/>
        <w:numPr>
          <w:ilvl w:val="0"/>
          <w:numId w:val="30"/>
        </w:numPr>
        <w:overflowPunct/>
        <w:autoSpaceDE/>
        <w:autoSpaceDN/>
        <w:adjustRightInd/>
        <w:spacing w:line="276" w:lineRule="auto"/>
        <w:ind w:left="1080"/>
        <w:textAlignment w:val="auto"/>
        <w:rPr>
          <w:rFonts w:cs="Arial"/>
        </w:rPr>
      </w:pPr>
      <w:r w:rsidRPr="008F09AA">
        <w:rPr>
          <w:rFonts w:cs="Arial"/>
        </w:rPr>
        <w:t xml:space="preserve">Recommended data sources:  </w:t>
      </w:r>
    </w:p>
    <w:p w14:paraId="53E1BB0B" w14:textId="77777777" w:rsidR="00F67835" w:rsidRDefault="00F67835" w:rsidP="00EA4286">
      <w:pPr>
        <w:pStyle w:val="ListParagraph"/>
        <w:widowControl/>
        <w:numPr>
          <w:ilvl w:val="0"/>
          <w:numId w:val="31"/>
        </w:numPr>
        <w:overflowPunct/>
        <w:autoSpaceDE/>
        <w:autoSpaceDN/>
        <w:adjustRightInd/>
        <w:ind w:left="1440"/>
        <w:textAlignment w:val="auto"/>
        <w:rPr>
          <w:rFonts w:cs="Arial"/>
        </w:rPr>
      </w:pPr>
      <w:r>
        <w:rPr>
          <w:rFonts w:cs="Arial"/>
        </w:rPr>
        <w:t xml:space="preserve">British Household Panel Survey </w:t>
      </w:r>
    </w:p>
    <w:p w14:paraId="15D1701D" w14:textId="77777777" w:rsidR="00F67835" w:rsidRDefault="00F67835" w:rsidP="00EA4286">
      <w:pPr>
        <w:pStyle w:val="ListParagraph"/>
        <w:widowControl/>
        <w:numPr>
          <w:ilvl w:val="0"/>
          <w:numId w:val="31"/>
        </w:numPr>
        <w:overflowPunct/>
        <w:autoSpaceDE/>
        <w:autoSpaceDN/>
        <w:adjustRightInd/>
        <w:ind w:left="1440"/>
        <w:textAlignment w:val="auto"/>
        <w:rPr>
          <w:rFonts w:cs="Arial"/>
        </w:rPr>
      </w:pPr>
      <w:r>
        <w:rPr>
          <w:rFonts w:cs="Arial"/>
        </w:rPr>
        <w:t>Understanding Society</w:t>
      </w:r>
    </w:p>
    <w:p w14:paraId="1EC6B738" w14:textId="77777777" w:rsidR="00F67835" w:rsidRDefault="00F67835" w:rsidP="00EA4286">
      <w:pPr>
        <w:pStyle w:val="ListParagraph"/>
        <w:widowControl/>
        <w:numPr>
          <w:ilvl w:val="0"/>
          <w:numId w:val="31"/>
        </w:numPr>
        <w:overflowPunct/>
        <w:autoSpaceDE/>
        <w:autoSpaceDN/>
        <w:adjustRightInd/>
        <w:ind w:left="1440"/>
        <w:textAlignment w:val="auto"/>
        <w:rPr>
          <w:rFonts w:cs="Arial"/>
        </w:rPr>
      </w:pPr>
      <w:r>
        <w:rPr>
          <w:rFonts w:cs="Arial"/>
        </w:rPr>
        <w:t xml:space="preserve">Longitudinal Educational Outcomes </w:t>
      </w:r>
    </w:p>
    <w:p w14:paraId="486F990A" w14:textId="77777777" w:rsidR="00F67835" w:rsidRPr="005264BB" w:rsidRDefault="00F67835" w:rsidP="00EA4286">
      <w:pPr>
        <w:pStyle w:val="ListParagraph"/>
        <w:widowControl/>
        <w:numPr>
          <w:ilvl w:val="0"/>
          <w:numId w:val="31"/>
        </w:numPr>
        <w:overflowPunct/>
        <w:autoSpaceDE/>
        <w:autoSpaceDN/>
        <w:adjustRightInd/>
        <w:ind w:left="1440"/>
        <w:textAlignment w:val="auto"/>
        <w:rPr>
          <w:rFonts w:cs="Arial"/>
        </w:rPr>
      </w:pPr>
      <w:r>
        <w:rPr>
          <w:rFonts w:cs="Arial"/>
        </w:rPr>
        <w:t>Other data sources will be considered</w:t>
      </w:r>
    </w:p>
    <w:p w14:paraId="7C4EE939" w14:textId="77777777" w:rsidR="00F67835" w:rsidRPr="005264BB" w:rsidRDefault="00F67835" w:rsidP="00F67835">
      <w:pPr>
        <w:ind w:left="720"/>
        <w:rPr>
          <w:rFonts w:cs="Arial"/>
        </w:rPr>
      </w:pPr>
    </w:p>
    <w:p w14:paraId="7A5632AE" w14:textId="77777777" w:rsidR="00F67835" w:rsidRPr="00CB47A7" w:rsidRDefault="00F67835" w:rsidP="00EA4286">
      <w:pPr>
        <w:pStyle w:val="ListParagraph"/>
        <w:widowControl/>
        <w:numPr>
          <w:ilvl w:val="0"/>
          <w:numId w:val="32"/>
        </w:numPr>
        <w:overflowPunct/>
        <w:autoSpaceDE/>
        <w:autoSpaceDN/>
        <w:adjustRightInd/>
        <w:spacing w:line="276" w:lineRule="auto"/>
        <w:ind w:left="720"/>
        <w:textAlignment w:val="auto"/>
        <w:rPr>
          <w:rFonts w:cs="Arial"/>
        </w:rPr>
      </w:pPr>
      <w:r w:rsidRPr="00CB47A7">
        <w:rPr>
          <w:rFonts w:cs="Arial"/>
        </w:rPr>
        <w:t xml:space="preserve">Bidders are </w:t>
      </w:r>
      <w:r>
        <w:rPr>
          <w:rFonts w:cs="Arial"/>
        </w:rPr>
        <w:t>permitted</w:t>
      </w:r>
      <w:r w:rsidRPr="00CB47A7">
        <w:rPr>
          <w:rFonts w:cs="Arial"/>
        </w:rPr>
        <w:t xml:space="preserve"> to </w:t>
      </w:r>
      <w:r>
        <w:rPr>
          <w:rFonts w:cs="Arial"/>
        </w:rPr>
        <w:t>sub-contract</w:t>
      </w:r>
      <w:r w:rsidRPr="00CB47A7">
        <w:rPr>
          <w:rFonts w:cs="Arial"/>
        </w:rPr>
        <w:t xml:space="preserve">, but should </w:t>
      </w:r>
      <w:r>
        <w:rPr>
          <w:rFonts w:cs="Arial"/>
        </w:rPr>
        <w:t>indicate this clearly, with rationales, in the bids</w:t>
      </w:r>
      <w:r w:rsidRPr="00CB47A7">
        <w:rPr>
          <w:rFonts w:cs="Arial"/>
        </w:rPr>
        <w:t xml:space="preserve">. </w:t>
      </w:r>
    </w:p>
    <w:p w14:paraId="57E32A88" w14:textId="77777777" w:rsidR="002F14C5" w:rsidRPr="00892E53" w:rsidRDefault="002F14C5" w:rsidP="00CE05D3">
      <w:pPr>
        <w:pStyle w:val="BalloonText"/>
        <w:rPr>
          <w:rFonts w:cs="Arial"/>
          <w:sz w:val="22"/>
          <w:szCs w:val="22"/>
        </w:rPr>
      </w:pPr>
    </w:p>
    <w:p w14:paraId="40E37DD8" w14:textId="77777777" w:rsidR="002F14C5" w:rsidRDefault="002F14C5" w:rsidP="00686C76">
      <w:pPr>
        <w:pStyle w:val="Numbered"/>
        <w:widowControl/>
        <w:rPr>
          <w:i/>
          <w:color w:val="000000"/>
        </w:rPr>
      </w:pPr>
      <w:r>
        <w:rPr>
          <w:b/>
          <w:color w:val="000000"/>
        </w:rPr>
        <w:t>3</w:t>
      </w:r>
      <w:r>
        <w:rPr>
          <w:b/>
          <w:color w:val="000000"/>
        </w:rPr>
        <w:tab/>
        <w:t>Methodology</w:t>
      </w:r>
    </w:p>
    <w:p w14:paraId="725FAA85" w14:textId="77777777" w:rsidR="002F14C5" w:rsidRPr="0063440F" w:rsidRDefault="002F14C5" w:rsidP="00686C76">
      <w:pPr>
        <w:widowControl/>
        <w:overflowPunct/>
        <w:autoSpaceDE/>
        <w:autoSpaceDN/>
        <w:adjustRightInd/>
        <w:ind w:left="720"/>
        <w:textAlignment w:val="auto"/>
        <w:rPr>
          <w:rFonts w:eastAsia="Calibri" w:cs="Arial"/>
        </w:rPr>
      </w:pPr>
      <w:r w:rsidRPr="0063440F">
        <w:rPr>
          <w:rFonts w:eastAsia="Calibri" w:cs="Arial"/>
        </w:rPr>
        <w:t xml:space="preserve">Bidders are asked to set out the proposed methodology for answering the research questions. </w:t>
      </w:r>
      <w:r w:rsidRPr="0063440F">
        <w:rPr>
          <w:rFonts w:eastAsia="Calibri" w:cs="Arial"/>
          <w:u w:val="single"/>
        </w:rPr>
        <w:t>We do not expect every bid to answer each research question in a similar depth of detail.</w:t>
      </w:r>
      <w:r w:rsidRPr="0063440F">
        <w:rPr>
          <w:rFonts w:eastAsia="Calibri" w:cs="Arial"/>
          <w:b/>
        </w:rPr>
        <w:t xml:space="preserve"> </w:t>
      </w:r>
    </w:p>
    <w:p w14:paraId="5B1DB576" w14:textId="77777777" w:rsidR="002F14C5" w:rsidRPr="0063440F" w:rsidRDefault="002F14C5" w:rsidP="00686C76">
      <w:pPr>
        <w:widowControl/>
        <w:overflowPunct/>
        <w:autoSpaceDE/>
        <w:autoSpaceDN/>
        <w:adjustRightInd/>
        <w:ind w:left="720"/>
        <w:textAlignment w:val="auto"/>
        <w:rPr>
          <w:rFonts w:eastAsia="Calibri" w:cs="Arial"/>
        </w:rPr>
      </w:pPr>
    </w:p>
    <w:p w14:paraId="1DC76788" w14:textId="77777777" w:rsidR="00CE05D3" w:rsidRPr="00572F0E" w:rsidRDefault="00CE05D3" w:rsidP="00CE05D3">
      <w:pPr>
        <w:pStyle w:val="NoSpacing"/>
        <w:ind w:left="720"/>
        <w:rPr>
          <w:rFonts w:ascii="Arial" w:hAnsi="Arial" w:cs="Arial"/>
        </w:rPr>
      </w:pPr>
      <w:r w:rsidRPr="00572F0E">
        <w:rPr>
          <w:rFonts w:ascii="Arial" w:hAnsi="Arial" w:cs="Arial"/>
        </w:rPr>
        <w:t xml:space="preserve">We envisage that this project </w:t>
      </w:r>
      <w:r>
        <w:rPr>
          <w:rFonts w:ascii="Arial" w:hAnsi="Arial" w:cs="Arial"/>
        </w:rPr>
        <w:t>could</w:t>
      </w:r>
      <w:r w:rsidRPr="00572F0E">
        <w:rPr>
          <w:rFonts w:ascii="Arial" w:hAnsi="Arial" w:cs="Arial"/>
        </w:rPr>
        <w:t xml:space="preserve"> </w:t>
      </w:r>
      <w:r>
        <w:rPr>
          <w:rFonts w:ascii="Arial" w:hAnsi="Arial" w:cs="Arial"/>
        </w:rPr>
        <w:t xml:space="preserve">be mixed method, starting with a literature review. It will then move into quantitative analysis, using datasets such as British Household Panel Survey or Understanding Society. We are happy to consider other datasets, if bidders feel there is a more appropriate way to answer the questions. Justification for datasets should be included in the bid, linking specific variables to questions where possible. If necessary, this project could include a qualitative survey element, though rationales would need to be clearly stated. </w:t>
      </w:r>
    </w:p>
    <w:p w14:paraId="05DB82F5" w14:textId="77777777" w:rsidR="00CE05D3" w:rsidRDefault="00CE05D3" w:rsidP="00CE05D3">
      <w:pPr>
        <w:spacing w:line="276" w:lineRule="auto"/>
        <w:ind w:left="720"/>
        <w:rPr>
          <w:rFonts w:cs="Arial"/>
          <w:b/>
        </w:rPr>
      </w:pPr>
    </w:p>
    <w:p w14:paraId="513BAD78" w14:textId="77777777" w:rsidR="00CE05D3" w:rsidRPr="004D0DF2" w:rsidRDefault="00CE05D3" w:rsidP="00CE05D3">
      <w:pPr>
        <w:spacing w:line="276" w:lineRule="auto"/>
        <w:ind w:left="720"/>
        <w:rPr>
          <w:rFonts w:cs="Arial"/>
        </w:rPr>
      </w:pPr>
      <w:r>
        <w:rPr>
          <w:rFonts w:cs="Arial"/>
        </w:rPr>
        <w:t xml:space="preserve">This research is intended to allow the Commission to publish several short reports on the topic, in addition to the full final report. </w:t>
      </w:r>
      <w:r>
        <w:rPr>
          <w:rFonts w:cs="Arial"/>
        </w:rPr>
        <w:br/>
      </w:r>
    </w:p>
    <w:p w14:paraId="797AC4D5" w14:textId="77777777" w:rsidR="002F14C5" w:rsidRPr="00F84384" w:rsidRDefault="002F14C5" w:rsidP="00686C76">
      <w:pPr>
        <w:ind w:left="720"/>
        <w:rPr>
          <w:rFonts w:eastAsia="Calibri" w:cs="Arial"/>
          <w:u w:val="single"/>
        </w:rPr>
      </w:pPr>
      <w:r w:rsidRPr="00F84384">
        <w:rPr>
          <w:rFonts w:eastAsia="Calibri" w:cs="Arial"/>
          <w:u w:val="single"/>
        </w:rPr>
        <w:t xml:space="preserve">Report drafting </w:t>
      </w:r>
    </w:p>
    <w:p w14:paraId="75DE2353" w14:textId="77777777" w:rsidR="002F14C5" w:rsidRPr="00F35218" w:rsidRDefault="002F14C5" w:rsidP="00686C76">
      <w:pPr>
        <w:widowControl/>
        <w:overflowPunct/>
        <w:autoSpaceDE/>
        <w:autoSpaceDN/>
        <w:adjustRightInd/>
        <w:ind w:left="720"/>
        <w:textAlignment w:val="auto"/>
        <w:rPr>
          <w:rFonts w:eastAsia="Calibri" w:cs="Arial"/>
        </w:rPr>
      </w:pPr>
    </w:p>
    <w:p w14:paraId="65FE2268" w14:textId="77777777" w:rsidR="00CE05D3" w:rsidRDefault="00CE05D3" w:rsidP="00CE05D3">
      <w:pPr>
        <w:spacing w:line="276" w:lineRule="auto"/>
        <w:ind w:left="720"/>
        <w:rPr>
          <w:rFonts w:cs="Arial"/>
        </w:rPr>
      </w:pPr>
      <w:r w:rsidRPr="00BB07D1">
        <w:rPr>
          <w:rFonts w:cs="Arial"/>
        </w:rPr>
        <w:t>The audience for this research will be UK policy makers</w:t>
      </w:r>
      <w:r>
        <w:rPr>
          <w:rFonts w:cs="Arial"/>
        </w:rPr>
        <w:t>, providers of adult education and skills, employers, stakeholders addressing social mobility issues, and the general public.</w:t>
      </w:r>
      <w:r w:rsidRPr="00BB07D1">
        <w:rPr>
          <w:rFonts w:cs="Arial"/>
        </w:rPr>
        <w:t xml:space="preserve"> </w:t>
      </w:r>
    </w:p>
    <w:p w14:paraId="617AE857" w14:textId="77777777" w:rsidR="00CE05D3" w:rsidRDefault="00CE05D3" w:rsidP="00CE05D3">
      <w:pPr>
        <w:spacing w:line="276" w:lineRule="auto"/>
        <w:ind w:left="720"/>
        <w:rPr>
          <w:rFonts w:cs="Arial"/>
        </w:rPr>
      </w:pPr>
    </w:p>
    <w:p w14:paraId="43303569" w14:textId="77777777" w:rsidR="00CE05D3" w:rsidRDefault="00CE05D3" w:rsidP="00CE05D3">
      <w:pPr>
        <w:spacing w:line="276" w:lineRule="auto"/>
        <w:ind w:left="720"/>
        <w:rPr>
          <w:rFonts w:cs="Arial"/>
        </w:rPr>
      </w:pPr>
      <w:r>
        <w:rPr>
          <w:rFonts w:cs="Arial"/>
        </w:rPr>
        <w:t xml:space="preserve">In addition to the final report, we would ideally publish a few short briefings on specific issues – including a separate report on any primary research conducted and/or a briefing on key findings – as well as the full final report. We hope this will generate media coverage of key issues and increase the public’s understanding of social mobility. </w:t>
      </w:r>
    </w:p>
    <w:p w14:paraId="2B7DD4E3" w14:textId="77777777" w:rsidR="00CE05D3" w:rsidRDefault="00CE05D3" w:rsidP="00CE05D3">
      <w:pPr>
        <w:spacing w:line="276" w:lineRule="auto"/>
        <w:ind w:left="720"/>
        <w:rPr>
          <w:rFonts w:cs="Arial"/>
        </w:rPr>
      </w:pPr>
    </w:p>
    <w:p w14:paraId="155CD6D8" w14:textId="77777777" w:rsidR="00CE05D3" w:rsidRDefault="00CE05D3" w:rsidP="00CE05D3">
      <w:pPr>
        <w:spacing w:line="276" w:lineRule="auto"/>
        <w:ind w:left="720"/>
        <w:rPr>
          <w:rFonts w:cs="Arial"/>
        </w:rPr>
      </w:pPr>
      <w:r>
        <w:rPr>
          <w:rFonts w:cs="Arial"/>
        </w:rPr>
        <w:t xml:space="preserve">The final report should include full details of the methodology, data and analysis, and recommendations for policy changes. </w:t>
      </w:r>
      <w:r>
        <w:rPr>
          <w:rFonts w:cs="Arial"/>
          <w:u w:val="single"/>
        </w:rPr>
        <w:t>It is essential that proposed solutions to address any socio-economic gaps are included in the report.</w:t>
      </w:r>
    </w:p>
    <w:p w14:paraId="25AACFCC" w14:textId="77777777" w:rsidR="00CE05D3" w:rsidRPr="00BB07D1" w:rsidRDefault="00CE05D3" w:rsidP="00CE05D3">
      <w:pPr>
        <w:spacing w:line="276" w:lineRule="auto"/>
        <w:ind w:left="720"/>
        <w:rPr>
          <w:rFonts w:cs="Arial"/>
        </w:rPr>
      </w:pPr>
    </w:p>
    <w:p w14:paraId="24F288D9" w14:textId="77777777" w:rsidR="00CE05D3" w:rsidRPr="00BB07D1" w:rsidRDefault="00CE05D3" w:rsidP="00CE05D3">
      <w:pPr>
        <w:spacing w:line="276" w:lineRule="auto"/>
        <w:ind w:left="720"/>
        <w:rPr>
          <w:rFonts w:cs="Arial"/>
          <w:i/>
        </w:rPr>
      </w:pPr>
      <w:r>
        <w:rPr>
          <w:rFonts w:cs="Arial"/>
        </w:rPr>
        <w:t>All reports will</w:t>
      </w:r>
      <w:r w:rsidRPr="00BB07D1">
        <w:rPr>
          <w:rFonts w:cs="Arial"/>
        </w:rPr>
        <w:t xml:space="preserve"> be published on the Social Mobility Commission gov.uk website. This research will support the work of the Social Mobility Commission in developing our analysis and policy recommendations. </w:t>
      </w:r>
    </w:p>
    <w:p w14:paraId="0778A81B" w14:textId="77777777" w:rsidR="002F14C5" w:rsidRDefault="002F14C5" w:rsidP="00686C76">
      <w:pPr>
        <w:pStyle w:val="Numbered"/>
        <w:widowControl/>
        <w:ind w:left="720" w:firstLine="720"/>
        <w:rPr>
          <w:rFonts w:cs="Arial"/>
        </w:rPr>
      </w:pPr>
    </w:p>
    <w:p w14:paraId="3AD5BAEC" w14:textId="77777777" w:rsidR="002F14C5" w:rsidRDefault="002F14C5" w:rsidP="00686C76">
      <w:pPr>
        <w:pStyle w:val="Numbered"/>
        <w:widowControl/>
        <w:rPr>
          <w:i/>
          <w:color w:val="000000"/>
        </w:rPr>
      </w:pPr>
      <w:r>
        <w:rPr>
          <w:b/>
          <w:color w:val="000000"/>
        </w:rPr>
        <w:t>4</w:t>
      </w:r>
      <w:r>
        <w:rPr>
          <w:b/>
          <w:color w:val="000000"/>
        </w:rPr>
        <w:tab/>
        <w:t>Management Information</w:t>
      </w:r>
    </w:p>
    <w:p w14:paraId="3470C288" w14:textId="77777777" w:rsidR="002F14C5" w:rsidRDefault="002F14C5" w:rsidP="00686C76">
      <w:pPr>
        <w:pStyle w:val="Numbered"/>
        <w:widowControl/>
        <w:ind w:left="720" w:hanging="720"/>
        <w:rPr>
          <w:color w:val="000000"/>
        </w:rPr>
      </w:pPr>
      <w:r>
        <w:rPr>
          <w:b/>
          <w:color w:val="000000"/>
        </w:rPr>
        <w:tab/>
      </w:r>
      <w:r>
        <w:rPr>
          <w:color w:val="000000"/>
        </w:rPr>
        <w:t>The successful tenderer will be asked to provide management information to meet the needs of the Commission.  The minimum information needs are:</w:t>
      </w:r>
    </w:p>
    <w:p w14:paraId="64E3AA3B" w14:textId="77777777" w:rsidR="002F14C5" w:rsidRDefault="002F14C5" w:rsidP="00EA4286">
      <w:pPr>
        <w:pStyle w:val="Numbered"/>
        <w:widowControl/>
        <w:numPr>
          <w:ilvl w:val="0"/>
          <w:numId w:val="39"/>
        </w:numPr>
        <w:rPr>
          <w:color w:val="000000"/>
        </w:rPr>
      </w:pPr>
      <w:r>
        <w:rPr>
          <w:color w:val="000000"/>
        </w:rPr>
        <w:t>Three in-person meetings:</w:t>
      </w:r>
    </w:p>
    <w:p w14:paraId="0D067693" w14:textId="77777777" w:rsidR="002F14C5" w:rsidRDefault="002F14C5" w:rsidP="00EA4286">
      <w:pPr>
        <w:pStyle w:val="Numbered"/>
        <w:widowControl/>
        <w:numPr>
          <w:ilvl w:val="1"/>
          <w:numId w:val="39"/>
        </w:numPr>
        <w:rPr>
          <w:color w:val="000000"/>
        </w:rPr>
      </w:pPr>
      <w:r>
        <w:rPr>
          <w:color w:val="000000"/>
        </w:rPr>
        <w:t>Kick-off meeting at the start of the project (no documentation required)</w:t>
      </w:r>
    </w:p>
    <w:p w14:paraId="4BFF9069" w14:textId="77777777" w:rsidR="002F14C5" w:rsidRDefault="002F14C5" w:rsidP="00EA4286">
      <w:pPr>
        <w:pStyle w:val="Numbered"/>
        <w:widowControl/>
        <w:numPr>
          <w:ilvl w:val="1"/>
          <w:numId w:val="39"/>
        </w:numPr>
        <w:rPr>
          <w:color w:val="000000"/>
        </w:rPr>
      </w:pPr>
      <w:r>
        <w:rPr>
          <w:color w:val="000000"/>
        </w:rPr>
        <w:t>Mid-point review (requires a mid-point report)</w:t>
      </w:r>
      <w:r w:rsidR="00CE05D3">
        <w:rPr>
          <w:color w:val="000000"/>
        </w:rPr>
        <w:t xml:space="preserve"> </w:t>
      </w:r>
      <w:r w:rsidR="00CE05D3">
        <w:rPr>
          <w:rFonts w:cs="Arial"/>
        </w:rPr>
        <w:t>October 2019 to potentially feed into the Commission’s annual State of the Nation report</w:t>
      </w:r>
    </w:p>
    <w:p w14:paraId="2653F007" w14:textId="77777777" w:rsidR="002F14C5" w:rsidRDefault="002F14C5" w:rsidP="00EA4286">
      <w:pPr>
        <w:pStyle w:val="Numbered"/>
        <w:widowControl/>
        <w:numPr>
          <w:ilvl w:val="1"/>
          <w:numId w:val="39"/>
        </w:numPr>
        <w:rPr>
          <w:color w:val="000000"/>
        </w:rPr>
      </w:pPr>
      <w:r>
        <w:rPr>
          <w:color w:val="000000"/>
        </w:rPr>
        <w:t>Final report (requires final reports)</w:t>
      </w:r>
      <w:r w:rsidR="00CE05D3">
        <w:rPr>
          <w:color w:val="000000"/>
        </w:rPr>
        <w:t xml:space="preserve"> by </w:t>
      </w:r>
      <w:r w:rsidR="00CE05D3" w:rsidRPr="005E0699">
        <w:rPr>
          <w:rFonts w:cs="Arial"/>
        </w:rPr>
        <w:t>the second week of March 20</w:t>
      </w:r>
      <w:r w:rsidR="00CE05D3">
        <w:rPr>
          <w:rFonts w:cs="Arial"/>
        </w:rPr>
        <w:t>20</w:t>
      </w:r>
    </w:p>
    <w:p w14:paraId="7D2BF4E3" w14:textId="77777777" w:rsidR="002F14C5" w:rsidRDefault="002F14C5" w:rsidP="00EA4286">
      <w:pPr>
        <w:pStyle w:val="Numbered"/>
        <w:widowControl/>
        <w:numPr>
          <w:ilvl w:val="0"/>
          <w:numId w:val="39"/>
        </w:numPr>
        <w:rPr>
          <w:color w:val="000000"/>
        </w:rPr>
      </w:pPr>
      <w:r>
        <w:rPr>
          <w:color w:val="000000"/>
        </w:rPr>
        <w:t>Informal check-in meetings by phone or Skype every other month, in between the in-person meetings.</w:t>
      </w:r>
    </w:p>
    <w:p w14:paraId="1A5E9916" w14:textId="77777777" w:rsidR="000A26DF" w:rsidRDefault="000A26DF" w:rsidP="00EA4286">
      <w:pPr>
        <w:pStyle w:val="Numbered"/>
        <w:widowControl/>
        <w:numPr>
          <w:ilvl w:val="0"/>
          <w:numId w:val="39"/>
        </w:numPr>
        <w:rPr>
          <w:color w:val="000000"/>
        </w:rPr>
      </w:pPr>
      <w:r>
        <w:rPr>
          <w:color w:val="000000"/>
        </w:rPr>
        <w:t>A meeting(s), either in person or via phone or Skype to agree the structure and content of reports prior to their being drafted.</w:t>
      </w:r>
    </w:p>
    <w:p w14:paraId="3A2394C5" w14:textId="77777777" w:rsidR="002F14C5" w:rsidRDefault="002F14C5" w:rsidP="00EA4286">
      <w:pPr>
        <w:pStyle w:val="Numbered"/>
        <w:widowControl/>
        <w:numPr>
          <w:ilvl w:val="0"/>
          <w:numId w:val="39"/>
        </w:numPr>
        <w:rPr>
          <w:color w:val="000000"/>
        </w:rPr>
      </w:pPr>
      <w:r>
        <w:rPr>
          <w:color w:val="000000"/>
        </w:rPr>
        <w:t>Communication as needed, when barriers and challenges arise.</w:t>
      </w:r>
    </w:p>
    <w:p w14:paraId="020F10C1" w14:textId="77777777" w:rsidR="002F14C5" w:rsidRDefault="002F14C5" w:rsidP="00686C76">
      <w:pPr>
        <w:pStyle w:val="Numbered"/>
        <w:widowControl/>
        <w:rPr>
          <w:color w:val="000000"/>
        </w:rPr>
      </w:pPr>
      <w:r>
        <w:rPr>
          <w:b/>
          <w:color w:val="000000"/>
        </w:rPr>
        <w:t>5</w:t>
      </w:r>
      <w:r>
        <w:rPr>
          <w:b/>
          <w:color w:val="000000"/>
        </w:rPr>
        <w:tab/>
        <w:t>Security of Data</w:t>
      </w:r>
    </w:p>
    <w:p w14:paraId="17025EA8" w14:textId="77777777" w:rsidR="002F14C5" w:rsidRPr="00B37B0E" w:rsidRDefault="002F14C5" w:rsidP="00686C76">
      <w:pPr>
        <w:pStyle w:val="Numbered"/>
        <w:widowControl/>
        <w:ind w:left="720"/>
        <w:rPr>
          <w:color w:val="000000"/>
        </w:rPr>
      </w:pPr>
      <w:r w:rsidRPr="00B37B0E">
        <w:rPr>
          <w:color w:val="000000"/>
        </w:rPr>
        <w:t>Please submit a security plan that explains how you will ensure that departmental or personal data will be protected.</w:t>
      </w:r>
    </w:p>
    <w:p w14:paraId="50F622C2" w14:textId="77777777" w:rsidR="002F14C5" w:rsidRDefault="002F14C5" w:rsidP="00686C76">
      <w:pPr>
        <w:pStyle w:val="Numbered"/>
        <w:widowControl/>
        <w:rPr>
          <w:b/>
          <w:color w:val="000000"/>
        </w:rPr>
      </w:pPr>
      <w:r>
        <w:rPr>
          <w:b/>
          <w:color w:val="000000"/>
        </w:rPr>
        <w:t>6</w:t>
      </w:r>
      <w:r>
        <w:rPr>
          <w:b/>
          <w:color w:val="000000"/>
        </w:rPr>
        <w:tab/>
        <w:t>Risk Management</w:t>
      </w:r>
    </w:p>
    <w:p w14:paraId="0DA04126" w14:textId="77777777" w:rsidR="002F14C5" w:rsidRDefault="002F14C5" w:rsidP="00686C76">
      <w:pPr>
        <w:pStyle w:val="Numbered"/>
        <w:widowControl/>
        <w:ind w:left="720"/>
        <w:rPr>
          <w:rFonts w:cs="Arial"/>
          <w:color w:val="000000"/>
          <w:lang w:val="en-US"/>
        </w:rPr>
      </w:pPr>
      <w:r w:rsidRPr="00666F51">
        <w:rPr>
          <w:rFonts w:cs="Arial"/>
          <w:color w:val="000000"/>
          <w:lang w:val="en-US"/>
        </w:rPr>
        <w:t xml:space="preserve">Tenderers should submit as part of their proposal a one-page summary on what they believe will be the key risks to delivering the project and what contingencies they will put in place to deal with them. </w:t>
      </w:r>
    </w:p>
    <w:p w14:paraId="57F00C05" w14:textId="77777777" w:rsidR="002F14C5" w:rsidRDefault="002F14C5" w:rsidP="00686C76">
      <w:pPr>
        <w:pStyle w:val="Numbered"/>
        <w:widowControl/>
        <w:ind w:left="720"/>
        <w:rPr>
          <w:rFonts w:cs="Arial"/>
          <w:lang w:val="en-US"/>
        </w:rPr>
      </w:pPr>
      <w:r w:rsidRPr="00666F51">
        <w:rPr>
          <w:rFonts w:cs="Arial"/>
          <w:lang w:val="en-US"/>
        </w:rPr>
        <w:t>A risk is any factor that may delay, disrupt or prevent the full achievement of a project objective. All risks should be identified. For each risk, the one-page summary should assess its likelihood (high, medium or low) and specify its possible impact on the project objectives (again rated high, medium or low). The assessment should also identify appropriate actions that would reduce or eliminate each risk or its impact.</w:t>
      </w:r>
    </w:p>
    <w:p w14:paraId="2F0A0504" w14:textId="77777777" w:rsidR="002F14C5" w:rsidRPr="0033021D" w:rsidRDefault="002F14C5" w:rsidP="00686C76">
      <w:pPr>
        <w:pStyle w:val="Numbered"/>
        <w:widowControl/>
        <w:ind w:left="720"/>
        <w:rPr>
          <w:color w:val="000000"/>
        </w:rPr>
      </w:pPr>
      <w:r w:rsidRPr="00666F51">
        <w:rPr>
          <w:rFonts w:cs="Arial"/>
          <w:lang w:val="en-US"/>
        </w:rPr>
        <w:t xml:space="preserve">Typical areas of risk for a research project might include staffing, resource constraints, technical constraints, data access, timing, management and operational issues, but this is not an exhaustive list. </w:t>
      </w:r>
    </w:p>
    <w:p w14:paraId="2E6F4531" w14:textId="77777777" w:rsidR="002F14C5" w:rsidRDefault="002F14C5" w:rsidP="00686C76">
      <w:pPr>
        <w:pStyle w:val="Numbered"/>
        <w:widowControl/>
        <w:rPr>
          <w:b/>
          <w:color w:val="000000"/>
        </w:rPr>
      </w:pPr>
      <w:r>
        <w:rPr>
          <w:b/>
          <w:color w:val="000000"/>
        </w:rPr>
        <w:lastRenderedPageBreak/>
        <w:t>6</w:t>
      </w:r>
      <w:r>
        <w:rPr>
          <w:b/>
          <w:color w:val="000000"/>
        </w:rPr>
        <w:tab/>
        <w:t xml:space="preserve">Dependencies and </w:t>
      </w:r>
      <w:proofErr w:type="spellStart"/>
      <w:r>
        <w:rPr>
          <w:b/>
          <w:color w:val="000000"/>
        </w:rPr>
        <w:t>Liason</w:t>
      </w:r>
      <w:proofErr w:type="spellEnd"/>
    </w:p>
    <w:p w14:paraId="7DBE415D" w14:textId="77777777" w:rsidR="002F14C5" w:rsidRDefault="002F14C5" w:rsidP="00686C76">
      <w:pPr>
        <w:pStyle w:val="Numbered"/>
        <w:widowControl/>
        <w:ind w:left="720"/>
        <w:rPr>
          <w:rFonts w:cs="Arial"/>
          <w:lang w:val="en-US"/>
        </w:rPr>
      </w:pPr>
      <w:r>
        <w:rPr>
          <w:rFonts w:cs="Arial"/>
          <w:lang w:val="en-US"/>
        </w:rPr>
        <w:t>Tenderers should indicate if they</w:t>
      </w:r>
      <w:r w:rsidRPr="00666F51">
        <w:rPr>
          <w:rFonts w:cs="Arial"/>
          <w:lang w:val="en-US"/>
        </w:rPr>
        <w:t xml:space="preserve"> are reliant on any third party with any information, data or undertaking any of the work specified.</w:t>
      </w:r>
    </w:p>
    <w:p w14:paraId="06DE8174" w14:textId="77777777" w:rsidR="002F14C5" w:rsidRDefault="002F14C5" w:rsidP="00686C76">
      <w:pPr>
        <w:pStyle w:val="Numbered"/>
        <w:widowControl/>
        <w:rPr>
          <w:b/>
          <w:color w:val="000000"/>
        </w:rPr>
      </w:pPr>
      <w:r>
        <w:rPr>
          <w:b/>
          <w:color w:val="000000"/>
        </w:rPr>
        <w:t>7</w:t>
      </w:r>
      <w:r>
        <w:rPr>
          <w:b/>
          <w:color w:val="000000"/>
        </w:rPr>
        <w:tab/>
        <w:t>Monitoring Techniques</w:t>
      </w:r>
    </w:p>
    <w:p w14:paraId="2118EB93" w14:textId="77777777" w:rsidR="002F14C5" w:rsidRPr="00FD6A0B" w:rsidRDefault="002F14C5" w:rsidP="00686C76">
      <w:pPr>
        <w:pStyle w:val="Numbered"/>
        <w:widowControl/>
        <w:ind w:left="720"/>
        <w:rPr>
          <w:b/>
          <w:color w:val="000000"/>
        </w:rPr>
      </w:pPr>
      <w:r>
        <w:t xml:space="preserve">Tenderers </w:t>
      </w:r>
      <w:r w:rsidRPr="00666F51">
        <w:rPr>
          <w:rFonts w:cs="Arial"/>
          <w:lang w:val="en-US"/>
        </w:rPr>
        <w:t>should indicate how you will monitor the project to ensure it is delivered in terms of quality, timeliness and cost.</w:t>
      </w:r>
    </w:p>
    <w:p w14:paraId="5412353A" w14:textId="77777777" w:rsidR="002F14C5" w:rsidRPr="00FD6A0B" w:rsidRDefault="002F14C5" w:rsidP="00686C76">
      <w:pPr>
        <w:pStyle w:val="Numbered"/>
        <w:widowControl/>
        <w:rPr>
          <w:b/>
        </w:rPr>
      </w:pPr>
      <w:r w:rsidRPr="00FD6A0B">
        <w:rPr>
          <w:b/>
        </w:rPr>
        <w:t>8</w:t>
      </w:r>
      <w:r w:rsidRPr="00FD6A0B">
        <w:rPr>
          <w:b/>
        </w:rPr>
        <w:tab/>
        <w:t>Data Collection</w:t>
      </w:r>
    </w:p>
    <w:p w14:paraId="5990CF34" w14:textId="77777777" w:rsidR="002F14C5" w:rsidRPr="00666F51" w:rsidRDefault="002F14C5" w:rsidP="00686C76">
      <w:pPr>
        <w:ind w:left="720"/>
        <w:rPr>
          <w:rFonts w:cs="Arial"/>
          <w:lang w:val="en-US"/>
        </w:rPr>
      </w:pPr>
      <w:r w:rsidRPr="00666F51">
        <w:rPr>
          <w:rStyle w:val="Emphasis"/>
          <w:rFonts w:cs="Arial"/>
          <w:i w:val="0"/>
        </w:rPr>
        <w:t xml:space="preserve">Researchers will be expected to clear any data collection tools with the </w:t>
      </w:r>
      <w:r>
        <w:rPr>
          <w:rStyle w:val="Emphasis"/>
          <w:rFonts w:cs="Arial"/>
          <w:i w:val="0"/>
        </w:rPr>
        <w:t>Commission</w:t>
      </w:r>
      <w:r w:rsidRPr="00666F51">
        <w:rPr>
          <w:rStyle w:val="Emphasis"/>
          <w:rFonts w:cs="Arial"/>
          <w:i w:val="0"/>
        </w:rPr>
        <w:t xml:space="preserve"> before engaging in field work </w:t>
      </w:r>
      <w:r w:rsidRPr="00666F51">
        <w:rPr>
          <w:rFonts w:cs="Arial"/>
          <w:lang w:val="en-US"/>
        </w:rPr>
        <w:t xml:space="preserve">and ensure that in all cases the respondent documentation and/or interviewer briefing notes clearly state that the data is being collected for and on behalf of the </w:t>
      </w:r>
      <w:r>
        <w:rPr>
          <w:rFonts w:cs="Arial"/>
          <w:lang w:val="en-US"/>
        </w:rPr>
        <w:t>Commission</w:t>
      </w:r>
      <w:r w:rsidRPr="00666F51">
        <w:rPr>
          <w:rFonts w:cs="Arial"/>
          <w:lang w:val="en-US"/>
        </w:rPr>
        <w:t xml:space="preserve"> and that no reference is made, implied or otherwise, to the data being used solely by or available only to the Contractor. </w:t>
      </w:r>
    </w:p>
    <w:p w14:paraId="2369F5A1" w14:textId="77777777" w:rsidR="002F14C5" w:rsidRPr="00666F51" w:rsidRDefault="002F14C5" w:rsidP="00686C76">
      <w:pPr>
        <w:rPr>
          <w:rFonts w:cs="Arial"/>
          <w:lang w:val="en-US"/>
        </w:rPr>
      </w:pPr>
    </w:p>
    <w:p w14:paraId="3300DF01" w14:textId="77777777" w:rsidR="002F14C5" w:rsidRPr="00666F51" w:rsidRDefault="002F14C5" w:rsidP="00686C76">
      <w:pPr>
        <w:ind w:left="720"/>
        <w:rPr>
          <w:rFonts w:cs="Arial"/>
        </w:rPr>
      </w:pPr>
      <w:r w:rsidRPr="00666F51">
        <w:rPr>
          <w:rFonts w:cs="Arial"/>
          <w:lang w:val="en-US"/>
        </w:rPr>
        <w:t>The respondent documentation and/or interviewer shall ensure that the respondent clearly understands (before they give their consent to be interviewed) the purpose of the interview, that the information they provide will only be used for research purposes and, in the case of interviews (telephone or face-to-face), that they have the right to withdraw from the interview at any time.</w:t>
      </w:r>
    </w:p>
    <w:p w14:paraId="43780813" w14:textId="77777777" w:rsidR="002F14C5" w:rsidRPr="00666F51" w:rsidRDefault="002F14C5" w:rsidP="00686C76">
      <w:pPr>
        <w:rPr>
          <w:rFonts w:cs="Arial"/>
        </w:rPr>
      </w:pPr>
    </w:p>
    <w:p w14:paraId="6EDA8B27" w14:textId="77777777" w:rsidR="002F14C5" w:rsidRPr="00666F51" w:rsidRDefault="005D7D23" w:rsidP="00686C76">
      <w:pPr>
        <w:ind w:left="720"/>
        <w:rPr>
          <w:rFonts w:cs="Arial"/>
        </w:rPr>
      </w:pPr>
      <w:r>
        <w:rPr>
          <w:rStyle w:val="Emphasis"/>
          <w:rFonts w:cs="Arial"/>
          <w:i w:val="0"/>
        </w:rPr>
        <w:t>SMC</w:t>
      </w:r>
      <w:r w:rsidR="002F14C5" w:rsidRPr="00666F51">
        <w:rPr>
          <w:rStyle w:val="Emphasis"/>
          <w:rFonts w:cs="Arial"/>
          <w:i w:val="0"/>
        </w:rPr>
        <w:t xml:space="preserve"> seeks to minimise the burdens on schools and Local Authorities (LAs) taking part in surveys. It is therefore important that tenders should set out how the proposed methodology will minimise the burden on schools and/or LAs and a justification for the proposed sample size.</w:t>
      </w:r>
    </w:p>
    <w:p w14:paraId="51195798" w14:textId="77777777" w:rsidR="002F14C5" w:rsidRPr="00666F51" w:rsidRDefault="002F14C5" w:rsidP="00686C76">
      <w:pPr>
        <w:rPr>
          <w:rFonts w:cs="Arial"/>
        </w:rPr>
      </w:pPr>
    </w:p>
    <w:p w14:paraId="544248F2" w14:textId="77777777" w:rsidR="002F14C5" w:rsidRPr="00666F51" w:rsidRDefault="002F14C5" w:rsidP="00686C76">
      <w:pPr>
        <w:ind w:left="720"/>
        <w:rPr>
          <w:rStyle w:val="Emphasis"/>
          <w:rFonts w:cs="Arial"/>
          <w:i w:val="0"/>
        </w:rPr>
      </w:pPr>
      <w:r w:rsidRPr="00666F51">
        <w:rPr>
          <w:rStyle w:val="Emphasis"/>
          <w:rFonts w:cs="Arial"/>
          <w:i w:val="0"/>
        </w:rPr>
        <w:t xml:space="preserve">When assessing the relative merits of data collection </w:t>
      </w:r>
      <w:proofErr w:type="gramStart"/>
      <w:r w:rsidRPr="00666F51">
        <w:rPr>
          <w:rStyle w:val="Emphasis"/>
          <w:rFonts w:cs="Arial"/>
          <w:i w:val="0"/>
        </w:rPr>
        <w:t>methods</w:t>
      </w:r>
      <w:proofErr w:type="gramEnd"/>
      <w:r w:rsidRPr="00666F51">
        <w:rPr>
          <w:rStyle w:val="Emphasis"/>
          <w:rFonts w:cs="Arial"/>
          <w:i w:val="0"/>
        </w:rPr>
        <w:t xml:space="preserve"> the following issues should be considered:</w:t>
      </w:r>
      <w:r w:rsidRPr="00666F51">
        <w:rPr>
          <w:rStyle w:val="Emphasis"/>
          <w:rFonts w:cs="Arial"/>
          <w:i w:val="0"/>
        </w:rPr>
        <w:br/>
      </w:r>
    </w:p>
    <w:p w14:paraId="0DF546E1" w14:textId="77777777" w:rsidR="002F14C5" w:rsidRPr="00666F51" w:rsidRDefault="002F14C5" w:rsidP="00EA4286">
      <w:pPr>
        <w:pStyle w:val="DfESBullets"/>
        <w:numPr>
          <w:ilvl w:val="0"/>
          <w:numId w:val="26"/>
        </w:numPr>
        <w:tabs>
          <w:tab w:val="clear" w:pos="360"/>
          <w:tab w:val="left" w:pos="720"/>
          <w:tab w:val="left" w:pos="990"/>
          <w:tab w:val="num" w:pos="1080"/>
          <w:tab w:val="num" w:pos="1440"/>
          <w:tab w:val="num" w:pos="2268"/>
        </w:tabs>
        <w:rPr>
          <w:rStyle w:val="Emphasis"/>
          <w:i w:val="0"/>
          <w:iCs w:val="0"/>
        </w:rPr>
      </w:pPr>
      <w:r w:rsidRPr="00666F51">
        <w:rPr>
          <w:rStyle w:val="Emphasis"/>
          <w:i w:val="0"/>
        </w:rPr>
        <w:t>only data essential to the project shall be collected;</w:t>
      </w:r>
    </w:p>
    <w:p w14:paraId="15ACECD9" w14:textId="77777777" w:rsidR="002F14C5" w:rsidRPr="00666F51" w:rsidRDefault="002F14C5" w:rsidP="00EA4286">
      <w:pPr>
        <w:pStyle w:val="DfESBullets"/>
        <w:numPr>
          <w:ilvl w:val="0"/>
          <w:numId w:val="26"/>
        </w:numPr>
        <w:tabs>
          <w:tab w:val="clear" w:pos="360"/>
          <w:tab w:val="left" w:pos="720"/>
          <w:tab w:val="left" w:pos="990"/>
          <w:tab w:val="num" w:pos="1080"/>
          <w:tab w:val="num" w:pos="1440"/>
          <w:tab w:val="num" w:pos="2268"/>
        </w:tabs>
        <w:rPr>
          <w:rStyle w:val="Emphasis"/>
          <w:i w:val="0"/>
          <w:iCs w:val="0"/>
        </w:rPr>
      </w:pPr>
      <w:r w:rsidRPr="00666F51">
        <w:rPr>
          <w:rStyle w:val="Emphasis"/>
          <w:i w:val="0"/>
        </w:rPr>
        <w:t>data should be collected electronically where appropriate and where schools and/or LAs prefer this;</w:t>
      </w:r>
    </w:p>
    <w:p w14:paraId="260702C5" w14:textId="77777777" w:rsidR="002F14C5" w:rsidRPr="00666F51" w:rsidRDefault="002F14C5" w:rsidP="00EA4286">
      <w:pPr>
        <w:pStyle w:val="DfESBullets"/>
        <w:numPr>
          <w:ilvl w:val="0"/>
          <w:numId w:val="26"/>
        </w:numPr>
        <w:tabs>
          <w:tab w:val="clear" w:pos="360"/>
          <w:tab w:val="left" w:pos="720"/>
          <w:tab w:val="left" w:pos="990"/>
          <w:tab w:val="num" w:pos="1080"/>
          <w:tab w:val="num" w:pos="1440"/>
          <w:tab w:val="num" w:pos="2268"/>
        </w:tabs>
        <w:rPr>
          <w:iCs/>
        </w:rPr>
      </w:pPr>
      <w:r w:rsidRPr="00666F51">
        <w:rPr>
          <w:rStyle w:val="Emphasis"/>
          <w:i w:val="0"/>
        </w:rPr>
        <w:t>questionnaires should be pre-populated wherever possible and appropriate;</w:t>
      </w:r>
      <w:r w:rsidRPr="00666F51">
        <w:t xml:space="preserve"> </w:t>
      </w:r>
    </w:p>
    <w:p w14:paraId="76021368" w14:textId="77777777" w:rsidR="002F14C5" w:rsidRPr="00666F51" w:rsidRDefault="002F14C5" w:rsidP="00EA4286">
      <w:pPr>
        <w:pStyle w:val="DfESBullets"/>
        <w:numPr>
          <w:ilvl w:val="0"/>
          <w:numId w:val="26"/>
        </w:numPr>
        <w:tabs>
          <w:tab w:val="clear" w:pos="360"/>
          <w:tab w:val="left" w:pos="720"/>
          <w:tab w:val="left" w:pos="990"/>
          <w:tab w:val="num" w:pos="1080"/>
          <w:tab w:val="num" w:pos="1440"/>
          <w:tab w:val="num" w:pos="2268"/>
        </w:tabs>
        <w:rPr>
          <w:rStyle w:val="Emphasis"/>
          <w:i w:val="0"/>
        </w:rPr>
      </w:pPr>
      <w:r w:rsidRPr="00666F51">
        <w:rPr>
          <w:rStyle w:val="Emphasis"/>
          <w:i w:val="0"/>
        </w:rPr>
        <w:t>schools must be given at least four working weeks to respond to the exercise from the date they receive the request; and</w:t>
      </w:r>
    </w:p>
    <w:p w14:paraId="48AF86CD" w14:textId="77777777" w:rsidR="002F14C5" w:rsidRPr="00666F51" w:rsidRDefault="002F14C5" w:rsidP="00EA4286">
      <w:pPr>
        <w:pStyle w:val="DfESBullets"/>
        <w:numPr>
          <w:ilvl w:val="0"/>
          <w:numId w:val="26"/>
        </w:numPr>
        <w:tabs>
          <w:tab w:val="clear" w:pos="360"/>
          <w:tab w:val="left" w:pos="720"/>
          <w:tab w:val="left" w:pos="990"/>
          <w:tab w:val="num" w:pos="1080"/>
          <w:tab w:val="num" w:pos="1440"/>
          <w:tab w:val="num" w:pos="2268"/>
        </w:tabs>
        <w:rPr>
          <w:rStyle w:val="Emphasis"/>
          <w:i w:val="0"/>
          <w:iCs w:val="0"/>
        </w:rPr>
      </w:pPr>
      <w:r w:rsidRPr="00666F51">
        <w:rPr>
          <w:rStyle w:val="Emphasis"/>
          <w:i w:val="0"/>
        </w:rPr>
        <w:t xml:space="preserve">LAs should receive at least two weeks, unless they need to approach schools in which </w:t>
      </w:r>
      <w:proofErr w:type="gramStart"/>
      <w:r w:rsidRPr="00666F51">
        <w:rPr>
          <w:rStyle w:val="Emphasis"/>
          <w:i w:val="0"/>
        </w:rPr>
        <w:t>case</w:t>
      </w:r>
      <w:proofErr w:type="gramEnd"/>
      <w:r w:rsidRPr="00666F51">
        <w:rPr>
          <w:rStyle w:val="Emphasis"/>
          <w:i w:val="0"/>
        </w:rPr>
        <w:t xml:space="preserve"> they too should receive 4 weeks to respond.</w:t>
      </w:r>
    </w:p>
    <w:p w14:paraId="10D3306E" w14:textId="77777777" w:rsidR="002F14C5" w:rsidRPr="00666F51" w:rsidRDefault="002F14C5" w:rsidP="002F14C5">
      <w:pPr>
        <w:ind w:left="720"/>
        <w:rPr>
          <w:rFonts w:cs="Arial"/>
          <w:lang w:val="en-US"/>
        </w:rPr>
      </w:pPr>
      <w:r w:rsidRPr="00666F51">
        <w:rPr>
          <w:rFonts w:cs="Arial"/>
          <w:lang w:val="en-US"/>
        </w:rPr>
        <w:t xml:space="preserve">The Contractor shall clear any data collection tools with the </w:t>
      </w:r>
      <w:r>
        <w:rPr>
          <w:rFonts w:cs="Arial"/>
          <w:lang w:val="en-US"/>
        </w:rPr>
        <w:t>Commission</w:t>
      </w:r>
      <w:r w:rsidRPr="00666F51">
        <w:rPr>
          <w:rFonts w:cs="Arial"/>
          <w:lang w:val="en-US"/>
        </w:rPr>
        <w:t xml:space="preserve"> before engaging in field work.</w:t>
      </w:r>
    </w:p>
    <w:p w14:paraId="10F5AA28" w14:textId="77777777" w:rsidR="002F14C5" w:rsidRPr="00666F51" w:rsidRDefault="002F14C5" w:rsidP="002F14C5">
      <w:pPr>
        <w:rPr>
          <w:rFonts w:cs="Arial"/>
          <w:lang w:val="en-US"/>
        </w:rPr>
      </w:pPr>
    </w:p>
    <w:p w14:paraId="3B8D6ADE" w14:textId="77777777" w:rsidR="002F14C5" w:rsidRDefault="002F14C5" w:rsidP="002F14C5">
      <w:pPr>
        <w:pStyle w:val="BodyText3"/>
        <w:spacing w:after="240"/>
        <w:ind w:left="720"/>
        <w:rPr>
          <w:rFonts w:cs="Arial"/>
          <w:sz w:val="22"/>
          <w:szCs w:val="22"/>
          <w:lang w:val="en-US"/>
        </w:rPr>
      </w:pPr>
      <w:r w:rsidRPr="00FD6A0B">
        <w:rPr>
          <w:rFonts w:cs="Arial"/>
          <w:sz w:val="22"/>
          <w:szCs w:val="22"/>
          <w:lang w:val="en-US"/>
        </w:rPr>
        <w:t xml:space="preserve">Researchers shall check with the </w:t>
      </w:r>
      <w:r>
        <w:rPr>
          <w:rFonts w:cs="Arial"/>
          <w:sz w:val="22"/>
          <w:szCs w:val="22"/>
          <w:lang w:val="en-US"/>
        </w:rPr>
        <w:t>Commission</w:t>
      </w:r>
      <w:r w:rsidRPr="00FD6A0B">
        <w:rPr>
          <w:rFonts w:cs="Arial"/>
          <w:sz w:val="22"/>
          <w:szCs w:val="22"/>
          <w:lang w:val="en-US"/>
        </w:rPr>
        <w:t xml:space="preserve"> whether any of the information that they are requesting from schools can be provided centrally from information already held. </w:t>
      </w:r>
    </w:p>
    <w:p w14:paraId="3B49922D" w14:textId="77777777" w:rsidR="002F14C5" w:rsidRDefault="002F14C5" w:rsidP="002F14C5">
      <w:pPr>
        <w:pStyle w:val="Numbered"/>
        <w:widowControl/>
        <w:rPr>
          <w:b/>
          <w:color w:val="000000"/>
        </w:rPr>
      </w:pPr>
      <w:r>
        <w:rPr>
          <w:b/>
          <w:color w:val="000000"/>
        </w:rPr>
        <w:t>9</w:t>
      </w:r>
      <w:r>
        <w:rPr>
          <w:b/>
          <w:color w:val="000000"/>
        </w:rPr>
        <w:tab/>
        <w:t>Consent Arrangements</w:t>
      </w:r>
    </w:p>
    <w:p w14:paraId="1079A5C9" w14:textId="77777777" w:rsidR="002F14C5" w:rsidRPr="00FD6A0B" w:rsidRDefault="002F14C5" w:rsidP="002F14C5">
      <w:pPr>
        <w:pStyle w:val="Numbered"/>
        <w:widowControl/>
        <w:ind w:left="720"/>
        <w:rPr>
          <w:b/>
          <w:color w:val="000000"/>
        </w:rPr>
      </w:pPr>
      <w:r w:rsidRPr="00666F51">
        <w:rPr>
          <w:rFonts w:cs="Arial"/>
        </w:rPr>
        <w:lastRenderedPageBreak/>
        <w:t xml:space="preserve">The </w:t>
      </w:r>
      <w:r>
        <w:rPr>
          <w:rFonts w:cs="Arial"/>
        </w:rPr>
        <w:t>Commission</w:t>
      </w:r>
      <w:r w:rsidRPr="00666F51">
        <w:rPr>
          <w:rFonts w:cs="Arial"/>
        </w:rPr>
        <w:t xml:space="preserve"> and the successful contractor shall agree in advance of any survey activity taking place the consent arrangements that shall apply for each of the participant groups. All participants should be informed of the purpose of the research, that the Contractor is acting on behalf of the </w:t>
      </w:r>
      <w:r>
        <w:rPr>
          <w:rFonts w:cs="Arial"/>
        </w:rPr>
        <w:t>Commission</w:t>
      </w:r>
      <w:r w:rsidRPr="00666F51">
        <w:rPr>
          <w:rFonts w:cs="Arial"/>
        </w:rPr>
        <w:t xml:space="preserve"> and that they have the option to refuse to participate (opt out). Contact details should be provided including a contact person at the </w:t>
      </w:r>
      <w:r>
        <w:rPr>
          <w:rFonts w:cs="Arial"/>
        </w:rPr>
        <w:t>Commission</w:t>
      </w:r>
      <w:r w:rsidRPr="00666F51">
        <w:rPr>
          <w:rFonts w:cs="Arial"/>
        </w:rPr>
        <w:t xml:space="preserve">. Children who are 16 or over will usually be able to give their own consent but even where this is so, the Contractor, in consultation with the </w:t>
      </w:r>
      <w:r>
        <w:rPr>
          <w:rFonts w:cs="Arial"/>
        </w:rPr>
        <w:t>Commission</w:t>
      </w:r>
      <w:r w:rsidRPr="00666F51">
        <w:rPr>
          <w:rFonts w:cs="Arial"/>
        </w:rPr>
        <w:t>,  should consider whether it is also appropriate for parents, guardians or other appropriate gatekeepers (e.g. schools, Local Authorities) to be informed when a child has been invited to participate in research.</w:t>
      </w:r>
    </w:p>
    <w:p w14:paraId="25D9D6E7" w14:textId="77777777" w:rsidR="002F14C5" w:rsidRDefault="002F14C5" w:rsidP="002F14C5">
      <w:pPr>
        <w:pStyle w:val="Numbered"/>
        <w:widowControl/>
        <w:rPr>
          <w:b/>
          <w:color w:val="000000"/>
        </w:rPr>
      </w:pPr>
      <w:r>
        <w:rPr>
          <w:b/>
          <w:color w:val="000000"/>
        </w:rPr>
        <w:t>10</w:t>
      </w:r>
      <w:r>
        <w:rPr>
          <w:b/>
          <w:color w:val="000000"/>
        </w:rPr>
        <w:tab/>
        <w:t>Costs and Budget</w:t>
      </w:r>
    </w:p>
    <w:p w14:paraId="31162F50" w14:textId="77777777" w:rsidR="00EA4286" w:rsidRPr="00BB07D1" w:rsidRDefault="002F14C5" w:rsidP="00EA4286">
      <w:pPr>
        <w:spacing w:line="276" w:lineRule="auto"/>
        <w:ind w:left="720"/>
        <w:rPr>
          <w:rFonts w:cs="Arial"/>
        </w:rPr>
      </w:pPr>
      <w:r w:rsidRPr="00F84384">
        <w:rPr>
          <w:i/>
          <w:iCs/>
        </w:rPr>
        <w:t xml:space="preserve"> </w:t>
      </w:r>
      <w:r w:rsidR="00EA4286" w:rsidRPr="00BB07D1">
        <w:rPr>
          <w:rFonts w:cs="Arial"/>
        </w:rPr>
        <w:t xml:space="preserve">We estimate the research should cost </w:t>
      </w:r>
      <w:r w:rsidR="00EA4286">
        <w:rPr>
          <w:rFonts w:cs="Arial"/>
        </w:rPr>
        <w:t>between £50,000-</w:t>
      </w:r>
      <w:r w:rsidR="00EA4286" w:rsidRPr="005E0699">
        <w:rPr>
          <w:rFonts w:cs="Arial"/>
        </w:rPr>
        <w:t>£</w:t>
      </w:r>
      <w:r w:rsidR="00EA4286">
        <w:rPr>
          <w:rFonts w:cs="Arial"/>
        </w:rPr>
        <w:t>100</w:t>
      </w:r>
      <w:r w:rsidR="00EA4286" w:rsidRPr="005E0699">
        <w:rPr>
          <w:rFonts w:cs="Arial"/>
        </w:rPr>
        <w:t>,000 in total (excluding VAT)</w:t>
      </w:r>
      <w:r w:rsidR="00EA4286">
        <w:rPr>
          <w:rFonts w:cs="Arial"/>
        </w:rPr>
        <w:t xml:space="preserve">. Please note that budget flexibility is provided for those wishing to include qualitative elements. Strong rationale for such qualitative pieces is necessary to determine </w:t>
      </w:r>
      <w:proofErr w:type="gramStart"/>
      <w:r w:rsidR="00EA4286">
        <w:rPr>
          <w:rFonts w:cs="Arial"/>
        </w:rPr>
        <w:t>sufficient</w:t>
      </w:r>
      <w:proofErr w:type="gramEnd"/>
      <w:r w:rsidR="00EA4286">
        <w:rPr>
          <w:rFonts w:cs="Arial"/>
        </w:rPr>
        <w:t xml:space="preserve"> value for money.</w:t>
      </w:r>
    </w:p>
    <w:p w14:paraId="3B21F045" w14:textId="77777777" w:rsidR="00EA4286" w:rsidRPr="00BB07D1" w:rsidRDefault="00EA4286" w:rsidP="00EA4286">
      <w:pPr>
        <w:spacing w:line="276" w:lineRule="auto"/>
        <w:ind w:left="720"/>
        <w:rPr>
          <w:rFonts w:cs="Arial"/>
          <w:b/>
          <w:bCs/>
          <w:u w:val="single"/>
        </w:rPr>
      </w:pPr>
    </w:p>
    <w:p w14:paraId="200B6999" w14:textId="77777777" w:rsidR="00EA4286" w:rsidRPr="00BB07D1" w:rsidRDefault="00EA4286" w:rsidP="00EA4286">
      <w:pPr>
        <w:spacing w:line="276" w:lineRule="auto"/>
        <w:ind w:left="720"/>
        <w:rPr>
          <w:rFonts w:cs="Arial"/>
        </w:rPr>
      </w:pPr>
      <w:r w:rsidRPr="00BB07D1">
        <w:rPr>
          <w:rFonts w:cs="Arial"/>
        </w:rPr>
        <w:t xml:space="preserve">All costs should be quoted exclusive of VAT but please indicate if the project will attract VAT.  </w:t>
      </w:r>
    </w:p>
    <w:p w14:paraId="70DEE6F3" w14:textId="77777777" w:rsidR="00EA4286" w:rsidRPr="00BB07D1" w:rsidRDefault="00EA4286" w:rsidP="00EA4286">
      <w:pPr>
        <w:spacing w:line="276" w:lineRule="auto"/>
        <w:ind w:left="720"/>
        <w:rPr>
          <w:rFonts w:cs="Arial"/>
        </w:rPr>
      </w:pPr>
    </w:p>
    <w:p w14:paraId="324EE659" w14:textId="77777777" w:rsidR="00EA4286" w:rsidRPr="00BB07D1" w:rsidRDefault="00EA4286" w:rsidP="00EA4286">
      <w:pPr>
        <w:spacing w:line="276" w:lineRule="auto"/>
        <w:ind w:left="720"/>
        <w:rPr>
          <w:rFonts w:cs="Arial"/>
        </w:rPr>
      </w:pPr>
      <w:r w:rsidRPr="00BB07D1">
        <w:rPr>
          <w:rFonts w:cs="Arial"/>
        </w:rPr>
        <w:t>If your proposal includes costs for sub-contractors these costs must be shown inclusive of any VAT element (e.g. sub-contractor’s costs to you are £5,000 plus VAT, your proposal should show sub-contractors costs as £6,000 inclusive of VAT @ 20%).</w:t>
      </w:r>
    </w:p>
    <w:p w14:paraId="17E7B7BB" w14:textId="77777777" w:rsidR="002F14C5" w:rsidRPr="00B37B0E" w:rsidRDefault="002F14C5" w:rsidP="00EA4286">
      <w:pPr>
        <w:pStyle w:val="Default"/>
        <w:ind w:left="720"/>
        <w:rPr>
          <w:iCs/>
        </w:rPr>
      </w:pPr>
    </w:p>
    <w:p w14:paraId="2F803AC8" w14:textId="77777777" w:rsidR="002F14C5" w:rsidRDefault="002F14C5" w:rsidP="002F14C5">
      <w:pPr>
        <w:pStyle w:val="Numbered"/>
        <w:widowControl/>
        <w:ind w:left="720" w:hanging="720"/>
        <w:rPr>
          <w:color w:val="000000"/>
        </w:rPr>
      </w:pPr>
      <w:r>
        <w:rPr>
          <w:b/>
          <w:color w:val="000000"/>
        </w:rPr>
        <w:t>10.1</w:t>
      </w:r>
      <w:r>
        <w:rPr>
          <w:b/>
          <w:color w:val="000000"/>
        </w:rPr>
        <w:tab/>
      </w:r>
      <w:r w:rsidRPr="00FD6A0B">
        <w:rPr>
          <w:iCs/>
        </w:rPr>
        <w:t xml:space="preserve">A detailed breakdown of costs is required within the proposal </w:t>
      </w:r>
      <w:r w:rsidRPr="00FD6A0B">
        <w:rPr>
          <w:color w:val="000000"/>
        </w:rPr>
        <w:t>(excluding VAT)</w:t>
      </w:r>
      <w:r>
        <w:rPr>
          <w:color w:val="000000"/>
        </w:rPr>
        <w:t xml:space="preserve">.  </w:t>
      </w:r>
    </w:p>
    <w:p w14:paraId="655BC6D2" w14:textId="77777777" w:rsidR="002F14C5" w:rsidRPr="00B37B0E" w:rsidRDefault="002F14C5" w:rsidP="002F1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r w:rsidRPr="00B37B0E">
        <w:rPr>
          <w:rFonts w:cs="Arial"/>
          <w:b/>
          <w:i/>
        </w:rPr>
        <w:tab/>
      </w:r>
      <w:r w:rsidRPr="00B37B0E">
        <w:rPr>
          <w:rFonts w:cs="Arial"/>
        </w:rPr>
        <w:t xml:space="preserve">Your tender should provide a detailed breakdown of costs </w:t>
      </w:r>
      <w:proofErr w:type="gramStart"/>
      <w:r w:rsidRPr="00B37B0E">
        <w:rPr>
          <w:rFonts w:cs="Arial"/>
        </w:rPr>
        <w:t>on the basis of</w:t>
      </w:r>
      <w:proofErr w:type="gramEnd"/>
      <w:r w:rsidRPr="00B37B0E">
        <w:rPr>
          <w:rFonts w:cs="Arial"/>
        </w:rPr>
        <w:t xml:space="preserve">: </w:t>
      </w:r>
    </w:p>
    <w:p w14:paraId="0CE76106" w14:textId="77777777" w:rsidR="002F14C5" w:rsidRPr="00B37B0E" w:rsidRDefault="002F14C5" w:rsidP="002F1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p w14:paraId="2381EAE3" w14:textId="77777777" w:rsidR="002F14C5" w:rsidRPr="00B37B0E" w:rsidRDefault="002F14C5" w:rsidP="00EA4286">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r w:rsidRPr="00B37B0E">
        <w:rPr>
          <w:rFonts w:cs="Arial"/>
        </w:rPr>
        <w:t>project management and professional time;</w:t>
      </w:r>
    </w:p>
    <w:p w14:paraId="4A1CD9C9" w14:textId="77777777" w:rsidR="002F14C5" w:rsidRPr="00B37B0E" w:rsidRDefault="002F14C5" w:rsidP="00EA4286">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r w:rsidRPr="00B37B0E">
        <w:rPr>
          <w:rFonts w:cs="Arial"/>
        </w:rPr>
        <w:t>survey costs (if applicable);</w:t>
      </w:r>
    </w:p>
    <w:p w14:paraId="4FDBCD42" w14:textId="77777777" w:rsidR="002F14C5" w:rsidRPr="00B37B0E" w:rsidRDefault="002F14C5" w:rsidP="00EA4286">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r w:rsidRPr="00B37B0E">
        <w:rPr>
          <w:rFonts w:cs="Arial"/>
        </w:rPr>
        <w:t>secretarial and administrative costs;</w:t>
      </w:r>
    </w:p>
    <w:p w14:paraId="3E5E43A1" w14:textId="77777777" w:rsidR="002F14C5" w:rsidRPr="00B37B0E" w:rsidRDefault="002F14C5" w:rsidP="00EA4286">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r w:rsidRPr="00B37B0E">
        <w:rPr>
          <w:rFonts w:cs="Arial"/>
        </w:rPr>
        <w:t>travel and subsistence (please note details below);</w:t>
      </w:r>
    </w:p>
    <w:p w14:paraId="41554B7C" w14:textId="77777777" w:rsidR="002F14C5" w:rsidRPr="00B37B0E" w:rsidRDefault="002F14C5" w:rsidP="00EA4286">
      <w:pPr>
        <w:numPr>
          <w:ilvl w:val="0"/>
          <w:numId w:val="2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r w:rsidRPr="00B37B0E">
        <w:rPr>
          <w:rFonts w:cs="Arial"/>
        </w:rPr>
        <w:t>stationery, postage and telephone; and</w:t>
      </w:r>
    </w:p>
    <w:p w14:paraId="003D9F47" w14:textId="77777777" w:rsidR="002F14C5" w:rsidRPr="00B37B0E" w:rsidRDefault="002F14C5" w:rsidP="002F1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ight="720"/>
        <w:rPr>
          <w:rFonts w:cs="Arial"/>
        </w:rPr>
      </w:pPr>
      <w:r w:rsidRPr="00B37B0E">
        <w:rPr>
          <w:rFonts w:cs="Arial"/>
        </w:rPr>
        <w:tab/>
        <w:t>publicity.</w:t>
      </w:r>
    </w:p>
    <w:p w14:paraId="5714285B" w14:textId="77777777" w:rsidR="002F14C5" w:rsidRPr="00B37B0E" w:rsidRDefault="002F14C5" w:rsidP="002F14C5">
      <w:pPr>
        <w:tabs>
          <w:tab w:val="left" w:pos="1440"/>
          <w:tab w:val="left" w:pos="2160"/>
          <w:tab w:val="left" w:pos="2880"/>
          <w:tab w:val="left" w:pos="3600"/>
          <w:tab w:val="left" w:pos="4320"/>
          <w:tab w:val="left" w:pos="5040"/>
          <w:tab w:val="left" w:pos="5760"/>
          <w:tab w:val="left" w:pos="6480"/>
          <w:tab w:val="left" w:pos="7200"/>
          <w:tab w:val="left" w:pos="7920"/>
          <w:tab w:val="left" w:pos="8640"/>
        </w:tabs>
        <w:ind w:right="720"/>
        <w:rPr>
          <w:rFonts w:cs="Arial"/>
        </w:rPr>
      </w:pPr>
    </w:p>
    <w:p w14:paraId="3B5D026D" w14:textId="77777777" w:rsidR="002F14C5" w:rsidRPr="00B37B0E" w:rsidRDefault="002F14C5" w:rsidP="002F14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cs="Arial"/>
        </w:rPr>
      </w:pPr>
      <w:r w:rsidRPr="00B37B0E">
        <w:rPr>
          <w:rFonts w:cs="Arial"/>
        </w:rPr>
        <w:t xml:space="preserve">Costs should be shown separately by financial year and where more than one type of methodology is involved the costs need to be shown separately for each element, </w:t>
      </w:r>
      <w:proofErr w:type="spellStart"/>
      <w:r w:rsidRPr="00B37B0E">
        <w:rPr>
          <w:rFonts w:cs="Arial"/>
        </w:rPr>
        <w:t>e.g</w:t>
      </w:r>
      <w:proofErr w:type="spellEnd"/>
      <w:r w:rsidRPr="00B37B0E">
        <w:rPr>
          <w:rFonts w:cs="Arial"/>
        </w:rPr>
        <w:t>:</w:t>
      </w:r>
    </w:p>
    <w:p w14:paraId="7A32EFE1" w14:textId="77777777" w:rsidR="002F14C5" w:rsidRPr="00B37B0E" w:rsidRDefault="002F14C5" w:rsidP="00EA4286">
      <w:pPr>
        <w:pStyle w:val="DfESBullets"/>
        <w:numPr>
          <w:ilvl w:val="0"/>
          <w:numId w:val="28"/>
        </w:numPr>
        <w:tabs>
          <w:tab w:val="clear" w:pos="360"/>
        </w:tabs>
        <w:spacing w:after="0"/>
      </w:pPr>
      <w:r w:rsidRPr="00B37B0E">
        <w:t>group discussions;</w:t>
      </w:r>
    </w:p>
    <w:p w14:paraId="0F29743E" w14:textId="77777777" w:rsidR="002F14C5" w:rsidRPr="00B37B0E" w:rsidRDefault="002F14C5" w:rsidP="00EA4286">
      <w:pPr>
        <w:pStyle w:val="DfESBullets"/>
        <w:numPr>
          <w:ilvl w:val="0"/>
          <w:numId w:val="28"/>
        </w:numPr>
        <w:tabs>
          <w:tab w:val="clear" w:pos="360"/>
        </w:tabs>
        <w:spacing w:after="0"/>
      </w:pPr>
      <w:r w:rsidRPr="00B37B0E">
        <w:t>personal interview;</w:t>
      </w:r>
    </w:p>
    <w:p w14:paraId="445D1869" w14:textId="77777777" w:rsidR="002F14C5" w:rsidRPr="00B37B0E" w:rsidRDefault="002F14C5" w:rsidP="00EA4286">
      <w:pPr>
        <w:pStyle w:val="DfESBullets"/>
        <w:numPr>
          <w:ilvl w:val="0"/>
          <w:numId w:val="28"/>
        </w:numPr>
        <w:tabs>
          <w:tab w:val="clear" w:pos="360"/>
        </w:tabs>
        <w:spacing w:after="0"/>
      </w:pPr>
      <w:r w:rsidRPr="00B37B0E">
        <w:t>telephone survey;</w:t>
      </w:r>
    </w:p>
    <w:p w14:paraId="427E3C3A" w14:textId="77777777" w:rsidR="002F14C5" w:rsidRPr="00B37B0E" w:rsidRDefault="002F14C5" w:rsidP="00EA4286">
      <w:pPr>
        <w:pStyle w:val="DfESBullets"/>
        <w:numPr>
          <w:ilvl w:val="0"/>
          <w:numId w:val="28"/>
        </w:numPr>
        <w:tabs>
          <w:tab w:val="clear" w:pos="360"/>
        </w:tabs>
        <w:spacing w:after="0"/>
      </w:pPr>
      <w:r w:rsidRPr="00B37B0E">
        <w:t>postal survey; and</w:t>
      </w:r>
    </w:p>
    <w:p w14:paraId="7FD94CDE" w14:textId="77777777" w:rsidR="002F14C5" w:rsidRPr="00B37B0E" w:rsidRDefault="002F14C5" w:rsidP="00EA4286">
      <w:pPr>
        <w:pStyle w:val="DfESBullets"/>
        <w:numPr>
          <w:ilvl w:val="0"/>
          <w:numId w:val="28"/>
        </w:numPr>
        <w:tabs>
          <w:tab w:val="clear" w:pos="360"/>
        </w:tabs>
        <w:spacing w:after="0"/>
      </w:pPr>
      <w:r w:rsidRPr="00B37B0E">
        <w:t>desk research.</w:t>
      </w:r>
    </w:p>
    <w:p w14:paraId="4E66CBA5" w14:textId="77777777" w:rsidR="002F14C5" w:rsidRPr="00556F14" w:rsidRDefault="002F14C5" w:rsidP="002F14C5">
      <w:pPr>
        <w:pStyle w:val="DfESBullets"/>
        <w:numPr>
          <w:ilvl w:val="0"/>
          <w:numId w:val="0"/>
        </w:numPr>
        <w:tabs>
          <w:tab w:val="clear" w:pos="360"/>
        </w:tabs>
        <w:spacing w:after="0"/>
        <w:rPr>
          <w:i/>
          <w:color w:val="0000FF"/>
        </w:rPr>
      </w:pPr>
    </w:p>
    <w:p w14:paraId="589F6177" w14:textId="77777777" w:rsidR="002F14C5" w:rsidRDefault="002F14C5" w:rsidP="002F14C5">
      <w:pPr>
        <w:pStyle w:val="Numbered"/>
        <w:widowControl/>
        <w:rPr>
          <w:color w:val="000000"/>
        </w:rPr>
      </w:pPr>
      <w:r>
        <w:rPr>
          <w:b/>
          <w:color w:val="000000"/>
        </w:rPr>
        <w:t>10.2</w:t>
      </w:r>
      <w:r>
        <w:rPr>
          <w:b/>
          <w:color w:val="000000"/>
        </w:rPr>
        <w:tab/>
      </w:r>
      <w:r>
        <w:rPr>
          <w:color w:val="000000"/>
        </w:rPr>
        <w:t>Payments will be made by BACS transfer following receipt of a valid invoice.</w:t>
      </w:r>
    </w:p>
    <w:p w14:paraId="756AFAFA" w14:textId="77777777" w:rsidR="002F14C5" w:rsidRDefault="002F14C5" w:rsidP="002F14C5">
      <w:pPr>
        <w:pStyle w:val="Numbered"/>
        <w:widowControl/>
        <w:rPr>
          <w:color w:val="000000"/>
        </w:rPr>
      </w:pPr>
      <w:r>
        <w:rPr>
          <w:b/>
          <w:color w:val="000000"/>
        </w:rPr>
        <w:t>10.3</w:t>
      </w:r>
      <w:r>
        <w:rPr>
          <w:b/>
          <w:color w:val="000000"/>
        </w:rPr>
        <w:tab/>
      </w:r>
      <w:r>
        <w:rPr>
          <w:color w:val="000000"/>
        </w:rPr>
        <w:t>The successful tenderer should provide details of discounts for prompt payment.</w:t>
      </w:r>
    </w:p>
    <w:p w14:paraId="242B467A" w14:textId="77777777" w:rsidR="002F14C5" w:rsidRDefault="002F14C5" w:rsidP="002F14C5">
      <w:pPr>
        <w:widowControl/>
        <w:overflowPunct/>
        <w:autoSpaceDE/>
        <w:autoSpaceDN/>
        <w:adjustRightInd/>
        <w:ind w:left="720" w:hanging="720"/>
        <w:textAlignment w:val="auto"/>
        <w:rPr>
          <w:color w:val="000000"/>
        </w:rPr>
      </w:pPr>
      <w:r>
        <w:rPr>
          <w:b/>
          <w:color w:val="000000"/>
        </w:rPr>
        <w:t>11</w:t>
      </w:r>
      <w:r>
        <w:rPr>
          <w:b/>
          <w:color w:val="000000"/>
        </w:rPr>
        <w:tab/>
        <w:t>I</w:t>
      </w:r>
      <w:r w:rsidR="00F84384">
        <w:rPr>
          <w:b/>
          <w:color w:val="000000"/>
        </w:rPr>
        <w:t>ncentives</w:t>
      </w:r>
      <w:r>
        <w:rPr>
          <w:color w:val="000000"/>
        </w:rPr>
        <w:t xml:space="preserve"> </w:t>
      </w:r>
    </w:p>
    <w:p w14:paraId="2B3B8153" w14:textId="77777777" w:rsidR="002F14C5" w:rsidRDefault="002F14C5" w:rsidP="002F14C5">
      <w:pPr>
        <w:widowControl/>
        <w:overflowPunct/>
        <w:autoSpaceDE/>
        <w:autoSpaceDN/>
        <w:adjustRightInd/>
        <w:ind w:left="720" w:hanging="720"/>
        <w:textAlignment w:val="auto"/>
        <w:rPr>
          <w:rFonts w:cs="Arial"/>
          <w:iCs/>
          <w:color w:val="000000"/>
        </w:rPr>
      </w:pPr>
    </w:p>
    <w:p w14:paraId="24DD202D" w14:textId="77777777" w:rsidR="002F14C5" w:rsidRDefault="002F14C5" w:rsidP="002F14C5">
      <w:pPr>
        <w:widowControl/>
        <w:overflowPunct/>
        <w:autoSpaceDE/>
        <w:autoSpaceDN/>
        <w:adjustRightInd/>
        <w:ind w:left="720"/>
        <w:textAlignment w:val="auto"/>
        <w:rPr>
          <w:rFonts w:cs="Arial"/>
          <w:iCs/>
          <w:color w:val="000000"/>
        </w:rPr>
      </w:pPr>
      <w:r w:rsidRPr="00666F51">
        <w:rPr>
          <w:rFonts w:cs="Arial"/>
          <w:iCs/>
          <w:color w:val="000000"/>
        </w:rPr>
        <w:lastRenderedPageBreak/>
        <w:t xml:space="preserve">With some important exceptions, </w:t>
      </w:r>
      <w:r w:rsidR="005D7D23">
        <w:rPr>
          <w:rFonts w:cs="Arial"/>
          <w:iCs/>
          <w:color w:val="000000"/>
        </w:rPr>
        <w:t>SMC</w:t>
      </w:r>
      <w:r w:rsidRPr="00666F51">
        <w:rPr>
          <w:rFonts w:cs="Arial"/>
          <w:iCs/>
          <w:color w:val="000000"/>
        </w:rPr>
        <w:t xml:space="preserve"> believes that the routine use of respondent incentives in surveys is, in general, not justified as they are rarely cost effective in either increasing participation or reducing non-response biases. </w:t>
      </w:r>
      <w:r w:rsidRPr="00666F51">
        <w:rPr>
          <w:rFonts w:cs="Arial"/>
          <w:bCs/>
          <w:iCs/>
          <w:color w:val="000000"/>
        </w:rPr>
        <w:t>If you are proposing the use of respondent incentives in your tender proposal you must set out why you feel they are necessary, why it is not possible to achieve the required sample sizes or response rates without the use of incentives, how and to what extent they will raise the overall response rate, how you will mitigate any specific biases that could be introduced, and provide a cost comparison with non-incentive methods</w:t>
      </w:r>
      <w:r w:rsidRPr="00666F51">
        <w:rPr>
          <w:rFonts w:cs="Arial"/>
          <w:iCs/>
          <w:color w:val="0000FF"/>
        </w:rPr>
        <w:t xml:space="preserve">. </w:t>
      </w:r>
      <w:r w:rsidRPr="00666F51">
        <w:rPr>
          <w:rFonts w:cs="Arial"/>
          <w:iCs/>
          <w:color w:val="000000"/>
        </w:rPr>
        <w:t xml:space="preserve">Your arguments should be supported by empirical evidence from past use. The exceptions are payment for participation in group discussions or in-depth qualitative interviews, payment to cover respondent expenses e.g. travel and childcare costs, and compensation for excessive demand on respondents, e.g. taking basic skills tests, diary keeping, panel maintenance and compensating schools for the respondent’s time. If you wish to use a prize draw incentive then you must also set out in your tender how you will comply with all relevant legislation and codes of practice (e.g. the British Code of Advertising and Sales Promotion), state that you shall be solely liable for any breach of these and that you shall indemnify </w:t>
      </w:r>
      <w:r w:rsidR="005D7D23">
        <w:rPr>
          <w:rFonts w:cs="Arial"/>
          <w:iCs/>
          <w:color w:val="000000"/>
        </w:rPr>
        <w:t>SMC</w:t>
      </w:r>
      <w:r w:rsidRPr="00666F51">
        <w:rPr>
          <w:rFonts w:cs="Arial"/>
          <w:iCs/>
          <w:color w:val="000000"/>
        </w:rPr>
        <w:t xml:space="preserve"> against any claims that may be made under them.</w:t>
      </w:r>
    </w:p>
    <w:p w14:paraId="52281BB7" w14:textId="77777777" w:rsidR="002F14C5" w:rsidRPr="00FD6A0B" w:rsidRDefault="002F14C5" w:rsidP="002F14C5">
      <w:pPr>
        <w:widowControl/>
        <w:overflowPunct/>
        <w:autoSpaceDE/>
        <w:autoSpaceDN/>
        <w:adjustRightInd/>
        <w:ind w:left="720"/>
        <w:textAlignment w:val="auto"/>
        <w:rPr>
          <w:rFonts w:cs="Arial"/>
          <w:iCs/>
          <w:color w:val="000000"/>
        </w:rPr>
      </w:pPr>
    </w:p>
    <w:p w14:paraId="67BC0C40" w14:textId="77777777" w:rsidR="002F14C5" w:rsidRDefault="002F14C5" w:rsidP="002F14C5">
      <w:pPr>
        <w:pStyle w:val="Numbered"/>
        <w:widowControl/>
        <w:rPr>
          <w:b/>
          <w:color w:val="000000"/>
        </w:rPr>
      </w:pPr>
      <w:r>
        <w:rPr>
          <w:b/>
          <w:color w:val="000000"/>
        </w:rPr>
        <w:t>12</w:t>
      </w:r>
      <w:r>
        <w:rPr>
          <w:b/>
          <w:color w:val="000000"/>
        </w:rPr>
        <w:tab/>
        <w:t>VAT</w:t>
      </w:r>
    </w:p>
    <w:p w14:paraId="342EEC1C" w14:textId="77777777" w:rsidR="002F14C5" w:rsidRDefault="002F14C5" w:rsidP="002F14C5">
      <w:pPr>
        <w:pStyle w:val="Numbered"/>
        <w:widowControl/>
        <w:ind w:left="720" w:hanging="720"/>
        <w:rPr>
          <w:color w:val="000000"/>
        </w:rPr>
      </w:pPr>
      <w:r>
        <w:rPr>
          <w:color w:val="000000"/>
        </w:rPr>
        <w:t>12</w:t>
      </w:r>
      <w:r w:rsidRPr="003C7D82">
        <w:rPr>
          <w:color w:val="000000"/>
        </w:rPr>
        <w:t>.1</w:t>
      </w:r>
      <w:r>
        <w:rPr>
          <w:b/>
          <w:color w:val="000000"/>
        </w:rPr>
        <w:tab/>
      </w:r>
      <w:r>
        <w:rPr>
          <w:color w:val="000000"/>
        </w:rPr>
        <w:t xml:space="preserve">Please state clearly when submitting prices </w:t>
      </w:r>
      <w:proofErr w:type="gramStart"/>
      <w:r>
        <w:rPr>
          <w:color w:val="000000"/>
        </w:rPr>
        <w:t>whether or not</w:t>
      </w:r>
      <w:proofErr w:type="gramEnd"/>
      <w:r>
        <w:rPr>
          <w:color w:val="000000"/>
        </w:rPr>
        <w:t xml:space="preserve"> VAT will be charged.  </w:t>
      </w:r>
    </w:p>
    <w:p w14:paraId="0724C77D" w14:textId="77777777" w:rsidR="002F14C5" w:rsidRDefault="002F14C5" w:rsidP="002F14C5">
      <w:pPr>
        <w:pStyle w:val="Numbered"/>
        <w:widowControl/>
        <w:ind w:left="720" w:hanging="720"/>
        <w:rPr>
          <w:color w:val="000000"/>
        </w:rPr>
      </w:pPr>
      <w:r>
        <w:rPr>
          <w:color w:val="000000"/>
        </w:rPr>
        <w:t>12.2</w:t>
      </w:r>
      <w:r>
        <w:rPr>
          <w:color w:val="000000"/>
        </w:rPr>
        <w:tab/>
        <w:t>Where the</w:t>
      </w:r>
      <w:r w:rsidRPr="00A30EE0">
        <w:rPr>
          <w:color w:val="000000"/>
        </w:rPr>
        <w:t xml:space="preserve"> contract </w:t>
      </w:r>
      <w:r>
        <w:rPr>
          <w:color w:val="000000"/>
        </w:rPr>
        <w:t xml:space="preserve">price agreed between </w:t>
      </w:r>
      <w:r w:rsidR="005D7D23">
        <w:rPr>
          <w:color w:val="000000"/>
        </w:rPr>
        <w:t>SMC</w:t>
      </w:r>
      <w:r>
        <w:rPr>
          <w:color w:val="000000"/>
        </w:rPr>
        <w:t xml:space="preserve"> and contractor is</w:t>
      </w:r>
      <w:r w:rsidRPr="00A30EE0">
        <w:rPr>
          <w:color w:val="000000"/>
        </w:rPr>
        <w:t xml:space="preserve"> inclusive of </w:t>
      </w:r>
      <w:r>
        <w:rPr>
          <w:color w:val="000000"/>
        </w:rPr>
        <w:t>any VAT,</w:t>
      </w:r>
      <w:r w:rsidRPr="00A30EE0">
        <w:rPr>
          <w:color w:val="000000"/>
        </w:rPr>
        <w:t xml:space="preserve"> furth</w:t>
      </w:r>
      <w:r>
        <w:rPr>
          <w:color w:val="000000"/>
        </w:rPr>
        <w:t>er amounts will not be paid</w:t>
      </w:r>
      <w:r w:rsidRPr="00A30EE0">
        <w:rPr>
          <w:color w:val="000000"/>
        </w:rPr>
        <w:t xml:space="preserve"> </w:t>
      </w:r>
      <w:r>
        <w:rPr>
          <w:color w:val="000000"/>
        </w:rPr>
        <w:t xml:space="preserve">by </w:t>
      </w:r>
      <w:r w:rsidR="005D7D23">
        <w:rPr>
          <w:color w:val="000000"/>
        </w:rPr>
        <w:t>SMC</w:t>
      </w:r>
      <w:r>
        <w:rPr>
          <w:color w:val="000000"/>
        </w:rPr>
        <w:t xml:space="preserve"> </w:t>
      </w:r>
      <w:r w:rsidRPr="00A30EE0">
        <w:rPr>
          <w:color w:val="000000"/>
        </w:rPr>
        <w:t>should a vatable supply claim be made at any later stage.</w:t>
      </w:r>
    </w:p>
    <w:p w14:paraId="2905CDAB" w14:textId="77777777" w:rsidR="002F14C5" w:rsidRDefault="002F14C5" w:rsidP="002F14C5">
      <w:pPr>
        <w:pStyle w:val="Numbered"/>
        <w:widowControl/>
        <w:tabs>
          <w:tab w:val="left" w:pos="720"/>
          <w:tab w:val="left" w:pos="1440"/>
          <w:tab w:val="left" w:pos="2160"/>
          <w:tab w:val="left" w:pos="2880"/>
          <w:tab w:val="center" w:pos="4658"/>
        </w:tabs>
        <w:ind w:left="720" w:hanging="720"/>
        <w:rPr>
          <w:color w:val="000000"/>
        </w:rPr>
      </w:pPr>
      <w:r>
        <w:rPr>
          <w:color w:val="000000"/>
        </w:rPr>
        <w:t>12.3</w:t>
      </w:r>
      <w:r>
        <w:rPr>
          <w:color w:val="000000"/>
        </w:rPr>
        <w:tab/>
        <w:t xml:space="preserve">Where the overall contract price is exclusive of VAT, </w:t>
      </w:r>
      <w:r w:rsidR="005D7D23">
        <w:rPr>
          <w:color w:val="000000"/>
        </w:rPr>
        <w:t>SMC</w:t>
      </w:r>
      <w:r>
        <w:rPr>
          <w:color w:val="000000"/>
        </w:rPr>
        <w:t xml:space="preserve"> will pay any VAT incurred at the prevailing rate (currently 20%).  If the VAT rate changes </w:t>
      </w:r>
      <w:r w:rsidR="005D7D23">
        <w:rPr>
          <w:color w:val="000000"/>
        </w:rPr>
        <w:t>SMC</w:t>
      </w:r>
      <w:r>
        <w:rPr>
          <w:color w:val="000000"/>
        </w:rPr>
        <w:t xml:space="preserve"> will pay any VAT incurred at the new rate.</w:t>
      </w:r>
    </w:p>
    <w:p w14:paraId="5EAFE8FE" w14:textId="77777777" w:rsidR="002F14C5" w:rsidRDefault="002F14C5" w:rsidP="002F14C5">
      <w:pPr>
        <w:pStyle w:val="Numbered"/>
        <w:widowControl/>
        <w:ind w:left="720" w:hanging="720"/>
        <w:rPr>
          <w:color w:val="000000"/>
        </w:rPr>
      </w:pPr>
      <w:r>
        <w:rPr>
          <w:color w:val="000000"/>
        </w:rPr>
        <w:t>12.4</w:t>
      </w:r>
      <w:r>
        <w:rPr>
          <w:color w:val="000000"/>
        </w:rPr>
        <w:tab/>
        <w:t>It is the responsibility of tenderers to check the VAT</w:t>
      </w:r>
      <w:r w:rsidRPr="00A30EE0">
        <w:rPr>
          <w:color w:val="000000"/>
        </w:rPr>
        <w:t xml:space="preserve"> position with HMRC before submitting a bid</w:t>
      </w:r>
      <w:r>
        <w:rPr>
          <w:color w:val="000000"/>
        </w:rPr>
        <w:t xml:space="preserve">.  </w:t>
      </w:r>
    </w:p>
    <w:p w14:paraId="1D8A4A3E" w14:textId="77777777" w:rsidR="002F14C5" w:rsidRPr="004D1053" w:rsidRDefault="002F14C5" w:rsidP="002F14C5">
      <w:pPr>
        <w:pStyle w:val="Default"/>
        <w:ind w:left="720" w:hanging="720"/>
        <w:rPr>
          <w:sz w:val="22"/>
          <w:szCs w:val="22"/>
        </w:rPr>
      </w:pPr>
      <w:r>
        <w:rPr>
          <w:b/>
          <w:sz w:val="22"/>
          <w:szCs w:val="22"/>
        </w:rPr>
        <w:t>13</w:t>
      </w:r>
      <w:r w:rsidRPr="004D1053">
        <w:rPr>
          <w:b/>
          <w:sz w:val="22"/>
          <w:szCs w:val="22"/>
        </w:rPr>
        <w:tab/>
      </w:r>
      <w:r w:rsidR="001B5D8B" w:rsidRPr="001B5D8B">
        <w:rPr>
          <w:sz w:val="22"/>
          <w:szCs w:val="22"/>
        </w:rPr>
        <w:t>Not Used</w:t>
      </w:r>
    </w:p>
    <w:p w14:paraId="5D4EEA90" w14:textId="77777777" w:rsidR="002F14C5" w:rsidRPr="004D1053" w:rsidRDefault="002F14C5" w:rsidP="002F14C5">
      <w:pPr>
        <w:pStyle w:val="Default"/>
        <w:ind w:left="720" w:hanging="720"/>
        <w:rPr>
          <w:sz w:val="22"/>
          <w:szCs w:val="22"/>
        </w:rPr>
      </w:pPr>
    </w:p>
    <w:p w14:paraId="37897F70" w14:textId="77777777" w:rsidR="002F14C5" w:rsidRPr="00FD6A0B" w:rsidRDefault="002F14C5" w:rsidP="002F14C5">
      <w:pPr>
        <w:pStyle w:val="Default"/>
        <w:ind w:left="720"/>
        <w:rPr>
          <w:i/>
          <w:sz w:val="22"/>
          <w:szCs w:val="22"/>
        </w:rPr>
      </w:pPr>
    </w:p>
    <w:p w14:paraId="30EABF75" w14:textId="77777777" w:rsidR="002F14C5" w:rsidRPr="00697C31" w:rsidRDefault="002F14C5" w:rsidP="001B5D8B">
      <w:pPr>
        <w:pStyle w:val="Numbered"/>
        <w:rPr>
          <w:b/>
          <w:i/>
        </w:rPr>
      </w:pPr>
      <w:r>
        <w:rPr>
          <w:b/>
          <w:color w:val="000000"/>
        </w:rPr>
        <w:t>14</w:t>
      </w:r>
      <w:r>
        <w:rPr>
          <w:b/>
          <w:color w:val="000000"/>
        </w:rPr>
        <w:tab/>
      </w:r>
      <w:r w:rsidR="001B5D8B" w:rsidRPr="001B5D8B">
        <w:rPr>
          <w:color w:val="000000"/>
        </w:rPr>
        <w:t>Not Used</w:t>
      </w:r>
    </w:p>
    <w:p w14:paraId="38BFC831" w14:textId="77777777" w:rsidR="002F14C5" w:rsidRDefault="002F14C5">
      <w:pPr>
        <w:pStyle w:val="Numbered"/>
        <w:widowControl/>
        <w:rPr>
          <w:b/>
        </w:rPr>
      </w:pPr>
    </w:p>
    <w:p w14:paraId="306FCDBA" w14:textId="77777777" w:rsidR="002F14C5" w:rsidRDefault="002F14C5">
      <w:pPr>
        <w:pStyle w:val="Numbered"/>
        <w:widowControl/>
        <w:rPr>
          <w:b/>
        </w:rPr>
      </w:pPr>
    </w:p>
    <w:p w14:paraId="4C342ED0" w14:textId="77777777" w:rsidR="002F14C5" w:rsidRDefault="002F14C5">
      <w:pPr>
        <w:pStyle w:val="Numbered"/>
        <w:widowControl/>
        <w:rPr>
          <w:b/>
        </w:rPr>
      </w:pPr>
    </w:p>
    <w:p w14:paraId="08F4BE07" w14:textId="77777777" w:rsidR="00112CB4" w:rsidRDefault="000B145D" w:rsidP="004D1053">
      <w:pPr>
        <w:pStyle w:val="Numbered"/>
        <w:widowControl/>
        <w:ind w:left="720" w:hanging="720"/>
        <w:jc w:val="right"/>
        <w:rPr>
          <w:b/>
        </w:rPr>
      </w:pPr>
      <w:r>
        <w:br w:type="page"/>
      </w:r>
      <w:bookmarkStart w:id="4" w:name="Document2"/>
      <w:bookmarkEnd w:id="4"/>
      <w:r>
        <w:rPr>
          <w:b/>
        </w:rPr>
        <w:lastRenderedPageBreak/>
        <w:t>DOCUMENT 2</w:t>
      </w:r>
    </w:p>
    <w:p w14:paraId="302ACB91" w14:textId="77777777" w:rsidR="002F14C5" w:rsidRDefault="002F14C5" w:rsidP="002F14C5">
      <w:pPr>
        <w:pStyle w:val="Numbered"/>
        <w:widowControl/>
      </w:pPr>
      <w:r>
        <w:rPr>
          <w:b/>
        </w:rPr>
        <w:t>INSTRUCTIONS ON TENDERING PROCEDURES</w:t>
      </w:r>
    </w:p>
    <w:p w14:paraId="74D035EA" w14:textId="77777777" w:rsidR="002F14C5" w:rsidRDefault="002F14C5" w:rsidP="002F14C5">
      <w:pPr>
        <w:pStyle w:val="Numbered"/>
        <w:widowControl/>
        <w:ind w:left="720" w:hanging="720"/>
      </w:pPr>
      <w:r>
        <w:t>1</w:t>
      </w:r>
      <w:r>
        <w:tab/>
        <w:t xml:space="preserve">These instructions are designed to ensure that all tenders are given equal and fair consideration.  It is important therefore that you provide all the information asked for in the format and order specified.  Please contact </w:t>
      </w:r>
      <w:r>
        <w:rPr>
          <w:b/>
        </w:rPr>
        <w:t>contact@socialmobilitycommission.gov.uk</w:t>
      </w:r>
      <w:r>
        <w:t xml:space="preserve"> if you have any doubts as to what is </w:t>
      </w:r>
      <w:proofErr w:type="gramStart"/>
      <w:r>
        <w:t>required</w:t>
      </w:r>
      <w:proofErr w:type="gramEnd"/>
      <w:r>
        <w:t xml:space="preserve"> or you have difficulty in providing the information requested.  Pre-tender negotiations are</w:t>
      </w:r>
      <w:r w:rsidRPr="000826B8">
        <w:t xml:space="preserve"> </w:t>
      </w:r>
      <w:r w:rsidRPr="004D1053">
        <w:t>not</w:t>
      </w:r>
      <w:r>
        <w:rPr>
          <w:b/>
        </w:rPr>
        <w:t xml:space="preserve"> </w:t>
      </w:r>
      <w:r>
        <w:t>allowed.</w:t>
      </w:r>
    </w:p>
    <w:p w14:paraId="72B153B5" w14:textId="77777777" w:rsidR="002F14C5" w:rsidRDefault="002F14C5" w:rsidP="002F14C5">
      <w:pPr>
        <w:ind w:left="720" w:hanging="720"/>
      </w:pPr>
      <w:r>
        <w:t>2</w:t>
      </w:r>
      <w:r>
        <w:tab/>
        <w:t>Please note that references to the 'Department' or “Social Mobility Commission” or “the Commission” throughout these documents mean The Secretary of State for Education acting through his representatives in the Department for Education.</w:t>
      </w:r>
    </w:p>
    <w:p w14:paraId="17E530C8" w14:textId="77777777" w:rsidR="002F14C5" w:rsidRDefault="002F14C5" w:rsidP="002F14C5"/>
    <w:p w14:paraId="4E8D1D08" w14:textId="77777777" w:rsidR="002F14C5" w:rsidRPr="00B05807" w:rsidRDefault="002F14C5" w:rsidP="002F14C5">
      <w:pPr>
        <w:ind w:left="720" w:hanging="720"/>
      </w:pPr>
      <w:r>
        <w:t>3</w:t>
      </w:r>
      <w:r>
        <w:tab/>
      </w:r>
      <w:r w:rsidR="005D7D23">
        <w:t>SMC</w:t>
      </w:r>
      <w:r w:rsidRPr="00B05807">
        <w:t xml:space="preserve"> is happy to accept bids from single organisations or consortia of organisations. Where a consortium/Special Purpose Vehicle (SPV) is formed to submit a tender, this must only be submitted by and in the name of, the supplier chosen as the “Lead” supplier for that consortium/SPV.</w:t>
      </w:r>
    </w:p>
    <w:p w14:paraId="169F9479" w14:textId="77777777" w:rsidR="002F14C5" w:rsidRDefault="002F14C5" w:rsidP="002F14C5"/>
    <w:p w14:paraId="030FB443" w14:textId="77777777" w:rsidR="002F14C5" w:rsidRDefault="002F14C5" w:rsidP="002F14C5">
      <w:pPr>
        <w:pStyle w:val="Numbered"/>
        <w:widowControl/>
        <w:rPr>
          <w:b/>
        </w:rPr>
      </w:pPr>
      <w:r>
        <w:rPr>
          <w:b/>
        </w:rPr>
        <w:t>Contract Period</w:t>
      </w:r>
    </w:p>
    <w:p w14:paraId="0C831AB3" w14:textId="77777777" w:rsidR="002F14C5" w:rsidRDefault="002F14C5" w:rsidP="002F14C5">
      <w:pPr>
        <w:pStyle w:val="Numbered"/>
        <w:widowControl/>
        <w:ind w:left="720" w:hanging="720"/>
      </w:pPr>
      <w:r>
        <w:t>3</w:t>
      </w:r>
      <w:r>
        <w:tab/>
      </w:r>
      <w:r w:rsidR="00EA4286">
        <w:t>The contract is to be completed by March 2020, with the potential to renew for 6 months if negotiated and agreed between SMC, the supplier, and the Department.</w:t>
      </w:r>
    </w:p>
    <w:p w14:paraId="1CA40CE3" w14:textId="77777777" w:rsidR="002F14C5" w:rsidRDefault="002F14C5" w:rsidP="002F14C5">
      <w:pPr>
        <w:pStyle w:val="Numbered"/>
        <w:widowControl/>
        <w:rPr>
          <w:b/>
        </w:rPr>
      </w:pPr>
      <w:r>
        <w:rPr>
          <w:b/>
        </w:rPr>
        <w:t>Incomplete Tender</w:t>
      </w:r>
    </w:p>
    <w:p w14:paraId="5C8F325A" w14:textId="77777777" w:rsidR="002F14C5" w:rsidRDefault="002F14C5" w:rsidP="002F14C5">
      <w:pPr>
        <w:pStyle w:val="Numbered"/>
        <w:widowControl/>
        <w:ind w:left="720" w:hanging="720"/>
      </w:pPr>
      <w:r>
        <w:t>4</w:t>
      </w:r>
      <w:r>
        <w:tab/>
        <w:t>These instructions are designed to ensure that all tenders are given equal and fair consideration. Tenders may be rejected if the information asked for in the ITT and Specification is not given at the time of tendering.</w:t>
      </w:r>
    </w:p>
    <w:p w14:paraId="7C8B85BD" w14:textId="77777777" w:rsidR="002F14C5" w:rsidRDefault="002F14C5" w:rsidP="002F14C5">
      <w:pPr>
        <w:pStyle w:val="Numbered"/>
        <w:rPr>
          <w:b/>
        </w:rPr>
      </w:pPr>
      <w:r w:rsidRPr="000826B8">
        <w:rPr>
          <w:b/>
        </w:rPr>
        <w:t>Indicative procurement timetable</w:t>
      </w:r>
    </w:p>
    <w:p w14:paraId="0F96A07E" w14:textId="77777777" w:rsidR="002F14C5" w:rsidRPr="000826B8" w:rsidRDefault="002F14C5" w:rsidP="002F14C5">
      <w:pPr>
        <w:pStyle w:val="Numbered"/>
        <w:widowControl/>
        <w:ind w:left="720" w:hanging="720"/>
      </w:pPr>
      <w:r w:rsidRPr="000826B8">
        <w:t>5</w:t>
      </w:r>
      <w:r w:rsidRPr="000826B8">
        <w:tab/>
        <w:t>The indicative timetable for the procurement is:</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77"/>
        <w:gridCol w:w="2518"/>
      </w:tblGrid>
      <w:tr w:rsidR="002F14C5" w:rsidRPr="000826B8" w14:paraId="076CD194" w14:textId="77777777" w:rsidTr="00B47F69">
        <w:tc>
          <w:tcPr>
            <w:tcW w:w="5527" w:type="dxa"/>
            <w:tcBorders>
              <w:top w:val="single" w:sz="4" w:space="0" w:color="auto"/>
              <w:left w:val="single" w:sz="4" w:space="0" w:color="auto"/>
              <w:bottom w:val="single" w:sz="4" w:space="0" w:color="auto"/>
              <w:right w:val="single" w:sz="4" w:space="0" w:color="auto"/>
            </w:tcBorders>
            <w:hideMark/>
          </w:tcPr>
          <w:p w14:paraId="2097CCEE" w14:textId="77777777" w:rsidR="002F14C5" w:rsidRPr="000826B8" w:rsidRDefault="002F14C5" w:rsidP="00B47F69">
            <w:pPr>
              <w:pStyle w:val="Numbered"/>
            </w:pPr>
            <w:r w:rsidRPr="000826B8">
              <w:t>Tender documents issued</w:t>
            </w:r>
          </w:p>
        </w:tc>
        <w:tc>
          <w:tcPr>
            <w:tcW w:w="2594" w:type="dxa"/>
            <w:tcBorders>
              <w:top w:val="single" w:sz="4" w:space="0" w:color="auto"/>
              <w:left w:val="single" w:sz="4" w:space="0" w:color="auto"/>
              <w:bottom w:val="single" w:sz="4" w:space="0" w:color="auto"/>
              <w:right w:val="single" w:sz="4" w:space="0" w:color="auto"/>
            </w:tcBorders>
          </w:tcPr>
          <w:p w14:paraId="7A9D810D" w14:textId="77777777" w:rsidR="002F14C5" w:rsidRPr="000826B8" w:rsidRDefault="002F14C5" w:rsidP="00B47F69">
            <w:pPr>
              <w:pStyle w:val="Numbered"/>
            </w:pPr>
            <w:r>
              <w:t>5</w:t>
            </w:r>
            <w:r w:rsidRPr="00E14105">
              <w:rPr>
                <w:vertAlign w:val="superscript"/>
              </w:rPr>
              <w:t>th</w:t>
            </w:r>
            <w:r>
              <w:t xml:space="preserve"> April 2019</w:t>
            </w:r>
          </w:p>
        </w:tc>
      </w:tr>
      <w:tr w:rsidR="002F14C5" w:rsidRPr="000826B8" w14:paraId="30EAC195" w14:textId="77777777" w:rsidTr="00B47F69">
        <w:tc>
          <w:tcPr>
            <w:tcW w:w="5527" w:type="dxa"/>
            <w:tcBorders>
              <w:top w:val="single" w:sz="4" w:space="0" w:color="auto"/>
              <w:left w:val="single" w:sz="4" w:space="0" w:color="auto"/>
              <w:bottom w:val="single" w:sz="4" w:space="0" w:color="auto"/>
              <w:right w:val="single" w:sz="4" w:space="0" w:color="auto"/>
            </w:tcBorders>
            <w:hideMark/>
          </w:tcPr>
          <w:p w14:paraId="74B0C5FF" w14:textId="77777777" w:rsidR="002F14C5" w:rsidRPr="000826B8" w:rsidRDefault="002F14C5" w:rsidP="00B47F69">
            <w:pPr>
              <w:pStyle w:val="Numbered"/>
            </w:pPr>
            <w:r w:rsidRPr="000826B8">
              <w:t>Last day for submission of clarifications</w:t>
            </w:r>
          </w:p>
        </w:tc>
        <w:tc>
          <w:tcPr>
            <w:tcW w:w="2594" w:type="dxa"/>
            <w:tcBorders>
              <w:top w:val="single" w:sz="4" w:space="0" w:color="auto"/>
              <w:left w:val="single" w:sz="4" w:space="0" w:color="auto"/>
              <w:bottom w:val="single" w:sz="4" w:space="0" w:color="auto"/>
              <w:right w:val="single" w:sz="4" w:space="0" w:color="auto"/>
            </w:tcBorders>
          </w:tcPr>
          <w:p w14:paraId="3CA8C06C" w14:textId="77777777" w:rsidR="002F14C5" w:rsidRPr="000826B8" w:rsidRDefault="002F14C5" w:rsidP="00B47F69">
            <w:pPr>
              <w:pStyle w:val="Numbered"/>
            </w:pPr>
            <w:r>
              <w:t>24</w:t>
            </w:r>
            <w:r w:rsidRPr="00E14105">
              <w:rPr>
                <w:vertAlign w:val="superscript"/>
              </w:rPr>
              <w:t>th</w:t>
            </w:r>
            <w:r>
              <w:t xml:space="preserve"> April </w:t>
            </w:r>
          </w:p>
        </w:tc>
      </w:tr>
      <w:tr w:rsidR="002F14C5" w:rsidRPr="000826B8" w14:paraId="0CB3ACB3" w14:textId="77777777" w:rsidTr="00B47F69">
        <w:tc>
          <w:tcPr>
            <w:tcW w:w="5527" w:type="dxa"/>
            <w:tcBorders>
              <w:top w:val="single" w:sz="4" w:space="0" w:color="auto"/>
              <w:left w:val="single" w:sz="4" w:space="0" w:color="auto"/>
              <w:bottom w:val="single" w:sz="4" w:space="0" w:color="auto"/>
              <w:right w:val="single" w:sz="4" w:space="0" w:color="auto"/>
            </w:tcBorders>
            <w:hideMark/>
          </w:tcPr>
          <w:p w14:paraId="39113C82" w14:textId="77777777" w:rsidR="002F14C5" w:rsidRPr="000826B8" w:rsidRDefault="002F14C5" w:rsidP="00B47F69">
            <w:pPr>
              <w:pStyle w:val="Numbered"/>
            </w:pPr>
            <w:r w:rsidRPr="000826B8">
              <w:t xml:space="preserve">Last day for </w:t>
            </w:r>
            <w:r>
              <w:t xml:space="preserve">SMC </w:t>
            </w:r>
            <w:r w:rsidRPr="000826B8">
              <w:t>to respond to clarifications</w:t>
            </w:r>
          </w:p>
        </w:tc>
        <w:tc>
          <w:tcPr>
            <w:tcW w:w="2594" w:type="dxa"/>
            <w:tcBorders>
              <w:top w:val="single" w:sz="4" w:space="0" w:color="auto"/>
              <w:left w:val="single" w:sz="4" w:space="0" w:color="auto"/>
              <w:bottom w:val="single" w:sz="4" w:space="0" w:color="auto"/>
              <w:right w:val="single" w:sz="4" w:space="0" w:color="auto"/>
            </w:tcBorders>
          </w:tcPr>
          <w:p w14:paraId="654B16B9" w14:textId="77777777" w:rsidR="002F14C5" w:rsidRPr="000826B8" w:rsidRDefault="002F14C5" w:rsidP="00B47F69">
            <w:pPr>
              <w:pStyle w:val="Numbered"/>
            </w:pPr>
            <w:r>
              <w:t>26</w:t>
            </w:r>
            <w:r w:rsidRPr="00E14105">
              <w:rPr>
                <w:vertAlign w:val="superscript"/>
              </w:rPr>
              <w:t>th</w:t>
            </w:r>
            <w:r>
              <w:t xml:space="preserve"> April </w:t>
            </w:r>
          </w:p>
        </w:tc>
      </w:tr>
      <w:tr w:rsidR="002F14C5" w:rsidRPr="000826B8" w14:paraId="3CE40BA8" w14:textId="77777777" w:rsidTr="00B47F69">
        <w:tc>
          <w:tcPr>
            <w:tcW w:w="5527" w:type="dxa"/>
            <w:tcBorders>
              <w:top w:val="single" w:sz="4" w:space="0" w:color="auto"/>
              <w:left w:val="single" w:sz="4" w:space="0" w:color="auto"/>
              <w:bottom w:val="single" w:sz="4" w:space="0" w:color="auto"/>
              <w:right w:val="single" w:sz="4" w:space="0" w:color="auto"/>
            </w:tcBorders>
            <w:hideMark/>
          </w:tcPr>
          <w:p w14:paraId="63F4FB4F" w14:textId="77777777" w:rsidR="002F14C5" w:rsidRPr="000826B8" w:rsidRDefault="002F14C5" w:rsidP="00B47F69">
            <w:pPr>
              <w:pStyle w:val="Numbered"/>
            </w:pPr>
            <w:r w:rsidRPr="000826B8">
              <w:t>Deadline for tender responses to be received</w:t>
            </w:r>
          </w:p>
        </w:tc>
        <w:tc>
          <w:tcPr>
            <w:tcW w:w="2594" w:type="dxa"/>
            <w:tcBorders>
              <w:top w:val="single" w:sz="4" w:space="0" w:color="auto"/>
              <w:left w:val="single" w:sz="4" w:space="0" w:color="auto"/>
              <w:bottom w:val="single" w:sz="4" w:space="0" w:color="auto"/>
              <w:right w:val="single" w:sz="4" w:space="0" w:color="auto"/>
            </w:tcBorders>
          </w:tcPr>
          <w:p w14:paraId="4859ECF3" w14:textId="77777777" w:rsidR="002F14C5" w:rsidRPr="000826B8" w:rsidRDefault="001B5D8B" w:rsidP="00B47F69">
            <w:pPr>
              <w:pStyle w:val="Numbered"/>
            </w:pPr>
            <w:r>
              <w:t>3</w:t>
            </w:r>
            <w:r w:rsidRPr="001B5D8B">
              <w:rPr>
                <w:vertAlign w:val="superscript"/>
              </w:rPr>
              <w:t>rd</w:t>
            </w:r>
            <w:r>
              <w:t xml:space="preserve"> </w:t>
            </w:r>
            <w:r w:rsidR="002F14C5">
              <w:t xml:space="preserve">May </w:t>
            </w:r>
          </w:p>
        </w:tc>
      </w:tr>
      <w:tr w:rsidR="002F14C5" w:rsidRPr="000826B8" w14:paraId="235AEB6A" w14:textId="77777777" w:rsidTr="00B47F69">
        <w:tc>
          <w:tcPr>
            <w:tcW w:w="5527" w:type="dxa"/>
            <w:tcBorders>
              <w:top w:val="single" w:sz="4" w:space="0" w:color="auto"/>
              <w:left w:val="single" w:sz="4" w:space="0" w:color="auto"/>
              <w:bottom w:val="single" w:sz="4" w:space="0" w:color="auto"/>
              <w:right w:val="single" w:sz="4" w:space="0" w:color="auto"/>
            </w:tcBorders>
          </w:tcPr>
          <w:p w14:paraId="139FFCA8" w14:textId="77777777" w:rsidR="002F14C5" w:rsidRPr="000826B8" w:rsidRDefault="001B5D8B" w:rsidP="00B47F69">
            <w:pPr>
              <w:pStyle w:val="Numbered"/>
            </w:pPr>
            <w:r>
              <w:t xml:space="preserve">Tender </w:t>
            </w:r>
            <w:r w:rsidR="002F14C5" w:rsidRPr="000826B8">
              <w:t>Evaluation</w:t>
            </w:r>
            <w:r>
              <w:t>s</w:t>
            </w:r>
          </w:p>
        </w:tc>
        <w:tc>
          <w:tcPr>
            <w:tcW w:w="2594" w:type="dxa"/>
            <w:tcBorders>
              <w:top w:val="single" w:sz="4" w:space="0" w:color="auto"/>
              <w:left w:val="single" w:sz="4" w:space="0" w:color="auto"/>
              <w:bottom w:val="single" w:sz="4" w:space="0" w:color="auto"/>
              <w:right w:val="single" w:sz="4" w:space="0" w:color="auto"/>
            </w:tcBorders>
          </w:tcPr>
          <w:p w14:paraId="7BAC7D96" w14:textId="77777777" w:rsidR="002F14C5" w:rsidRPr="000826B8" w:rsidRDefault="001B5D8B" w:rsidP="00B47F69">
            <w:pPr>
              <w:pStyle w:val="Numbered"/>
            </w:pPr>
            <w:r>
              <w:t>3</w:t>
            </w:r>
            <w:r w:rsidRPr="001B5D8B">
              <w:rPr>
                <w:vertAlign w:val="superscript"/>
              </w:rPr>
              <w:t>rd</w:t>
            </w:r>
            <w:r>
              <w:t xml:space="preserve"> May – 2</w:t>
            </w:r>
            <w:r w:rsidR="002F14C5">
              <w:t>0</w:t>
            </w:r>
            <w:r w:rsidR="002F14C5" w:rsidRPr="00E14105">
              <w:rPr>
                <w:vertAlign w:val="superscript"/>
              </w:rPr>
              <w:t>th</w:t>
            </w:r>
            <w:r w:rsidR="002F14C5">
              <w:t xml:space="preserve"> May </w:t>
            </w:r>
          </w:p>
        </w:tc>
      </w:tr>
      <w:tr w:rsidR="002F14C5" w:rsidRPr="000826B8" w14:paraId="3CCDD6E5" w14:textId="77777777" w:rsidTr="00B47F69">
        <w:tc>
          <w:tcPr>
            <w:tcW w:w="5527" w:type="dxa"/>
            <w:tcBorders>
              <w:top w:val="single" w:sz="4" w:space="0" w:color="auto"/>
              <w:left w:val="single" w:sz="4" w:space="0" w:color="auto"/>
              <w:bottom w:val="single" w:sz="4" w:space="0" w:color="auto"/>
              <w:right w:val="single" w:sz="4" w:space="0" w:color="auto"/>
            </w:tcBorders>
            <w:hideMark/>
          </w:tcPr>
          <w:p w14:paraId="7206082A" w14:textId="77777777" w:rsidR="002F14C5" w:rsidRPr="000826B8" w:rsidRDefault="002F14C5" w:rsidP="00B47F69">
            <w:pPr>
              <w:pStyle w:val="Numbered"/>
            </w:pPr>
            <w:r w:rsidRPr="000826B8">
              <w:t>Department announcement of preferred bidder</w:t>
            </w:r>
          </w:p>
        </w:tc>
        <w:tc>
          <w:tcPr>
            <w:tcW w:w="2594" w:type="dxa"/>
            <w:tcBorders>
              <w:top w:val="single" w:sz="4" w:space="0" w:color="auto"/>
              <w:left w:val="single" w:sz="4" w:space="0" w:color="auto"/>
              <w:bottom w:val="single" w:sz="4" w:space="0" w:color="auto"/>
              <w:right w:val="single" w:sz="4" w:space="0" w:color="auto"/>
            </w:tcBorders>
          </w:tcPr>
          <w:p w14:paraId="6C74181C" w14:textId="77777777" w:rsidR="002F14C5" w:rsidRPr="000826B8" w:rsidRDefault="001B5D8B" w:rsidP="00B47F69">
            <w:pPr>
              <w:pStyle w:val="Numbered"/>
            </w:pPr>
            <w:r>
              <w:t xml:space="preserve">By w/c </w:t>
            </w:r>
            <w:r w:rsidR="002F14C5">
              <w:t>20</w:t>
            </w:r>
            <w:r w:rsidR="002F14C5" w:rsidRPr="00AD4741">
              <w:rPr>
                <w:vertAlign w:val="superscript"/>
              </w:rPr>
              <w:t>th</w:t>
            </w:r>
            <w:r w:rsidR="002F14C5">
              <w:t xml:space="preserve"> May </w:t>
            </w:r>
          </w:p>
        </w:tc>
      </w:tr>
      <w:tr w:rsidR="002F14C5" w:rsidRPr="000826B8" w14:paraId="2732C4A6" w14:textId="77777777" w:rsidTr="00B47F69">
        <w:tc>
          <w:tcPr>
            <w:tcW w:w="5527" w:type="dxa"/>
            <w:tcBorders>
              <w:top w:val="single" w:sz="4" w:space="0" w:color="auto"/>
              <w:left w:val="single" w:sz="4" w:space="0" w:color="auto"/>
              <w:bottom w:val="single" w:sz="4" w:space="0" w:color="auto"/>
              <w:right w:val="single" w:sz="4" w:space="0" w:color="auto"/>
            </w:tcBorders>
            <w:hideMark/>
          </w:tcPr>
          <w:p w14:paraId="3FB9D83F" w14:textId="77777777" w:rsidR="002F14C5" w:rsidRPr="000826B8" w:rsidRDefault="002F14C5" w:rsidP="00B47F69">
            <w:pPr>
              <w:pStyle w:val="Numbered"/>
            </w:pPr>
            <w:r w:rsidRPr="000826B8">
              <w:t>Contract fine-tuning with preferred bidder to take account of the solution</w:t>
            </w:r>
          </w:p>
        </w:tc>
        <w:tc>
          <w:tcPr>
            <w:tcW w:w="2594" w:type="dxa"/>
            <w:tcBorders>
              <w:top w:val="single" w:sz="4" w:space="0" w:color="auto"/>
              <w:left w:val="single" w:sz="4" w:space="0" w:color="auto"/>
              <w:bottom w:val="single" w:sz="4" w:space="0" w:color="auto"/>
              <w:right w:val="single" w:sz="4" w:space="0" w:color="auto"/>
            </w:tcBorders>
          </w:tcPr>
          <w:p w14:paraId="57A9C68C" w14:textId="77777777" w:rsidR="002F14C5" w:rsidRPr="000826B8" w:rsidRDefault="00A6648E" w:rsidP="00B47F69">
            <w:pPr>
              <w:pStyle w:val="Numbered"/>
            </w:pPr>
            <w:r>
              <w:t xml:space="preserve">By </w:t>
            </w:r>
            <w:r w:rsidR="002F14C5">
              <w:t>w/c 27</w:t>
            </w:r>
            <w:r w:rsidR="002F14C5" w:rsidRPr="00002578">
              <w:rPr>
                <w:vertAlign w:val="superscript"/>
              </w:rPr>
              <w:t>th</w:t>
            </w:r>
            <w:r w:rsidR="002F14C5">
              <w:t xml:space="preserve"> May</w:t>
            </w:r>
          </w:p>
        </w:tc>
      </w:tr>
      <w:tr w:rsidR="002F14C5" w:rsidRPr="000826B8" w14:paraId="7590065D" w14:textId="77777777" w:rsidTr="00B47F69">
        <w:tc>
          <w:tcPr>
            <w:tcW w:w="5527" w:type="dxa"/>
            <w:tcBorders>
              <w:top w:val="single" w:sz="4" w:space="0" w:color="auto"/>
              <w:left w:val="single" w:sz="4" w:space="0" w:color="auto"/>
              <w:bottom w:val="single" w:sz="4" w:space="0" w:color="auto"/>
              <w:right w:val="single" w:sz="4" w:space="0" w:color="auto"/>
            </w:tcBorders>
            <w:hideMark/>
          </w:tcPr>
          <w:p w14:paraId="61AEDB56" w14:textId="77777777" w:rsidR="002F14C5" w:rsidRPr="000826B8" w:rsidRDefault="002F14C5" w:rsidP="00B47F69">
            <w:pPr>
              <w:pStyle w:val="Numbered"/>
            </w:pPr>
            <w:r w:rsidRPr="000826B8">
              <w:t xml:space="preserve">Contract commencement </w:t>
            </w:r>
          </w:p>
        </w:tc>
        <w:tc>
          <w:tcPr>
            <w:tcW w:w="2594" w:type="dxa"/>
            <w:tcBorders>
              <w:top w:val="single" w:sz="4" w:space="0" w:color="auto"/>
              <w:left w:val="single" w:sz="4" w:space="0" w:color="auto"/>
              <w:bottom w:val="single" w:sz="4" w:space="0" w:color="auto"/>
              <w:right w:val="single" w:sz="4" w:space="0" w:color="auto"/>
            </w:tcBorders>
          </w:tcPr>
          <w:p w14:paraId="0C215394" w14:textId="77777777" w:rsidR="002F14C5" w:rsidRPr="000826B8" w:rsidRDefault="002F14C5" w:rsidP="00B47F69">
            <w:pPr>
              <w:pStyle w:val="Numbered"/>
            </w:pPr>
            <w:r>
              <w:t>3</w:t>
            </w:r>
            <w:r w:rsidRPr="00002578">
              <w:rPr>
                <w:vertAlign w:val="superscript"/>
              </w:rPr>
              <w:t>rd</w:t>
            </w:r>
            <w:r>
              <w:t xml:space="preserve"> June </w:t>
            </w:r>
          </w:p>
        </w:tc>
      </w:tr>
    </w:tbl>
    <w:p w14:paraId="3151276E" w14:textId="77777777" w:rsidR="002F14C5" w:rsidRDefault="002F14C5" w:rsidP="002F14C5">
      <w:pPr>
        <w:pStyle w:val="Numbered"/>
        <w:widowControl/>
        <w:ind w:left="720" w:hanging="720"/>
      </w:pPr>
    </w:p>
    <w:p w14:paraId="1162745D" w14:textId="77777777" w:rsidR="001B5D8B" w:rsidRDefault="001B5D8B" w:rsidP="002F14C5">
      <w:pPr>
        <w:pStyle w:val="Numbered"/>
        <w:widowControl/>
        <w:ind w:left="720" w:hanging="720"/>
      </w:pPr>
    </w:p>
    <w:p w14:paraId="0916DF9E" w14:textId="77777777" w:rsidR="002F14C5" w:rsidRDefault="002F14C5" w:rsidP="002F14C5">
      <w:pPr>
        <w:pStyle w:val="Numbered"/>
        <w:widowControl/>
        <w:ind w:left="720" w:hanging="720"/>
      </w:pPr>
      <w:r>
        <w:rPr>
          <w:b/>
        </w:rPr>
        <w:lastRenderedPageBreak/>
        <w:t>Returning Tenders</w:t>
      </w:r>
    </w:p>
    <w:p w14:paraId="4D8D5CFB" w14:textId="77777777" w:rsidR="009B5CBF" w:rsidRDefault="002F14C5" w:rsidP="00B73A7D">
      <w:pPr>
        <w:pStyle w:val="Numbered"/>
        <w:widowControl/>
        <w:ind w:left="720" w:hanging="720"/>
      </w:pPr>
      <w:r>
        <w:t>6</w:t>
      </w:r>
      <w:r>
        <w:tab/>
      </w:r>
      <w:r w:rsidRPr="00666F51">
        <w:rPr>
          <w:rFonts w:cs="Arial"/>
        </w:rPr>
        <w:t>Please send your proposal by email to</w:t>
      </w:r>
      <w:r w:rsidRPr="00F23A08">
        <w:rPr>
          <w:color w:val="0066FF"/>
        </w:rPr>
        <w:t xml:space="preserve">: </w:t>
      </w:r>
      <w:hyperlink r:id="rId15" w:history="1">
        <w:r w:rsidRPr="00AF729B">
          <w:rPr>
            <w:rStyle w:val="Hyperlink"/>
            <w:b/>
          </w:rPr>
          <w:t>contact@socialmobilitycommission.gov.uk</w:t>
        </w:r>
      </w:hyperlink>
      <w:r>
        <w:rPr>
          <w:rFonts w:cs="Arial"/>
        </w:rPr>
        <w:t xml:space="preserve"> Subject line of the email should read ‘Research Bid’. </w:t>
      </w:r>
      <w:r>
        <w:t xml:space="preserve">Tenders must be delivered by </w:t>
      </w:r>
      <w:r w:rsidR="001B5D8B" w:rsidRPr="001B5D8B">
        <w:rPr>
          <w:b/>
        </w:rPr>
        <w:t>3</w:t>
      </w:r>
      <w:r w:rsidR="001B5D8B" w:rsidRPr="001B5D8B">
        <w:rPr>
          <w:b/>
          <w:vertAlign w:val="superscript"/>
        </w:rPr>
        <w:t>rd</w:t>
      </w:r>
      <w:r w:rsidRPr="001B5D8B">
        <w:rPr>
          <w:b/>
        </w:rPr>
        <w:t xml:space="preserve"> May at 12 </w:t>
      </w:r>
      <w:r w:rsidR="00A6648E">
        <w:rPr>
          <w:b/>
        </w:rPr>
        <w:t>n</w:t>
      </w:r>
      <w:r w:rsidRPr="001B5D8B">
        <w:rPr>
          <w:b/>
        </w:rPr>
        <w:t xml:space="preserve">oon. </w:t>
      </w:r>
      <w:r w:rsidRPr="002E64C6">
        <w:t>Confirmations that bids have been received will be sent after the closing day.</w:t>
      </w:r>
      <w:r w:rsidR="00B73A7D">
        <w:t xml:space="preserve"> SMC will publish clarifications on </w:t>
      </w:r>
      <w:r w:rsidR="00A6648E">
        <w:t>Contracts Finder</w:t>
      </w:r>
      <w:r w:rsidR="00B73A7D">
        <w:t xml:space="preserve"> by </w:t>
      </w:r>
      <w:r w:rsidR="00A6648E">
        <w:t>26 April.</w:t>
      </w:r>
    </w:p>
    <w:p w14:paraId="4334E5F2" w14:textId="77777777" w:rsidR="002F14C5" w:rsidRDefault="002F14C5" w:rsidP="002F14C5">
      <w:pPr>
        <w:pStyle w:val="Numbered"/>
        <w:widowControl/>
        <w:ind w:left="720" w:hanging="720"/>
        <w:rPr>
          <w:b/>
        </w:rPr>
      </w:pPr>
      <w:r>
        <w:rPr>
          <w:b/>
        </w:rPr>
        <w:t>Receipt of Tenders</w:t>
      </w:r>
    </w:p>
    <w:p w14:paraId="5F6649CE" w14:textId="77777777" w:rsidR="002F14C5" w:rsidRDefault="002F14C5" w:rsidP="002F14C5">
      <w:pPr>
        <w:pStyle w:val="Numbered"/>
        <w:widowControl/>
        <w:ind w:left="720" w:hanging="720"/>
      </w:pPr>
      <w:r>
        <w:t>7</w:t>
      </w:r>
      <w:r>
        <w:tab/>
        <w:t>Tenders will be received up to the time and date stated.  Those received before the due date will be retained unopened until then.  It is the responsibility of the tenderer to ensure that their tender is delivered not later than the appointed time.</w:t>
      </w:r>
    </w:p>
    <w:p w14:paraId="722A5C51" w14:textId="77777777" w:rsidR="002F14C5" w:rsidRDefault="002F14C5" w:rsidP="002F14C5">
      <w:pPr>
        <w:pStyle w:val="Numbered"/>
        <w:widowControl/>
        <w:ind w:left="720" w:hanging="720"/>
      </w:pPr>
      <w:r>
        <w:rPr>
          <w:b/>
        </w:rPr>
        <w:t>Acceptance of Tenders</w:t>
      </w:r>
    </w:p>
    <w:p w14:paraId="5E2492A0" w14:textId="77777777" w:rsidR="002F14C5" w:rsidRDefault="002F14C5" w:rsidP="002F14C5">
      <w:pPr>
        <w:pStyle w:val="Numbered"/>
        <w:widowControl/>
        <w:ind w:left="720" w:hanging="720"/>
      </w:pPr>
      <w:r>
        <w:t>8</w:t>
      </w:r>
      <w:r>
        <w:tab/>
        <w:t xml:space="preserve">By issuing this invitation </w:t>
      </w:r>
      <w:r w:rsidR="005D7D23">
        <w:t>SMC</w:t>
      </w:r>
      <w:r>
        <w:t xml:space="preserve"> is not bound in any way and does not have to accept the lowest or any </w:t>
      </w:r>
      <w:proofErr w:type="gramStart"/>
      <w:r>
        <w:t>tender, and</w:t>
      </w:r>
      <w:proofErr w:type="gramEnd"/>
      <w:r>
        <w:t xml:space="preserve"> reserves the right to accept a portion of any tender, unless the tenderer expressly stipulates otherwise in their tender.</w:t>
      </w:r>
    </w:p>
    <w:p w14:paraId="3C19E010" w14:textId="77777777" w:rsidR="002F14C5" w:rsidRDefault="002F14C5" w:rsidP="002F14C5">
      <w:pPr>
        <w:pStyle w:val="Numbered"/>
        <w:widowControl/>
        <w:ind w:left="720" w:hanging="720"/>
      </w:pPr>
      <w:r>
        <w:t>9</w:t>
      </w:r>
      <w:r>
        <w:tab/>
      </w:r>
      <w:r w:rsidR="005D7D23">
        <w:t>SMC</w:t>
      </w:r>
      <w:r w:rsidRPr="00DD78E6">
        <w:t xml:space="preserve"> res</w:t>
      </w:r>
      <w:r>
        <w:t>erves the right to treat any tender</w:t>
      </w:r>
      <w:r w:rsidRPr="00DD78E6">
        <w:t xml:space="preserve"> which is caveated by reference to the UK exiting the EU with a deal or without a deal as non-compliant and, as with any procurement exercise, a bidder in submitting its price for evaluation does so in acceptance of all business risks and circumstances arising from time to time.</w:t>
      </w:r>
    </w:p>
    <w:p w14:paraId="47B59AC8" w14:textId="77777777" w:rsidR="002F14C5" w:rsidRDefault="002F14C5" w:rsidP="002F14C5">
      <w:pPr>
        <w:pStyle w:val="Numbered"/>
        <w:widowControl/>
        <w:ind w:left="720" w:hanging="720"/>
        <w:rPr>
          <w:b/>
        </w:rPr>
      </w:pPr>
      <w:r>
        <w:rPr>
          <w:b/>
        </w:rPr>
        <w:t>Inducements</w:t>
      </w:r>
    </w:p>
    <w:p w14:paraId="1CFFC3C0" w14:textId="77777777" w:rsidR="002F14C5" w:rsidRDefault="002F14C5" w:rsidP="002F14C5">
      <w:pPr>
        <w:pStyle w:val="Numbered"/>
        <w:widowControl/>
        <w:ind w:left="720" w:hanging="720"/>
      </w:pPr>
      <w:r>
        <w:t>10</w:t>
      </w:r>
      <w:r>
        <w:tab/>
        <w:t xml:space="preserve">Offering an inducement of any kind in relation to obtaining this or any other contract with </w:t>
      </w:r>
      <w:r w:rsidR="005D7D23">
        <w:t>SMC</w:t>
      </w:r>
      <w:r>
        <w:t xml:space="preserve"> will disqualify your tender from being considered and may constitute a criminal offence.</w:t>
      </w:r>
    </w:p>
    <w:p w14:paraId="1B054F1B" w14:textId="77777777" w:rsidR="002F14C5" w:rsidRDefault="002F14C5" w:rsidP="002F14C5">
      <w:pPr>
        <w:pStyle w:val="Numbered"/>
        <w:widowControl/>
      </w:pPr>
      <w:r>
        <w:rPr>
          <w:b/>
        </w:rPr>
        <w:t>Confidentiality of Tenders</w:t>
      </w:r>
    </w:p>
    <w:p w14:paraId="35B874AF" w14:textId="77777777" w:rsidR="002F14C5" w:rsidRDefault="002F14C5" w:rsidP="002F14C5">
      <w:pPr>
        <w:pStyle w:val="Numbered"/>
        <w:widowControl/>
      </w:pPr>
      <w:r>
        <w:t>11</w:t>
      </w:r>
      <w:r>
        <w:tab/>
        <w:t>Please note the following requirements, you must not:</w:t>
      </w:r>
    </w:p>
    <w:p w14:paraId="0061280F" w14:textId="77777777" w:rsidR="002F14C5" w:rsidRDefault="002F14C5" w:rsidP="002F14C5">
      <w:pPr>
        <w:pStyle w:val="Numbered"/>
        <w:widowControl/>
        <w:numPr>
          <w:ilvl w:val="0"/>
          <w:numId w:val="1"/>
        </w:numPr>
      </w:pPr>
      <w:r>
        <w:t>Tell anyone else what your tender price is or will be, before the time limit for delivery of tenders.</w:t>
      </w:r>
    </w:p>
    <w:p w14:paraId="2A4A69B1" w14:textId="77777777" w:rsidR="002F14C5" w:rsidRDefault="002F14C5" w:rsidP="002F14C5">
      <w:pPr>
        <w:pStyle w:val="Numbered"/>
        <w:widowControl/>
        <w:numPr>
          <w:ilvl w:val="0"/>
          <w:numId w:val="2"/>
        </w:numPr>
      </w:pPr>
      <w:r>
        <w:t>Try to obtain any information about anyone else's tender or proposed tender before the time limit for delivery of tenders.</w:t>
      </w:r>
    </w:p>
    <w:p w14:paraId="03C58585" w14:textId="77777777" w:rsidR="002F14C5" w:rsidRDefault="002F14C5" w:rsidP="002F14C5">
      <w:pPr>
        <w:pStyle w:val="Numbered"/>
        <w:widowControl/>
        <w:numPr>
          <w:ilvl w:val="0"/>
          <w:numId w:val="3"/>
        </w:numPr>
      </w:pPr>
      <w:r>
        <w:t xml:space="preserve">Make any arrangements with another organisation about </w:t>
      </w:r>
      <w:proofErr w:type="gramStart"/>
      <w:r>
        <w:t>whether or not</w:t>
      </w:r>
      <w:proofErr w:type="gramEnd"/>
      <w:r>
        <w:t xml:space="preserve"> they should tender, or about their or your tender price.</w:t>
      </w:r>
    </w:p>
    <w:p w14:paraId="4B9FF57D" w14:textId="77777777" w:rsidR="002F14C5" w:rsidRDefault="002F14C5" w:rsidP="002F14C5">
      <w:pPr>
        <w:pStyle w:val="Numbered"/>
        <w:widowControl/>
        <w:ind w:left="720"/>
      </w:pPr>
      <w:r>
        <w:t>Failure to comply with these conditions may disqualify your tender.</w:t>
      </w:r>
    </w:p>
    <w:p w14:paraId="5299A2C3" w14:textId="77777777" w:rsidR="002F14C5" w:rsidRDefault="002F14C5" w:rsidP="002F14C5">
      <w:pPr>
        <w:pStyle w:val="Numbered"/>
        <w:widowControl/>
        <w:rPr>
          <w:b/>
        </w:rPr>
      </w:pPr>
      <w:r>
        <w:rPr>
          <w:b/>
        </w:rPr>
        <w:t>Costs and Expenses</w:t>
      </w:r>
    </w:p>
    <w:p w14:paraId="6B05F152" w14:textId="77777777" w:rsidR="002F14C5" w:rsidRDefault="002F14C5" w:rsidP="002F14C5">
      <w:pPr>
        <w:pStyle w:val="Numbered"/>
        <w:widowControl/>
        <w:ind w:left="720" w:hanging="720"/>
      </w:pPr>
      <w:r>
        <w:t>12</w:t>
      </w:r>
      <w:r>
        <w:tab/>
        <w:t xml:space="preserve">You will not be entitled to claim from </w:t>
      </w:r>
      <w:r w:rsidR="005D7D23">
        <w:t>SMC</w:t>
      </w:r>
      <w:r>
        <w:t xml:space="preserve"> any costs or expenses which you may incur in preparing your tender </w:t>
      </w:r>
      <w:proofErr w:type="gramStart"/>
      <w:r>
        <w:t>whether or not</w:t>
      </w:r>
      <w:proofErr w:type="gramEnd"/>
      <w:r>
        <w:t xml:space="preserve"> your tender is successful.</w:t>
      </w:r>
    </w:p>
    <w:p w14:paraId="5E07D8DD" w14:textId="77777777" w:rsidR="00B73A7D" w:rsidRDefault="00B73A7D" w:rsidP="002F14C5">
      <w:pPr>
        <w:pStyle w:val="Numbered"/>
        <w:widowControl/>
        <w:rPr>
          <w:b/>
        </w:rPr>
      </w:pPr>
    </w:p>
    <w:p w14:paraId="6E177CB6" w14:textId="77777777" w:rsidR="002F14C5" w:rsidRDefault="002F14C5" w:rsidP="002F14C5">
      <w:pPr>
        <w:pStyle w:val="Numbered"/>
        <w:widowControl/>
        <w:rPr>
          <w:b/>
        </w:rPr>
      </w:pPr>
      <w:r>
        <w:rPr>
          <w:b/>
        </w:rPr>
        <w:t>Debriefing</w:t>
      </w:r>
    </w:p>
    <w:p w14:paraId="16183793" w14:textId="77777777" w:rsidR="002F14C5" w:rsidRDefault="002F14C5" w:rsidP="002F14C5">
      <w:pPr>
        <w:pStyle w:val="Numbered"/>
        <w:widowControl/>
        <w:ind w:left="720" w:hanging="720"/>
      </w:pPr>
      <w:r>
        <w:t>13</w:t>
      </w:r>
      <w:r>
        <w:tab/>
        <w:t>Following the award of contract, debriefing will be available to unsuccessful tenderers on request.</w:t>
      </w:r>
    </w:p>
    <w:p w14:paraId="3A18B3C8" w14:textId="77777777" w:rsidR="002F14C5" w:rsidRDefault="002F14C5" w:rsidP="002F14C5">
      <w:pPr>
        <w:pStyle w:val="Numbered"/>
        <w:widowControl/>
      </w:pPr>
      <w:r>
        <w:rPr>
          <w:b/>
        </w:rPr>
        <w:lastRenderedPageBreak/>
        <w:t>Evaluation Criteria</w:t>
      </w:r>
    </w:p>
    <w:p w14:paraId="60B5CE08" w14:textId="77777777" w:rsidR="002F14C5" w:rsidRPr="00F73DFA" w:rsidRDefault="002F14C5" w:rsidP="002F14C5">
      <w:pPr>
        <w:pStyle w:val="Numbered"/>
        <w:widowControl/>
        <w:ind w:left="720" w:hanging="720"/>
      </w:pPr>
      <w:r>
        <w:t>14</w:t>
      </w:r>
      <w:r>
        <w:tab/>
        <w:t>The tender process will be conducted in a manner that ensures tenders are evaluated fairly to ascertain the economically most advantageous tender.</w:t>
      </w:r>
    </w:p>
    <w:p w14:paraId="39ADE299" w14:textId="77777777" w:rsidR="002F14C5" w:rsidRDefault="002F14C5" w:rsidP="002F14C5">
      <w:pPr>
        <w:pStyle w:val="Numbered"/>
        <w:widowControl/>
        <w:ind w:left="720" w:hanging="720"/>
      </w:pPr>
      <w:r>
        <w:t>15</w:t>
      </w:r>
      <w:r>
        <w:tab/>
        <w:t>Not Used</w:t>
      </w:r>
    </w:p>
    <w:p w14:paraId="5EDACB51" w14:textId="77777777" w:rsidR="002F14C5" w:rsidRPr="00586ED8" w:rsidRDefault="002F14C5" w:rsidP="002F14C5">
      <w:pPr>
        <w:pStyle w:val="Numbered"/>
        <w:widowControl/>
        <w:ind w:left="720" w:hanging="720"/>
      </w:pPr>
      <w:r>
        <w:t>16</w:t>
      </w:r>
      <w:r>
        <w:tab/>
      </w:r>
      <w:r w:rsidRPr="00586ED8">
        <w:t>Your response to the tender specification will be evaluated</w:t>
      </w:r>
      <w:r>
        <w:t xml:space="preserve"> using the criteria set out in Document </w:t>
      </w:r>
      <w:r w:rsidR="00686C76">
        <w:t>4 Section</w:t>
      </w:r>
      <w:r>
        <w:t xml:space="preserve"> 2 - Evaluation Criteria.</w:t>
      </w:r>
    </w:p>
    <w:p w14:paraId="0AB6C410" w14:textId="77777777" w:rsidR="002F14C5" w:rsidRDefault="002F14C5" w:rsidP="002F14C5">
      <w:pPr>
        <w:pStyle w:val="Numbered"/>
        <w:widowControl/>
      </w:pPr>
      <w:r>
        <w:rPr>
          <w:b/>
        </w:rPr>
        <w:t>Tender Period</w:t>
      </w:r>
    </w:p>
    <w:p w14:paraId="208C40ED" w14:textId="77777777" w:rsidR="002F14C5" w:rsidRDefault="002F14C5" w:rsidP="002F14C5">
      <w:pPr>
        <w:pStyle w:val="Numbered"/>
        <w:widowControl/>
        <w:ind w:left="720" w:hanging="720"/>
      </w:pPr>
      <w:r>
        <w:t>17</w:t>
      </w:r>
      <w:r>
        <w:tab/>
        <w:t xml:space="preserve">Due to the intensive evaluation process </w:t>
      </w:r>
      <w:r w:rsidR="005D7D23">
        <w:t>SMC</w:t>
      </w:r>
      <w:r>
        <w:t xml:space="preserve"> requires tenders to remain valid for a period specified in Document 5.</w:t>
      </w:r>
    </w:p>
    <w:p w14:paraId="3FA396E5" w14:textId="77777777" w:rsidR="002F14C5" w:rsidRDefault="002F14C5" w:rsidP="002F14C5">
      <w:pPr>
        <w:pStyle w:val="Numbered"/>
        <w:widowControl/>
        <w:rPr>
          <w:b/>
        </w:rPr>
      </w:pPr>
      <w:r>
        <w:rPr>
          <w:b/>
        </w:rPr>
        <w:t>Basis of the Contract</w:t>
      </w:r>
    </w:p>
    <w:p w14:paraId="01E09E05" w14:textId="77777777" w:rsidR="002F14C5" w:rsidRDefault="002F14C5" w:rsidP="002F14C5">
      <w:pPr>
        <w:pStyle w:val="Numbered"/>
        <w:widowControl/>
        <w:ind w:left="720" w:hanging="720"/>
      </w:pPr>
      <w:r>
        <w:t>18</w:t>
      </w:r>
      <w:r>
        <w:tab/>
        <w:t xml:space="preserve">The specification in Document </w:t>
      </w:r>
      <w:r w:rsidR="00F84384">
        <w:t>1</w:t>
      </w:r>
      <w:r>
        <w:t>, and the terms and conditions in Document 4 Attachment 1, together with any special requirements, will form the basis of the contract between the successful tenderer and the Secretary of State for Education.</w:t>
      </w:r>
    </w:p>
    <w:p w14:paraId="211ADC97" w14:textId="77777777" w:rsidR="002F14C5" w:rsidRDefault="002F14C5" w:rsidP="002F14C5">
      <w:pPr>
        <w:pStyle w:val="Numbered"/>
        <w:widowControl/>
        <w:rPr>
          <w:b/>
        </w:rPr>
      </w:pPr>
      <w:r>
        <w:rPr>
          <w:b/>
        </w:rPr>
        <w:t>Format of Bids</w:t>
      </w:r>
    </w:p>
    <w:p w14:paraId="1E8D5E3B" w14:textId="77777777" w:rsidR="002F14C5" w:rsidRDefault="002F14C5" w:rsidP="002F14C5">
      <w:pPr>
        <w:pStyle w:val="Numbered"/>
        <w:widowControl/>
      </w:pPr>
      <w:r>
        <w:t>19</w:t>
      </w:r>
      <w:r>
        <w:tab/>
        <w:t>Tenderers should present their proposals in the following format:</w:t>
      </w:r>
    </w:p>
    <w:p w14:paraId="3064D1F4" w14:textId="77777777" w:rsidR="002F14C5" w:rsidRDefault="002F14C5" w:rsidP="002F14C5">
      <w:pPr>
        <w:pStyle w:val="Numbered"/>
        <w:widowControl/>
        <w:ind w:left="720"/>
        <w:rPr>
          <w:b/>
        </w:rPr>
      </w:pPr>
      <w:r>
        <w:rPr>
          <w:b/>
        </w:rPr>
        <w:t>Section 1</w:t>
      </w:r>
      <w:r>
        <w:rPr>
          <w:b/>
        </w:rPr>
        <w:tab/>
        <w:t>Summary of Proposal</w:t>
      </w:r>
    </w:p>
    <w:p w14:paraId="26D75349" w14:textId="77777777" w:rsidR="002F14C5" w:rsidRDefault="002F14C5" w:rsidP="002F14C5">
      <w:pPr>
        <w:pStyle w:val="Numbered"/>
        <w:widowControl/>
        <w:ind w:left="720"/>
        <w:rPr>
          <w:b/>
        </w:rPr>
      </w:pPr>
      <w:r>
        <w:rPr>
          <w:b/>
        </w:rPr>
        <w:t>Section 2</w:t>
      </w:r>
      <w:r>
        <w:rPr>
          <w:b/>
        </w:rPr>
        <w:tab/>
        <w:t>Meeting the Specification:</w:t>
      </w:r>
    </w:p>
    <w:p w14:paraId="2DA2E299" w14:textId="77777777" w:rsidR="002F14C5" w:rsidRPr="00666F51" w:rsidRDefault="002F14C5" w:rsidP="00EA4286">
      <w:pPr>
        <w:pStyle w:val="Numbered"/>
        <w:numPr>
          <w:ilvl w:val="0"/>
          <w:numId w:val="21"/>
        </w:numPr>
        <w:ind w:left="1980" w:hanging="540"/>
        <w:rPr>
          <w:rFonts w:cs="Arial"/>
        </w:rPr>
      </w:pPr>
      <w:r>
        <w:rPr>
          <w:rFonts w:cs="Arial"/>
        </w:rPr>
        <w:t>Details of proposed approach</w:t>
      </w:r>
      <w:r w:rsidRPr="00666F51">
        <w:rPr>
          <w:rFonts w:cs="Arial"/>
        </w:rPr>
        <w:t>;</w:t>
      </w:r>
    </w:p>
    <w:p w14:paraId="5CDBE192" w14:textId="77777777" w:rsidR="002F14C5" w:rsidRPr="00666F51" w:rsidRDefault="002F14C5" w:rsidP="00EA4286">
      <w:pPr>
        <w:pStyle w:val="Numbered"/>
        <w:numPr>
          <w:ilvl w:val="0"/>
          <w:numId w:val="22"/>
        </w:numPr>
        <w:ind w:left="1980" w:hanging="540"/>
        <w:rPr>
          <w:rFonts w:cs="Arial"/>
        </w:rPr>
      </w:pPr>
      <w:r w:rsidRPr="00666F51">
        <w:rPr>
          <w:rFonts w:cs="Arial"/>
        </w:rPr>
        <w:t>Methodology</w:t>
      </w:r>
      <w:r>
        <w:rPr>
          <w:rFonts w:cs="Arial"/>
        </w:rPr>
        <w:t>, including constraints and possible solutions</w:t>
      </w:r>
      <w:r w:rsidRPr="00666F51">
        <w:rPr>
          <w:rFonts w:cs="Arial"/>
        </w:rPr>
        <w:t>;</w:t>
      </w:r>
    </w:p>
    <w:p w14:paraId="7A697DA5" w14:textId="77777777" w:rsidR="002F14C5" w:rsidRPr="00666F51" w:rsidRDefault="002F14C5" w:rsidP="00EA4286">
      <w:pPr>
        <w:pStyle w:val="Numbered"/>
        <w:numPr>
          <w:ilvl w:val="0"/>
          <w:numId w:val="23"/>
        </w:numPr>
        <w:ind w:left="1980" w:hanging="540"/>
        <w:rPr>
          <w:rFonts w:cs="Arial"/>
        </w:rPr>
      </w:pPr>
      <w:r w:rsidRPr="00666F51">
        <w:rPr>
          <w:rFonts w:cs="Arial"/>
        </w:rPr>
        <w:t>Project management;</w:t>
      </w:r>
    </w:p>
    <w:p w14:paraId="3C061A74" w14:textId="77777777" w:rsidR="002F14C5" w:rsidRPr="00666F51" w:rsidRDefault="002F14C5" w:rsidP="00EA4286">
      <w:pPr>
        <w:pStyle w:val="Numbered"/>
        <w:numPr>
          <w:ilvl w:val="0"/>
          <w:numId w:val="24"/>
        </w:numPr>
        <w:ind w:left="1980" w:hanging="540"/>
        <w:rPr>
          <w:rFonts w:cs="Arial"/>
        </w:rPr>
      </w:pPr>
      <w:r w:rsidRPr="00666F51">
        <w:rPr>
          <w:rFonts w:cs="Arial"/>
        </w:rPr>
        <w:t>Staffing</w:t>
      </w:r>
      <w:r>
        <w:rPr>
          <w:rFonts w:cs="Arial"/>
        </w:rPr>
        <w:t>, including e</w:t>
      </w:r>
      <w:r w:rsidRPr="00BB07D1">
        <w:rPr>
          <w:rFonts w:cs="Arial"/>
        </w:rPr>
        <w:t>xamples of key relevant experience and individual/staff expertise and qualifications. Proposed distribution of duties should be clearly stated if the bid involves sub-contracting or collaboration between different providers</w:t>
      </w:r>
      <w:r w:rsidRPr="00666F51">
        <w:rPr>
          <w:rFonts w:cs="Arial"/>
        </w:rPr>
        <w:t>; and</w:t>
      </w:r>
    </w:p>
    <w:p w14:paraId="5131A330" w14:textId="77777777" w:rsidR="002F14C5" w:rsidRDefault="002F14C5" w:rsidP="00EA4286">
      <w:pPr>
        <w:pStyle w:val="Numbered"/>
        <w:numPr>
          <w:ilvl w:val="0"/>
          <w:numId w:val="25"/>
        </w:numPr>
        <w:ind w:left="1980" w:hanging="540"/>
        <w:rPr>
          <w:rFonts w:cs="Arial"/>
        </w:rPr>
      </w:pPr>
      <w:r w:rsidRPr="00666F51">
        <w:rPr>
          <w:rFonts w:cs="Arial"/>
        </w:rPr>
        <w:t>Outputs</w:t>
      </w:r>
      <w:r>
        <w:rPr>
          <w:rFonts w:cs="Arial"/>
        </w:rPr>
        <w:t>, including how the findings will be presented</w:t>
      </w:r>
      <w:r w:rsidRPr="00666F51">
        <w:rPr>
          <w:rFonts w:cs="Arial"/>
        </w:rPr>
        <w:t>.</w:t>
      </w:r>
    </w:p>
    <w:p w14:paraId="784E5A7A" w14:textId="77777777" w:rsidR="002F14C5" w:rsidRDefault="002F14C5" w:rsidP="002F14C5">
      <w:pPr>
        <w:pStyle w:val="Numbered"/>
        <w:widowControl/>
        <w:ind w:left="720"/>
        <w:rPr>
          <w:b/>
        </w:rPr>
      </w:pPr>
      <w:r>
        <w:rPr>
          <w:b/>
        </w:rPr>
        <w:t>Section 3</w:t>
      </w:r>
      <w:r>
        <w:rPr>
          <w:b/>
        </w:rPr>
        <w:tab/>
        <w:t>Cost and Charging Arrangements</w:t>
      </w:r>
    </w:p>
    <w:p w14:paraId="70F1E5B1" w14:textId="77777777" w:rsidR="002F14C5" w:rsidRPr="006725F3" w:rsidRDefault="002F14C5" w:rsidP="00EA4286">
      <w:pPr>
        <w:pStyle w:val="ListParagraph"/>
        <w:widowControl/>
        <w:numPr>
          <w:ilvl w:val="0"/>
          <w:numId w:val="3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verflowPunct/>
        <w:autoSpaceDE/>
        <w:autoSpaceDN/>
        <w:adjustRightInd/>
        <w:textAlignment w:val="auto"/>
        <w:rPr>
          <w:rFonts w:cs="Arial"/>
        </w:rPr>
      </w:pPr>
      <w:r w:rsidRPr="006725F3">
        <w:rPr>
          <w:rFonts w:cs="Arial"/>
        </w:rPr>
        <w:t>Costs should be shown separately by financial year and where more than one type of methodology is involved the costs need to be shown separately for each element, e.g.:</w:t>
      </w:r>
    </w:p>
    <w:p w14:paraId="0B059C62" w14:textId="77777777" w:rsidR="002F14C5" w:rsidRPr="006725F3" w:rsidRDefault="002F14C5" w:rsidP="00EA4286">
      <w:pPr>
        <w:pStyle w:val="DfESBullets"/>
        <w:numPr>
          <w:ilvl w:val="0"/>
          <w:numId w:val="34"/>
        </w:numPr>
        <w:tabs>
          <w:tab w:val="clear" w:pos="360"/>
        </w:tabs>
        <w:spacing w:after="0"/>
        <w:ind w:left="2160" w:firstLine="0"/>
      </w:pPr>
      <w:r w:rsidRPr="006725F3">
        <w:t>group discussions;</w:t>
      </w:r>
    </w:p>
    <w:p w14:paraId="714D106C" w14:textId="77777777" w:rsidR="002F14C5" w:rsidRPr="006725F3" w:rsidRDefault="002F14C5" w:rsidP="00EA4286">
      <w:pPr>
        <w:pStyle w:val="DfESBullets"/>
        <w:numPr>
          <w:ilvl w:val="0"/>
          <w:numId w:val="35"/>
        </w:numPr>
        <w:tabs>
          <w:tab w:val="clear" w:pos="360"/>
        </w:tabs>
        <w:spacing w:after="0"/>
        <w:ind w:firstLine="0"/>
      </w:pPr>
      <w:r w:rsidRPr="006725F3">
        <w:t>personal interview;</w:t>
      </w:r>
    </w:p>
    <w:p w14:paraId="347C019C" w14:textId="77777777" w:rsidR="002F14C5" w:rsidRPr="006725F3" w:rsidRDefault="002F14C5" w:rsidP="00EA4286">
      <w:pPr>
        <w:pStyle w:val="DfESBullets"/>
        <w:numPr>
          <w:ilvl w:val="0"/>
          <w:numId w:val="36"/>
        </w:numPr>
        <w:tabs>
          <w:tab w:val="clear" w:pos="360"/>
        </w:tabs>
        <w:spacing w:after="0"/>
        <w:ind w:firstLine="0"/>
      </w:pPr>
      <w:r w:rsidRPr="006725F3">
        <w:t>telephone survey;</w:t>
      </w:r>
    </w:p>
    <w:p w14:paraId="1456999D" w14:textId="77777777" w:rsidR="002F14C5" w:rsidRPr="006725F3" w:rsidRDefault="002F14C5" w:rsidP="00EA4286">
      <w:pPr>
        <w:pStyle w:val="DfESBullets"/>
        <w:numPr>
          <w:ilvl w:val="0"/>
          <w:numId w:val="37"/>
        </w:numPr>
        <w:tabs>
          <w:tab w:val="clear" w:pos="360"/>
        </w:tabs>
        <w:spacing w:after="0"/>
        <w:ind w:firstLine="0"/>
      </w:pPr>
      <w:r w:rsidRPr="006725F3">
        <w:t>postal survey; and</w:t>
      </w:r>
    </w:p>
    <w:p w14:paraId="594FCAA4" w14:textId="77777777" w:rsidR="002F14C5" w:rsidRPr="006725F3" w:rsidRDefault="002F14C5" w:rsidP="00EA4286">
      <w:pPr>
        <w:pStyle w:val="DfESBullets"/>
        <w:numPr>
          <w:ilvl w:val="0"/>
          <w:numId w:val="38"/>
        </w:numPr>
        <w:tabs>
          <w:tab w:val="clear" w:pos="360"/>
        </w:tabs>
        <w:spacing w:after="0"/>
        <w:ind w:firstLine="0"/>
      </w:pPr>
      <w:r w:rsidRPr="006725F3">
        <w:t>desk research.</w:t>
      </w:r>
    </w:p>
    <w:p w14:paraId="651DCEAA" w14:textId="77777777" w:rsidR="002F14C5" w:rsidRDefault="002F14C5" w:rsidP="002F14C5">
      <w:pPr>
        <w:pStyle w:val="Numbered"/>
        <w:widowControl/>
        <w:ind w:left="720"/>
        <w:rPr>
          <w:b/>
        </w:rPr>
      </w:pPr>
    </w:p>
    <w:p w14:paraId="438E4ED6" w14:textId="77777777" w:rsidR="002F14C5" w:rsidRPr="00857A76" w:rsidRDefault="002F14C5" w:rsidP="002F14C5">
      <w:pPr>
        <w:pStyle w:val="Numbered"/>
        <w:ind w:left="720"/>
        <w:rPr>
          <w:rFonts w:cs="Arial"/>
          <w:b/>
        </w:rPr>
      </w:pPr>
      <w:r w:rsidRPr="00857A76">
        <w:rPr>
          <w:rFonts w:cs="Arial"/>
          <w:b/>
        </w:rPr>
        <w:t xml:space="preserve">Section </w:t>
      </w:r>
      <w:r>
        <w:rPr>
          <w:rFonts w:cs="Arial"/>
          <w:b/>
        </w:rPr>
        <w:t>4</w:t>
      </w:r>
      <w:r>
        <w:rPr>
          <w:rFonts w:cs="Arial"/>
          <w:b/>
        </w:rPr>
        <w:tab/>
        <w:t>Risk Management</w:t>
      </w:r>
    </w:p>
    <w:p w14:paraId="457343FB" w14:textId="77777777" w:rsidR="002F14C5" w:rsidRDefault="002F14C5" w:rsidP="002F14C5">
      <w:pPr>
        <w:pStyle w:val="Numbered"/>
        <w:widowControl/>
        <w:ind w:left="720"/>
        <w:rPr>
          <w:b/>
        </w:rPr>
      </w:pPr>
      <w:r>
        <w:rPr>
          <w:b/>
        </w:rPr>
        <w:lastRenderedPageBreak/>
        <w:t>Section 5</w:t>
      </w:r>
      <w:r>
        <w:rPr>
          <w:b/>
        </w:rPr>
        <w:tab/>
        <w:t>Data Security</w:t>
      </w:r>
    </w:p>
    <w:p w14:paraId="7203BEA9" w14:textId="77777777" w:rsidR="002F14C5" w:rsidRDefault="002F14C5" w:rsidP="002F14C5">
      <w:pPr>
        <w:pStyle w:val="Numbered"/>
        <w:widowControl/>
        <w:ind w:left="720"/>
        <w:rPr>
          <w:b/>
        </w:rPr>
      </w:pPr>
      <w:r>
        <w:rPr>
          <w:b/>
        </w:rPr>
        <w:t>Section 6</w:t>
      </w:r>
      <w:r>
        <w:rPr>
          <w:b/>
        </w:rPr>
        <w:tab/>
        <w:t xml:space="preserve">References </w:t>
      </w:r>
    </w:p>
    <w:p w14:paraId="14B6485E" w14:textId="77777777" w:rsidR="002F14C5" w:rsidRDefault="002F14C5" w:rsidP="002F14C5">
      <w:pPr>
        <w:pStyle w:val="Numbered"/>
        <w:widowControl/>
        <w:ind w:left="720"/>
      </w:pPr>
      <w:r>
        <w:rPr>
          <w:b/>
        </w:rPr>
        <w:t>Section 7</w:t>
      </w:r>
      <w:r>
        <w:rPr>
          <w:b/>
        </w:rPr>
        <w:tab/>
        <w:t xml:space="preserve">Declarations, Undertakings and Attachments </w:t>
      </w:r>
      <w:r>
        <w:t>(see Document 5)</w:t>
      </w:r>
    </w:p>
    <w:p w14:paraId="3002F213" w14:textId="77777777" w:rsidR="002F14C5" w:rsidRDefault="002F14C5" w:rsidP="00B73A7D">
      <w:pPr>
        <w:spacing w:line="276" w:lineRule="auto"/>
        <w:rPr>
          <w:rFonts w:cs="Arial"/>
        </w:rPr>
      </w:pPr>
      <w:r>
        <w:rPr>
          <w:rFonts w:cs="Arial"/>
        </w:rPr>
        <w:t>Sections 1 - 4 should not</w:t>
      </w:r>
      <w:r w:rsidRPr="006725F3">
        <w:rPr>
          <w:rFonts w:cs="Arial"/>
        </w:rPr>
        <w:t xml:space="preserve"> exceed 7 sides of A4</w:t>
      </w:r>
      <w:r>
        <w:rPr>
          <w:rFonts w:cs="Arial"/>
        </w:rPr>
        <w:t xml:space="preserve"> and sections 5 - 6 should not exceed 3 sides of A4, for a combined </w:t>
      </w:r>
      <w:r w:rsidRPr="00CF17C7">
        <w:rPr>
          <w:rFonts w:cs="Arial"/>
          <w:b/>
        </w:rPr>
        <w:t>total of 10 pages</w:t>
      </w:r>
      <w:r>
        <w:rPr>
          <w:rFonts w:cs="Arial"/>
        </w:rPr>
        <w:t>. Any bids above that</w:t>
      </w:r>
      <w:r w:rsidRPr="006725F3">
        <w:rPr>
          <w:rFonts w:cs="Arial"/>
        </w:rPr>
        <w:t xml:space="preserve"> will be not be considered.</w:t>
      </w:r>
      <w:r>
        <w:rPr>
          <w:rFonts w:cs="Arial"/>
        </w:rPr>
        <w:t xml:space="preserve"> </w:t>
      </w:r>
    </w:p>
    <w:p w14:paraId="7C0D9804" w14:textId="77777777" w:rsidR="00B73A7D" w:rsidRPr="00B73A7D" w:rsidRDefault="00B73A7D" w:rsidP="00B73A7D">
      <w:pPr>
        <w:spacing w:line="276" w:lineRule="auto"/>
        <w:rPr>
          <w:rFonts w:cs="Arial"/>
        </w:rPr>
      </w:pPr>
    </w:p>
    <w:p w14:paraId="308DDED8" w14:textId="77777777" w:rsidR="002F14C5" w:rsidRDefault="002F14C5" w:rsidP="002F14C5">
      <w:pPr>
        <w:pStyle w:val="Numbered"/>
        <w:widowControl/>
        <w:rPr>
          <w:b/>
        </w:rPr>
      </w:pPr>
      <w:r>
        <w:rPr>
          <w:b/>
        </w:rPr>
        <w:t>Conclusions</w:t>
      </w:r>
    </w:p>
    <w:p w14:paraId="4DAAD504" w14:textId="77777777" w:rsidR="002F14C5" w:rsidRDefault="002F14C5" w:rsidP="002F14C5">
      <w:pPr>
        <w:pStyle w:val="Numbered"/>
        <w:widowControl/>
        <w:ind w:left="720" w:hanging="720"/>
      </w:pPr>
      <w:r>
        <w:t>20</w:t>
      </w:r>
      <w:r>
        <w:tab/>
        <w:t>Whilst every endeavour has been made to give tenderers an accurate description of the Commission’s requirement, tenderers should make their own assessment about the methods and resources needed to meet those requirements.</w:t>
      </w:r>
    </w:p>
    <w:p w14:paraId="2DBADE69" w14:textId="77777777" w:rsidR="000846D5" w:rsidRPr="000846D5" w:rsidRDefault="000846D5" w:rsidP="00671556">
      <w:pPr>
        <w:pStyle w:val="Numbered"/>
        <w:widowControl/>
        <w:ind w:left="720" w:hanging="720"/>
      </w:pPr>
    </w:p>
    <w:p w14:paraId="74F32175" w14:textId="77777777" w:rsidR="00CA1712" w:rsidRDefault="00CA1712">
      <w:pPr>
        <w:pStyle w:val="Numbered"/>
        <w:widowControl/>
        <w:jc w:val="right"/>
        <w:rPr>
          <w:b/>
        </w:rPr>
      </w:pPr>
      <w:r>
        <w:br w:type="page"/>
      </w:r>
      <w:bookmarkStart w:id="5" w:name="Document3"/>
      <w:bookmarkEnd w:id="5"/>
      <w:r>
        <w:rPr>
          <w:b/>
        </w:rPr>
        <w:lastRenderedPageBreak/>
        <w:t xml:space="preserve">DOCUMENT </w:t>
      </w:r>
      <w:r w:rsidR="00671556">
        <w:rPr>
          <w:b/>
        </w:rPr>
        <w:t>3</w:t>
      </w:r>
    </w:p>
    <w:p w14:paraId="2E577200" w14:textId="77777777" w:rsidR="002F14C5" w:rsidRPr="004D1053" w:rsidRDefault="002F14C5" w:rsidP="002F14C5">
      <w:pPr>
        <w:pStyle w:val="Numbered"/>
        <w:widowControl/>
        <w:ind w:left="720" w:hanging="720"/>
        <w:rPr>
          <w:b/>
        </w:rPr>
      </w:pPr>
      <w:r>
        <w:rPr>
          <w:b/>
        </w:rPr>
        <w:t xml:space="preserve">DEPARTMENTAL STANDARD </w:t>
      </w:r>
      <w:r w:rsidRPr="000B145D">
        <w:rPr>
          <w:b/>
        </w:rPr>
        <w:t>REQUIREMENTS</w:t>
      </w:r>
    </w:p>
    <w:p w14:paraId="6BBD4470" w14:textId="77777777" w:rsidR="002F14C5" w:rsidRDefault="002F14C5" w:rsidP="002F14C5">
      <w:pPr>
        <w:pStyle w:val="Numbered"/>
        <w:widowControl/>
      </w:pPr>
      <w:r>
        <w:rPr>
          <w:b/>
        </w:rPr>
        <w:t xml:space="preserve">Freedom </w:t>
      </w:r>
      <w:proofErr w:type="gramStart"/>
      <w:r>
        <w:rPr>
          <w:b/>
        </w:rPr>
        <w:t>Of</w:t>
      </w:r>
      <w:proofErr w:type="gramEnd"/>
      <w:r>
        <w:rPr>
          <w:b/>
        </w:rPr>
        <w:t xml:space="preserve"> Information</w:t>
      </w:r>
    </w:p>
    <w:p w14:paraId="56F75FBE" w14:textId="77777777" w:rsidR="002F14C5" w:rsidRDefault="002F14C5" w:rsidP="002F14C5">
      <w:pPr>
        <w:pStyle w:val="Numbered"/>
        <w:widowControl/>
        <w:ind w:left="720" w:hanging="720"/>
      </w:pPr>
      <w:r>
        <w:t>1</w:t>
      </w:r>
      <w:r>
        <w:tab/>
      </w:r>
      <w:r w:rsidR="005D7D23">
        <w:t>SMC</w:t>
      </w:r>
      <w:r>
        <w:t xml:space="preserve"> is committed to open government and to meeting their responsibilities under the Freedom of Information Act 2000. Accordingly, all information submitted to </w:t>
      </w:r>
      <w:r w:rsidR="005D7D23">
        <w:t>SMC</w:t>
      </w:r>
      <w:r>
        <w:t xml:space="preserve"> may need to be disclosed in response to a request under the Act.  If you consider that any of the information included in your tender is commercially sensitive, please identify it and explain (in broad terms) what harm may result from disclosure if a request is received, and the time period applicable to that sensitivity. You should be aware that, even where you have indicated that information is commercially sensitive, we may still be required to disclose it under the Act if a request is received. Please also note that the receipt of any material marked ‘confidential’ or equivalent by </w:t>
      </w:r>
      <w:r w:rsidR="005D7D23">
        <w:t>SMC</w:t>
      </w:r>
      <w:r>
        <w:t xml:space="preserve"> should not be taken to mean that we accept any duty of confidence by virtue of that marking. If a request is received, we may also be required to disclose details of unsuccessful tenders.  </w:t>
      </w:r>
    </w:p>
    <w:p w14:paraId="6B20DAF5" w14:textId="77777777" w:rsidR="002F14C5" w:rsidRPr="000E2959" w:rsidRDefault="002F14C5" w:rsidP="002F14C5">
      <w:pPr>
        <w:pStyle w:val="Numbered"/>
        <w:widowControl/>
        <w:ind w:left="720" w:hanging="720"/>
        <w:rPr>
          <w:b/>
        </w:rPr>
      </w:pPr>
      <w:r>
        <w:rPr>
          <w:b/>
        </w:rPr>
        <w:t>Publication of Contract</w:t>
      </w:r>
    </w:p>
    <w:p w14:paraId="667CC829" w14:textId="77777777" w:rsidR="002F14C5" w:rsidRDefault="002F14C5" w:rsidP="002F14C5">
      <w:pPr>
        <w:pStyle w:val="Numbered"/>
        <w:widowControl/>
        <w:ind w:left="720" w:hanging="720"/>
      </w:pPr>
      <w:r>
        <w:t>2</w:t>
      </w:r>
      <w:r>
        <w:tab/>
        <w:t xml:space="preserve">Under the Government’s Transparency requirements we are obliged to publish the contract between </w:t>
      </w:r>
      <w:r w:rsidR="005D7D23">
        <w:t>SMC</w:t>
      </w:r>
      <w:r>
        <w:t xml:space="preserve"> and the successful tenderer(s) in full.  The successful tenderer(s) should identify any information regarded as commercially sensitive and explain (in broad terms) what harm may result from disclosure and the time period applicable to that sensitivity.  You should be aware that, even where you have indicated that information is commercially sensitive, we may still be required to disclose it if the public interest in disclosure outweighs withholding the information. See ‘</w:t>
      </w:r>
      <w:hyperlink r:id="rId16" w:history="1">
        <w:r w:rsidRPr="005418D4">
          <w:rPr>
            <w:rStyle w:val="Hyperlink"/>
          </w:rPr>
          <w:t>The Transparency of Suppliers and Government to the Public</w:t>
        </w:r>
      </w:hyperlink>
      <w:r>
        <w:t>’ for more detail.</w:t>
      </w:r>
    </w:p>
    <w:p w14:paraId="5C17C11B" w14:textId="77777777" w:rsidR="002F14C5" w:rsidRDefault="002F14C5" w:rsidP="002F14C5">
      <w:pPr>
        <w:pStyle w:val="Numbered"/>
        <w:widowControl/>
      </w:pPr>
      <w:r>
        <w:rPr>
          <w:b/>
        </w:rPr>
        <w:t>Information Sharing Across Government</w:t>
      </w:r>
    </w:p>
    <w:p w14:paraId="16581E73" w14:textId="77777777" w:rsidR="002F14C5" w:rsidRDefault="002F14C5" w:rsidP="002F14C5">
      <w:pPr>
        <w:pStyle w:val="Numbered"/>
        <w:widowControl/>
        <w:ind w:left="720" w:hanging="720"/>
      </w:pPr>
      <w:r>
        <w:t>3</w:t>
      </w:r>
      <w:r>
        <w:tab/>
        <w:t xml:space="preserve">All Central Government Departments and their Executive Agencies and </w:t>
      </w:r>
      <w:proofErr w:type="gramStart"/>
      <w:r>
        <w:t>Non Departmental</w:t>
      </w:r>
      <w:proofErr w:type="gramEnd"/>
      <w:r>
        <w:t xml:space="preserve"> Public Bodies are subject to control and reporting within Government. </w:t>
      </w:r>
      <w:proofErr w:type="gramStart"/>
      <w:r>
        <w:t>In particular, they</w:t>
      </w:r>
      <w:proofErr w:type="gramEnd"/>
      <w: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14:paraId="4D94DBFF" w14:textId="77777777" w:rsidR="002F14C5" w:rsidRPr="009F0C94" w:rsidRDefault="002F14C5" w:rsidP="002F14C5">
      <w:pPr>
        <w:pStyle w:val="Numbered"/>
        <w:widowControl/>
        <w:ind w:left="720" w:hanging="720"/>
      </w:pPr>
      <w:r>
        <w:t>4</w:t>
      </w:r>
      <w:r>
        <w:tab/>
        <w:t xml:space="preserve">For these purposes, </w:t>
      </w:r>
      <w:r w:rsidR="005D7D23">
        <w:t>SMC</w:t>
      </w:r>
      <w:r>
        <w:t xml:space="preserve"> may disclose within Government any of the Contractor's documentation/information (including any that the Contractor considers to be confidential and/or commercially sensitive such as specific bid information) submitted by the Contractor to </w:t>
      </w:r>
      <w:r w:rsidR="005D7D23">
        <w:t>SMC</w:t>
      </w:r>
      <w:r>
        <w:t xml:space="preserve"> during this Procurement. The information will not be disclosed outside Government. Contractors taking part in this competition consent to these terms as part of the competition process.”</w:t>
      </w:r>
    </w:p>
    <w:p w14:paraId="62C8A4A5" w14:textId="77777777" w:rsidR="002F14C5" w:rsidRDefault="002F14C5" w:rsidP="002F14C5">
      <w:pPr>
        <w:pStyle w:val="Numbered"/>
        <w:widowControl/>
        <w:rPr>
          <w:b/>
        </w:rPr>
      </w:pPr>
      <w:r>
        <w:rPr>
          <w:b/>
        </w:rPr>
        <w:t xml:space="preserve">Cyber Essentials Scheme </w:t>
      </w:r>
    </w:p>
    <w:p w14:paraId="46613412" w14:textId="77777777" w:rsidR="002F14C5" w:rsidRPr="000C1EB1" w:rsidRDefault="002F14C5" w:rsidP="002F14C5">
      <w:pPr>
        <w:pStyle w:val="Numbered"/>
        <w:widowControl/>
        <w:ind w:left="720" w:hanging="720"/>
      </w:pPr>
      <w:r>
        <w:t>5</w:t>
      </w:r>
      <w:r>
        <w:tab/>
        <w:t>T</w:t>
      </w:r>
      <w:r w:rsidRPr="000C1EB1">
        <w:t xml:space="preserve">he Government </w:t>
      </w:r>
      <w:r>
        <w:t xml:space="preserve">has </w:t>
      </w:r>
      <w:r w:rsidRPr="000C1EB1">
        <w:t>introduc</w:t>
      </w:r>
      <w:r>
        <w:t>ed</w:t>
      </w:r>
      <w:r w:rsidRPr="000C1EB1">
        <w:t xml:space="preserve"> its new Cyber Essentials Scheme</w:t>
      </w:r>
      <w:r>
        <w:t xml:space="preserve"> in consultation with industry</w:t>
      </w:r>
      <w:r w:rsidRPr="000C1EB1">
        <w:t xml:space="preserve"> to mitigate the risk from common </w:t>
      </w:r>
      <w:proofErr w:type="gramStart"/>
      <w:r w:rsidRPr="000C1EB1">
        <w:t>internet based</w:t>
      </w:r>
      <w:proofErr w:type="gramEnd"/>
      <w:r w:rsidRPr="000C1EB1">
        <w:t xml:space="preserve"> threats.</w:t>
      </w:r>
    </w:p>
    <w:p w14:paraId="1A17601F" w14:textId="77777777" w:rsidR="002F14C5" w:rsidRPr="000C1EB1" w:rsidRDefault="002F14C5" w:rsidP="002F14C5">
      <w:pPr>
        <w:pStyle w:val="Numbered"/>
        <w:widowControl/>
        <w:ind w:left="720" w:hanging="720"/>
      </w:pPr>
      <w:r>
        <w:t>6</w:t>
      </w:r>
      <w:r>
        <w:tab/>
        <w:t>It is m</w:t>
      </w:r>
      <w:r w:rsidRPr="000C1EB1">
        <w:t xml:space="preserve">andatory for new Central Government contracts, which feature characteristics involving the handling of personal data and ICT systems designed to store or process data at the OFFICIAL level of the </w:t>
      </w:r>
      <w:hyperlink r:id="rId17" w:history="1">
        <w:r w:rsidRPr="00016AF4">
          <w:rPr>
            <w:rStyle w:val="Hyperlink"/>
          </w:rPr>
          <w:t>Government Security Classifications scheme</w:t>
        </w:r>
      </w:hyperlink>
      <w:r w:rsidRPr="000C1EB1">
        <w:t xml:space="preserve">  to comply with Cyber Essentials</w:t>
      </w:r>
      <w:r>
        <w:t xml:space="preserve"> requirements</w:t>
      </w:r>
      <w:r w:rsidRPr="000C1EB1">
        <w:t>.</w:t>
      </w:r>
    </w:p>
    <w:p w14:paraId="0DCF46FA" w14:textId="77777777" w:rsidR="002F14C5" w:rsidRDefault="002F14C5" w:rsidP="002F14C5">
      <w:pPr>
        <w:pStyle w:val="Numbered"/>
        <w:widowControl/>
        <w:ind w:left="720" w:hanging="720"/>
      </w:pPr>
      <w:r>
        <w:lastRenderedPageBreak/>
        <w:t>7</w:t>
      </w:r>
      <w:r>
        <w:tab/>
      </w:r>
      <w:r w:rsidRPr="000C1EB1">
        <w:t xml:space="preserve">All potential tenderers for Central Government contracts, featuring the above characteristics, should make themselves aware of </w:t>
      </w:r>
      <w:hyperlink r:id="rId18" w:history="1">
        <w:r w:rsidRPr="00016AF4">
          <w:rPr>
            <w:rStyle w:val="Hyperlink"/>
          </w:rPr>
          <w:t>Cyber Essentials</w:t>
        </w:r>
      </w:hyperlink>
      <w:r w:rsidRPr="000C1EB1">
        <w:t xml:space="preserve"> and the requirements for the appropriate level of certification “or equivalent”.  </w:t>
      </w:r>
    </w:p>
    <w:p w14:paraId="63E2A3C2" w14:textId="77777777" w:rsidR="002F14C5" w:rsidRPr="000C1EB1" w:rsidRDefault="002F14C5" w:rsidP="002F14C5">
      <w:pPr>
        <w:pStyle w:val="Numbered"/>
        <w:widowControl/>
        <w:ind w:left="720" w:hanging="720"/>
      </w:pPr>
      <w:r>
        <w:t>8</w:t>
      </w:r>
      <w:r>
        <w:tab/>
      </w:r>
      <w:r w:rsidRPr="000C1EB1">
        <w:t>As this requirement features the above characteristics, you are required to demonstrate in your tender response that:</w:t>
      </w:r>
    </w:p>
    <w:p w14:paraId="08B13980" w14:textId="77777777" w:rsidR="002F14C5" w:rsidRPr="000C1EB1" w:rsidRDefault="002F14C5" w:rsidP="00EA4286">
      <w:pPr>
        <w:pStyle w:val="Numbered"/>
        <w:widowControl/>
        <w:numPr>
          <w:ilvl w:val="0"/>
          <w:numId w:val="8"/>
        </w:numPr>
      </w:pPr>
      <w:r w:rsidRPr="000C1EB1">
        <w:t xml:space="preserve">Your organisation will be able to secure </w:t>
      </w:r>
      <w:r w:rsidRPr="00A81434">
        <w:rPr>
          <w:b/>
        </w:rPr>
        <w:t>Cyber Essentials</w:t>
      </w:r>
      <w:r w:rsidRPr="000C1EB1">
        <w:t xml:space="preserve"> certification prior to contract award; or</w:t>
      </w:r>
    </w:p>
    <w:p w14:paraId="11F785D2" w14:textId="77777777" w:rsidR="002F14C5" w:rsidRPr="000C1EB1" w:rsidRDefault="002F14C5" w:rsidP="00EA4286">
      <w:pPr>
        <w:pStyle w:val="Numbered"/>
        <w:widowControl/>
        <w:numPr>
          <w:ilvl w:val="0"/>
          <w:numId w:val="8"/>
        </w:numPr>
      </w:pPr>
      <w:r w:rsidRPr="000C1EB1">
        <w:t xml:space="preserve">Your organisation has equivalent evidence to support that you have appropriate technical and organisational measures to mitigate the risk from common </w:t>
      </w:r>
      <w:proofErr w:type="gramStart"/>
      <w:r w:rsidRPr="000C1EB1">
        <w:t>internet based</w:t>
      </w:r>
      <w:proofErr w:type="gramEnd"/>
      <w:r w:rsidRPr="000C1EB1">
        <w:t xml:space="preserve"> threats in respect to the following five technical areas:</w:t>
      </w:r>
    </w:p>
    <w:p w14:paraId="5FD5841B" w14:textId="77777777" w:rsidR="002F14C5" w:rsidRPr="000C1EB1" w:rsidRDefault="002F14C5" w:rsidP="00EA4286">
      <w:pPr>
        <w:pStyle w:val="Numbered"/>
        <w:widowControl/>
        <w:numPr>
          <w:ilvl w:val="0"/>
          <w:numId w:val="9"/>
        </w:numPr>
      </w:pPr>
      <w:r w:rsidRPr="000C1EB1">
        <w:t xml:space="preserve">Boundary firewalls and internet gateways - these are devices designed to prevent unauthorised access to or from private networks, but good setup of these devices either in hardware or software form is important for them to be fully effective. </w:t>
      </w:r>
    </w:p>
    <w:p w14:paraId="1D39F034" w14:textId="77777777" w:rsidR="002F14C5" w:rsidRPr="000C1EB1" w:rsidRDefault="002F14C5" w:rsidP="00EA4286">
      <w:pPr>
        <w:pStyle w:val="Numbered"/>
        <w:widowControl/>
        <w:numPr>
          <w:ilvl w:val="0"/>
          <w:numId w:val="9"/>
        </w:numPr>
      </w:pPr>
      <w:r w:rsidRPr="000C1EB1">
        <w:t xml:space="preserve">Secure configuration – ensuring that systems are configured in the most secure way for the needs of the organisation </w:t>
      </w:r>
    </w:p>
    <w:p w14:paraId="52C0C00C" w14:textId="77777777" w:rsidR="002F14C5" w:rsidRPr="000C1EB1" w:rsidRDefault="002F14C5" w:rsidP="00EA4286">
      <w:pPr>
        <w:pStyle w:val="Numbered"/>
        <w:widowControl/>
        <w:numPr>
          <w:ilvl w:val="0"/>
          <w:numId w:val="9"/>
        </w:numPr>
      </w:pPr>
      <w:r w:rsidRPr="000C1EB1">
        <w:t xml:space="preserve">Access control – Ensuring only those who should have access to systems to have access and at the appropriate level. </w:t>
      </w:r>
    </w:p>
    <w:p w14:paraId="47947F4D" w14:textId="77777777" w:rsidR="002F14C5" w:rsidRPr="000C1EB1" w:rsidRDefault="002F14C5" w:rsidP="00EA4286">
      <w:pPr>
        <w:pStyle w:val="Numbered"/>
        <w:widowControl/>
        <w:numPr>
          <w:ilvl w:val="0"/>
          <w:numId w:val="9"/>
        </w:numPr>
      </w:pPr>
      <w:r w:rsidRPr="000C1EB1">
        <w:t xml:space="preserve">Malware protection – ensuring that virus and malware protection is installed and is up to date </w:t>
      </w:r>
    </w:p>
    <w:p w14:paraId="26E478E0" w14:textId="77777777" w:rsidR="002F14C5" w:rsidRPr="000C1EB1" w:rsidRDefault="002F14C5" w:rsidP="00EA4286">
      <w:pPr>
        <w:pStyle w:val="Numbered"/>
        <w:widowControl/>
        <w:numPr>
          <w:ilvl w:val="0"/>
          <w:numId w:val="9"/>
        </w:numPr>
      </w:pPr>
      <w:r w:rsidRPr="000C1EB1">
        <w:t xml:space="preserve">Patch management – ensuring the latest supported version of applications is used and all the necessary patches supplied by the vendor </w:t>
      </w:r>
      <w:r>
        <w:t xml:space="preserve">have </w:t>
      </w:r>
      <w:r w:rsidRPr="000C1EB1">
        <w:t>been applied</w:t>
      </w:r>
      <w:r>
        <w:t>.</w:t>
      </w:r>
    </w:p>
    <w:p w14:paraId="25FE034A" w14:textId="77777777" w:rsidR="002F14C5" w:rsidRPr="000C1EB1" w:rsidRDefault="002F14C5" w:rsidP="002F14C5">
      <w:pPr>
        <w:pStyle w:val="Numbered"/>
        <w:widowControl/>
        <w:ind w:left="720"/>
      </w:pPr>
      <w:r w:rsidRPr="000C1EB1">
        <w:t>Any equivalent evidence must be verified by a technically competent</w:t>
      </w:r>
      <w:r>
        <w:t xml:space="preserve"> </w:t>
      </w:r>
      <w:r w:rsidRPr="000C1EB1">
        <w:t>and independent third party.</w:t>
      </w:r>
    </w:p>
    <w:p w14:paraId="1CD10687" w14:textId="77777777" w:rsidR="002F14C5" w:rsidRPr="00A81434" w:rsidRDefault="002F14C5" w:rsidP="002F14C5">
      <w:pPr>
        <w:pStyle w:val="Numbered"/>
        <w:widowControl/>
        <w:ind w:left="720" w:hanging="720"/>
      </w:pPr>
      <w:r>
        <w:t>9</w:t>
      </w:r>
      <w:r>
        <w:tab/>
      </w:r>
      <w:r w:rsidRPr="000C1EB1">
        <w:t xml:space="preserve">The successful tenderer will be </w:t>
      </w:r>
      <w:r w:rsidRPr="00A81434">
        <w:t xml:space="preserve">required to provide evidence of </w:t>
      </w:r>
      <w:r w:rsidRPr="00A81434">
        <w:rPr>
          <w:b/>
        </w:rPr>
        <w:t>Cyber Essentials</w:t>
      </w:r>
      <w:r w:rsidRPr="00A81434">
        <w:t xml:space="preserve"> certification “or equivalent” (i.e. demonstrate they meet the five technical areas the Cyber Essentials Scheme covers) prior to contract award.</w:t>
      </w:r>
    </w:p>
    <w:p w14:paraId="19F417F3" w14:textId="77777777" w:rsidR="002F14C5" w:rsidRPr="000C1EB1" w:rsidRDefault="002F14C5" w:rsidP="002F14C5">
      <w:pPr>
        <w:pStyle w:val="Numbered"/>
        <w:widowControl/>
        <w:ind w:left="720" w:hanging="720"/>
      </w:pPr>
      <w:r w:rsidRPr="00A81434">
        <w:t>10</w:t>
      </w:r>
      <w:r w:rsidRPr="00A81434">
        <w:tab/>
        <w:t xml:space="preserve">The successful tenderer will be required to secure and provide evidence of </w:t>
      </w:r>
      <w:r w:rsidRPr="00A81434">
        <w:rPr>
          <w:b/>
        </w:rPr>
        <w:t>Cyber Essentials</w:t>
      </w:r>
      <w:r w:rsidRPr="00A81434">
        <w:t xml:space="preserve"> re-certification “or equivalent” (i.e. demonstrate they meet the five technical areas) on an annual basis.</w:t>
      </w:r>
    </w:p>
    <w:p w14:paraId="444793E1" w14:textId="77777777" w:rsidR="002F14C5" w:rsidRDefault="002F14C5" w:rsidP="002F14C5">
      <w:pPr>
        <w:pStyle w:val="Numbered"/>
        <w:widowControl/>
        <w:ind w:left="720" w:hanging="720"/>
      </w:pPr>
      <w:r>
        <w:t>11</w:t>
      </w:r>
      <w:r>
        <w:tab/>
      </w:r>
      <w:r w:rsidRPr="000C1EB1">
        <w:t>Details of certification bodies are available at:</w:t>
      </w:r>
      <w:r>
        <w:t xml:space="preserve"> </w:t>
      </w:r>
      <w:hyperlink r:id="rId19" w:history="1">
        <w:r w:rsidRPr="005E75A3">
          <w:rPr>
            <w:rStyle w:val="Hyperlink"/>
          </w:rPr>
          <w:t>https://www.cyberstreetwise.com/cyberessentials</w:t>
        </w:r>
      </w:hyperlink>
    </w:p>
    <w:p w14:paraId="0900E6F9" w14:textId="77777777" w:rsidR="00B73A7D" w:rsidRDefault="00B73A7D" w:rsidP="002F14C5">
      <w:pPr>
        <w:pStyle w:val="Numbered"/>
        <w:widowControl/>
        <w:rPr>
          <w:b/>
        </w:rPr>
      </w:pPr>
      <w:bookmarkStart w:id="6" w:name="_Hlk5101953"/>
    </w:p>
    <w:p w14:paraId="02A995D5" w14:textId="77777777" w:rsidR="00B73A7D" w:rsidRDefault="00B73A7D" w:rsidP="002F14C5">
      <w:pPr>
        <w:pStyle w:val="Numbered"/>
        <w:widowControl/>
        <w:rPr>
          <w:b/>
        </w:rPr>
      </w:pPr>
    </w:p>
    <w:p w14:paraId="3EE5C8C6" w14:textId="77777777" w:rsidR="002F14C5" w:rsidRPr="004C6ED5" w:rsidRDefault="002F14C5" w:rsidP="002F14C5">
      <w:pPr>
        <w:pStyle w:val="Numbered"/>
        <w:widowControl/>
        <w:rPr>
          <w:b/>
        </w:rPr>
      </w:pPr>
      <w:r>
        <w:rPr>
          <w:b/>
        </w:rPr>
        <w:t>Data Security Standards</w:t>
      </w:r>
    </w:p>
    <w:p w14:paraId="105416D9" w14:textId="77777777" w:rsidR="002F14C5" w:rsidRPr="004109BC" w:rsidRDefault="002F14C5" w:rsidP="002F14C5">
      <w:pPr>
        <w:pStyle w:val="Numbered"/>
        <w:widowControl/>
        <w:ind w:left="720" w:hanging="720"/>
      </w:pPr>
      <w:r>
        <w:t>12</w:t>
      </w:r>
      <w:r>
        <w:tab/>
        <w:t xml:space="preserve">For contracts which require the holding or processing of either personal data and/or OFFICIAL data the successful contractor will need to assure </w:t>
      </w:r>
      <w:r w:rsidR="005D7D23">
        <w:t>SMC</w:t>
      </w:r>
      <w:r>
        <w:t xml:space="preserve"> that they can comply with the Department’s security standards.  </w:t>
      </w:r>
    </w:p>
    <w:bookmarkEnd w:id="6"/>
    <w:p w14:paraId="04FD2ED2" w14:textId="77777777" w:rsidR="002F14C5" w:rsidRPr="00AE6726" w:rsidRDefault="002F14C5" w:rsidP="002F14C5">
      <w:pPr>
        <w:pStyle w:val="Numbered"/>
        <w:widowControl/>
        <w:ind w:left="720" w:hanging="720"/>
        <w:rPr>
          <w:b/>
          <w:i/>
        </w:rPr>
      </w:pPr>
      <w:r>
        <w:lastRenderedPageBreak/>
        <w:t>13</w:t>
      </w:r>
      <w:r>
        <w:tab/>
        <w:t>Departmental security standards are listed as contract clauses in an annex to this letter (see Document 4 – List of Attachments</w:t>
      </w:r>
      <w:r w:rsidRPr="00BE7EAD">
        <w:t xml:space="preserve">). </w:t>
      </w:r>
    </w:p>
    <w:p w14:paraId="7FF9D34D" w14:textId="77777777" w:rsidR="002F14C5" w:rsidRDefault="002F14C5" w:rsidP="002F14C5">
      <w:pPr>
        <w:pStyle w:val="Numbered"/>
        <w:widowControl/>
      </w:pPr>
      <w:r>
        <w:rPr>
          <w:b/>
        </w:rPr>
        <w:t>Prompt Payment Policy</w:t>
      </w:r>
    </w:p>
    <w:p w14:paraId="2E2C26D6" w14:textId="77777777" w:rsidR="002F14C5" w:rsidRDefault="002F14C5" w:rsidP="002F14C5">
      <w:pPr>
        <w:pStyle w:val="Numbered"/>
        <w:widowControl/>
        <w:ind w:left="720" w:hanging="720"/>
      </w:pPr>
      <w:r>
        <w:t>14</w:t>
      </w:r>
      <w:r>
        <w:tab/>
        <w:t xml:space="preserve">Government’s aim </w:t>
      </w:r>
      <w:r w:rsidRPr="00C337BE">
        <w:t xml:space="preserve">is to pay </w:t>
      </w:r>
      <w:r>
        <w:t xml:space="preserve">80% of </w:t>
      </w:r>
      <w:r w:rsidRPr="00C337BE">
        <w:t>all correc</w:t>
      </w:r>
      <w:r>
        <w:t>tly submitted invoices within 5</w:t>
      </w:r>
      <w:r w:rsidRPr="00C337BE">
        <w:t xml:space="preserve"> </w:t>
      </w:r>
      <w:r>
        <w:t xml:space="preserve">days </w:t>
      </w:r>
      <w:r w:rsidRPr="00C337BE">
        <w:t>of receipt and we are 100% committed to paying correctly submitted invoices within 30 days of receipt from the day of physical or electronic arrival at the nominated address of the Department.</w:t>
      </w:r>
    </w:p>
    <w:p w14:paraId="6EDAAEF0" w14:textId="77777777" w:rsidR="002F14C5" w:rsidRPr="00C337BE" w:rsidRDefault="002F14C5" w:rsidP="002F14C5">
      <w:pPr>
        <w:pStyle w:val="Numbered"/>
        <w:widowControl/>
        <w:ind w:left="720" w:hanging="720"/>
      </w:pPr>
      <w:r>
        <w:t>15</w:t>
      </w:r>
      <w:r>
        <w:tab/>
      </w:r>
      <w:r w:rsidRPr="00C337BE">
        <w:t xml:space="preserve">The payment period will be deemed to have started when a </w:t>
      </w:r>
      <w:r w:rsidRPr="007F2B7A">
        <w:t xml:space="preserve">correctly </w:t>
      </w:r>
      <w:r>
        <w:t>submitted</w:t>
      </w:r>
      <w:r w:rsidRPr="007F2B7A">
        <w:t xml:space="preserve"> invoice reaches the nominated address</w:t>
      </w:r>
      <w:r>
        <w:t xml:space="preserve"> or emailed to contact@socialmobilitycommission.gov.uk</w:t>
      </w:r>
      <w:r w:rsidRPr="00C337BE">
        <w:t xml:space="preserve">.  </w:t>
      </w:r>
      <w:r>
        <w:t>Contractors</w:t>
      </w:r>
      <w:r w:rsidRPr="00C337BE">
        <w:t xml:space="preserve"> </w:t>
      </w:r>
      <w:r>
        <w:t>can</w:t>
      </w:r>
      <w:r w:rsidRPr="00C337BE">
        <w:t xml:space="preserve"> assume receipt to be two days after mailing (by first class post). The thirty day “clock” therefore commences two days after mailing first class</w:t>
      </w:r>
      <w:r>
        <w:t xml:space="preserve">. </w:t>
      </w:r>
    </w:p>
    <w:p w14:paraId="56762D2A" w14:textId="77777777" w:rsidR="002F14C5" w:rsidRPr="00C337BE" w:rsidRDefault="002F14C5" w:rsidP="002F14C5">
      <w:pPr>
        <w:pStyle w:val="Numbered"/>
      </w:pPr>
      <w:r>
        <w:t>16</w:t>
      </w:r>
      <w:r>
        <w:tab/>
      </w:r>
      <w:r w:rsidRPr="00C337BE">
        <w:t>A correct invoice is one that is:</w:t>
      </w:r>
    </w:p>
    <w:p w14:paraId="0EAF8764" w14:textId="77777777" w:rsidR="002F14C5" w:rsidRPr="00C337BE" w:rsidRDefault="002F14C5" w:rsidP="002F14C5">
      <w:pPr>
        <w:pStyle w:val="Numbered"/>
        <w:numPr>
          <w:ilvl w:val="0"/>
          <w:numId w:val="6"/>
        </w:numPr>
      </w:pPr>
      <w:r w:rsidRPr="00C337BE">
        <w:t xml:space="preserve">delivered in timing in accordance with the contract; </w:t>
      </w:r>
    </w:p>
    <w:p w14:paraId="7EE9C6B7" w14:textId="77777777" w:rsidR="002F14C5" w:rsidRPr="00C337BE" w:rsidRDefault="002F14C5" w:rsidP="002F14C5">
      <w:pPr>
        <w:pStyle w:val="Numbered"/>
        <w:numPr>
          <w:ilvl w:val="0"/>
          <w:numId w:val="6"/>
        </w:numPr>
      </w:pPr>
      <w:r w:rsidRPr="00C337BE">
        <w:t xml:space="preserve">that is for the correct sum; </w:t>
      </w:r>
    </w:p>
    <w:p w14:paraId="69794DF1" w14:textId="77777777" w:rsidR="002F14C5" w:rsidRPr="00C337BE" w:rsidRDefault="002F14C5" w:rsidP="002F14C5">
      <w:pPr>
        <w:pStyle w:val="Numbered"/>
        <w:numPr>
          <w:ilvl w:val="0"/>
          <w:numId w:val="6"/>
        </w:numPr>
      </w:pPr>
      <w:r w:rsidRPr="00C337BE">
        <w:t xml:space="preserve">In respect of goods / services supplied or delivered to the required quality (or are expected to be at the required quality); </w:t>
      </w:r>
    </w:p>
    <w:p w14:paraId="6DB0134E" w14:textId="77777777" w:rsidR="002F14C5" w:rsidRPr="00C337BE" w:rsidRDefault="002F14C5" w:rsidP="002F14C5">
      <w:pPr>
        <w:pStyle w:val="Numbered"/>
        <w:numPr>
          <w:ilvl w:val="0"/>
          <w:numId w:val="6"/>
        </w:numPr>
      </w:pPr>
      <w:r w:rsidRPr="00C337BE">
        <w:t>include the date, supplier name, contact details and bank details</w:t>
      </w:r>
      <w:r>
        <w:t>;</w:t>
      </w:r>
    </w:p>
    <w:p w14:paraId="16E181BD" w14:textId="77777777" w:rsidR="002F14C5" w:rsidRPr="00C337BE" w:rsidRDefault="002F14C5" w:rsidP="002F14C5">
      <w:pPr>
        <w:pStyle w:val="Numbered"/>
        <w:numPr>
          <w:ilvl w:val="0"/>
          <w:numId w:val="6"/>
        </w:numPr>
      </w:pPr>
      <w:r w:rsidRPr="00C337BE">
        <w:t xml:space="preserve">which quote the relevant purchase order / </w:t>
      </w:r>
      <w:r>
        <w:t>contract reference;</w:t>
      </w:r>
    </w:p>
    <w:p w14:paraId="643AE070" w14:textId="77777777" w:rsidR="002F14C5" w:rsidRPr="00C337BE" w:rsidRDefault="002F14C5" w:rsidP="002F14C5">
      <w:pPr>
        <w:pStyle w:val="Numbered"/>
        <w:numPr>
          <w:ilvl w:val="0"/>
          <w:numId w:val="6"/>
        </w:numPr>
      </w:pPr>
      <w:r w:rsidRPr="00C337BE">
        <w:t>which has been delivered to the nominated</w:t>
      </w:r>
      <w:r>
        <w:t xml:space="preserve"> address.</w:t>
      </w:r>
    </w:p>
    <w:p w14:paraId="41C10C0B" w14:textId="77777777" w:rsidR="002F14C5" w:rsidRPr="00A6648E" w:rsidRDefault="002F14C5" w:rsidP="002F14C5">
      <w:pPr>
        <w:pStyle w:val="Numbered"/>
        <w:ind w:left="720" w:hanging="720"/>
      </w:pPr>
      <w:r>
        <w:t>17</w:t>
      </w:r>
      <w:r>
        <w:tab/>
      </w:r>
      <w:r w:rsidRPr="00C337BE">
        <w:t>Any correctly submitted invoices that</w:t>
      </w:r>
      <w:r>
        <w:t xml:space="preserve"> are not paid within 30 days will</w:t>
      </w:r>
      <w:r w:rsidRPr="00C337BE">
        <w:t xml:space="preserve"> be subject </w:t>
      </w:r>
      <w:r w:rsidRPr="00A6648E">
        <w:t>to the provisions of the Late Payment of Commercial Debt (Interest) Act 1998.</w:t>
      </w:r>
    </w:p>
    <w:p w14:paraId="25F7D64B" w14:textId="77777777" w:rsidR="002F14C5" w:rsidRPr="00A6648E" w:rsidRDefault="002F14C5" w:rsidP="002F14C5">
      <w:pPr>
        <w:pStyle w:val="Numbered"/>
        <w:ind w:left="720" w:hanging="720"/>
        <w:rPr>
          <w:b/>
        </w:rPr>
      </w:pPr>
      <w:r w:rsidRPr="00A6648E">
        <w:rPr>
          <w:rFonts w:cs="Arial"/>
          <w:b/>
        </w:rPr>
        <w:t>Sub-contracting to Small and Medium Enterprises (SMEs)</w:t>
      </w:r>
    </w:p>
    <w:p w14:paraId="2FE4BBFC" w14:textId="77777777" w:rsidR="002F14C5" w:rsidRPr="00A6648E" w:rsidRDefault="002F14C5" w:rsidP="002F14C5">
      <w:pPr>
        <w:ind w:left="720" w:hanging="720"/>
        <w:rPr>
          <w:rFonts w:cs="Arial"/>
        </w:rPr>
      </w:pPr>
      <w:r w:rsidRPr="00A6648E">
        <w:t>18</w:t>
      </w:r>
      <w:r w:rsidRPr="00A6648E">
        <w:tab/>
      </w:r>
      <w:r w:rsidR="00A6648E">
        <w:rPr>
          <w:rFonts w:cs="Arial"/>
        </w:rPr>
        <w:t>SMC</w:t>
      </w:r>
      <w:r w:rsidRPr="00A6648E">
        <w:rPr>
          <w:rFonts w:cs="Arial"/>
        </w:rPr>
        <w:t xml:space="preserve"> is committed to removing barriers to SME participation in its </w:t>
      </w:r>
      <w:proofErr w:type="gramStart"/>
      <w:r w:rsidRPr="00A6648E">
        <w:rPr>
          <w:rFonts w:cs="Arial"/>
        </w:rPr>
        <w:t>contracts, and</w:t>
      </w:r>
      <w:proofErr w:type="gramEnd"/>
      <w:r w:rsidRPr="00A6648E">
        <w:rPr>
          <w:rFonts w:cs="Arial"/>
        </w:rPr>
        <w:t xml:space="preserve"> would like to also actively encourage its larger suppliers to make their sub-contacts accessible to smaller companies and implement SME-friendly policies in their supply-chains.  This can be achieved by advertising subcontracting opportunities on Contracts Finder and implementing the principles of the SME and Growth Agenda in your own organisation.   </w:t>
      </w:r>
    </w:p>
    <w:p w14:paraId="750C89FC" w14:textId="77777777" w:rsidR="002F14C5" w:rsidRPr="00A6648E" w:rsidRDefault="002F14C5" w:rsidP="002F14C5">
      <w:pPr>
        <w:ind w:left="720" w:hanging="720"/>
        <w:rPr>
          <w:rFonts w:cs="Arial"/>
        </w:rPr>
      </w:pPr>
    </w:p>
    <w:p w14:paraId="7D1687C6" w14:textId="77777777" w:rsidR="002F14C5" w:rsidRPr="00A6648E" w:rsidRDefault="002F14C5" w:rsidP="002F14C5">
      <w:pPr>
        <w:ind w:left="720" w:hanging="720"/>
        <w:rPr>
          <w:rFonts w:cs="Arial"/>
        </w:rPr>
      </w:pPr>
      <w:r w:rsidRPr="00A6648E">
        <w:rPr>
          <w:rFonts w:cs="Arial"/>
        </w:rPr>
        <w:t>19</w:t>
      </w:r>
      <w:r w:rsidRPr="00A6648E">
        <w:rPr>
          <w:rFonts w:cs="Arial"/>
        </w:rPr>
        <w:tab/>
        <w:t xml:space="preserve">To help us measure the volume of business we do with </w:t>
      </w:r>
      <w:proofErr w:type="gramStart"/>
      <w:r w:rsidRPr="00A6648E">
        <w:rPr>
          <w:rFonts w:cs="Arial"/>
        </w:rPr>
        <w:t>SMEs,</w:t>
      </w:r>
      <w:proofErr w:type="gramEnd"/>
      <w:r w:rsidRPr="00A6648E">
        <w:rPr>
          <w:rFonts w:cs="Arial"/>
        </w:rPr>
        <w:t xml:space="preserve"> we will be asking </w:t>
      </w:r>
      <w:r w:rsidR="00A6648E">
        <w:rPr>
          <w:rFonts w:cs="Arial"/>
        </w:rPr>
        <w:t>SMC</w:t>
      </w:r>
      <w:r w:rsidRPr="00A6648E">
        <w:rPr>
          <w:rFonts w:cs="Arial"/>
        </w:rPr>
        <w:t xml:space="preserve"> suppliers to provide us with information about the size of your own organisation and those in your supply chain.   We may ask about volumes of business that will flow from this contract down your supply </w:t>
      </w:r>
      <w:proofErr w:type="gramStart"/>
      <w:r w:rsidRPr="00A6648E">
        <w:rPr>
          <w:rFonts w:cs="Arial"/>
        </w:rPr>
        <w:t>chains, and</w:t>
      </w:r>
      <w:proofErr w:type="gramEnd"/>
      <w:r w:rsidRPr="00A6648E">
        <w:rPr>
          <w:rFonts w:cs="Arial"/>
        </w:rPr>
        <w:t xml:space="preserve"> ask you to quantify that for us.   This data will help us contribute towards Government targets on the use of SMEs. We may also publish success stories and examples of good practice on our website.</w:t>
      </w:r>
    </w:p>
    <w:p w14:paraId="6463A140" w14:textId="77777777" w:rsidR="002F14C5" w:rsidRDefault="002F14C5" w:rsidP="002F14C5">
      <w:pPr>
        <w:ind w:left="720" w:hanging="720"/>
        <w:rPr>
          <w:rFonts w:cs="Arial"/>
          <w:color w:val="4A452A"/>
        </w:rPr>
      </w:pPr>
    </w:p>
    <w:p w14:paraId="5D2E0ADC" w14:textId="77777777" w:rsidR="002F14C5" w:rsidRDefault="002F14C5" w:rsidP="002F14C5">
      <w:pPr>
        <w:ind w:left="720" w:hanging="720"/>
        <w:rPr>
          <w:rFonts w:cs="Arial"/>
          <w:color w:val="4A452A"/>
        </w:rPr>
      </w:pPr>
      <w:r>
        <w:rPr>
          <w:rFonts w:cs="Arial"/>
          <w:color w:val="4A452A"/>
        </w:rPr>
        <w:t>20</w:t>
      </w:r>
      <w:r>
        <w:rPr>
          <w:rFonts w:cs="Arial"/>
          <w:color w:val="4A452A"/>
        </w:rPr>
        <w:tab/>
      </w:r>
      <w:r w:rsidR="00417046" w:rsidRPr="00417046">
        <w:rPr>
          <w:rFonts w:cs="Arial"/>
          <w:color w:val="4A452A"/>
        </w:rPr>
        <w:t>Not Used</w:t>
      </w:r>
    </w:p>
    <w:p w14:paraId="4A63885E" w14:textId="77777777" w:rsidR="002F14C5" w:rsidRDefault="002F14C5" w:rsidP="002F14C5">
      <w:pPr>
        <w:ind w:left="720" w:hanging="720"/>
      </w:pPr>
    </w:p>
    <w:p w14:paraId="67734DF2" w14:textId="77777777" w:rsidR="002F14C5" w:rsidRPr="00041BFD" w:rsidRDefault="002F14C5" w:rsidP="002F14C5">
      <w:pPr>
        <w:pStyle w:val="Numbered"/>
        <w:rPr>
          <w:b/>
        </w:rPr>
      </w:pPr>
      <w:r w:rsidRPr="00041BFD">
        <w:rPr>
          <w:b/>
        </w:rPr>
        <w:t>Armed Forces</w:t>
      </w:r>
      <w:r>
        <w:rPr>
          <w:b/>
        </w:rPr>
        <w:t xml:space="preserve"> </w:t>
      </w:r>
      <w:r w:rsidRPr="00041BFD">
        <w:rPr>
          <w:b/>
        </w:rPr>
        <w:t>Covenant</w:t>
      </w:r>
    </w:p>
    <w:p w14:paraId="4D8227E9" w14:textId="77777777" w:rsidR="002F14C5" w:rsidRDefault="002F14C5" w:rsidP="002F14C5">
      <w:pPr>
        <w:pStyle w:val="Numbered"/>
        <w:ind w:left="720" w:hanging="720"/>
      </w:pPr>
      <w:r>
        <w:t>21</w:t>
      </w:r>
      <w:r>
        <w:tab/>
        <w:t xml:space="preserve">The Armed Forces Covenant is a public sector pledge from Government, businesses, charities and organisations to demonstrate their support for the </w:t>
      </w:r>
      <w:r>
        <w:lastRenderedPageBreak/>
        <w:t>armed forces community. The Covenant was brought in under the Armed Forces Act 2011 to recognise that the whole nation has a moral obligation to redress the disadvantages the armed forces community face in comparison to other citizens, and recognise sacrifices made.</w:t>
      </w:r>
    </w:p>
    <w:p w14:paraId="1541FE2C" w14:textId="77777777" w:rsidR="002F14C5" w:rsidRDefault="002F14C5" w:rsidP="002F14C5">
      <w:pPr>
        <w:pStyle w:val="Numbered"/>
      </w:pPr>
      <w:r>
        <w:t>22</w:t>
      </w:r>
      <w:r>
        <w:tab/>
        <w:t>The Covenant’s 2 principles are that:</w:t>
      </w:r>
    </w:p>
    <w:p w14:paraId="1FC0A060" w14:textId="77777777" w:rsidR="002F14C5" w:rsidRDefault="002F14C5" w:rsidP="002F14C5">
      <w:pPr>
        <w:pStyle w:val="Numbered"/>
        <w:ind w:left="720"/>
      </w:pPr>
      <w:r>
        <w:t>• the armed forces community should not face disadvantages when compared to other citizens in the provision of public and commercial services.</w:t>
      </w:r>
    </w:p>
    <w:p w14:paraId="3BD533CE" w14:textId="77777777" w:rsidR="002F14C5" w:rsidRDefault="002F14C5" w:rsidP="002F14C5">
      <w:pPr>
        <w:pStyle w:val="Numbered"/>
        <w:ind w:left="720"/>
      </w:pPr>
      <w:r>
        <w:t>• special consideration is appropriate in some cases, especially for those who have given most such as the injured and the bereaved.</w:t>
      </w:r>
    </w:p>
    <w:p w14:paraId="7D3130C3" w14:textId="77777777" w:rsidR="002F14C5" w:rsidRDefault="002F14C5" w:rsidP="002F14C5">
      <w:pPr>
        <w:pStyle w:val="Numbered"/>
        <w:ind w:left="720" w:hanging="720"/>
      </w:pPr>
      <w:r>
        <w:t>23</w:t>
      </w:r>
      <w:r>
        <w:tab/>
        <w:t>The Department encourages all Tenderers, and their suppliers, to sign the Corporate Covenant, declaring their support for the Armed Forces community by displaying the values and behaviours set out therein.</w:t>
      </w:r>
    </w:p>
    <w:p w14:paraId="63289B41" w14:textId="77777777" w:rsidR="002F14C5" w:rsidRDefault="002F14C5" w:rsidP="002F14C5">
      <w:pPr>
        <w:pStyle w:val="Numbered"/>
        <w:ind w:left="720" w:hanging="720"/>
      </w:pPr>
      <w:r>
        <w:t>24</w:t>
      </w:r>
      <w:r>
        <w:tab/>
        <w:t xml:space="preserve">Guidance on the various ways you can demonstrate your support through the Corporate Covenant is at </w:t>
      </w:r>
      <w:hyperlink r:id="rId20" w:history="1">
        <w:r w:rsidRPr="00041BFD">
          <w:rPr>
            <w:rStyle w:val="Hyperlink"/>
          </w:rPr>
          <w:t>The Corporate Covenant</w:t>
        </w:r>
      </w:hyperlink>
      <w:r>
        <w:t>.</w:t>
      </w:r>
    </w:p>
    <w:p w14:paraId="27D8F48A" w14:textId="77777777" w:rsidR="002F14C5" w:rsidRDefault="002F14C5" w:rsidP="002F14C5">
      <w:pPr>
        <w:pStyle w:val="Numbered"/>
        <w:ind w:left="720" w:hanging="720"/>
      </w:pPr>
      <w:r>
        <w:t>25</w:t>
      </w:r>
      <w:r>
        <w:tab/>
        <w:t>If you wish to register your support you can provide a point of contact for your company on this issue to the Armed Forces Covenant Team at the address below, so that the MOD can alert you to any events or initiatives in which you may wish to participate. The Covenant Team can also provide any information you require in addition to that included on the website.</w:t>
      </w:r>
    </w:p>
    <w:p w14:paraId="492A2980" w14:textId="77777777" w:rsidR="002F14C5" w:rsidRDefault="002F14C5" w:rsidP="002F14C5">
      <w:pPr>
        <w:pStyle w:val="Numbered"/>
        <w:ind w:left="720"/>
      </w:pPr>
      <w:r>
        <w:t>Email address: covenant-mailbox@mod.uk</w:t>
      </w:r>
    </w:p>
    <w:p w14:paraId="7186E565" w14:textId="77777777" w:rsidR="002F14C5" w:rsidRDefault="002F14C5" w:rsidP="002F14C5">
      <w:pPr>
        <w:pStyle w:val="Numbered"/>
        <w:ind w:left="720"/>
      </w:pPr>
      <w:r>
        <w:t>Address: Armed Forces Covenant Team</w:t>
      </w:r>
    </w:p>
    <w:p w14:paraId="5F1B41FC" w14:textId="77777777" w:rsidR="002F14C5" w:rsidRDefault="002F14C5" w:rsidP="002F14C5">
      <w:pPr>
        <w:pStyle w:val="Numbered"/>
        <w:ind w:left="720"/>
      </w:pPr>
      <w:r>
        <w:t>Zone D, 6th Floor, Ministry of Defence,</w:t>
      </w:r>
    </w:p>
    <w:p w14:paraId="33BF48C6" w14:textId="77777777" w:rsidR="002F14C5" w:rsidRDefault="002F14C5" w:rsidP="002F14C5">
      <w:pPr>
        <w:pStyle w:val="Numbered"/>
        <w:ind w:left="720"/>
      </w:pPr>
      <w:r>
        <w:t>Main Building, Whitehall, London, SW1A 2HB</w:t>
      </w:r>
    </w:p>
    <w:p w14:paraId="4C57A0CE" w14:textId="77777777" w:rsidR="002F14C5" w:rsidRDefault="002F14C5" w:rsidP="002F14C5">
      <w:pPr>
        <w:pStyle w:val="Numbered"/>
        <w:ind w:left="720" w:hanging="720"/>
      </w:pPr>
      <w:r>
        <w:t>26</w:t>
      </w:r>
      <w:r>
        <w:tab/>
        <w:t xml:space="preserve">Paragraphs 20-25 above are not a condition of working with </w:t>
      </w:r>
      <w:r w:rsidR="005D7D23">
        <w:t>SMC</w:t>
      </w:r>
      <w:r>
        <w:t xml:space="preserve"> now or in the future, nor will this issue form any part of the tender evaluation, contract award procedure or any resulting contract. However, </w:t>
      </w:r>
      <w:r w:rsidR="005D7D23">
        <w:t>SMC</w:t>
      </w:r>
      <w:r>
        <w:t xml:space="preserve"> very much hopes you will want to provide your support.</w:t>
      </w:r>
    </w:p>
    <w:p w14:paraId="58C0E69C" w14:textId="77777777" w:rsidR="002F14C5" w:rsidRPr="002B6384" w:rsidRDefault="002F14C5" w:rsidP="002F14C5">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Conflicts of interest</w:t>
      </w:r>
    </w:p>
    <w:p w14:paraId="7B5BDE76" w14:textId="77777777" w:rsidR="002F14C5" w:rsidRPr="002B6384" w:rsidRDefault="002F14C5" w:rsidP="002F14C5">
      <w:pPr>
        <w:widowControl/>
        <w:suppressAutoHyphens/>
        <w:overflowPunct/>
        <w:autoSpaceDE/>
        <w:adjustRightInd/>
        <w:ind w:right="-333"/>
        <w:jc w:val="both"/>
        <w:rPr>
          <w:rFonts w:ascii="Calibri" w:eastAsia="Calibri" w:hAnsi="Calibri" w:cs="Calibri"/>
          <w:color w:val="000000"/>
          <w:szCs w:val="20"/>
        </w:rPr>
      </w:pPr>
    </w:p>
    <w:p w14:paraId="0E72555F" w14:textId="77777777" w:rsidR="002F14C5" w:rsidRPr="002B6384" w:rsidRDefault="002F14C5" w:rsidP="002F14C5">
      <w:pPr>
        <w:widowControl/>
        <w:suppressAutoHyphens/>
        <w:overflowPunct/>
        <w:autoSpaceDE/>
        <w:adjustRightInd/>
        <w:ind w:left="720" w:hanging="720"/>
        <w:jc w:val="both"/>
        <w:rPr>
          <w:rFonts w:ascii="Calibri" w:eastAsia="Calibri" w:hAnsi="Calibri" w:cs="Calibri"/>
          <w:color w:val="000000"/>
          <w:szCs w:val="20"/>
        </w:rPr>
      </w:pPr>
      <w:r>
        <w:rPr>
          <w:rFonts w:eastAsia="Arial" w:cs="Arial"/>
          <w:color w:val="000000"/>
          <w:szCs w:val="20"/>
        </w:rPr>
        <w:t>27</w:t>
      </w:r>
      <w:r>
        <w:rPr>
          <w:rFonts w:eastAsia="Arial" w:cs="Arial"/>
          <w:color w:val="000000"/>
          <w:szCs w:val="20"/>
        </w:rPr>
        <w:tab/>
      </w:r>
      <w:r w:rsidR="005D7D23">
        <w:rPr>
          <w:rFonts w:eastAsia="Arial" w:cs="Arial"/>
          <w:color w:val="000000"/>
          <w:szCs w:val="20"/>
        </w:rPr>
        <w:t>SMC</w:t>
      </w:r>
      <w:r>
        <w:rPr>
          <w:rFonts w:eastAsia="Arial" w:cs="Arial"/>
          <w:color w:val="000000"/>
          <w:szCs w:val="20"/>
        </w:rPr>
        <w:t xml:space="preserve"> may exclude an organisation</w:t>
      </w:r>
      <w:r w:rsidRPr="002B6384">
        <w:rPr>
          <w:rFonts w:eastAsia="Arial" w:cs="Arial"/>
          <w:color w:val="000000"/>
          <w:szCs w:val="20"/>
        </w:rPr>
        <w:t xml:space="preserve">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 </w:t>
      </w:r>
    </w:p>
    <w:p w14:paraId="5341E4C5" w14:textId="77777777" w:rsidR="002F14C5" w:rsidRPr="002B6384" w:rsidRDefault="002F14C5" w:rsidP="002F14C5">
      <w:pPr>
        <w:widowControl/>
        <w:suppressAutoHyphens/>
        <w:overflowPunct/>
        <w:autoSpaceDE/>
        <w:adjustRightInd/>
        <w:jc w:val="both"/>
        <w:rPr>
          <w:rFonts w:ascii="Calibri" w:eastAsia="Calibri" w:hAnsi="Calibri" w:cs="Calibri"/>
          <w:color w:val="000000"/>
          <w:szCs w:val="20"/>
        </w:rPr>
      </w:pPr>
    </w:p>
    <w:p w14:paraId="21F22971" w14:textId="77777777" w:rsidR="002F14C5" w:rsidRDefault="002F14C5" w:rsidP="002F14C5">
      <w:pPr>
        <w:widowControl/>
        <w:suppressAutoHyphens/>
        <w:overflowPunct/>
        <w:autoSpaceDE/>
        <w:adjustRightInd/>
        <w:ind w:left="720" w:hanging="720"/>
        <w:jc w:val="both"/>
        <w:rPr>
          <w:rFonts w:eastAsia="Arial" w:cs="Arial"/>
          <w:color w:val="000000"/>
          <w:szCs w:val="20"/>
        </w:rPr>
      </w:pPr>
      <w:r>
        <w:rPr>
          <w:rFonts w:eastAsia="Arial" w:cs="Arial"/>
          <w:color w:val="000000"/>
          <w:szCs w:val="20"/>
        </w:rPr>
        <w:t>28</w:t>
      </w:r>
      <w:r>
        <w:rPr>
          <w:rFonts w:eastAsia="Arial" w:cs="Arial"/>
          <w:color w:val="000000"/>
          <w:szCs w:val="20"/>
        </w:rPr>
        <w:tab/>
      </w:r>
      <w:r w:rsidRPr="002B6384">
        <w:rPr>
          <w:rFonts w:eastAsia="Arial" w:cs="Arial"/>
          <w:color w:val="000000"/>
          <w:szCs w:val="20"/>
        </w:rPr>
        <w:t xml:space="preserve">Where there is any indication that a conflict of interest exists or may arise then it is the responsibility of the </w:t>
      </w:r>
      <w:r w:rsidRPr="00E65535">
        <w:rPr>
          <w:rFonts w:eastAsia="Arial" w:cs="Arial"/>
          <w:color w:val="000000"/>
          <w:szCs w:val="20"/>
        </w:rPr>
        <w:t>organisation</w:t>
      </w:r>
      <w:r w:rsidRPr="002B6384">
        <w:rPr>
          <w:rFonts w:eastAsia="Arial" w:cs="Arial"/>
          <w:color w:val="000000"/>
          <w:szCs w:val="20"/>
        </w:rPr>
        <w:t xml:space="preserve"> to inform </w:t>
      </w:r>
      <w:r w:rsidR="005D7D23">
        <w:rPr>
          <w:rFonts w:eastAsia="Arial" w:cs="Arial"/>
          <w:color w:val="000000"/>
          <w:szCs w:val="20"/>
        </w:rPr>
        <w:t>SMC</w:t>
      </w:r>
      <w:r w:rsidRPr="002B6384">
        <w:rPr>
          <w:rFonts w:eastAsia="Arial" w:cs="Arial"/>
          <w:color w:val="000000"/>
          <w:szCs w:val="20"/>
        </w:rPr>
        <w:t xml:space="preserve">, detailing the conflict in a separate Appendix. Provided that it has been carried out in a transparent manner, routine pre-market engagement carried out by </w:t>
      </w:r>
      <w:r w:rsidR="005D7D23">
        <w:rPr>
          <w:rFonts w:eastAsia="Arial" w:cs="Arial"/>
          <w:color w:val="000000"/>
          <w:szCs w:val="20"/>
        </w:rPr>
        <w:t>SMC</w:t>
      </w:r>
      <w:r w:rsidRPr="002B6384">
        <w:rPr>
          <w:rFonts w:eastAsia="Arial" w:cs="Arial"/>
          <w:color w:val="000000"/>
          <w:szCs w:val="20"/>
        </w:rPr>
        <w:t xml:space="preserve"> should not represent a conflict of interest for the </w:t>
      </w:r>
      <w:r w:rsidRPr="00E65535">
        <w:rPr>
          <w:rFonts w:eastAsia="Arial" w:cs="Arial"/>
          <w:color w:val="000000"/>
          <w:szCs w:val="20"/>
        </w:rPr>
        <w:t>organisation</w:t>
      </w:r>
      <w:r w:rsidRPr="002B6384">
        <w:rPr>
          <w:rFonts w:eastAsia="Arial" w:cs="Arial"/>
          <w:color w:val="000000"/>
          <w:szCs w:val="20"/>
        </w:rPr>
        <w:t>.</w:t>
      </w:r>
    </w:p>
    <w:p w14:paraId="622C9FA7" w14:textId="77777777" w:rsidR="002F14C5" w:rsidRDefault="002F14C5" w:rsidP="002F14C5">
      <w:pPr>
        <w:widowControl/>
        <w:suppressAutoHyphens/>
        <w:overflowPunct/>
        <w:autoSpaceDE/>
        <w:adjustRightInd/>
        <w:ind w:left="720" w:hanging="720"/>
        <w:jc w:val="both"/>
        <w:rPr>
          <w:rFonts w:eastAsia="Arial" w:cs="Arial"/>
          <w:color w:val="000000"/>
          <w:szCs w:val="20"/>
        </w:rPr>
      </w:pPr>
    </w:p>
    <w:p w14:paraId="64F5AE12" w14:textId="77777777" w:rsidR="002F14C5" w:rsidRDefault="002F14C5" w:rsidP="002F14C5">
      <w:pPr>
        <w:pStyle w:val="Numbered"/>
        <w:ind w:left="720" w:hanging="720"/>
        <w:rPr>
          <w:rFonts w:cs="Arial"/>
          <w:b/>
          <w:bCs/>
        </w:rPr>
      </w:pPr>
      <w:r>
        <w:rPr>
          <w:b/>
          <w:bCs/>
        </w:rPr>
        <w:t>Disability Confident Scheme</w:t>
      </w:r>
    </w:p>
    <w:p w14:paraId="4023D1AA" w14:textId="77777777" w:rsidR="002F14C5" w:rsidRDefault="002F14C5" w:rsidP="002F14C5">
      <w:pPr>
        <w:ind w:left="720" w:hanging="720"/>
        <w:rPr>
          <w:rFonts w:cs="Arial"/>
        </w:rPr>
      </w:pPr>
      <w:r>
        <w:rPr>
          <w:rFonts w:cs="Arial"/>
        </w:rPr>
        <w:t>29</w:t>
      </w:r>
      <w:r>
        <w:rPr>
          <w:rFonts w:cs="Arial"/>
        </w:rPr>
        <w:tab/>
        <w:t xml:space="preserve">The Department for Education is a Disability Confident leader. Through the Disability Confident campaign, the government is working with employers to </w:t>
      </w:r>
      <w:r>
        <w:rPr>
          <w:rFonts w:cs="Arial"/>
        </w:rPr>
        <w:lastRenderedPageBreak/>
        <w:t xml:space="preserve">remove barriers, increase understanding and ensure that disabled people </w:t>
      </w:r>
      <w:proofErr w:type="gramStart"/>
      <w:r>
        <w:rPr>
          <w:rFonts w:cs="Arial"/>
        </w:rPr>
        <w:t>have the opportunities to</w:t>
      </w:r>
      <w:proofErr w:type="gramEnd"/>
      <w:r>
        <w:rPr>
          <w:rFonts w:cs="Arial"/>
        </w:rPr>
        <w:t xml:space="preserve"> fulfil their potential and realise their aspirations.</w:t>
      </w:r>
    </w:p>
    <w:p w14:paraId="392F3A87" w14:textId="77777777" w:rsidR="002F14C5" w:rsidRDefault="002F14C5" w:rsidP="002F14C5">
      <w:pPr>
        <w:rPr>
          <w:rFonts w:cs="Arial"/>
        </w:rPr>
      </w:pPr>
    </w:p>
    <w:p w14:paraId="63E529BA" w14:textId="77777777" w:rsidR="002F14C5" w:rsidRDefault="002F14C5" w:rsidP="002F14C5">
      <w:pPr>
        <w:pStyle w:val="Numbered"/>
        <w:ind w:left="720" w:hanging="720"/>
        <w:rPr>
          <w:rFonts w:cs="Arial"/>
        </w:rPr>
      </w:pPr>
      <w:r>
        <w:t>30</w:t>
      </w:r>
      <w:r>
        <w:tab/>
      </w:r>
      <w:r w:rsidR="005D7D23">
        <w:t>SMC</w:t>
      </w:r>
      <w:r>
        <w:t xml:space="preserve"> encourage other employers to sign up to the disability confident scheme. It is open to all employers and there are three levels ranging from ‘Committed’ to ‘Leader’ with employers having to meet certain criteria to reach each level.</w:t>
      </w:r>
    </w:p>
    <w:p w14:paraId="697EB8DB" w14:textId="77777777" w:rsidR="002F14C5" w:rsidRDefault="002F14C5" w:rsidP="002F14C5">
      <w:pPr>
        <w:ind w:left="720" w:hanging="720"/>
        <w:rPr>
          <w:rFonts w:cs="Arial"/>
        </w:rPr>
      </w:pPr>
      <w:r>
        <w:rPr>
          <w:rFonts w:cs="Arial"/>
        </w:rPr>
        <w:t>31</w:t>
      </w:r>
      <w:r>
        <w:rPr>
          <w:rFonts w:cs="Arial"/>
        </w:rPr>
        <w:tab/>
        <w:t xml:space="preserve">Employers who sign up to the disability confident scheme ensure that they can: </w:t>
      </w:r>
    </w:p>
    <w:p w14:paraId="3D86A62A" w14:textId="77777777" w:rsidR="002F14C5" w:rsidRDefault="002F14C5" w:rsidP="002F14C5">
      <w:pPr>
        <w:ind w:left="720" w:hanging="720"/>
        <w:rPr>
          <w:rFonts w:cs="Arial"/>
        </w:rPr>
      </w:pPr>
    </w:p>
    <w:p w14:paraId="71A175B7" w14:textId="77777777" w:rsidR="002F14C5" w:rsidRDefault="002F14C5" w:rsidP="00EA4286">
      <w:pPr>
        <w:pStyle w:val="ListParagraph"/>
        <w:widowControl/>
        <w:numPr>
          <w:ilvl w:val="0"/>
          <w:numId w:val="17"/>
        </w:numPr>
        <w:overflowPunct/>
        <w:autoSpaceDE/>
        <w:autoSpaceDN/>
        <w:adjustRightInd/>
        <w:spacing w:after="160" w:line="252" w:lineRule="auto"/>
        <w:contextualSpacing/>
        <w:textAlignment w:val="auto"/>
        <w:rPr>
          <w:rFonts w:cs="Arial"/>
        </w:rPr>
      </w:pPr>
      <w:r>
        <w:rPr>
          <w:rFonts w:cs="Arial"/>
        </w:rPr>
        <w:t xml:space="preserve">draw from the widest possible pool of talent; </w:t>
      </w:r>
    </w:p>
    <w:p w14:paraId="5A2DF33A" w14:textId="77777777" w:rsidR="002F14C5" w:rsidRDefault="002F14C5" w:rsidP="00EA4286">
      <w:pPr>
        <w:pStyle w:val="ListParagraph"/>
        <w:widowControl/>
        <w:numPr>
          <w:ilvl w:val="0"/>
          <w:numId w:val="17"/>
        </w:numPr>
        <w:overflowPunct/>
        <w:autoSpaceDE/>
        <w:autoSpaceDN/>
        <w:adjustRightInd/>
        <w:spacing w:after="160" w:line="252" w:lineRule="auto"/>
        <w:contextualSpacing/>
        <w:textAlignment w:val="auto"/>
        <w:rPr>
          <w:rFonts w:cs="Arial"/>
        </w:rPr>
      </w:pPr>
      <w:r>
        <w:rPr>
          <w:rFonts w:cs="Arial"/>
        </w:rPr>
        <w:t xml:space="preserve">secure and retain high quality staff who are skilled, loyal and </w:t>
      </w:r>
      <w:proofErr w:type="spellStart"/>
      <w:r>
        <w:rPr>
          <w:rFonts w:cs="Arial"/>
        </w:rPr>
        <w:t>hard working</w:t>
      </w:r>
      <w:proofErr w:type="spellEnd"/>
      <w:r>
        <w:rPr>
          <w:rFonts w:cs="Arial"/>
        </w:rPr>
        <w:t xml:space="preserve">; </w:t>
      </w:r>
    </w:p>
    <w:p w14:paraId="2FD8DAC1" w14:textId="77777777" w:rsidR="002F14C5" w:rsidRDefault="002F14C5" w:rsidP="00EA4286">
      <w:pPr>
        <w:pStyle w:val="ListParagraph"/>
        <w:widowControl/>
        <w:numPr>
          <w:ilvl w:val="0"/>
          <w:numId w:val="17"/>
        </w:numPr>
        <w:overflowPunct/>
        <w:autoSpaceDE/>
        <w:autoSpaceDN/>
        <w:adjustRightInd/>
        <w:spacing w:after="160" w:line="252" w:lineRule="auto"/>
        <w:contextualSpacing/>
        <w:textAlignment w:val="auto"/>
        <w:rPr>
          <w:rFonts w:cs="Arial"/>
        </w:rPr>
      </w:pPr>
      <w:r>
        <w:rPr>
          <w:rFonts w:cs="Arial"/>
        </w:rPr>
        <w:t xml:space="preserve">save time and money on the costs of recruitment and training by reducing staff turnover; </w:t>
      </w:r>
    </w:p>
    <w:p w14:paraId="2D4CDA0F" w14:textId="77777777" w:rsidR="002F14C5" w:rsidRDefault="002F14C5" w:rsidP="00EA4286">
      <w:pPr>
        <w:pStyle w:val="ListParagraph"/>
        <w:widowControl/>
        <w:numPr>
          <w:ilvl w:val="0"/>
          <w:numId w:val="17"/>
        </w:numPr>
        <w:overflowPunct/>
        <w:autoSpaceDE/>
        <w:autoSpaceDN/>
        <w:adjustRightInd/>
        <w:spacing w:after="160" w:line="252" w:lineRule="auto"/>
        <w:contextualSpacing/>
        <w:textAlignment w:val="auto"/>
        <w:rPr>
          <w:rFonts w:cs="Arial"/>
        </w:rPr>
      </w:pPr>
      <w:r>
        <w:rPr>
          <w:rFonts w:cs="Arial"/>
        </w:rPr>
        <w:t xml:space="preserve">keep valuable skills and experience; </w:t>
      </w:r>
    </w:p>
    <w:p w14:paraId="785630E9" w14:textId="77777777" w:rsidR="002F14C5" w:rsidRDefault="002F14C5" w:rsidP="00EA4286">
      <w:pPr>
        <w:pStyle w:val="ListParagraph"/>
        <w:widowControl/>
        <w:numPr>
          <w:ilvl w:val="0"/>
          <w:numId w:val="17"/>
        </w:numPr>
        <w:overflowPunct/>
        <w:autoSpaceDE/>
        <w:autoSpaceDN/>
        <w:adjustRightInd/>
        <w:spacing w:after="160" w:line="252" w:lineRule="auto"/>
        <w:contextualSpacing/>
        <w:textAlignment w:val="auto"/>
        <w:rPr>
          <w:rFonts w:cs="Arial"/>
        </w:rPr>
      </w:pPr>
      <w:r>
        <w:rPr>
          <w:rFonts w:cs="Arial"/>
        </w:rPr>
        <w:t xml:space="preserve">reduce the levels and costs of sickness absences; improve employee morale and commitment by demonstrating that they treat all employees fairly. </w:t>
      </w:r>
    </w:p>
    <w:p w14:paraId="1D9F5514" w14:textId="77777777" w:rsidR="002F14C5" w:rsidRDefault="002F14C5" w:rsidP="002F14C5">
      <w:pPr>
        <w:pStyle w:val="ListParagraph"/>
        <w:rPr>
          <w:rFonts w:cs="Arial"/>
        </w:rPr>
      </w:pPr>
    </w:p>
    <w:p w14:paraId="048FB29E" w14:textId="77777777" w:rsidR="002F14C5" w:rsidRDefault="002F14C5" w:rsidP="002F14C5">
      <w:pPr>
        <w:pStyle w:val="ListParagraph"/>
        <w:ind w:hanging="720"/>
        <w:rPr>
          <w:rFonts w:cs="Arial"/>
        </w:rPr>
      </w:pPr>
      <w:r>
        <w:rPr>
          <w:rFonts w:cs="Arial"/>
        </w:rPr>
        <w:t>32</w:t>
      </w:r>
      <w:r>
        <w:rPr>
          <w:rFonts w:cs="Arial"/>
        </w:rPr>
        <w:tab/>
        <w:t xml:space="preserve">Disability confident employers can use the disability confident branding in their communications and when advertising jobs. </w:t>
      </w:r>
    </w:p>
    <w:p w14:paraId="17C3FC6A" w14:textId="77777777" w:rsidR="002F14C5" w:rsidRDefault="002F14C5" w:rsidP="002F14C5">
      <w:pPr>
        <w:pStyle w:val="ListParagraph"/>
        <w:ind w:left="0"/>
        <w:rPr>
          <w:rFonts w:cs="Arial"/>
        </w:rPr>
      </w:pPr>
    </w:p>
    <w:p w14:paraId="54B73E01" w14:textId="77777777" w:rsidR="002F14C5" w:rsidRDefault="002F14C5" w:rsidP="002F14C5">
      <w:pPr>
        <w:widowControl/>
        <w:suppressAutoHyphens/>
        <w:overflowPunct/>
        <w:autoSpaceDE/>
        <w:adjustRightInd/>
        <w:ind w:left="720" w:hanging="720"/>
        <w:jc w:val="both"/>
        <w:rPr>
          <w:rFonts w:cs="Arial"/>
        </w:rPr>
      </w:pPr>
      <w:r>
        <w:rPr>
          <w:rFonts w:cs="Arial"/>
        </w:rPr>
        <w:t>33</w:t>
      </w:r>
      <w:r>
        <w:rPr>
          <w:rFonts w:cs="Arial"/>
        </w:rPr>
        <w:tab/>
        <w:t xml:space="preserve">Find out more about the aims of disability confident, why becoming a disability confident employer will be good for your business and how you will be supported through your journey to being a Disability Confident leader </w:t>
      </w:r>
      <w:hyperlink r:id="rId21" w:history="1">
        <w:r>
          <w:rPr>
            <w:rStyle w:val="Hyperlink"/>
            <w:rFonts w:cs="Arial"/>
          </w:rPr>
          <w:t>here</w:t>
        </w:r>
      </w:hyperlink>
      <w:r>
        <w:rPr>
          <w:rFonts w:cs="Arial"/>
        </w:rPr>
        <w:t>.</w:t>
      </w:r>
    </w:p>
    <w:p w14:paraId="14D2A1DB" w14:textId="77777777" w:rsidR="00E91E19" w:rsidRDefault="00E91E19" w:rsidP="002F14C5">
      <w:pPr>
        <w:widowControl/>
        <w:suppressAutoHyphens/>
        <w:overflowPunct/>
        <w:autoSpaceDE/>
        <w:adjustRightInd/>
        <w:ind w:left="720" w:hanging="720"/>
        <w:jc w:val="both"/>
        <w:rPr>
          <w:rFonts w:cs="Arial"/>
        </w:rPr>
      </w:pPr>
    </w:p>
    <w:p w14:paraId="6F97FAD7" w14:textId="77777777" w:rsidR="00E91E19" w:rsidRPr="00E91E19" w:rsidRDefault="00E91E19" w:rsidP="00E91E19">
      <w:pPr>
        <w:widowControl/>
        <w:suppressAutoHyphens/>
        <w:overflowPunct/>
        <w:autoSpaceDE/>
        <w:adjustRightInd/>
        <w:ind w:left="720" w:hanging="720"/>
        <w:jc w:val="both"/>
        <w:rPr>
          <w:b/>
          <w:color w:val="000000"/>
        </w:rPr>
      </w:pPr>
      <w:r w:rsidRPr="00E91E19">
        <w:rPr>
          <w:b/>
          <w:color w:val="000000"/>
        </w:rPr>
        <w:t>Safe Guarding Children and Vulnerable Adults</w:t>
      </w:r>
    </w:p>
    <w:p w14:paraId="347EF15C" w14:textId="77777777" w:rsidR="00E91E19" w:rsidRPr="00E91E19" w:rsidRDefault="00E91E19" w:rsidP="00E91E19">
      <w:pPr>
        <w:numPr>
          <w:ilvl w:val="1"/>
          <w:numId w:val="0"/>
        </w:numPr>
        <w:tabs>
          <w:tab w:val="num" w:pos="720"/>
        </w:tabs>
        <w:overflowPunct/>
        <w:autoSpaceDE/>
        <w:autoSpaceDN/>
        <w:adjustRightInd/>
        <w:spacing w:before="280"/>
        <w:ind w:left="720" w:hanging="720"/>
        <w:textAlignment w:val="auto"/>
        <w:outlineLvl w:val="1"/>
        <w:rPr>
          <w:rFonts w:cs="Arial"/>
          <w:color w:val="000000"/>
        </w:rPr>
      </w:pPr>
      <w:r w:rsidRPr="00E91E19">
        <w:rPr>
          <w:color w:val="000000"/>
        </w:rPr>
        <w:t>34</w:t>
      </w:r>
      <w:r w:rsidRPr="00E91E19">
        <w:rPr>
          <w:color w:val="000000"/>
        </w:rPr>
        <w:tab/>
      </w:r>
      <w:r>
        <w:rPr>
          <w:rFonts w:cs="Arial"/>
          <w:color w:val="000000"/>
        </w:rPr>
        <w:t>The standard Terms and Conditions include provisions to</w:t>
      </w:r>
      <w:r w:rsidRPr="00E91E19">
        <w:rPr>
          <w:rFonts w:cs="Arial"/>
          <w:color w:val="000000"/>
        </w:rPr>
        <w:t xml:space="preserve"> put in place safeguards to protect children and vulnerable adults from a risk of significant harm which could arise from the performance of this Contract. The</w:t>
      </w:r>
      <w:r>
        <w:rPr>
          <w:rFonts w:cs="Arial"/>
          <w:color w:val="000000"/>
        </w:rPr>
        <w:t xml:space="preserve"> potential</w:t>
      </w:r>
      <w:r w:rsidRPr="00E91E19">
        <w:rPr>
          <w:rFonts w:cs="Arial"/>
          <w:color w:val="000000"/>
        </w:rPr>
        <w:t xml:space="preserve"> Contractor will agree these safeguards with </w:t>
      </w:r>
      <w:r w:rsidR="005D7D23">
        <w:rPr>
          <w:rFonts w:cs="Arial"/>
          <w:color w:val="000000"/>
        </w:rPr>
        <w:t>SMC</w:t>
      </w:r>
      <w:r w:rsidRPr="00E91E19">
        <w:rPr>
          <w:rFonts w:cs="Arial"/>
          <w:color w:val="000000"/>
        </w:rPr>
        <w:t xml:space="preserve"> before commencing work on the Contract.</w:t>
      </w:r>
    </w:p>
    <w:p w14:paraId="04FE1597" w14:textId="77777777" w:rsidR="00E91E19" w:rsidRDefault="00E91E19" w:rsidP="00E91E19">
      <w:pPr>
        <w:numPr>
          <w:ilvl w:val="1"/>
          <w:numId w:val="0"/>
        </w:numPr>
        <w:tabs>
          <w:tab w:val="num" w:pos="720"/>
        </w:tabs>
        <w:overflowPunct/>
        <w:autoSpaceDE/>
        <w:autoSpaceDN/>
        <w:adjustRightInd/>
        <w:ind w:left="720" w:hanging="720"/>
        <w:textAlignment w:val="auto"/>
        <w:outlineLvl w:val="1"/>
        <w:rPr>
          <w:rFonts w:cs="Arial"/>
          <w:color w:val="000000"/>
        </w:rPr>
      </w:pPr>
    </w:p>
    <w:p w14:paraId="228EFA0E" w14:textId="77777777" w:rsidR="00E91E19" w:rsidRPr="00E91E19" w:rsidRDefault="00E91E19" w:rsidP="00E91E19">
      <w:pPr>
        <w:numPr>
          <w:ilvl w:val="1"/>
          <w:numId w:val="0"/>
        </w:numPr>
        <w:tabs>
          <w:tab w:val="num" w:pos="720"/>
        </w:tabs>
        <w:overflowPunct/>
        <w:autoSpaceDE/>
        <w:autoSpaceDN/>
        <w:adjustRightInd/>
        <w:spacing w:after="120"/>
        <w:ind w:left="720" w:hanging="720"/>
        <w:textAlignment w:val="auto"/>
        <w:outlineLvl w:val="1"/>
        <w:rPr>
          <w:rFonts w:cs="Arial"/>
          <w:color w:val="000000"/>
        </w:rPr>
      </w:pPr>
      <w:r w:rsidRPr="00E91E19">
        <w:rPr>
          <w:rFonts w:cs="Arial"/>
          <w:color w:val="000000"/>
        </w:rPr>
        <w:t>35</w:t>
      </w:r>
      <w:r w:rsidRPr="00E91E19">
        <w:rPr>
          <w:rFonts w:cs="Arial"/>
          <w:color w:val="000000"/>
        </w:rPr>
        <w:tab/>
        <w:t>In addition, the</w:t>
      </w:r>
      <w:r>
        <w:rPr>
          <w:rFonts w:cs="Arial"/>
          <w:color w:val="000000"/>
        </w:rPr>
        <w:t xml:space="preserve"> potential</w:t>
      </w:r>
      <w:r w:rsidRPr="00E91E19">
        <w:rPr>
          <w:rFonts w:cs="Arial"/>
          <w:color w:val="000000"/>
        </w:rPr>
        <w:t xml:space="preserve"> Contractor will carry out checks with the Disclosure and Barring Service (DBS checks) on all staff employed on the Contract in a Regulated Activity. The DBS check must be completed before any of the Contractor’s employees work with children in Regulated Activity.</w:t>
      </w:r>
    </w:p>
    <w:p w14:paraId="621BA767" w14:textId="77777777" w:rsidR="00E91E19" w:rsidRPr="00E91E19" w:rsidRDefault="00E91E19" w:rsidP="00E91E19">
      <w:pPr>
        <w:pStyle w:val="Numbered"/>
        <w:rPr>
          <w:color w:val="000000"/>
        </w:rPr>
      </w:pPr>
    </w:p>
    <w:p w14:paraId="59F1FCB9" w14:textId="77777777" w:rsidR="00CA1712" w:rsidRPr="000826B8" w:rsidRDefault="00CA4548" w:rsidP="001F0B38">
      <w:pPr>
        <w:pStyle w:val="Numbered"/>
        <w:ind w:left="1440"/>
        <w:jc w:val="right"/>
        <w:rPr>
          <w:b/>
        </w:rPr>
      </w:pPr>
      <w:r>
        <w:rPr>
          <w:b/>
          <w:color w:val="000000"/>
        </w:rPr>
        <w:br w:type="page"/>
      </w:r>
      <w:bookmarkStart w:id="7" w:name="Document4"/>
      <w:bookmarkEnd w:id="7"/>
      <w:r w:rsidR="001F0B38">
        <w:rPr>
          <w:b/>
        </w:rPr>
        <w:lastRenderedPageBreak/>
        <w:t>DOCUMENT 4</w:t>
      </w:r>
    </w:p>
    <w:p w14:paraId="33792B09" w14:textId="77777777" w:rsidR="00CA1712" w:rsidRPr="004D1053" w:rsidRDefault="00CA1712">
      <w:pPr>
        <w:pStyle w:val="Numbered"/>
        <w:widowControl/>
        <w:rPr>
          <w:b/>
        </w:rPr>
      </w:pPr>
      <w:r w:rsidRPr="000826B8">
        <w:rPr>
          <w:b/>
        </w:rPr>
        <w:t>LIST OF ATTACHMENTS</w:t>
      </w:r>
    </w:p>
    <w:p w14:paraId="4A74CC57" w14:textId="77777777" w:rsidR="009A47B9" w:rsidRPr="007C63BC" w:rsidRDefault="00B73A7D" w:rsidP="00EA4286">
      <w:pPr>
        <w:pStyle w:val="Numbered"/>
        <w:widowControl/>
        <w:numPr>
          <w:ilvl w:val="0"/>
          <w:numId w:val="16"/>
        </w:numPr>
        <w:rPr>
          <w:b/>
        </w:rPr>
      </w:pPr>
      <w:r>
        <w:rPr>
          <w:b/>
        </w:rPr>
        <w:t>DRAFT TERMS AND CONDITIONS</w:t>
      </w:r>
      <w:r w:rsidR="00697C31">
        <w:rPr>
          <w:b/>
        </w:rPr>
        <w:t xml:space="preserve"> </w:t>
      </w:r>
    </w:p>
    <w:p w14:paraId="7DCFF7CC" w14:textId="77777777" w:rsidR="007C63BC" w:rsidRPr="007C63BC" w:rsidRDefault="00F45645" w:rsidP="00B37B0E">
      <w:pPr>
        <w:pStyle w:val="Default"/>
        <w:ind w:left="720" w:hanging="360"/>
        <w:rPr>
          <w:i/>
          <w:sz w:val="22"/>
          <w:szCs w:val="22"/>
        </w:rPr>
      </w:pPr>
      <w:r>
        <w:rPr>
          <w:b/>
          <w:sz w:val="22"/>
          <w:szCs w:val="22"/>
        </w:rPr>
        <w:t>2</w:t>
      </w:r>
      <w:r>
        <w:rPr>
          <w:b/>
          <w:sz w:val="22"/>
          <w:szCs w:val="22"/>
        </w:rPr>
        <w:tab/>
      </w:r>
      <w:r w:rsidR="009B70BE" w:rsidRPr="00F45645">
        <w:rPr>
          <w:b/>
          <w:sz w:val="22"/>
          <w:szCs w:val="22"/>
        </w:rPr>
        <w:t>EVALUATION CRITERIA</w:t>
      </w:r>
      <w:r w:rsidRPr="00F45645">
        <w:rPr>
          <w:b/>
          <w:sz w:val="22"/>
          <w:szCs w:val="22"/>
        </w:rPr>
        <w:t xml:space="preserve"> </w:t>
      </w:r>
    </w:p>
    <w:p w14:paraId="2E625747" w14:textId="77777777" w:rsidR="007C63BC" w:rsidRDefault="007C63BC" w:rsidP="00F45645">
      <w:pPr>
        <w:pStyle w:val="Default"/>
        <w:ind w:left="720" w:hanging="360"/>
        <w:rPr>
          <w:b/>
          <w:sz w:val="22"/>
          <w:szCs w:val="22"/>
        </w:rPr>
      </w:pPr>
    </w:p>
    <w:p w14:paraId="0DBB168A" w14:textId="77777777" w:rsidR="00916D17" w:rsidRDefault="00916D17" w:rsidP="00916D17">
      <w:pPr>
        <w:pStyle w:val="Numbered"/>
        <w:widowControl/>
        <w:ind w:left="720" w:hanging="720"/>
      </w:pPr>
      <w:r>
        <w:t>Scoring scale</w:t>
      </w:r>
    </w:p>
    <w:tbl>
      <w:tblPr>
        <w:tblW w:w="8222"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80"/>
        <w:gridCol w:w="7342"/>
      </w:tblGrid>
      <w:tr w:rsidR="00916D17" w:rsidRPr="002426EE" w14:paraId="4F408116" w14:textId="77777777" w:rsidTr="002A2F2F">
        <w:tc>
          <w:tcPr>
            <w:tcW w:w="880" w:type="dxa"/>
            <w:shd w:val="clear" w:color="auto" w:fill="auto"/>
          </w:tcPr>
          <w:p w14:paraId="5D5C5425" w14:textId="77777777" w:rsidR="00916D17" w:rsidRPr="005827DC" w:rsidRDefault="00916D17" w:rsidP="002A2F2F">
            <w:pPr>
              <w:rPr>
                <w:rFonts w:eastAsia="Calibri"/>
                <w:i/>
              </w:rPr>
            </w:pPr>
            <w:r w:rsidRPr="005827DC">
              <w:rPr>
                <w:rFonts w:eastAsia="Calibri"/>
                <w:i/>
              </w:rPr>
              <w:t xml:space="preserve">0 </w:t>
            </w:r>
          </w:p>
        </w:tc>
        <w:tc>
          <w:tcPr>
            <w:tcW w:w="7342" w:type="dxa"/>
            <w:shd w:val="clear" w:color="auto" w:fill="auto"/>
          </w:tcPr>
          <w:p w14:paraId="3A14E922" w14:textId="77777777" w:rsidR="00916D17" w:rsidRPr="005827DC" w:rsidRDefault="00916D17" w:rsidP="002A2F2F">
            <w:pPr>
              <w:rPr>
                <w:rFonts w:eastAsia="Calibri"/>
              </w:rPr>
            </w:pPr>
            <w:r w:rsidRPr="005827DC">
              <w:rPr>
                <w:rFonts w:eastAsia="Calibri"/>
              </w:rPr>
              <w:t>Nil or inadequate response. Fails to demonstrate an ability to meet the requirement.</w:t>
            </w:r>
          </w:p>
        </w:tc>
      </w:tr>
      <w:tr w:rsidR="00916D17" w:rsidRPr="002426EE" w14:paraId="75010BE3" w14:textId="77777777" w:rsidTr="002A2F2F">
        <w:tc>
          <w:tcPr>
            <w:tcW w:w="880" w:type="dxa"/>
            <w:shd w:val="clear" w:color="auto" w:fill="auto"/>
          </w:tcPr>
          <w:p w14:paraId="78A50A9F" w14:textId="77777777" w:rsidR="00916D17" w:rsidRPr="005827DC" w:rsidRDefault="00916D17" w:rsidP="002A2F2F">
            <w:pPr>
              <w:rPr>
                <w:rFonts w:eastAsia="Calibri"/>
                <w:i/>
              </w:rPr>
            </w:pPr>
            <w:r w:rsidRPr="005827DC">
              <w:rPr>
                <w:rFonts w:eastAsia="Calibri"/>
                <w:i/>
              </w:rPr>
              <w:t xml:space="preserve">1 </w:t>
            </w:r>
          </w:p>
        </w:tc>
        <w:tc>
          <w:tcPr>
            <w:tcW w:w="7342" w:type="dxa"/>
            <w:shd w:val="clear" w:color="auto" w:fill="auto"/>
          </w:tcPr>
          <w:p w14:paraId="6E956999" w14:textId="77777777" w:rsidR="00916D17" w:rsidRPr="005827DC" w:rsidRDefault="00916D17" w:rsidP="002A2F2F">
            <w:pPr>
              <w:rPr>
                <w:rFonts w:eastAsia="Calibri"/>
              </w:rPr>
            </w:pPr>
            <w:r w:rsidRPr="005827DC">
              <w:rPr>
                <w:rFonts w:eastAsia="Calibri"/>
              </w:rPr>
              <w:t>Response meets less than half the stated requirement. It is partially relevant but generally poor and lacks relevant detail.</w:t>
            </w:r>
          </w:p>
        </w:tc>
      </w:tr>
      <w:tr w:rsidR="00916D17" w:rsidRPr="002426EE" w14:paraId="1C6718A3" w14:textId="77777777" w:rsidTr="002A2F2F">
        <w:tc>
          <w:tcPr>
            <w:tcW w:w="880" w:type="dxa"/>
            <w:shd w:val="clear" w:color="auto" w:fill="auto"/>
          </w:tcPr>
          <w:p w14:paraId="443206AA" w14:textId="77777777" w:rsidR="00916D17" w:rsidRPr="005827DC" w:rsidRDefault="00916D17" w:rsidP="002A2F2F">
            <w:pPr>
              <w:rPr>
                <w:rFonts w:eastAsia="Calibri"/>
                <w:i/>
              </w:rPr>
            </w:pPr>
            <w:r w:rsidRPr="005827DC">
              <w:rPr>
                <w:rFonts w:eastAsia="Calibri"/>
                <w:i/>
              </w:rPr>
              <w:t>2</w:t>
            </w:r>
          </w:p>
        </w:tc>
        <w:tc>
          <w:tcPr>
            <w:tcW w:w="7342" w:type="dxa"/>
            <w:shd w:val="clear" w:color="auto" w:fill="auto"/>
          </w:tcPr>
          <w:p w14:paraId="4E3683B2" w14:textId="77777777" w:rsidR="00916D17" w:rsidRPr="005827DC" w:rsidRDefault="00916D17" w:rsidP="002A2F2F">
            <w:pPr>
              <w:rPr>
                <w:rFonts w:eastAsia="Calibri"/>
              </w:rPr>
            </w:pPr>
            <w:r w:rsidRPr="005827DC">
              <w:rPr>
                <w:rFonts w:eastAsia="Calibri"/>
              </w:rPr>
              <w:t xml:space="preserve">Response meets some but not </w:t>
            </w:r>
            <w:proofErr w:type="gramStart"/>
            <w:r w:rsidRPr="005827DC">
              <w:rPr>
                <w:rFonts w:eastAsia="Calibri"/>
              </w:rPr>
              <w:t>all of</w:t>
            </w:r>
            <w:proofErr w:type="gramEnd"/>
            <w:r w:rsidRPr="005827DC">
              <w:rPr>
                <w:rFonts w:eastAsia="Calibri"/>
              </w:rPr>
              <w:t xml:space="preserve"> the stated requirement. Lacks detail on how the requirement will be fulfilled in several areas.</w:t>
            </w:r>
          </w:p>
        </w:tc>
      </w:tr>
      <w:tr w:rsidR="00916D17" w:rsidRPr="002426EE" w14:paraId="7A3039F0" w14:textId="77777777" w:rsidTr="002A2F2F">
        <w:tc>
          <w:tcPr>
            <w:tcW w:w="880" w:type="dxa"/>
            <w:shd w:val="clear" w:color="auto" w:fill="auto"/>
          </w:tcPr>
          <w:p w14:paraId="3A28D7F1" w14:textId="77777777" w:rsidR="00916D17" w:rsidRPr="005827DC" w:rsidRDefault="00916D17" w:rsidP="002A2F2F">
            <w:pPr>
              <w:rPr>
                <w:rFonts w:eastAsia="Calibri"/>
                <w:i/>
              </w:rPr>
            </w:pPr>
            <w:r w:rsidRPr="005827DC">
              <w:rPr>
                <w:rFonts w:eastAsia="Calibri"/>
                <w:i/>
              </w:rPr>
              <w:t xml:space="preserve">3 </w:t>
            </w:r>
          </w:p>
        </w:tc>
        <w:tc>
          <w:tcPr>
            <w:tcW w:w="7342" w:type="dxa"/>
            <w:shd w:val="clear" w:color="auto" w:fill="auto"/>
          </w:tcPr>
          <w:p w14:paraId="4BF11144" w14:textId="77777777" w:rsidR="00916D17" w:rsidRPr="005827DC" w:rsidRDefault="00916D17" w:rsidP="002A2F2F">
            <w:pPr>
              <w:rPr>
                <w:rFonts w:eastAsia="Calibri"/>
              </w:rPr>
            </w:pPr>
            <w:r w:rsidRPr="005827DC">
              <w:rPr>
                <w:rFonts w:eastAsia="Calibri"/>
              </w:rPr>
              <w:t>The response meets the stated requirement. Answers are relevant and acceptable but may lack some detail.</w:t>
            </w:r>
          </w:p>
        </w:tc>
      </w:tr>
      <w:tr w:rsidR="00916D17" w:rsidRPr="002426EE" w14:paraId="19A3AF8C" w14:textId="77777777" w:rsidTr="002A2F2F">
        <w:tc>
          <w:tcPr>
            <w:tcW w:w="880" w:type="dxa"/>
            <w:shd w:val="clear" w:color="auto" w:fill="auto"/>
          </w:tcPr>
          <w:p w14:paraId="272B9D08" w14:textId="77777777" w:rsidR="00916D17" w:rsidRPr="005827DC" w:rsidRDefault="00916D17" w:rsidP="002A2F2F">
            <w:pPr>
              <w:rPr>
                <w:rFonts w:eastAsia="Calibri"/>
                <w:i/>
              </w:rPr>
            </w:pPr>
            <w:r w:rsidRPr="005827DC">
              <w:rPr>
                <w:rFonts w:eastAsia="Calibri"/>
                <w:i/>
              </w:rPr>
              <w:t>4</w:t>
            </w:r>
          </w:p>
        </w:tc>
        <w:tc>
          <w:tcPr>
            <w:tcW w:w="7342" w:type="dxa"/>
            <w:shd w:val="clear" w:color="auto" w:fill="auto"/>
          </w:tcPr>
          <w:p w14:paraId="4F3404A9" w14:textId="77777777" w:rsidR="00916D17" w:rsidRPr="005827DC" w:rsidRDefault="00916D17" w:rsidP="002A2F2F">
            <w:pPr>
              <w:rPr>
                <w:rFonts w:eastAsia="Calibri"/>
              </w:rPr>
            </w:pPr>
            <w:r w:rsidRPr="005827DC">
              <w:rPr>
                <w:rFonts w:eastAsia="Calibri"/>
              </w:rPr>
              <w:t>The response fully meets the stated requirement in all areas.  Answers are clear, relevant and elements of the response exceed the requirement by offering some added value.</w:t>
            </w:r>
          </w:p>
        </w:tc>
      </w:tr>
      <w:tr w:rsidR="00916D17" w:rsidRPr="002426EE" w14:paraId="56BA1880" w14:textId="77777777" w:rsidTr="002A2F2F">
        <w:tc>
          <w:tcPr>
            <w:tcW w:w="880" w:type="dxa"/>
            <w:shd w:val="clear" w:color="auto" w:fill="auto"/>
          </w:tcPr>
          <w:p w14:paraId="379253C5" w14:textId="77777777" w:rsidR="00916D17" w:rsidRPr="005827DC" w:rsidRDefault="00916D17" w:rsidP="002A2F2F">
            <w:pPr>
              <w:rPr>
                <w:rFonts w:eastAsia="Calibri"/>
                <w:i/>
              </w:rPr>
            </w:pPr>
            <w:r w:rsidRPr="005827DC">
              <w:rPr>
                <w:rFonts w:eastAsia="Calibri"/>
                <w:i/>
              </w:rPr>
              <w:t>5</w:t>
            </w:r>
          </w:p>
        </w:tc>
        <w:tc>
          <w:tcPr>
            <w:tcW w:w="7342" w:type="dxa"/>
            <w:shd w:val="clear" w:color="auto" w:fill="auto"/>
          </w:tcPr>
          <w:p w14:paraId="03A4721B" w14:textId="77777777" w:rsidR="00916D17" w:rsidRPr="005827DC" w:rsidRDefault="00916D17" w:rsidP="002A2F2F">
            <w:pPr>
              <w:rPr>
                <w:rFonts w:eastAsia="Calibri"/>
              </w:rPr>
            </w:pPr>
            <w:r w:rsidRPr="005827DC">
              <w:rPr>
                <w:rFonts w:eastAsia="Calibri"/>
              </w:rPr>
              <w:t xml:space="preserve">The response exceeds the requirement in all areas.  Answers are comprehensive, unambiguous and offer significant added value to the </w:t>
            </w:r>
            <w:r>
              <w:rPr>
                <w:rFonts w:eastAsia="Calibri"/>
              </w:rPr>
              <w:t xml:space="preserve">requirement which benefits </w:t>
            </w:r>
            <w:r w:rsidR="005D7D23">
              <w:rPr>
                <w:rFonts w:eastAsia="Calibri"/>
              </w:rPr>
              <w:t>SMC</w:t>
            </w:r>
            <w:r w:rsidRPr="005827DC">
              <w:rPr>
                <w:rFonts w:eastAsia="Calibri"/>
              </w:rPr>
              <w:t>.</w:t>
            </w:r>
          </w:p>
        </w:tc>
      </w:tr>
    </w:tbl>
    <w:p w14:paraId="3C4AC429" w14:textId="77777777" w:rsidR="00916D17" w:rsidRDefault="00916D17" w:rsidP="00F45645">
      <w:pPr>
        <w:pStyle w:val="Default"/>
        <w:ind w:left="720" w:hanging="360"/>
        <w:rPr>
          <w:b/>
          <w:sz w:val="22"/>
          <w:szCs w:val="22"/>
        </w:rPr>
      </w:pPr>
    </w:p>
    <w:p w14:paraId="1B5434AF" w14:textId="77777777" w:rsidR="00F25148" w:rsidRPr="00D331A3" w:rsidRDefault="00F25148" w:rsidP="00D331A3"/>
    <w:tbl>
      <w:tblPr>
        <w:tblW w:w="8647" w:type="dxa"/>
        <w:tblInd w:w="67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594"/>
        <w:gridCol w:w="1533"/>
        <w:gridCol w:w="4394"/>
        <w:gridCol w:w="992"/>
        <w:gridCol w:w="1134"/>
      </w:tblGrid>
      <w:tr w:rsidR="00F802E5" w:rsidRPr="00856EA2" w14:paraId="6C0C409E" w14:textId="77777777" w:rsidTr="00A6648E">
        <w:tc>
          <w:tcPr>
            <w:tcW w:w="594" w:type="dxa"/>
            <w:tcMar>
              <w:top w:w="0" w:type="dxa"/>
              <w:left w:w="108" w:type="dxa"/>
              <w:bottom w:w="0" w:type="dxa"/>
              <w:right w:w="108" w:type="dxa"/>
            </w:tcMar>
          </w:tcPr>
          <w:p w14:paraId="0875E49C" w14:textId="77777777" w:rsidR="00F802E5" w:rsidRPr="00571609" w:rsidRDefault="00F802E5" w:rsidP="002A2F2F">
            <w:pPr>
              <w:widowControl/>
              <w:overflowPunct/>
              <w:autoSpaceDE/>
              <w:autoSpaceDN/>
              <w:adjustRightInd/>
              <w:textAlignment w:val="auto"/>
              <w:rPr>
                <w:rFonts w:cs="Arial"/>
                <w:sz w:val="24"/>
                <w:szCs w:val="24"/>
              </w:rPr>
            </w:pPr>
            <w:r w:rsidRPr="00571609">
              <w:rPr>
                <w:rFonts w:cs="Arial"/>
                <w:sz w:val="24"/>
                <w:szCs w:val="24"/>
              </w:rPr>
              <w:t>Ref</w:t>
            </w:r>
          </w:p>
        </w:tc>
        <w:tc>
          <w:tcPr>
            <w:tcW w:w="1533" w:type="dxa"/>
            <w:tcMar>
              <w:top w:w="0" w:type="dxa"/>
              <w:left w:w="108" w:type="dxa"/>
              <w:bottom w:w="0" w:type="dxa"/>
              <w:right w:w="108" w:type="dxa"/>
            </w:tcMar>
          </w:tcPr>
          <w:p w14:paraId="2DCFEFA4" w14:textId="77777777" w:rsidR="00F802E5" w:rsidRPr="00571609" w:rsidRDefault="00F802E5" w:rsidP="002A2F2F">
            <w:pPr>
              <w:widowControl/>
              <w:overflowPunct/>
              <w:autoSpaceDE/>
              <w:autoSpaceDN/>
              <w:adjustRightInd/>
              <w:textAlignment w:val="auto"/>
              <w:rPr>
                <w:rFonts w:cs="Arial"/>
                <w:sz w:val="24"/>
                <w:szCs w:val="24"/>
              </w:rPr>
            </w:pPr>
            <w:r w:rsidRPr="00571609">
              <w:rPr>
                <w:rFonts w:cs="Arial"/>
                <w:sz w:val="24"/>
                <w:szCs w:val="24"/>
              </w:rPr>
              <w:t>Question</w:t>
            </w:r>
            <w:r>
              <w:rPr>
                <w:rFonts w:cs="Arial"/>
                <w:sz w:val="24"/>
                <w:szCs w:val="24"/>
              </w:rPr>
              <w:t xml:space="preserve"> </w:t>
            </w:r>
          </w:p>
        </w:tc>
        <w:tc>
          <w:tcPr>
            <w:tcW w:w="4394" w:type="dxa"/>
          </w:tcPr>
          <w:p w14:paraId="1D293E8C" w14:textId="77777777" w:rsidR="00F802E5" w:rsidRPr="00571609" w:rsidRDefault="00F802E5" w:rsidP="002A2F2F">
            <w:pPr>
              <w:widowControl/>
              <w:overflowPunct/>
              <w:autoSpaceDE/>
              <w:autoSpaceDN/>
              <w:adjustRightInd/>
              <w:textAlignment w:val="auto"/>
              <w:rPr>
                <w:rFonts w:cs="Arial"/>
                <w:sz w:val="24"/>
                <w:szCs w:val="24"/>
              </w:rPr>
            </w:pPr>
            <w:r>
              <w:rPr>
                <w:rFonts w:cs="Arial"/>
                <w:sz w:val="24"/>
                <w:szCs w:val="24"/>
              </w:rPr>
              <w:t xml:space="preserve"> Look </w:t>
            </w:r>
            <w:proofErr w:type="spellStart"/>
            <w:r>
              <w:rPr>
                <w:rFonts w:cs="Arial"/>
                <w:sz w:val="24"/>
                <w:szCs w:val="24"/>
              </w:rPr>
              <w:t>for’s</w:t>
            </w:r>
            <w:proofErr w:type="spellEnd"/>
          </w:p>
        </w:tc>
        <w:tc>
          <w:tcPr>
            <w:tcW w:w="992" w:type="dxa"/>
            <w:tcMar>
              <w:top w:w="0" w:type="dxa"/>
              <w:left w:w="108" w:type="dxa"/>
              <w:bottom w:w="0" w:type="dxa"/>
              <w:right w:w="108" w:type="dxa"/>
            </w:tcMar>
          </w:tcPr>
          <w:p w14:paraId="52513DC6" w14:textId="77777777" w:rsidR="00F802E5" w:rsidRPr="00571609" w:rsidRDefault="00F802E5" w:rsidP="002A2F2F">
            <w:pPr>
              <w:widowControl/>
              <w:overflowPunct/>
              <w:autoSpaceDE/>
              <w:autoSpaceDN/>
              <w:adjustRightInd/>
              <w:jc w:val="center"/>
              <w:textAlignment w:val="auto"/>
              <w:rPr>
                <w:rFonts w:cs="Arial"/>
                <w:sz w:val="24"/>
                <w:szCs w:val="24"/>
              </w:rPr>
            </w:pPr>
            <w:r w:rsidRPr="00571609">
              <w:rPr>
                <w:rFonts w:cs="Arial"/>
                <w:sz w:val="24"/>
                <w:szCs w:val="24"/>
              </w:rPr>
              <w:t>Weight</w:t>
            </w:r>
          </w:p>
        </w:tc>
        <w:tc>
          <w:tcPr>
            <w:tcW w:w="1134" w:type="dxa"/>
          </w:tcPr>
          <w:p w14:paraId="11BBC89F" w14:textId="77777777" w:rsidR="00F802E5" w:rsidRPr="00856EA2" w:rsidRDefault="00F802E5" w:rsidP="002A2F2F">
            <w:pPr>
              <w:widowControl/>
              <w:overflowPunct/>
              <w:autoSpaceDE/>
              <w:autoSpaceDN/>
              <w:adjustRightInd/>
              <w:jc w:val="center"/>
              <w:textAlignment w:val="auto"/>
              <w:rPr>
                <w:rFonts w:cs="Arial"/>
                <w:sz w:val="24"/>
                <w:szCs w:val="24"/>
              </w:rPr>
            </w:pPr>
            <w:r w:rsidRPr="00856EA2">
              <w:rPr>
                <w:rFonts w:cs="Arial"/>
                <w:sz w:val="24"/>
                <w:szCs w:val="24"/>
              </w:rPr>
              <w:t xml:space="preserve">Maximum possible score </w:t>
            </w:r>
          </w:p>
        </w:tc>
      </w:tr>
      <w:tr w:rsidR="00F802E5" w:rsidRPr="00571609" w14:paraId="77F063CD" w14:textId="77777777" w:rsidTr="00A6648E">
        <w:tc>
          <w:tcPr>
            <w:tcW w:w="594" w:type="dxa"/>
            <w:tcMar>
              <w:top w:w="0" w:type="dxa"/>
              <w:left w:w="108" w:type="dxa"/>
              <w:bottom w:w="0" w:type="dxa"/>
              <w:right w:w="108" w:type="dxa"/>
            </w:tcMar>
            <w:hideMark/>
          </w:tcPr>
          <w:p w14:paraId="2D17EAD4" w14:textId="77777777" w:rsidR="00F802E5" w:rsidRPr="006B7882" w:rsidRDefault="00F802E5" w:rsidP="002A2F2F">
            <w:pPr>
              <w:widowControl/>
              <w:overflowPunct/>
              <w:autoSpaceDE/>
              <w:autoSpaceDN/>
              <w:adjustRightInd/>
              <w:textAlignment w:val="auto"/>
              <w:rPr>
                <w:rFonts w:cs="Arial"/>
              </w:rPr>
            </w:pPr>
            <w:r w:rsidRPr="006B7882">
              <w:rPr>
                <w:rFonts w:cs="Arial"/>
              </w:rPr>
              <w:t>1</w:t>
            </w:r>
          </w:p>
        </w:tc>
        <w:tc>
          <w:tcPr>
            <w:tcW w:w="1533" w:type="dxa"/>
            <w:tcMar>
              <w:top w:w="0" w:type="dxa"/>
              <w:left w:w="108" w:type="dxa"/>
              <w:bottom w:w="0" w:type="dxa"/>
              <w:right w:w="108" w:type="dxa"/>
            </w:tcMar>
          </w:tcPr>
          <w:p w14:paraId="0998A38E" w14:textId="77777777" w:rsidR="00F802E5" w:rsidRPr="00856EA2" w:rsidRDefault="00F802E5" w:rsidP="005B6E47">
            <w:pPr>
              <w:widowControl/>
              <w:overflowPunct/>
              <w:autoSpaceDE/>
              <w:autoSpaceDN/>
              <w:adjustRightInd/>
              <w:textAlignment w:val="auto"/>
              <w:rPr>
                <w:rFonts w:cs="Arial"/>
              </w:rPr>
            </w:pPr>
            <w:r>
              <w:rPr>
                <w:rFonts w:cs="Arial"/>
              </w:rPr>
              <w:t xml:space="preserve">Does the </w:t>
            </w:r>
            <w:proofErr w:type="gramStart"/>
            <w:r>
              <w:rPr>
                <w:rFonts w:cs="Arial"/>
              </w:rPr>
              <w:t>proposal  describe</w:t>
            </w:r>
            <w:proofErr w:type="gramEnd"/>
            <w:r>
              <w:rPr>
                <w:rFonts w:cs="Arial"/>
              </w:rPr>
              <w:t xml:space="preserve"> a robust</w:t>
            </w:r>
            <w:r w:rsidR="005B6E47">
              <w:rPr>
                <w:rFonts w:cs="Arial"/>
              </w:rPr>
              <w:t xml:space="preserve"> method / suitable approach?</w:t>
            </w:r>
          </w:p>
        </w:tc>
        <w:tc>
          <w:tcPr>
            <w:tcW w:w="4394" w:type="dxa"/>
          </w:tcPr>
          <w:p w14:paraId="3FC73E93" w14:textId="77777777" w:rsidR="00A6648E" w:rsidRDefault="00A6648E" w:rsidP="00EA4286">
            <w:pPr>
              <w:numPr>
                <w:ilvl w:val="0"/>
                <w:numId w:val="42"/>
              </w:numPr>
              <w:rPr>
                <w:rFonts w:cs="Arial"/>
              </w:rPr>
            </w:pPr>
            <w:r w:rsidRPr="00731D5C">
              <w:rPr>
                <w:rFonts w:cs="Arial"/>
              </w:rPr>
              <w:t>Demonstrates a clear understanding of the policy area</w:t>
            </w:r>
            <w:r>
              <w:rPr>
                <w:rFonts w:cs="Arial"/>
              </w:rPr>
              <w:t>, the requirements of this type of study, and role it provides</w:t>
            </w:r>
          </w:p>
          <w:p w14:paraId="59B86BE3" w14:textId="77777777" w:rsidR="00A6648E" w:rsidRPr="00731D5C" w:rsidRDefault="00A6648E" w:rsidP="00A6648E">
            <w:pPr>
              <w:ind w:left="360"/>
              <w:rPr>
                <w:rFonts w:cs="Arial"/>
              </w:rPr>
            </w:pPr>
          </w:p>
          <w:p w14:paraId="130FBF2E" w14:textId="77777777" w:rsidR="00A6648E" w:rsidRDefault="00A6648E" w:rsidP="00EA4286">
            <w:pPr>
              <w:numPr>
                <w:ilvl w:val="0"/>
                <w:numId w:val="41"/>
              </w:numPr>
              <w:ind w:left="357" w:hanging="357"/>
              <w:rPr>
                <w:rFonts w:cs="Arial"/>
              </w:rPr>
            </w:pPr>
            <w:r w:rsidRPr="00731D5C">
              <w:rPr>
                <w:rFonts w:cs="Arial"/>
              </w:rPr>
              <w:t>Constructive thinking demonstrated by the proposed methodological approach to this project in meeting the objectives (including identifying and addressing risks)</w:t>
            </w:r>
          </w:p>
          <w:p w14:paraId="5E2607C6" w14:textId="77777777" w:rsidR="00A6648E" w:rsidRDefault="00A6648E" w:rsidP="00A6648E">
            <w:pPr>
              <w:ind w:left="357"/>
              <w:rPr>
                <w:rFonts w:cs="Arial"/>
              </w:rPr>
            </w:pPr>
          </w:p>
          <w:p w14:paraId="74051C61" w14:textId="77777777" w:rsidR="00A6648E" w:rsidRDefault="00A6648E" w:rsidP="00EA4286">
            <w:pPr>
              <w:pStyle w:val="Numbered"/>
              <w:widowControl/>
              <w:numPr>
                <w:ilvl w:val="0"/>
                <w:numId w:val="41"/>
              </w:numPr>
              <w:overflowPunct/>
              <w:autoSpaceDE/>
              <w:autoSpaceDN/>
              <w:adjustRightInd/>
              <w:spacing w:after="0"/>
              <w:ind w:left="357" w:hanging="357"/>
              <w:textAlignment w:val="auto"/>
              <w:rPr>
                <w:rFonts w:cs="Arial"/>
              </w:rPr>
            </w:pPr>
            <w:r w:rsidRPr="00FA54B5">
              <w:rPr>
                <w:rFonts w:cs="Arial"/>
              </w:rPr>
              <w:t>The suitability of the proposed approach to deliver against requirements of the study, and iden</w:t>
            </w:r>
            <w:r>
              <w:rPr>
                <w:rFonts w:cs="Arial"/>
              </w:rPr>
              <w:t>tificati</w:t>
            </w:r>
            <w:r w:rsidRPr="00FA54B5">
              <w:rPr>
                <w:rFonts w:cs="Arial"/>
              </w:rPr>
              <w:t xml:space="preserve">on of any </w:t>
            </w:r>
            <w:r>
              <w:rPr>
                <w:rFonts w:cs="Arial"/>
              </w:rPr>
              <w:t>o</w:t>
            </w:r>
            <w:r w:rsidRPr="00FA54B5">
              <w:rPr>
                <w:rFonts w:cs="Arial"/>
              </w:rPr>
              <w:t>pportunities to add value to this</w:t>
            </w:r>
          </w:p>
          <w:p w14:paraId="031EB332" w14:textId="77777777" w:rsidR="00A6648E" w:rsidRDefault="00A6648E" w:rsidP="00A6648E">
            <w:pPr>
              <w:pStyle w:val="Numbered"/>
              <w:widowControl/>
              <w:overflowPunct/>
              <w:autoSpaceDE/>
              <w:autoSpaceDN/>
              <w:adjustRightInd/>
              <w:spacing w:after="0"/>
              <w:textAlignment w:val="auto"/>
              <w:rPr>
                <w:rFonts w:cs="Arial"/>
              </w:rPr>
            </w:pPr>
          </w:p>
          <w:p w14:paraId="4BCD45AD" w14:textId="77777777" w:rsidR="00A6648E" w:rsidRDefault="00A6648E" w:rsidP="00EA4286">
            <w:pPr>
              <w:pStyle w:val="Numbered"/>
              <w:widowControl/>
              <w:numPr>
                <w:ilvl w:val="0"/>
                <w:numId w:val="41"/>
              </w:numPr>
              <w:overflowPunct/>
              <w:autoSpaceDE/>
              <w:autoSpaceDN/>
              <w:adjustRightInd/>
              <w:spacing w:after="0"/>
              <w:ind w:left="357" w:hanging="357"/>
              <w:textAlignment w:val="auto"/>
              <w:rPr>
                <w:rFonts w:cs="Arial"/>
              </w:rPr>
            </w:pPr>
            <w:r w:rsidRPr="00FA54B5">
              <w:rPr>
                <w:rFonts w:cs="Arial"/>
              </w:rPr>
              <w:t>Consideration of ethical, confidentiality and data protection issues</w:t>
            </w:r>
          </w:p>
          <w:p w14:paraId="1CF6E6C1" w14:textId="77777777" w:rsidR="00A6648E" w:rsidRPr="00FA54B5" w:rsidRDefault="00A6648E" w:rsidP="00A6648E">
            <w:pPr>
              <w:pStyle w:val="Numbered"/>
              <w:widowControl/>
              <w:overflowPunct/>
              <w:autoSpaceDE/>
              <w:autoSpaceDN/>
              <w:adjustRightInd/>
              <w:spacing w:after="0"/>
              <w:textAlignment w:val="auto"/>
              <w:rPr>
                <w:rFonts w:cs="Arial"/>
              </w:rPr>
            </w:pPr>
          </w:p>
          <w:p w14:paraId="46FF299E" w14:textId="77777777" w:rsidR="00A6648E" w:rsidRDefault="00A6648E" w:rsidP="00EA4286">
            <w:pPr>
              <w:widowControl/>
              <w:numPr>
                <w:ilvl w:val="0"/>
                <w:numId w:val="41"/>
              </w:numPr>
              <w:overflowPunct/>
              <w:autoSpaceDE/>
              <w:autoSpaceDN/>
              <w:adjustRightInd/>
              <w:ind w:left="357" w:hanging="357"/>
              <w:textAlignment w:val="auto"/>
              <w:rPr>
                <w:rFonts w:cs="Arial"/>
              </w:rPr>
            </w:pPr>
            <w:r w:rsidRPr="00731D5C">
              <w:rPr>
                <w:rFonts w:cs="Arial"/>
              </w:rPr>
              <w:t xml:space="preserve">That the risks and challenges are </w:t>
            </w:r>
            <w:proofErr w:type="gramStart"/>
            <w:r w:rsidRPr="00731D5C">
              <w:rPr>
                <w:rFonts w:cs="Arial"/>
              </w:rPr>
              <w:t>considered</w:t>
            </w:r>
            <w:proofErr w:type="gramEnd"/>
            <w:r w:rsidRPr="00731D5C">
              <w:rPr>
                <w:rFonts w:cs="Arial"/>
              </w:rPr>
              <w:t xml:space="preserve"> and mitigation integrated into the proposed methodology </w:t>
            </w:r>
          </w:p>
          <w:p w14:paraId="45EC7262" w14:textId="77777777" w:rsidR="00A6648E" w:rsidRDefault="00A6648E" w:rsidP="00A6648E">
            <w:pPr>
              <w:widowControl/>
              <w:overflowPunct/>
              <w:autoSpaceDE/>
              <w:autoSpaceDN/>
              <w:adjustRightInd/>
              <w:textAlignment w:val="auto"/>
              <w:rPr>
                <w:rFonts w:cs="Arial"/>
              </w:rPr>
            </w:pPr>
          </w:p>
          <w:p w14:paraId="1AECE73B" w14:textId="77777777" w:rsidR="00A6648E" w:rsidRPr="00536B95" w:rsidRDefault="00A6648E" w:rsidP="00EA4286">
            <w:pPr>
              <w:widowControl/>
              <w:numPr>
                <w:ilvl w:val="0"/>
                <w:numId w:val="41"/>
              </w:numPr>
              <w:overflowPunct/>
              <w:autoSpaceDE/>
              <w:autoSpaceDN/>
              <w:adjustRightInd/>
              <w:ind w:left="357" w:hanging="357"/>
              <w:textAlignment w:val="auto"/>
              <w:rPr>
                <w:rFonts w:cs="Arial"/>
              </w:rPr>
            </w:pPr>
            <w:r w:rsidRPr="00536B95">
              <w:rPr>
                <w:rFonts w:cs="Arial"/>
              </w:rPr>
              <w:t>The quality</w:t>
            </w:r>
            <w:r>
              <w:rPr>
                <w:rFonts w:cs="Arial"/>
              </w:rPr>
              <w:t>, timing</w:t>
            </w:r>
            <w:r w:rsidRPr="00536B95">
              <w:rPr>
                <w:rFonts w:cs="Arial"/>
              </w:rPr>
              <w:t xml:space="preserve"> and suitability of </w:t>
            </w:r>
            <w:r>
              <w:rPr>
                <w:rFonts w:cs="Arial"/>
              </w:rPr>
              <w:t xml:space="preserve">proposed </w:t>
            </w:r>
            <w:r w:rsidRPr="00536B95">
              <w:rPr>
                <w:rFonts w:cs="Arial"/>
              </w:rPr>
              <w:t>outputs</w:t>
            </w:r>
            <w:r>
              <w:rPr>
                <w:rFonts w:cs="Arial"/>
              </w:rPr>
              <w:t xml:space="preserve">, </w:t>
            </w:r>
            <w:r w:rsidRPr="00536B95">
              <w:rPr>
                <w:rFonts w:cs="Arial"/>
              </w:rPr>
              <w:t>and potential to inform and influence both policy and delivery</w:t>
            </w:r>
          </w:p>
          <w:p w14:paraId="0D6F7CCE" w14:textId="77777777" w:rsidR="00F802E5" w:rsidRPr="00856EA2" w:rsidRDefault="00F802E5" w:rsidP="002A2F2F">
            <w:pPr>
              <w:widowControl/>
              <w:overflowPunct/>
              <w:autoSpaceDE/>
              <w:autoSpaceDN/>
              <w:adjustRightInd/>
              <w:textAlignment w:val="auto"/>
              <w:rPr>
                <w:rFonts w:cs="Arial"/>
              </w:rPr>
            </w:pPr>
          </w:p>
        </w:tc>
        <w:tc>
          <w:tcPr>
            <w:tcW w:w="992" w:type="dxa"/>
            <w:tcMar>
              <w:top w:w="0" w:type="dxa"/>
              <w:left w:w="108" w:type="dxa"/>
              <w:bottom w:w="0" w:type="dxa"/>
              <w:right w:w="108" w:type="dxa"/>
            </w:tcMar>
          </w:tcPr>
          <w:p w14:paraId="0913B16C" w14:textId="77777777" w:rsidR="00F802E5" w:rsidRPr="00571609" w:rsidRDefault="00CF17C7" w:rsidP="002A2F2F">
            <w:pPr>
              <w:widowControl/>
              <w:overflowPunct/>
              <w:autoSpaceDE/>
              <w:autoSpaceDN/>
              <w:adjustRightInd/>
              <w:jc w:val="center"/>
              <w:textAlignment w:val="auto"/>
              <w:rPr>
                <w:rFonts w:cs="Arial"/>
                <w:b/>
                <w:sz w:val="24"/>
                <w:szCs w:val="24"/>
              </w:rPr>
            </w:pPr>
            <w:r>
              <w:rPr>
                <w:rFonts w:cs="Arial"/>
                <w:b/>
                <w:sz w:val="24"/>
                <w:szCs w:val="24"/>
              </w:rPr>
              <w:t>6</w:t>
            </w:r>
          </w:p>
        </w:tc>
        <w:tc>
          <w:tcPr>
            <w:tcW w:w="1134" w:type="dxa"/>
          </w:tcPr>
          <w:p w14:paraId="538A33C1" w14:textId="77777777" w:rsidR="00F802E5" w:rsidRPr="00571609" w:rsidRDefault="00CF17C7" w:rsidP="002A2F2F">
            <w:pPr>
              <w:widowControl/>
              <w:overflowPunct/>
              <w:autoSpaceDE/>
              <w:autoSpaceDN/>
              <w:adjustRightInd/>
              <w:jc w:val="center"/>
              <w:textAlignment w:val="auto"/>
              <w:rPr>
                <w:rFonts w:cs="Arial"/>
                <w:b/>
                <w:sz w:val="24"/>
                <w:szCs w:val="24"/>
              </w:rPr>
            </w:pPr>
            <w:r>
              <w:rPr>
                <w:rFonts w:cs="Arial"/>
                <w:b/>
                <w:sz w:val="24"/>
                <w:szCs w:val="24"/>
              </w:rPr>
              <w:t>30</w:t>
            </w:r>
          </w:p>
        </w:tc>
      </w:tr>
      <w:tr w:rsidR="005B6E47" w:rsidRPr="00571609" w14:paraId="2E0214E1" w14:textId="77777777" w:rsidTr="00A6648E">
        <w:tc>
          <w:tcPr>
            <w:tcW w:w="594" w:type="dxa"/>
            <w:tcMar>
              <w:top w:w="0" w:type="dxa"/>
              <w:left w:w="108" w:type="dxa"/>
              <w:bottom w:w="0" w:type="dxa"/>
              <w:right w:w="108" w:type="dxa"/>
            </w:tcMar>
          </w:tcPr>
          <w:p w14:paraId="5C31B6DE" w14:textId="77777777" w:rsidR="005B6E47" w:rsidRPr="006B7882" w:rsidRDefault="005B6E47" w:rsidP="002A2F2F">
            <w:pPr>
              <w:widowControl/>
              <w:overflowPunct/>
              <w:autoSpaceDE/>
              <w:autoSpaceDN/>
              <w:adjustRightInd/>
              <w:textAlignment w:val="auto"/>
              <w:rPr>
                <w:rFonts w:cs="Arial"/>
              </w:rPr>
            </w:pPr>
            <w:r>
              <w:rPr>
                <w:rFonts w:cs="Arial"/>
              </w:rPr>
              <w:lastRenderedPageBreak/>
              <w:t>2</w:t>
            </w:r>
          </w:p>
        </w:tc>
        <w:tc>
          <w:tcPr>
            <w:tcW w:w="1533" w:type="dxa"/>
            <w:tcMar>
              <w:top w:w="0" w:type="dxa"/>
              <w:left w:w="108" w:type="dxa"/>
              <w:bottom w:w="0" w:type="dxa"/>
              <w:right w:w="108" w:type="dxa"/>
            </w:tcMar>
          </w:tcPr>
          <w:p w14:paraId="7A41452D" w14:textId="77777777" w:rsidR="005B6E47" w:rsidRDefault="00BB7E68" w:rsidP="005B6E47">
            <w:pPr>
              <w:widowControl/>
              <w:overflowPunct/>
              <w:autoSpaceDE/>
              <w:autoSpaceDN/>
              <w:adjustRightInd/>
              <w:textAlignment w:val="auto"/>
              <w:rPr>
                <w:rFonts w:cs="Arial"/>
              </w:rPr>
            </w:pPr>
            <w:r>
              <w:rPr>
                <w:rFonts w:cs="Arial"/>
              </w:rPr>
              <w:t>Team and organisational experience in conducting research</w:t>
            </w:r>
          </w:p>
        </w:tc>
        <w:tc>
          <w:tcPr>
            <w:tcW w:w="4394" w:type="dxa"/>
          </w:tcPr>
          <w:p w14:paraId="3507CA15" w14:textId="77777777" w:rsidR="00A6648E" w:rsidRDefault="00BB7E68" w:rsidP="00EA4286">
            <w:pPr>
              <w:numPr>
                <w:ilvl w:val="0"/>
                <w:numId w:val="43"/>
              </w:numPr>
              <w:ind w:left="360"/>
            </w:pPr>
            <w:r w:rsidRPr="00BB07D1">
              <w:t>Experience of staff in relevant research techniques</w:t>
            </w:r>
          </w:p>
          <w:p w14:paraId="06E04F7D" w14:textId="77777777" w:rsidR="00A6648E" w:rsidRPr="00A6648E" w:rsidRDefault="00BB7E68" w:rsidP="00EA4286">
            <w:pPr>
              <w:numPr>
                <w:ilvl w:val="0"/>
                <w:numId w:val="43"/>
              </w:numPr>
              <w:spacing w:before="240"/>
              <w:ind w:left="360"/>
              <w:rPr>
                <w:rFonts w:cs="Arial"/>
              </w:rPr>
            </w:pPr>
            <w:r w:rsidRPr="00BB07D1">
              <w:rPr>
                <w:rFonts w:cs="Arial"/>
              </w:rPr>
              <w:t>Experience of specific research in this area and familiarity with subject area</w:t>
            </w:r>
          </w:p>
          <w:p w14:paraId="6656294D" w14:textId="77777777" w:rsidR="00A6648E" w:rsidRDefault="00A6648E" w:rsidP="00A6648E">
            <w:pPr>
              <w:rPr>
                <w:rFonts w:cs="Arial"/>
              </w:rPr>
            </w:pPr>
          </w:p>
          <w:p w14:paraId="127B6656" w14:textId="77777777" w:rsidR="00A6648E" w:rsidRPr="00A6648E" w:rsidRDefault="00A6648E" w:rsidP="00EA4286">
            <w:pPr>
              <w:numPr>
                <w:ilvl w:val="0"/>
                <w:numId w:val="43"/>
              </w:numPr>
              <w:ind w:left="360"/>
              <w:rPr>
                <w:rFonts w:cs="Arial"/>
              </w:rPr>
            </w:pPr>
            <w:r w:rsidRPr="00731D5C">
              <w:rPr>
                <w:rFonts w:cs="Arial"/>
              </w:rPr>
              <w:t>Evidence of experience in the challenges</w:t>
            </w:r>
            <w:r>
              <w:rPr>
                <w:rFonts w:cs="Arial"/>
              </w:rPr>
              <w:t xml:space="preserve"> and considerations involved in the relevant type of research</w:t>
            </w:r>
          </w:p>
          <w:p w14:paraId="2311B248" w14:textId="77777777" w:rsidR="00A6648E" w:rsidRDefault="00A6648E" w:rsidP="00A6648E">
            <w:pPr>
              <w:rPr>
                <w:rFonts w:cs="Arial"/>
              </w:rPr>
            </w:pPr>
          </w:p>
          <w:p w14:paraId="78F1411B" w14:textId="77777777" w:rsidR="00A6648E" w:rsidRDefault="00A6648E" w:rsidP="00EA4286">
            <w:pPr>
              <w:numPr>
                <w:ilvl w:val="0"/>
                <w:numId w:val="43"/>
              </w:numPr>
              <w:ind w:left="360"/>
              <w:rPr>
                <w:rFonts w:cs="Arial"/>
              </w:rPr>
            </w:pPr>
            <w:r w:rsidRPr="00FA54B5">
              <w:rPr>
                <w:rFonts w:cs="Arial"/>
              </w:rPr>
              <w:t xml:space="preserve">How the skills and experience of the team will be used and managed to best effect (where there is a partnership please include specific about how this will </w:t>
            </w:r>
            <w:r>
              <w:rPr>
                <w:rFonts w:cs="Arial"/>
              </w:rPr>
              <w:t>be managed, add value and any experience of successful collaboration</w:t>
            </w:r>
            <w:r w:rsidRPr="00FA54B5">
              <w:rPr>
                <w:rFonts w:cs="Arial"/>
              </w:rPr>
              <w:t>)</w:t>
            </w:r>
          </w:p>
          <w:p w14:paraId="5A5B978D" w14:textId="77777777" w:rsidR="00A6648E" w:rsidRDefault="00A6648E" w:rsidP="00A6648E">
            <w:pPr>
              <w:pStyle w:val="ListParagraph"/>
              <w:ind w:left="360"/>
              <w:rPr>
                <w:rFonts w:cs="Arial"/>
              </w:rPr>
            </w:pPr>
          </w:p>
          <w:p w14:paraId="06D1E80C" w14:textId="77777777" w:rsidR="00A6648E" w:rsidRDefault="00A6648E" w:rsidP="00EA4286">
            <w:pPr>
              <w:numPr>
                <w:ilvl w:val="0"/>
                <w:numId w:val="43"/>
              </w:numPr>
              <w:ind w:left="360"/>
              <w:rPr>
                <w:rFonts w:cs="Arial"/>
              </w:rPr>
            </w:pPr>
            <w:r>
              <w:rPr>
                <w:rFonts w:cs="Arial"/>
              </w:rPr>
              <w:t>Clear plan for communication and d</w:t>
            </w:r>
            <w:r w:rsidRPr="00731D5C">
              <w:rPr>
                <w:rFonts w:cs="Arial"/>
              </w:rPr>
              <w:t xml:space="preserve">emonstration of a collaborative approach to taking the work forward, working closely with </w:t>
            </w:r>
            <w:r>
              <w:rPr>
                <w:rFonts w:cs="Arial"/>
              </w:rPr>
              <w:t xml:space="preserve">SMC </w:t>
            </w:r>
            <w:r w:rsidRPr="00731D5C">
              <w:rPr>
                <w:rFonts w:cs="Arial"/>
              </w:rPr>
              <w:t>as appropriate</w:t>
            </w:r>
          </w:p>
          <w:p w14:paraId="3DBFD672" w14:textId="77777777" w:rsidR="00A6648E" w:rsidRDefault="00A6648E" w:rsidP="00A6648E">
            <w:pPr>
              <w:ind w:left="720"/>
              <w:rPr>
                <w:rFonts w:cs="Arial"/>
              </w:rPr>
            </w:pPr>
          </w:p>
          <w:p w14:paraId="0392B533" w14:textId="77777777" w:rsidR="00A6648E" w:rsidRDefault="00A6648E" w:rsidP="00EA4286">
            <w:pPr>
              <w:numPr>
                <w:ilvl w:val="0"/>
                <w:numId w:val="42"/>
              </w:numPr>
              <w:rPr>
                <w:rFonts w:cs="Arial"/>
              </w:rPr>
            </w:pPr>
            <w:r w:rsidRPr="00731D5C">
              <w:rPr>
                <w:rFonts w:cs="Arial"/>
              </w:rPr>
              <w:t>Evidence of organisational capacity</w:t>
            </w:r>
            <w:r>
              <w:rPr>
                <w:rFonts w:cs="Arial"/>
              </w:rPr>
              <w:t xml:space="preserve">, </w:t>
            </w:r>
            <w:r w:rsidRPr="00731D5C">
              <w:rPr>
                <w:rFonts w:cs="Arial"/>
              </w:rPr>
              <w:t>project management and risk-management processes</w:t>
            </w:r>
            <w:r>
              <w:rPr>
                <w:rFonts w:cs="Arial"/>
              </w:rPr>
              <w:t xml:space="preserve">, and </w:t>
            </w:r>
            <w:r w:rsidRPr="00731D5C">
              <w:rPr>
                <w:rFonts w:cs="Arial"/>
              </w:rPr>
              <w:t>quality assurance procedures</w:t>
            </w:r>
            <w:r>
              <w:rPr>
                <w:rFonts w:cs="Arial"/>
              </w:rPr>
              <w:t>,</w:t>
            </w:r>
            <w:r w:rsidRPr="00731D5C">
              <w:rPr>
                <w:rFonts w:cs="Arial"/>
              </w:rPr>
              <w:t xml:space="preserve"> to deliver the project in the specified timescales and quality</w:t>
            </w:r>
          </w:p>
          <w:p w14:paraId="2E3E1A94" w14:textId="77777777" w:rsidR="00A6648E" w:rsidRPr="00A6648E" w:rsidRDefault="00A6648E" w:rsidP="00A6648E">
            <w:pPr>
              <w:rPr>
                <w:rFonts w:cs="Arial"/>
              </w:rPr>
            </w:pPr>
          </w:p>
        </w:tc>
        <w:tc>
          <w:tcPr>
            <w:tcW w:w="992" w:type="dxa"/>
            <w:tcMar>
              <w:top w:w="0" w:type="dxa"/>
              <w:left w:w="108" w:type="dxa"/>
              <w:bottom w:w="0" w:type="dxa"/>
              <w:right w:w="108" w:type="dxa"/>
            </w:tcMar>
          </w:tcPr>
          <w:p w14:paraId="1F8E6A52" w14:textId="77777777" w:rsidR="005B6E47" w:rsidRDefault="00CF17C7" w:rsidP="002A2F2F">
            <w:pPr>
              <w:widowControl/>
              <w:overflowPunct/>
              <w:autoSpaceDE/>
              <w:autoSpaceDN/>
              <w:adjustRightInd/>
              <w:jc w:val="center"/>
              <w:textAlignment w:val="auto"/>
              <w:rPr>
                <w:rFonts w:cs="Arial"/>
                <w:b/>
                <w:sz w:val="24"/>
                <w:szCs w:val="24"/>
              </w:rPr>
            </w:pPr>
            <w:r>
              <w:rPr>
                <w:rFonts w:cs="Arial"/>
                <w:b/>
                <w:sz w:val="24"/>
                <w:szCs w:val="24"/>
              </w:rPr>
              <w:t>6</w:t>
            </w:r>
          </w:p>
        </w:tc>
        <w:tc>
          <w:tcPr>
            <w:tcW w:w="1134" w:type="dxa"/>
          </w:tcPr>
          <w:p w14:paraId="35919B5D" w14:textId="77777777" w:rsidR="005B6E47" w:rsidRDefault="00CF17C7" w:rsidP="002A2F2F">
            <w:pPr>
              <w:widowControl/>
              <w:overflowPunct/>
              <w:autoSpaceDE/>
              <w:autoSpaceDN/>
              <w:adjustRightInd/>
              <w:jc w:val="center"/>
              <w:textAlignment w:val="auto"/>
              <w:rPr>
                <w:rFonts w:cs="Arial"/>
                <w:b/>
                <w:sz w:val="24"/>
                <w:szCs w:val="24"/>
              </w:rPr>
            </w:pPr>
            <w:r>
              <w:rPr>
                <w:rFonts w:cs="Arial"/>
                <w:b/>
                <w:sz w:val="24"/>
                <w:szCs w:val="24"/>
              </w:rPr>
              <w:t>30</w:t>
            </w:r>
          </w:p>
        </w:tc>
      </w:tr>
      <w:tr w:rsidR="00657CEE" w:rsidRPr="00571609" w14:paraId="7E2B3A74" w14:textId="77777777" w:rsidTr="00A6648E">
        <w:tc>
          <w:tcPr>
            <w:tcW w:w="594" w:type="dxa"/>
            <w:tcMar>
              <w:top w:w="0" w:type="dxa"/>
              <w:left w:w="108" w:type="dxa"/>
              <w:bottom w:w="0" w:type="dxa"/>
              <w:right w:w="108" w:type="dxa"/>
            </w:tcMar>
          </w:tcPr>
          <w:p w14:paraId="20E7CA44" w14:textId="77777777" w:rsidR="00657CEE" w:rsidRDefault="00CF17C7" w:rsidP="002A2F2F">
            <w:pPr>
              <w:widowControl/>
              <w:overflowPunct/>
              <w:autoSpaceDE/>
              <w:autoSpaceDN/>
              <w:adjustRightInd/>
              <w:textAlignment w:val="auto"/>
              <w:rPr>
                <w:rFonts w:cs="Arial"/>
              </w:rPr>
            </w:pPr>
            <w:r>
              <w:rPr>
                <w:rFonts w:cs="Arial"/>
              </w:rPr>
              <w:t>3</w:t>
            </w:r>
          </w:p>
        </w:tc>
        <w:tc>
          <w:tcPr>
            <w:tcW w:w="1533" w:type="dxa"/>
            <w:tcMar>
              <w:top w:w="0" w:type="dxa"/>
              <w:left w:w="108" w:type="dxa"/>
              <w:bottom w:w="0" w:type="dxa"/>
              <w:right w:w="108" w:type="dxa"/>
            </w:tcMar>
          </w:tcPr>
          <w:p w14:paraId="774753F6" w14:textId="77777777" w:rsidR="00657CEE" w:rsidRDefault="00657CEE" w:rsidP="005B6E47">
            <w:pPr>
              <w:widowControl/>
              <w:overflowPunct/>
              <w:autoSpaceDE/>
              <w:autoSpaceDN/>
              <w:adjustRightInd/>
              <w:textAlignment w:val="auto"/>
              <w:rPr>
                <w:rFonts w:cs="Arial"/>
              </w:rPr>
            </w:pPr>
            <w:r>
              <w:rPr>
                <w:rFonts w:cs="Arial"/>
              </w:rPr>
              <w:t>Presentation of data, findings and recommendations</w:t>
            </w:r>
          </w:p>
        </w:tc>
        <w:tc>
          <w:tcPr>
            <w:tcW w:w="4394" w:type="dxa"/>
          </w:tcPr>
          <w:p w14:paraId="066D0C97" w14:textId="77777777" w:rsidR="00A6648E" w:rsidRDefault="00657CEE" w:rsidP="00EA4286">
            <w:pPr>
              <w:numPr>
                <w:ilvl w:val="0"/>
                <w:numId w:val="44"/>
              </w:numPr>
            </w:pPr>
            <w:r>
              <w:t>Clear articulation of plans for presenting the findings in clear and eye-catching ways</w:t>
            </w:r>
          </w:p>
          <w:p w14:paraId="2088B906" w14:textId="77777777" w:rsidR="00A6648E" w:rsidRDefault="00A6648E" w:rsidP="00A6648E">
            <w:pPr>
              <w:ind w:left="360"/>
            </w:pPr>
          </w:p>
          <w:p w14:paraId="382EEF8D" w14:textId="77777777" w:rsidR="00A6648E" w:rsidRDefault="00A6648E" w:rsidP="00EA4286">
            <w:pPr>
              <w:numPr>
                <w:ilvl w:val="0"/>
                <w:numId w:val="42"/>
              </w:numPr>
              <w:rPr>
                <w:rFonts w:cs="Arial"/>
              </w:rPr>
            </w:pPr>
            <w:r w:rsidRPr="00731D5C">
              <w:rPr>
                <w:rFonts w:cs="Arial"/>
              </w:rPr>
              <w:t>Evidence of ability to deliver high quality research, fieldwork and outputs</w:t>
            </w:r>
          </w:p>
          <w:p w14:paraId="7BA8BBED" w14:textId="77777777" w:rsidR="00A6648E" w:rsidRPr="00731D5C" w:rsidRDefault="00A6648E" w:rsidP="00A6648E">
            <w:pPr>
              <w:rPr>
                <w:rFonts w:cs="Arial"/>
              </w:rPr>
            </w:pPr>
          </w:p>
          <w:p w14:paraId="133E6CC9" w14:textId="77777777" w:rsidR="00A6648E" w:rsidRPr="00A6648E" w:rsidRDefault="00A6648E" w:rsidP="00EA4286">
            <w:pPr>
              <w:numPr>
                <w:ilvl w:val="0"/>
                <w:numId w:val="42"/>
              </w:numPr>
              <w:rPr>
                <w:rFonts w:cs="Arial"/>
              </w:rPr>
            </w:pPr>
            <w:r w:rsidRPr="00731D5C">
              <w:rPr>
                <w:rFonts w:cs="Arial"/>
              </w:rPr>
              <w:t xml:space="preserve">Ability to </w:t>
            </w:r>
            <w:r w:rsidRPr="00731D5C">
              <w:t>write good quality reports with clear findings and workable recommendations, tailored to their audiences</w:t>
            </w:r>
          </w:p>
          <w:p w14:paraId="5CE00DE5" w14:textId="77777777" w:rsidR="00A6648E" w:rsidRDefault="00A6648E" w:rsidP="00A6648E"/>
        </w:tc>
        <w:tc>
          <w:tcPr>
            <w:tcW w:w="992" w:type="dxa"/>
            <w:tcMar>
              <w:top w:w="0" w:type="dxa"/>
              <w:left w:w="108" w:type="dxa"/>
              <w:bottom w:w="0" w:type="dxa"/>
              <w:right w:w="108" w:type="dxa"/>
            </w:tcMar>
          </w:tcPr>
          <w:p w14:paraId="1A81F0D9" w14:textId="77777777" w:rsidR="00657CEE" w:rsidRDefault="00CF17C7" w:rsidP="002A2F2F">
            <w:pPr>
              <w:widowControl/>
              <w:overflowPunct/>
              <w:autoSpaceDE/>
              <w:autoSpaceDN/>
              <w:adjustRightInd/>
              <w:jc w:val="center"/>
              <w:textAlignment w:val="auto"/>
              <w:rPr>
                <w:rFonts w:cs="Arial"/>
                <w:b/>
                <w:sz w:val="24"/>
                <w:szCs w:val="24"/>
              </w:rPr>
            </w:pPr>
            <w:r>
              <w:rPr>
                <w:rFonts w:cs="Arial"/>
                <w:b/>
                <w:sz w:val="24"/>
                <w:szCs w:val="24"/>
              </w:rPr>
              <w:t>4</w:t>
            </w:r>
          </w:p>
        </w:tc>
        <w:tc>
          <w:tcPr>
            <w:tcW w:w="1134" w:type="dxa"/>
          </w:tcPr>
          <w:p w14:paraId="06016278" w14:textId="77777777" w:rsidR="00657CEE" w:rsidRDefault="00CF17C7" w:rsidP="002A2F2F">
            <w:pPr>
              <w:widowControl/>
              <w:overflowPunct/>
              <w:autoSpaceDE/>
              <w:autoSpaceDN/>
              <w:adjustRightInd/>
              <w:jc w:val="center"/>
              <w:textAlignment w:val="auto"/>
              <w:rPr>
                <w:rFonts w:cs="Arial"/>
                <w:b/>
                <w:sz w:val="24"/>
                <w:szCs w:val="24"/>
              </w:rPr>
            </w:pPr>
            <w:r>
              <w:rPr>
                <w:rFonts w:cs="Arial"/>
                <w:b/>
                <w:sz w:val="24"/>
                <w:szCs w:val="24"/>
              </w:rPr>
              <w:t>20</w:t>
            </w:r>
          </w:p>
        </w:tc>
      </w:tr>
      <w:tr w:rsidR="00CF17C7" w:rsidRPr="00571609" w14:paraId="4E7E9E52" w14:textId="77777777" w:rsidTr="00A6648E">
        <w:tc>
          <w:tcPr>
            <w:tcW w:w="594" w:type="dxa"/>
            <w:tcMar>
              <w:top w:w="0" w:type="dxa"/>
              <w:left w:w="108" w:type="dxa"/>
              <w:bottom w:w="0" w:type="dxa"/>
              <w:right w:w="108" w:type="dxa"/>
            </w:tcMar>
          </w:tcPr>
          <w:p w14:paraId="5B6E826E" w14:textId="77777777" w:rsidR="00CF17C7" w:rsidRDefault="00CF17C7" w:rsidP="00B47F69">
            <w:pPr>
              <w:widowControl/>
              <w:overflowPunct/>
              <w:autoSpaceDE/>
              <w:autoSpaceDN/>
              <w:adjustRightInd/>
              <w:textAlignment w:val="auto"/>
              <w:rPr>
                <w:rFonts w:cs="Arial"/>
              </w:rPr>
            </w:pPr>
            <w:r>
              <w:rPr>
                <w:rFonts w:cs="Arial"/>
              </w:rPr>
              <w:t>4</w:t>
            </w:r>
          </w:p>
        </w:tc>
        <w:tc>
          <w:tcPr>
            <w:tcW w:w="1533" w:type="dxa"/>
            <w:tcMar>
              <w:top w:w="0" w:type="dxa"/>
              <w:left w:w="108" w:type="dxa"/>
              <w:bottom w:w="0" w:type="dxa"/>
              <w:right w:w="108" w:type="dxa"/>
            </w:tcMar>
          </w:tcPr>
          <w:p w14:paraId="398E8D67" w14:textId="77777777" w:rsidR="00CF17C7" w:rsidRDefault="00CF17C7" w:rsidP="00B47F69">
            <w:pPr>
              <w:widowControl/>
              <w:overflowPunct/>
              <w:autoSpaceDE/>
              <w:autoSpaceDN/>
              <w:adjustRightInd/>
              <w:textAlignment w:val="auto"/>
              <w:rPr>
                <w:rFonts w:cs="Arial"/>
              </w:rPr>
            </w:pPr>
            <w:r>
              <w:rPr>
                <w:rFonts w:cs="Arial"/>
              </w:rPr>
              <w:t>Cost and value for money</w:t>
            </w:r>
          </w:p>
        </w:tc>
        <w:tc>
          <w:tcPr>
            <w:tcW w:w="4394" w:type="dxa"/>
          </w:tcPr>
          <w:p w14:paraId="2CD38149" w14:textId="77777777" w:rsidR="00A6648E" w:rsidRDefault="00A6648E" w:rsidP="00EA4286">
            <w:pPr>
              <w:numPr>
                <w:ilvl w:val="0"/>
                <w:numId w:val="40"/>
              </w:numPr>
              <w:rPr>
                <w:rFonts w:cs="Arial"/>
              </w:rPr>
            </w:pPr>
            <w:r w:rsidRPr="00731D5C">
              <w:rPr>
                <w:rFonts w:cs="Arial"/>
              </w:rPr>
              <w:t>Overall scope, quality and timeliness of the project for the given costs</w:t>
            </w:r>
          </w:p>
          <w:p w14:paraId="49139154" w14:textId="77777777" w:rsidR="00A6648E" w:rsidRPr="00731D5C" w:rsidRDefault="00A6648E" w:rsidP="00A6648E">
            <w:pPr>
              <w:ind w:left="360"/>
              <w:rPr>
                <w:rFonts w:cs="Arial"/>
              </w:rPr>
            </w:pPr>
          </w:p>
          <w:p w14:paraId="0EBB2C1E" w14:textId="77777777" w:rsidR="00CF17C7" w:rsidRPr="00A6648E" w:rsidRDefault="00A6648E" w:rsidP="00EA4286">
            <w:pPr>
              <w:numPr>
                <w:ilvl w:val="0"/>
                <w:numId w:val="40"/>
              </w:numPr>
              <w:rPr>
                <w:rFonts w:cs="Arial"/>
              </w:rPr>
            </w:pPr>
            <w:r w:rsidRPr="00731D5C">
              <w:rPr>
                <w:rFonts w:cs="Arial"/>
              </w:rPr>
              <w:t>Proposed costs are expected to be commensurate with the potential to deliver quality, capacity and timeliness, and meets and / or exceeds the requirements (provides added value), and value for money will be assessed as such</w:t>
            </w:r>
          </w:p>
        </w:tc>
        <w:tc>
          <w:tcPr>
            <w:tcW w:w="992" w:type="dxa"/>
            <w:tcMar>
              <w:top w:w="0" w:type="dxa"/>
              <w:left w:w="108" w:type="dxa"/>
              <w:bottom w:w="0" w:type="dxa"/>
              <w:right w:w="108" w:type="dxa"/>
            </w:tcMar>
          </w:tcPr>
          <w:p w14:paraId="3D984441" w14:textId="77777777" w:rsidR="00CF17C7" w:rsidRDefault="00CF17C7" w:rsidP="00B47F69">
            <w:pPr>
              <w:widowControl/>
              <w:overflowPunct/>
              <w:autoSpaceDE/>
              <w:autoSpaceDN/>
              <w:adjustRightInd/>
              <w:jc w:val="center"/>
              <w:textAlignment w:val="auto"/>
              <w:rPr>
                <w:rFonts w:cs="Arial"/>
                <w:b/>
                <w:sz w:val="24"/>
                <w:szCs w:val="24"/>
              </w:rPr>
            </w:pPr>
            <w:r>
              <w:rPr>
                <w:rFonts w:cs="Arial"/>
                <w:b/>
                <w:sz w:val="24"/>
                <w:szCs w:val="24"/>
              </w:rPr>
              <w:t>4</w:t>
            </w:r>
          </w:p>
        </w:tc>
        <w:tc>
          <w:tcPr>
            <w:tcW w:w="1134" w:type="dxa"/>
          </w:tcPr>
          <w:p w14:paraId="157F44C9" w14:textId="77777777" w:rsidR="00CF17C7" w:rsidRDefault="00CF17C7" w:rsidP="00B47F69">
            <w:pPr>
              <w:widowControl/>
              <w:overflowPunct/>
              <w:autoSpaceDE/>
              <w:autoSpaceDN/>
              <w:adjustRightInd/>
              <w:jc w:val="center"/>
              <w:textAlignment w:val="auto"/>
              <w:rPr>
                <w:rFonts w:cs="Arial"/>
                <w:b/>
                <w:sz w:val="24"/>
                <w:szCs w:val="24"/>
              </w:rPr>
            </w:pPr>
            <w:r>
              <w:rPr>
                <w:rFonts w:cs="Arial"/>
                <w:b/>
                <w:sz w:val="24"/>
                <w:szCs w:val="24"/>
              </w:rPr>
              <w:t>20</w:t>
            </w:r>
          </w:p>
        </w:tc>
      </w:tr>
    </w:tbl>
    <w:p w14:paraId="6A8C9EAE" w14:textId="77777777" w:rsidR="00DA7839" w:rsidRDefault="00DA7839" w:rsidP="007C63BC">
      <w:pPr>
        <w:pStyle w:val="Numbered"/>
        <w:widowControl/>
      </w:pPr>
    </w:p>
    <w:p w14:paraId="2FB072D2" w14:textId="77777777" w:rsidR="00634091" w:rsidRDefault="00634091" w:rsidP="007C63BC">
      <w:pPr>
        <w:pStyle w:val="Numbered"/>
        <w:widowControl/>
      </w:pPr>
      <w:r w:rsidRPr="00634091">
        <w:t>S</w:t>
      </w:r>
      <w:r w:rsidR="00143A00">
        <w:t>coring</w:t>
      </w:r>
      <w:r w:rsidRPr="00634091">
        <w:t xml:space="preserve"> Example</w:t>
      </w: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2860"/>
        <w:gridCol w:w="2835"/>
        <w:gridCol w:w="2551"/>
      </w:tblGrid>
      <w:tr w:rsidR="00634091" w14:paraId="29CB345F" w14:textId="77777777" w:rsidTr="00EE64BD">
        <w:tc>
          <w:tcPr>
            <w:tcW w:w="2210" w:type="dxa"/>
            <w:tcBorders>
              <w:top w:val="nil"/>
              <w:left w:val="nil"/>
            </w:tcBorders>
            <w:shd w:val="clear" w:color="auto" w:fill="auto"/>
          </w:tcPr>
          <w:p w14:paraId="1F31B490" w14:textId="77777777" w:rsidR="00634091" w:rsidRPr="00EE64BD" w:rsidRDefault="00634091" w:rsidP="00EE64BD">
            <w:pPr>
              <w:pStyle w:val="Numbered"/>
              <w:widowControl/>
              <w:spacing w:after="0"/>
              <w:rPr>
                <w:sz w:val="20"/>
                <w:szCs w:val="20"/>
              </w:rPr>
            </w:pPr>
          </w:p>
        </w:tc>
        <w:tc>
          <w:tcPr>
            <w:tcW w:w="2860" w:type="dxa"/>
            <w:shd w:val="clear" w:color="auto" w:fill="D9D9D9"/>
          </w:tcPr>
          <w:p w14:paraId="50E8BCB9" w14:textId="77777777" w:rsidR="00634091" w:rsidRPr="00EE64BD" w:rsidRDefault="00634091" w:rsidP="00EE64BD">
            <w:pPr>
              <w:pStyle w:val="Numbered"/>
              <w:widowControl/>
              <w:spacing w:after="0"/>
              <w:rPr>
                <w:b/>
                <w:sz w:val="20"/>
                <w:szCs w:val="20"/>
              </w:rPr>
            </w:pPr>
            <w:r w:rsidRPr="00EE64BD">
              <w:rPr>
                <w:b/>
                <w:sz w:val="20"/>
                <w:szCs w:val="20"/>
              </w:rPr>
              <w:t>Supplier A</w:t>
            </w:r>
            <w:r w:rsidR="00143A00" w:rsidRPr="00EE64BD">
              <w:rPr>
                <w:b/>
                <w:sz w:val="20"/>
                <w:szCs w:val="20"/>
              </w:rPr>
              <w:t xml:space="preserve"> Score</w:t>
            </w:r>
          </w:p>
        </w:tc>
        <w:tc>
          <w:tcPr>
            <w:tcW w:w="2835" w:type="dxa"/>
            <w:shd w:val="clear" w:color="auto" w:fill="D9D9D9"/>
          </w:tcPr>
          <w:p w14:paraId="0B9CD8D5" w14:textId="77777777" w:rsidR="00634091" w:rsidRPr="00EE64BD" w:rsidRDefault="00634091" w:rsidP="00EE64BD">
            <w:pPr>
              <w:pStyle w:val="Numbered"/>
              <w:widowControl/>
              <w:spacing w:after="0"/>
              <w:rPr>
                <w:b/>
                <w:sz w:val="20"/>
                <w:szCs w:val="20"/>
              </w:rPr>
            </w:pPr>
            <w:r w:rsidRPr="00EE64BD">
              <w:rPr>
                <w:b/>
                <w:sz w:val="20"/>
                <w:szCs w:val="20"/>
              </w:rPr>
              <w:t>Supplier B</w:t>
            </w:r>
            <w:r w:rsidR="00143A00" w:rsidRPr="00EE64BD">
              <w:rPr>
                <w:b/>
                <w:sz w:val="20"/>
                <w:szCs w:val="20"/>
              </w:rPr>
              <w:t xml:space="preserve"> Score</w:t>
            </w:r>
          </w:p>
        </w:tc>
        <w:tc>
          <w:tcPr>
            <w:tcW w:w="2551" w:type="dxa"/>
            <w:shd w:val="clear" w:color="auto" w:fill="D9D9D9"/>
          </w:tcPr>
          <w:p w14:paraId="1B370BC5" w14:textId="77777777" w:rsidR="00634091" w:rsidRPr="00EE64BD" w:rsidRDefault="00634091" w:rsidP="00EE64BD">
            <w:pPr>
              <w:pStyle w:val="Numbered"/>
              <w:widowControl/>
              <w:spacing w:after="0"/>
              <w:rPr>
                <w:b/>
                <w:sz w:val="20"/>
                <w:szCs w:val="20"/>
              </w:rPr>
            </w:pPr>
            <w:r w:rsidRPr="00EE64BD">
              <w:rPr>
                <w:b/>
                <w:sz w:val="20"/>
                <w:szCs w:val="20"/>
              </w:rPr>
              <w:t>Supplier</w:t>
            </w:r>
            <w:r w:rsidR="00143A00" w:rsidRPr="00EE64BD">
              <w:rPr>
                <w:b/>
                <w:sz w:val="20"/>
                <w:szCs w:val="20"/>
              </w:rPr>
              <w:t xml:space="preserve"> Score</w:t>
            </w:r>
          </w:p>
        </w:tc>
      </w:tr>
      <w:tr w:rsidR="00634091" w14:paraId="528E1CEC" w14:textId="77777777" w:rsidTr="00EE64BD">
        <w:tc>
          <w:tcPr>
            <w:tcW w:w="2210" w:type="dxa"/>
            <w:shd w:val="clear" w:color="auto" w:fill="D9D9D9"/>
          </w:tcPr>
          <w:p w14:paraId="73A4F601" w14:textId="77777777" w:rsidR="00634091" w:rsidRPr="00EE64BD" w:rsidRDefault="00143A00" w:rsidP="00EE64BD">
            <w:pPr>
              <w:pStyle w:val="Numbered"/>
              <w:widowControl/>
              <w:spacing w:after="0"/>
              <w:rPr>
                <w:sz w:val="20"/>
                <w:szCs w:val="20"/>
              </w:rPr>
            </w:pPr>
            <w:r w:rsidRPr="00EE64BD">
              <w:rPr>
                <w:sz w:val="20"/>
                <w:szCs w:val="20"/>
              </w:rPr>
              <w:t>Proposal</w:t>
            </w:r>
          </w:p>
        </w:tc>
        <w:tc>
          <w:tcPr>
            <w:tcW w:w="2860" w:type="dxa"/>
            <w:shd w:val="clear" w:color="auto" w:fill="auto"/>
          </w:tcPr>
          <w:p w14:paraId="1A7E67DF" w14:textId="77777777" w:rsidR="00634091" w:rsidRPr="00EE64BD" w:rsidRDefault="00143A00" w:rsidP="00EE64BD">
            <w:pPr>
              <w:pStyle w:val="Numbered"/>
              <w:widowControl/>
              <w:spacing w:after="0"/>
              <w:rPr>
                <w:sz w:val="20"/>
                <w:szCs w:val="20"/>
              </w:rPr>
            </w:pPr>
            <w:r w:rsidRPr="00EE64BD">
              <w:rPr>
                <w:sz w:val="20"/>
                <w:szCs w:val="20"/>
              </w:rPr>
              <w:t>3 (score) x (weight) 6 = 18</w:t>
            </w:r>
          </w:p>
        </w:tc>
        <w:tc>
          <w:tcPr>
            <w:tcW w:w="2835" w:type="dxa"/>
            <w:shd w:val="clear" w:color="auto" w:fill="auto"/>
          </w:tcPr>
          <w:p w14:paraId="7E6391E0" w14:textId="77777777" w:rsidR="00634091" w:rsidRPr="00EE64BD" w:rsidRDefault="00143A00" w:rsidP="00EE64BD">
            <w:pPr>
              <w:pStyle w:val="Numbered"/>
              <w:widowControl/>
              <w:spacing w:after="0"/>
              <w:rPr>
                <w:sz w:val="20"/>
                <w:szCs w:val="20"/>
              </w:rPr>
            </w:pPr>
            <w:r w:rsidRPr="00EE64BD">
              <w:rPr>
                <w:sz w:val="20"/>
                <w:szCs w:val="20"/>
              </w:rPr>
              <w:t>4 (score) x (Weight) 6 = 24</w:t>
            </w:r>
          </w:p>
        </w:tc>
        <w:tc>
          <w:tcPr>
            <w:tcW w:w="2551" w:type="dxa"/>
            <w:shd w:val="clear" w:color="auto" w:fill="auto"/>
          </w:tcPr>
          <w:p w14:paraId="4CE04399" w14:textId="77777777" w:rsidR="00634091" w:rsidRPr="00EE64BD" w:rsidRDefault="00DA7839" w:rsidP="00EE64BD">
            <w:pPr>
              <w:pStyle w:val="Numbered"/>
              <w:widowControl/>
              <w:spacing w:after="0"/>
              <w:rPr>
                <w:sz w:val="20"/>
                <w:szCs w:val="20"/>
              </w:rPr>
            </w:pPr>
            <w:r w:rsidRPr="00EE64BD">
              <w:rPr>
                <w:sz w:val="20"/>
                <w:szCs w:val="20"/>
              </w:rPr>
              <w:t>5</w:t>
            </w:r>
            <w:r w:rsidR="00143A00" w:rsidRPr="00EE64BD">
              <w:rPr>
                <w:sz w:val="20"/>
                <w:szCs w:val="20"/>
              </w:rPr>
              <w:t xml:space="preserve"> (score) x (we</w:t>
            </w:r>
            <w:r w:rsidRPr="00EE64BD">
              <w:rPr>
                <w:sz w:val="20"/>
                <w:szCs w:val="20"/>
              </w:rPr>
              <w:t>ight) 6 = 30</w:t>
            </w:r>
          </w:p>
        </w:tc>
      </w:tr>
      <w:tr w:rsidR="00143A00" w14:paraId="1AB034DD" w14:textId="77777777" w:rsidTr="00EE64BD">
        <w:tc>
          <w:tcPr>
            <w:tcW w:w="2210" w:type="dxa"/>
            <w:shd w:val="clear" w:color="auto" w:fill="D9D9D9"/>
          </w:tcPr>
          <w:p w14:paraId="30F8697E" w14:textId="77777777" w:rsidR="00143A00" w:rsidRPr="00EE64BD" w:rsidRDefault="00143A00" w:rsidP="00EE64BD">
            <w:pPr>
              <w:pStyle w:val="Numbered"/>
              <w:widowControl/>
              <w:spacing w:after="0"/>
              <w:rPr>
                <w:sz w:val="20"/>
                <w:szCs w:val="20"/>
              </w:rPr>
            </w:pPr>
            <w:r w:rsidRPr="00EE64BD">
              <w:rPr>
                <w:sz w:val="20"/>
                <w:szCs w:val="20"/>
              </w:rPr>
              <w:t>Experience</w:t>
            </w:r>
          </w:p>
        </w:tc>
        <w:tc>
          <w:tcPr>
            <w:tcW w:w="2860" w:type="dxa"/>
            <w:shd w:val="clear" w:color="auto" w:fill="auto"/>
          </w:tcPr>
          <w:p w14:paraId="44F3E5DC" w14:textId="77777777" w:rsidR="00143A00" w:rsidRPr="00EE64BD" w:rsidRDefault="00143A00" w:rsidP="00EE64BD">
            <w:pPr>
              <w:pStyle w:val="Numbered"/>
              <w:widowControl/>
              <w:spacing w:after="0"/>
              <w:rPr>
                <w:sz w:val="20"/>
                <w:szCs w:val="20"/>
              </w:rPr>
            </w:pPr>
            <w:r w:rsidRPr="00EE64BD">
              <w:rPr>
                <w:sz w:val="20"/>
                <w:szCs w:val="20"/>
              </w:rPr>
              <w:t>3 (score) x (weight) 6 = 18</w:t>
            </w:r>
          </w:p>
        </w:tc>
        <w:tc>
          <w:tcPr>
            <w:tcW w:w="2835" w:type="dxa"/>
            <w:shd w:val="clear" w:color="auto" w:fill="auto"/>
          </w:tcPr>
          <w:p w14:paraId="5BC5EFA7" w14:textId="77777777" w:rsidR="00143A00" w:rsidRPr="00EE64BD" w:rsidRDefault="00143A00" w:rsidP="00EE64BD">
            <w:pPr>
              <w:pStyle w:val="Numbered"/>
              <w:widowControl/>
              <w:spacing w:after="0"/>
              <w:rPr>
                <w:sz w:val="20"/>
                <w:szCs w:val="20"/>
              </w:rPr>
            </w:pPr>
            <w:r w:rsidRPr="00EE64BD">
              <w:rPr>
                <w:sz w:val="20"/>
                <w:szCs w:val="20"/>
              </w:rPr>
              <w:t>4 (score) x (Weight) 6 = 24</w:t>
            </w:r>
          </w:p>
        </w:tc>
        <w:tc>
          <w:tcPr>
            <w:tcW w:w="2551" w:type="dxa"/>
            <w:shd w:val="clear" w:color="auto" w:fill="auto"/>
          </w:tcPr>
          <w:p w14:paraId="5387C57D" w14:textId="77777777" w:rsidR="00143A00" w:rsidRPr="00EE64BD" w:rsidRDefault="00143A00" w:rsidP="00EE64BD">
            <w:pPr>
              <w:pStyle w:val="Numbered"/>
              <w:widowControl/>
              <w:spacing w:after="0"/>
              <w:rPr>
                <w:sz w:val="20"/>
                <w:szCs w:val="20"/>
              </w:rPr>
            </w:pPr>
            <w:r w:rsidRPr="00EE64BD">
              <w:rPr>
                <w:sz w:val="20"/>
                <w:szCs w:val="20"/>
              </w:rPr>
              <w:t>3 (score) x (weight) 6 = 18</w:t>
            </w:r>
          </w:p>
        </w:tc>
      </w:tr>
      <w:tr w:rsidR="00143A00" w14:paraId="53EB5502" w14:textId="77777777" w:rsidTr="00EE64BD">
        <w:tc>
          <w:tcPr>
            <w:tcW w:w="2210" w:type="dxa"/>
            <w:shd w:val="clear" w:color="auto" w:fill="D9D9D9"/>
          </w:tcPr>
          <w:p w14:paraId="74E8BDB3" w14:textId="77777777" w:rsidR="00143A00" w:rsidRPr="00EE64BD" w:rsidRDefault="00143A00" w:rsidP="00EE64BD">
            <w:pPr>
              <w:pStyle w:val="Numbered"/>
              <w:widowControl/>
              <w:spacing w:after="0"/>
              <w:rPr>
                <w:sz w:val="20"/>
                <w:szCs w:val="20"/>
              </w:rPr>
            </w:pPr>
            <w:r w:rsidRPr="00EE64BD">
              <w:rPr>
                <w:sz w:val="20"/>
                <w:szCs w:val="20"/>
              </w:rPr>
              <w:t>Presentation</w:t>
            </w:r>
          </w:p>
        </w:tc>
        <w:tc>
          <w:tcPr>
            <w:tcW w:w="2860" w:type="dxa"/>
            <w:shd w:val="clear" w:color="auto" w:fill="auto"/>
          </w:tcPr>
          <w:p w14:paraId="1FC27DCE" w14:textId="77777777" w:rsidR="00143A00" w:rsidRPr="00EE64BD" w:rsidRDefault="00143A00" w:rsidP="00EE64BD">
            <w:pPr>
              <w:pStyle w:val="Numbered"/>
              <w:widowControl/>
              <w:spacing w:after="0"/>
              <w:rPr>
                <w:sz w:val="20"/>
                <w:szCs w:val="20"/>
              </w:rPr>
            </w:pPr>
            <w:r w:rsidRPr="00EE64BD">
              <w:rPr>
                <w:sz w:val="20"/>
                <w:szCs w:val="20"/>
              </w:rPr>
              <w:t>4 (score) x (weight) 4 = 16</w:t>
            </w:r>
          </w:p>
        </w:tc>
        <w:tc>
          <w:tcPr>
            <w:tcW w:w="2835" w:type="dxa"/>
            <w:shd w:val="clear" w:color="auto" w:fill="auto"/>
          </w:tcPr>
          <w:p w14:paraId="03611265" w14:textId="77777777" w:rsidR="00143A00" w:rsidRPr="00EE64BD" w:rsidRDefault="00143A00" w:rsidP="00EE64BD">
            <w:pPr>
              <w:pStyle w:val="Numbered"/>
              <w:widowControl/>
              <w:spacing w:after="0"/>
              <w:rPr>
                <w:sz w:val="20"/>
                <w:szCs w:val="20"/>
              </w:rPr>
            </w:pPr>
            <w:r w:rsidRPr="00EE64BD">
              <w:rPr>
                <w:sz w:val="20"/>
                <w:szCs w:val="20"/>
              </w:rPr>
              <w:t>4 (score) x (Weight) 4 = 16</w:t>
            </w:r>
          </w:p>
        </w:tc>
        <w:tc>
          <w:tcPr>
            <w:tcW w:w="2551" w:type="dxa"/>
            <w:shd w:val="clear" w:color="auto" w:fill="auto"/>
          </w:tcPr>
          <w:p w14:paraId="3E0B55E7" w14:textId="77777777" w:rsidR="00143A00" w:rsidRPr="00EE64BD" w:rsidRDefault="00DA7839" w:rsidP="00EE64BD">
            <w:pPr>
              <w:pStyle w:val="Numbered"/>
              <w:widowControl/>
              <w:spacing w:after="0"/>
              <w:rPr>
                <w:sz w:val="20"/>
                <w:szCs w:val="20"/>
              </w:rPr>
            </w:pPr>
            <w:r w:rsidRPr="00EE64BD">
              <w:rPr>
                <w:sz w:val="20"/>
                <w:szCs w:val="20"/>
              </w:rPr>
              <w:t>4</w:t>
            </w:r>
            <w:r w:rsidR="00143A00" w:rsidRPr="00EE64BD">
              <w:rPr>
                <w:sz w:val="20"/>
                <w:szCs w:val="20"/>
              </w:rPr>
              <w:t xml:space="preserve"> (score) x (weight) 4 = 1</w:t>
            </w:r>
            <w:r w:rsidRPr="00EE64BD">
              <w:rPr>
                <w:sz w:val="20"/>
                <w:szCs w:val="20"/>
              </w:rPr>
              <w:t>6</w:t>
            </w:r>
          </w:p>
        </w:tc>
      </w:tr>
      <w:tr w:rsidR="00143A00" w14:paraId="55544719" w14:textId="77777777" w:rsidTr="00EE64BD">
        <w:tc>
          <w:tcPr>
            <w:tcW w:w="2210" w:type="dxa"/>
            <w:shd w:val="clear" w:color="auto" w:fill="D9D9D9"/>
          </w:tcPr>
          <w:p w14:paraId="0629229E" w14:textId="77777777" w:rsidR="00143A00" w:rsidRPr="00EE64BD" w:rsidRDefault="00143A00" w:rsidP="00EE64BD">
            <w:pPr>
              <w:pStyle w:val="Numbered"/>
              <w:widowControl/>
              <w:spacing w:after="0"/>
              <w:rPr>
                <w:sz w:val="20"/>
                <w:szCs w:val="20"/>
              </w:rPr>
            </w:pPr>
            <w:r w:rsidRPr="00EE64BD">
              <w:rPr>
                <w:sz w:val="20"/>
                <w:szCs w:val="20"/>
              </w:rPr>
              <w:t>Value for Money</w:t>
            </w:r>
          </w:p>
        </w:tc>
        <w:tc>
          <w:tcPr>
            <w:tcW w:w="2860" w:type="dxa"/>
            <w:shd w:val="clear" w:color="auto" w:fill="auto"/>
          </w:tcPr>
          <w:p w14:paraId="7321C8A8" w14:textId="77777777" w:rsidR="00143A00" w:rsidRPr="00EE64BD" w:rsidRDefault="00143A00" w:rsidP="00EE64BD">
            <w:pPr>
              <w:pStyle w:val="Numbered"/>
              <w:widowControl/>
              <w:spacing w:after="0"/>
              <w:rPr>
                <w:sz w:val="20"/>
                <w:szCs w:val="20"/>
              </w:rPr>
            </w:pPr>
            <w:r w:rsidRPr="00EE64BD">
              <w:rPr>
                <w:sz w:val="20"/>
                <w:szCs w:val="20"/>
              </w:rPr>
              <w:t>2 (score) x (weight) 4 = 8</w:t>
            </w:r>
          </w:p>
        </w:tc>
        <w:tc>
          <w:tcPr>
            <w:tcW w:w="2835" w:type="dxa"/>
            <w:shd w:val="clear" w:color="auto" w:fill="auto"/>
          </w:tcPr>
          <w:p w14:paraId="721BDD40" w14:textId="77777777" w:rsidR="00143A00" w:rsidRPr="00EE64BD" w:rsidRDefault="00143A00" w:rsidP="00EE64BD">
            <w:pPr>
              <w:pStyle w:val="Numbered"/>
              <w:widowControl/>
              <w:spacing w:after="0"/>
              <w:rPr>
                <w:sz w:val="20"/>
                <w:szCs w:val="20"/>
              </w:rPr>
            </w:pPr>
            <w:r w:rsidRPr="00EE64BD">
              <w:rPr>
                <w:sz w:val="20"/>
                <w:szCs w:val="20"/>
              </w:rPr>
              <w:t>4 (score) x (Weight) 4 = 16</w:t>
            </w:r>
          </w:p>
        </w:tc>
        <w:tc>
          <w:tcPr>
            <w:tcW w:w="2551" w:type="dxa"/>
            <w:shd w:val="clear" w:color="auto" w:fill="auto"/>
          </w:tcPr>
          <w:p w14:paraId="3203C2C8" w14:textId="77777777" w:rsidR="00143A00" w:rsidRPr="00EE64BD" w:rsidRDefault="00143A00" w:rsidP="00EE64BD">
            <w:pPr>
              <w:pStyle w:val="Numbered"/>
              <w:widowControl/>
              <w:spacing w:after="0"/>
              <w:rPr>
                <w:sz w:val="20"/>
                <w:szCs w:val="20"/>
              </w:rPr>
            </w:pPr>
            <w:r w:rsidRPr="00EE64BD">
              <w:rPr>
                <w:sz w:val="20"/>
                <w:szCs w:val="20"/>
              </w:rPr>
              <w:t>3 (score) x (weight) 4 = 1</w:t>
            </w:r>
            <w:r w:rsidR="00DA7839" w:rsidRPr="00EE64BD">
              <w:rPr>
                <w:sz w:val="20"/>
                <w:szCs w:val="20"/>
              </w:rPr>
              <w:t>2</w:t>
            </w:r>
          </w:p>
        </w:tc>
      </w:tr>
      <w:tr w:rsidR="00143A00" w14:paraId="25233964" w14:textId="77777777" w:rsidTr="00EE64BD">
        <w:tc>
          <w:tcPr>
            <w:tcW w:w="2210" w:type="dxa"/>
            <w:shd w:val="clear" w:color="auto" w:fill="D9D9D9"/>
          </w:tcPr>
          <w:p w14:paraId="1D387F1F" w14:textId="77777777" w:rsidR="00143A00" w:rsidRPr="00EE64BD" w:rsidRDefault="00143A00" w:rsidP="00EE64BD">
            <w:pPr>
              <w:pStyle w:val="Numbered"/>
              <w:widowControl/>
              <w:spacing w:after="0"/>
              <w:jc w:val="right"/>
              <w:rPr>
                <w:b/>
                <w:sz w:val="20"/>
                <w:szCs w:val="20"/>
              </w:rPr>
            </w:pPr>
            <w:r w:rsidRPr="00EE64BD">
              <w:rPr>
                <w:b/>
                <w:sz w:val="20"/>
                <w:szCs w:val="20"/>
              </w:rPr>
              <w:t>Total</w:t>
            </w:r>
          </w:p>
        </w:tc>
        <w:tc>
          <w:tcPr>
            <w:tcW w:w="2860" w:type="dxa"/>
            <w:shd w:val="clear" w:color="auto" w:fill="auto"/>
          </w:tcPr>
          <w:p w14:paraId="1B719777" w14:textId="77777777" w:rsidR="00143A00" w:rsidRPr="00EE64BD" w:rsidRDefault="00143A00" w:rsidP="00EE64BD">
            <w:pPr>
              <w:pStyle w:val="Numbered"/>
              <w:widowControl/>
              <w:spacing w:after="0"/>
              <w:jc w:val="center"/>
              <w:rPr>
                <w:sz w:val="20"/>
                <w:szCs w:val="20"/>
              </w:rPr>
            </w:pPr>
            <w:r w:rsidRPr="00EE64BD">
              <w:rPr>
                <w:sz w:val="20"/>
                <w:szCs w:val="20"/>
              </w:rPr>
              <w:t>60</w:t>
            </w:r>
          </w:p>
        </w:tc>
        <w:tc>
          <w:tcPr>
            <w:tcW w:w="2835" w:type="dxa"/>
            <w:shd w:val="clear" w:color="auto" w:fill="auto"/>
          </w:tcPr>
          <w:p w14:paraId="6FCC637B" w14:textId="77777777" w:rsidR="00143A00" w:rsidRPr="00EE64BD" w:rsidRDefault="00143A00" w:rsidP="00EE64BD">
            <w:pPr>
              <w:pStyle w:val="Numbered"/>
              <w:widowControl/>
              <w:spacing w:after="0"/>
              <w:jc w:val="center"/>
              <w:rPr>
                <w:b/>
                <w:sz w:val="20"/>
                <w:szCs w:val="20"/>
              </w:rPr>
            </w:pPr>
            <w:r w:rsidRPr="00EE64BD">
              <w:rPr>
                <w:b/>
                <w:sz w:val="20"/>
                <w:szCs w:val="20"/>
              </w:rPr>
              <w:t>80</w:t>
            </w:r>
            <w:r w:rsidR="00DA7839" w:rsidRPr="00EE64BD">
              <w:rPr>
                <w:b/>
                <w:sz w:val="20"/>
                <w:szCs w:val="20"/>
              </w:rPr>
              <w:t xml:space="preserve"> (Highest Score)</w:t>
            </w:r>
          </w:p>
        </w:tc>
        <w:tc>
          <w:tcPr>
            <w:tcW w:w="2551" w:type="dxa"/>
            <w:shd w:val="clear" w:color="auto" w:fill="auto"/>
          </w:tcPr>
          <w:p w14:paraId="0F1148D1" w14:textId="77777777" w:rsidR="00143A00" w:rsidRPr="00EE64BD" w:rsidRDefault="00DA7839" w:rsidP="00EE64BD">
            <w:pPr>
              <w:pStyle w:val="Numbered"/>
              <w:widowControl/>
              <w:spacing w:after="0"/>
              <w:jc w:val="center"/>
              <w:rPr>
                <w:sz w:val="20"/>
                <w:szCs w:val="20"/>
              </w:rPr>
            </w:pPr>
            <w:r w:rsidRPr="00EE64BD">
              <w:rPr>
                <w:sz w:val="20"/>
                <w:szCs w:val="20"/>
              </w:rPr>
              <w:t>76</w:t>
            </w:r>
          </w:p>
        </w:tc>
      </w:tr>
    </w:tbl>
    <w:p w14:paraId="535D8566" w14:textId="77777777" w:rsidR="00634091" w:rsidRPr="00634091" w:rsidRDefault="00634091" w:rsidP="007C63BC">
      <w:pPr>
        <w:pStyle w:val="Numbered"/>
        <w:widowControl/>
      </w:pPr>
    </w:p>
    <w:p w14:paraId="45D36C40" w14:textId="77777777" w:rsidR="00713EE2" w:rsidRDefault="00713EE2" w:rsidP="00B47F69">
      <w:pPr>
        <w:pStyle w:val="Numbered"/>
        <w:widowControl/>
        <w:rPr>
          <w:b/>
        </w:rPr>
      </w:pPr>
    </w:p>
    <w:p w14:paraId="5AECB70E" w14:textId="77777777" w:rsidR="00F802E5" w:rsidRPr="000826B8" w:rsidRDefault="00F802E5" w:rsidP="007C63BC">
      <w:pPr>
        <w:pStyle w:val="Numbered"/>
        <w:widowControl/>
        <w:rPr>
          <w:b/>
        </w:rPr>
      </w:pPr>
    </w:p>
    <w:p w14:paraId="46376BD4" w14:textId="77777777" w:rsidR="00CA1712" w:rsidRDefault="00CA1712">
      <w:pPr>
        <w:pStyle w:val="Numbered"/>
        <w:widowControl/>
        <w:jc w:val="right"/>
        <w:rPr>
          <w:b/>
        </w:rPr>
      </w:pPr>
      <w:r>
        <w:br w:type="page"/>
      </w:r>
      <w:bookmarkStart w:id="8" w:name="Document5"/>
      <w:bookmarkEnd w:id="8"/>
      <w:r w:rsidR="001F0B38">
        <w:rPr>
          <w:b/>
        </w:rPr>
        <w:lastRenderedPageBreak/>
        <w:t>DOCUMENT 5</w:t>
      </w:r>
    </w:p>
    <w:p w14:paraId="57307264" w14:textId="77777777" w:rsidR="00CA1712" w:rsidRDefault="00CA1712" w:rsidP="00DA7839">
      <w:pPr>
        <w:pStyle w:val="Numbered"/>
        <w:widowControl/>
      </w:pPr>
      <w:r>
        <w:rPr>
          <w:b/>
        </w:rPr>
        <w:t>DECLARATIONS AND INFORMATION TO BE PROVIDED BY THE TENDERER</w:t>
      </w:r>
    </w:p>
    <w:p w14:paraId="78A14004" w14:textId="77777777" w:rsidR="00E66D86" w:rsidRPr="00E66D86" w:rsidRDefault="00E66D86" w:rsidP="00DA7839">
      <w:pPr>
        <w:widowControl/>
        <w:suppressAutoHyphens/>
        <w:overflowPunct/>
        <w:autoSpaceDE/>
        <w:adjustRightInd/>
        <w:jc w:val="both"/>
        <w:rPr>
          <w:rFonts w:eastAsia="Arial" w:cs="Arial"/>
          <w:b/>
          <w:color w:val="000000"/>
          <w:szCs w:val="20"/>
        </w:rPr>
      </w:pPr>
      <w:r w:rsidRPr="00E66D86">
        <w:rPr>
          <w:rFonts w:eastAsia="Arial" w:cs="Arial"/>
          <w:b/>
          <w:color w:val="000000"/>
          <w:szCs w:val="20"/>
        </w:rPr>
        <w:t>1</w:t>
      </w:r>
      <w:r w:rsidRPr="00E66D86">
        <w:rPr>
          <w:rFonts w:eastAsia="Arial" w:cs="Arial"/>
          <w:b/>
          <w:color w:val="000000"/>
          <w:szCs w:val="20"/>
        </w:rPr>
        <w:tab/>
        <w:t>Grounds for mandatory exclusion</w:t>
      </w:r>
    </w:p>
    <w:p w14:paraId="5D21C38D" w14:textId="77777777" w:rsidR="00E66D86" w:rsidRDefault="00E66D86" w:rsidP="00DA7839">
      <w:pPr>
        <w:widowControl/>
        <w:suppressAutoHyphens/>
        <w:overflowPunct/>
        <w:autoSpaceDE/>
        <w:adjustRightInd/>
        <w:jc w:val="both"/>
        <w:rPr>
          <w:rFonts w:eastAsia="Arial" w:cs="Arial"/>
          <w:color w:val="000000"/>
          <w:szCs w:val="20"/>
        </w:rPr>
      </w:pPr>
    </w:p>
    <w:p w14:paraId="7357D9DA"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 </w:t>
      </w:r>
    </w:p>
    <w:p w14:paraId="0C4D740A"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14:paraId="12695038" w14:textId="77777777" w:rsidR="00E65535" w:rsidRDefault="00E65535" w:rsidP="00DA7839">
      <w:pPr>
        <w:widowControl/>
        <w:suppressAutoHyphens/>
        <w:overflowPunct/>
        <w:autoSpaceDE/>
        <w:adjustRightInd/>
        <w:jc w:val="both"/>
        <w:rPr>
          <w:rFonts w:eastAsia="Arial" w:cs="Arial"/>
          <w:color w:val="000000"/>
          <w:szCs w:val="20"/>
        </w:rPr>
      </w:pPr>
      <w:r w:rsidRPr="00E65535">
        <w:rPr>
          <w:rFonts w:eastAsia="Arial" w:cs="Arial"/>
          <w:color w:val="000000"/>
          <w:szCs w:val="20"/>
        </w:rPr>
        <w:t>Please answer the following questions in full. Note that every organisation that is being relied on to meet the selection must complete and submit the self-declaration.</w:t>
      </w:r>
    </w:p>
    <w:p w14:paraId="6D372ABD" w14:textId="77777777" w:rsidR="00E65535" w:rsidRDefault="00E65535" w:rsidP="00DA7839">
      <w:pPr>
        <w:widowControl/>
        <w:suppressAutoHyphens/>
        <w:overflowPunct/>
        <w:autoSpaceDE/>
        <w:adjustRightInd/>
        <w:jc w:val="both"/>
        <w:rPr>
          <w:rFonts w:eastAsia="Arial" w:cs="Arial"/>
          <w:color w:val="000000"/>
          <w:szCs w:val="20"/>
        </w:rPr>
      </w:pPr>
    </w:p>
    <w:tbl>
      <w:tblPr>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E65535" w14:paraId="3A162A8E" w14:textId="77777777" w:rsidTr="005D5770">
        <w:trPr>
          <w:trHeight w:val="500"/>
        </w:trPr>
        <w:tc>
          <w:tcPr>
            <w:tcW w:w="1364" w:type="dxa"/>
            <w:tcBorders>
              <w:top w:val="single" w:sz="8" w:space="0" w:color="000000"/>
              <w:bottom w:val="single" w:sz="6" w:space="0" w:color="000000"/>
            </w:tcBorders>
            <w:shd w:val="clear" w:color="auto" w:fill="CCFFFF"/>
          </w:tcPr>
          <w:p w14:paraId="786F8FEA" w14:textId="77777777" w:rsidR="00E65535" w:rsidRDefault="00E65535" w:rsidP="00DA7839">
            <w:pPr>
              <w:pStyle w:val="Normal1"/>
              <w:spacing w:before="100"/>
              <w:jc w:val="both"/>
            </w:pPr>
            <w:r>
              <w:rPr>
                <w:rFonts w:ascii="Arial" w:eastAsia="Arial" w:hAnsi="Arial" w:cs="Arial"/>
                <w:sz w:val="22"/>
                <w:szCs w:val="22"/>
              </w:rPr>
              <w:t xml:space="preserve"> 2</w:t>
            </w:r>
          </w:p>
        </w:tc>
        <w:tc>
          <w:tcPr>
            <w:tcW w:w="7992" w:type="dxa"/>
            <w:gridSpan w:val="2"/>
            <w:tcBorders>
              <w:top w:val="single" w:sz="8" w:space="0" w:color="000000"/>
              <w:bottom w:val="single" w:sz="6" w:space="0" w:color="000000"/>
            </w:tcBorders>
            <w:shd w:val="clear" w:color="auto" w:fill="CCFFFF"/>
          </w:tcPr>
          <w:p w14:paraId="6AF0FC91" w14:textId="77777777" w:rsidR="00E65535" w:rsidRDefault="00E65535" w:rsidP="00DA7839">
            <w:pPr>
              <w:pStyle w:val="Normal1"/>
              <w:spacing w:before="100"/>
              <w:jc w:val="both"/>
            </w:pPr>
            <w:r>
              <w:rPr>
                <w:rFonts w:ascii="Arial" w:eastAsia="Arial" w:hAnsi="Arial" w:cs="Arial"/>
                <w:sz w:val="22"/>
                <w:szCs w:val="22"/>
              </w:rPr>
              <w:t>Grounds for mandatory exclusion</w:t>
            </w:r>
          </w:p>
        </w:tc>
      </w:tr>
      <w:tr w:rsidR="00E65535" w14:paraId="2177021D" w14:textId="77777777" w:rsidTr="005D5770">
        <w:trPr>
          <w:trHeight w:val="40"/>
        </w:trPr>
        <w:tc>
          <w:tcPr>
            <w:tcW w:w="1364" w:type="dxa"/>
            <w:tcBorders>
              <w:top w:val="single" w:sz="6" w:space="0" w:color="000000"/>
              <w:bottom w:val="single" w:sz="6" w:space="0" w:color="000000"/>
            </w:tcBorders>
            <w:shd w:val="clear" w:color="auto" w:fill="CCFFFF"/>
          </w:tcPr>
          <w:p w14:paraId="7F6B685E" w14:textId="77777777" w:rsidR="00E65535" w:rsidRDefault="00E65535" w:rsidP="00DA783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568FD5BC" w14:textId="77777777" w:rsidR="00E65535" w:rsidRDefault="00E65535" w:rsidP="00DA783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6707633D" w14:textId="77777777" w:rsidR="00E65535" w:rsidRDefault="00E65535" w:rsidP="00DA7839">
            <w:pPr>
              <w:pStyle w:val="Normal1"/>
              <w:spacing w:before="100"/>
              <w:jc w:val="both"/>
            </w:pPr>
            <w:r>
              <w:rPr>
                <w:rFonts w:ascii="Arial" w:eastAsia="Arial" w:hAnsi="Arial" w:cs="Arial"/>
                <w:sz w:val="20"/>
                <w:szCs w:val="20"/>
              </w:rPr>
              <w:t>Response</w:t>
            </w:r>
          </w:p>
        </w:tc>
      </w:tr>
      <w:tr w:rsidR="00E65535" w14:paraId="385082A2" w14:textId="77777777" w:rsidTr="005D5770">
        <w:trPr>
          <w:trHeight w:val="1340"/>
        </w:trPr>
        <w:tc>
          <w:tcPr>
            <w:tcW w:w="1364" w:type="dxa"/>
            <w:tcBorders>
              <w:top w:val="single" w:sz="6" w:space="0" w:color="000000"/>
            </w:tcBorders>
          </w:tcPr>
          <w:p w14:paraId="6D98DC0A" w14:textId="77777777" w:rsidR="00E65535" w:rsidRDefault="00E65535" w:rsidP="00DA783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1C3E4CBE" w14:textId="77777777" w:rsidR="00E65535" w:rsidRDefault="00E65535" w:rsidP="00DA7839">
            <w:pPr>
              <w:pStyle w:val="Normal1"/>
              <w:jc w:val="both"/>
            </w:pPr>
            <w:r>
              <w:rPr>
                <w:rFonts w:ascii="Arial" w:eastAsia="Arial" w:hAnsi="Arial" w:cs="Arial"/>
                <w:b/>
                <w:sz w:val="22"/>
                <w:szCs w:val="22"/>
              </w:rPr>
              <w:t xml:space="preserve">Regulations 57(1) and (2) </w:t>
            </w:r>
          </w:p>
          <w:p w14:paraId="1D12D816" w14:textId="77777777" w:rsidR="00E65535" w:rsidRDefault="00E65535" w:rsidP="00DA7839">
            <w:pPr>
              <w:pStyle w:val="Normal1"/>
              <w:jc w:val="both"/>
            </w:pPr>
            <w:r>
              <w:rPr>
                <w:rFonts w:ascii="Arial" w:eastAsia="Arial" w:hAnsi="Arial" w:cs="Arial"/>
                <w:sz w:val="22"/>
                <w:szCs w:val="22"/>
              </w:rPr>
              <w:t xml:space="preserve">The detailed grounds for mandatory exclusion of an organisation are set out on this </w:t>
            </w:r>
            <w:hyperlink r:id="rId22"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76F88D45" w14:textId="77777777" w:rsidR="00E65535" w:rsidRDefault="00E65535" w:rsidP="00DA783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23"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E65535" w14:paraId="5867D5DA" w14:textId="77777777" w:rsidTr="005D5770">
        <w:tc>
          <w:tcPr>
            <w:tcW w:w="1364" w:type="dxa"/>
          </w:tcPr>
          <w:p w14:paraId="03B0505B" w14:textId="77777777" w:rsidR="00E65535" w:rsidRDefault="00E65535" w:rsidP="00DA7839">
            <w:pPr>
              <w:pStyle w:val="Normal1"/>
              <w:tabs>
                <w:tab w:val="left" w:pos="0"/>
              </w:tabs>
              <w:spacing w:before="100"/>
              <w:jc w:val="both"/>
            </w:pPr>
          </w:p>
        </w:tc>
        <w:tc>
          <w:tcPr>
            <w:tcW w:w="4444" w:type="dxa"/>
          </w:tcPr>
          <w:p w14:paraId="1E075BD2" w14:textId="77777777" w:rsidR="00E65535" w:rsidRDefault="00E65535" w:rsidP="00DA783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1B5A59F0" w14:textId="77777777" w:rsidR="00E65535" w:rsidRDefault="00E65535" w:rsidP="00DA7839">
            <w:pPr>
              <w:pStyle w:val="Normal1"/>
              <w:jc w:val="both"/>
            </w:pPr>
            <w:bookmarkStart w:id="9" w:name="_17dp8vu" w:colFirst="0" w:colLast="0"/>
            <w:bookmarkEnd w:id="9"/>
            <w:r>
              <w:rPr>
                <w:rFonts w:ascii="Arial" w:eastAsia="Arial" w:hAnsi="Arial" w:cs="Arial"/>
                <w:sz w:val="22"/>
                <w:szCs w:val="22"/>
              </w:rPr>
              <w:t xml:space="preserve">Yes </w:t>
            </w:r>
            <w:r>
              <w:rPr>
                <w:rFonts w:ascii="Menlo Regular" w:eastAsia="Menlo Regular" w:hAnsi="Menlo Regular" w:cs="Menlo Regular"/>
                <w:sz w:val="22"/>
                <w:szCs w:val="22"/>
              </w:rPr>
              <w:t>☐</w:t>
            </w:r>
          </w:p>
          <w:p w14:paraId="74390D13" w14:textId="77777777" w:rsidR="00E65535" w:rsidRDefault="00E65535" w:rsidP="00DA7839">
            <w:pPr>
              <w:pStyle w:val="Normal1"/>
              <w:jc w:val="both"/>
            </w:pPr>
            <w:bookmarkStart w:id="10" w:name="_3rdcrjn" w:colFirst="0" w:colLast="0"/>
            <w:bookmarkEnd w:id="10"/>
            <w:r>
              <w:rPr>
                <w:rFonts w:ascii="Arial" w:eastAsia="Arial" w:hAnsi="Arial" w:cs="Arial"/>
                <w:sz w:val="22"/>
                <w:szCs w:val="22"/>
              </w:rPr>
              <w:t xml:space="preserve">No   </w:t>
            </w:r>
            <w:r>
              <w:rPr>
                <w:rFonts w:ascii="Menlo Regular" w:eastAsia="Arial" w:hAnsi="Menlo Regular" w:cs="Menlo Regular"/>
                <w:sz w:val="22"/>
                <w:szCs w:val="22"/>
              </w:rPr>
              <w:t>☐</w:t>
            </w:r>
          </w:p>
          <w:p w14:paraId="4BB77748" w14:textId="77777777" w:rsidR="00E65535" w:rsidRDefault="00E65535" w:rsidP="00DA7839">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65535" w14:paraId="19BE6C4F" w14:textId="77777777" w:rsidTr="005D5770">
        <w:tc>
          <w:tcPr>
            <w:tcW w:w="1364" w:type="dxa"/>
          </w:tcPr>
          <w:p w14:paraId="2283FE17" w14:textId="77777777" w:rsidR="00E65535" w:rsidRDefault="00E65535" w:rsidP="00DA7839">
            <w:pPr>
              <w:pStyle w:val="Normal1"/>
              <w:tabs>
                <w:tab w:val="left" w:pos="743"/>
              </w:tabs>
              <w:spacing w:before="100"/>
              <w:jc w:val="both"/>
            </w:pPr>
          </w:p>
        </w:tc>
        <w:tc>
          <w:tcPr>
            <w:tcW w:w="4444" w:type="dxa"/>
          </w:tcPr>
          <w:p w14:paraId="3CB76F6E" w14:textId="77777777" w:rsidR="00E65535" w:rsidRDefault="00E65535" w:rsidP="00DA783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643A95D7" w14:textId="77777777" w:rsidR="00E65535" w:rsidRDefault="00E65535" w:rsidP="00DA7839">
            <w:pPr>
              <w:pStyle w:val="Normal1"/>
              <w:jc w:val="both"/>
            </w:pPr>
            <w:bookmarkStart w:id="11" w:name="_26in1rg" w:colFirst="0" w:colLast="0"/>
            <w:bookmarkEnd w:id="11"/>
            <w:r>
              <w:rPr>
                <w:rFonts w:ascii="Arial" w:eastAsia="Arial" w:hAnsi="Arial" w:cs="Arial"/>
                <w:sz w:val="22"/>
                <w:szCs w:val="22"/>
              </w:rPr>
              <w:t xml:space="preserve">Yes </w:t>
            </w:r>
            <w:r>
              <w:rPr>
                <w:rFonts w:ascii="Menlo Regular" w:eastAsia="Menlo Regular" w:hAnsi="Menlo Regular" w:cs="Menlo Regular"/>
                <w:sz w:val="22"/>
                <w:szCs w:val="22"/>
              </w:rPr>
              <w:t>☐</w:t>
            </w:r>
          </w:p>
          <w:p w14:paraId="369352DD" w14:textId="77777777" w:rsidR="00E65535" w:rsidRDefault="00E65535" w:rsidP="00DA7839">
            <w:pPr>
              <w:pStyle w:val="Normal1"/>
              <w:jc w:val="both"/>
            </w:pPr>
            <w:bookmarkStart w:id="12" w:name="_lnxbz9" w:colFirst="0" w:colLast="0"/>
            <w:bookmarkEnd w:id="12"/>
            <w:r>
              <w:rPr>
                <w:rFonts w:ascii="Arial" w:eastAsia="Arial" w:hAnsi="Arial" w:cs="Arial"/>
                <w:sz w:val="22"/>
                <w:szCs w:val="22"/>
              </w:rPr>
              <w:t xml:space="preserve">No   </w:t>
            </w:r>
            <w:r>
              <w:rPr>
                <w:rFonts w:ascii="Menlo Regular" w:eastAsia="Menlo Regular" w:hAnsi="Menlo Regular" w:cs="Menlo Regular"/>
                <w:sz w:val="22"/>
                <w:szCs w:val="22"/>
              </w:rPr>
              <w:t>☐</w:t>
            </w:r>
          </w:p>
          <w:p w14:paraId="4CDEC87E" w14:textId="77777777" w:rsidR="00E65535" w:rsidRDefault="00E65535" w:rsidP="00DA7839">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65535" w14:paraId="02526480" w14:textId="77777777" w:rsidTr="005D5770">
        <w:trPr>
          <w:trHeight w:val="240"/>
        </w:trPr>
        <w:tc>
          <w:tcPr>
            <w:tcW w:w="1364" w:type="dxa"/>
          </w:tcPr>
          <w:p w14:paraId="394DC0B5" w14:textId="77777777" w:rsidR="00E65535" w:rsidRDefault="00E65535" w:rsidP="00DA7839">
            <w:pPr>
              <w:pStyle w:val="Normal1"/>
              <w:tabs>
                <w:tab w:val="left" w:pos="34"/>
              </w:tabs>
              <w:spacing w:before="100"/>
              <w:jc w:val="both"/>
            </w:pPr>
          </w:p>
        </w:tc>
        <w:tc>
          <w:tcPr>
            <w:tcW w:w="4444" w:type="dxa"/>
          </w:tcPr>
          <w:p w14:paraId="76E6A775" w14:textId="77777777" w:rsidR="00E65535" w:rsidRDefault="00E65535" w:rsidP="00DA7839">
            <w:pPr>
              <w:pStyle w:val="Normal1"/>
              <w:tabs>
                <w:tab w:val="left" w:pos="34"/>
              </w:tabs>
              <w:spacing w:before="100"/>
              <w:jc w:val="both"/>
            </w:pPr>
            <w:r>
              <w:rPr>
                <w:rFonts w:ascii="Arial" w:eastAsia="Arial" w:hAnsi="Arial" w:cs="Arial"/>
                <w:sz w:val="22"/>
                <w:szCs w:val="22"/>
              </w:rPr>
              <w:t xml:space="preserve">Fraud. </w:t>
            </w:r>
          </w:p>
        </w:tc>
        <w:tc>
          <w:tcPr>
            <w:tcW w:w="3548" w:type="dxa"/>
          </w:tcPr>
          <w:p w14:paraId="09B32D31" w14:textId="77777777" w:rsidR="00E65535" w:rsidRDefault="00E65535" w:rsidP="00DA7839">
            <w:pPr>
              <w:pStyle w:val="Normal1"/>
              <w:jc w:val="both"/>
            </w:pPr>
            <w:bookmarkStart w:id="13" w:name="_35nkun2" w:colFirst="0" w:colLast="0"/>
            <w:bookmarkEnd w:id="13"/>
            <w:r>
              <w:rPr>
                <w:rFonts w:ascii="Arial" w:eastAsia="Arial" w:hAnsi="Arial" w:cs="Arial"/>
                <w:sz w:val="22"/>
                <w:szCs w:val="22"/>
              </w:rPr>
              <w:t xml:space="preserve">Yes </w:t>
            </w:r>
            <w:r>
              <w:rPr>
                <w:rFonts w:ascii="Menlo Regular" w:eastAsia="Menlo Regular" w:hAnsi="Menlo Regular" w:cs="Menlo Regular"/>
                <w:sz w:val="22"/>
                <w:szCs w:val="22"/>
              </w:rPr>
              <w:t>☐</w:t>
            </w:r>
          </w:p>
          <w:p w14:paraId="39D963AE" w14:textId="77777777" w:rsidR="00E65535" w:rsidRDefault="00E65535" w:rsidP="00DA7839">
            <w:pPr>
              <w:pStyle w:val="Normal1"/>
              <w:jc w:val="both"/>
            </w:pPr>
            <w:bookmarkStart w:id="14" w:name="_1ksv4uv" w:colFirst="0" w:colLast="0"/>
            <w:bookmarkEnd w:id="14"/>
            <w:r>
              <w:rPr>
                <w:rFonts w:ascii="Arial" w:eastAsia="Arial" w:hAnsi="Arial" w:cs="Arial"/>
                <w:sz w:val="22"/>
                <w:szCs w:val="22"/>
              </w:rPr>
              <w:t xml:space="preserve">No   </w:t>
            </w:r>
            <w:r>
              <w:rPr>
                <w:rFonts w:ascii="Menlo Regular" w:eastAsia="Menlo Regular" w:hAnsi="Menlo Regular" w:cs="Menlo Regular"/>
                <w:sz w:val="22"/>
                <w:szCs w:val="22"/>
              </w:rPr>
              <w:t>☐</w:t>
            </w:r>
          </w:p>
          <w:p w14:paraId="63D1CA7F" w14:textId="77777777" w:rsidR="00E65535" w:rsidRDefault="00E65535" w:rsidP="00DA7839">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65535" w14:paraId="51F406B4" w14:textId="77777777" w:rsidTr="005D5770">
        <w:tc>
          <w:tcPr>
            <w:tcW w:w="1364" w:type="dxa"/>
          </w:tcPr>
          <w:p w14:paraId="2DE6275E" w14:textId="77777777" w:rsidR="00E65535" w:rsidRDefault="00E65535" w:rsidP="00DA7839">
            <w:pPr>
              <w:pStyle w:val="Normal1"/>
              <w:spacing w:before="100"/>
              <w:jc w:val="both"/>
            </w:pPr>
          </w:p>
        </w:tc>
        <w:tc>
          <w:tcPr>
            <w:tcW w:w="4444" w:type="dxa"/>
          </w:tcPr>
          <w:p w14:paraId="718102B6" w14:textId="77777777" w:rsidR="00E65535" w:rsidRDefault="00E65535" w:rsidP="00DA783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7D51EE7C" w14:textId="77777777" w:rsidR="00E65535" w:rsidRDefault="00E65535" w:rsidP="00DA7839">
            <w:pPr>
              <w:pStyle w:val="Normal1"/>
              <w:jc w:val="both"/>
            </w:pPr>
            <w:bookmarkStart w:id="15" w:name="_44sinio" w:colFirst="0" w:colLast="0"/>
            <w:bookmarkEnd w:id="15"/>
            <w:r>
              <w:rPr>
                <w:rFonts w:ascii="Arial" w:eastAsia="Arial" w:hAnsi="Arial" w:cs="Arial"/>
                <w:sz w:val="22"/>
                <w:szCs w:val="22"/>
              </w:rPr>
              <w:t xml:space="preserve">Yes </w:t>
            </w:r>
            <w:r>
              <w:rPr>
                <w:rFonts w:ascii="Menlo Regular" w:eastAsia="Menlo Regular" w:hAnsi="Menlo Regular" w:cs="Menlo Regular"/>
                <w:sz w:val="22"/>
                <w:szCs w:val="22"/>
              </w:rPr>
              <w:t>☐</w:t>
            </w:r>
          </w:p>
          <w:p w14:paraId="4B36FA51" w14:textId="77777777" w:rsidR="00E65535" w:rsidRDefault="00E65535" w:rsidP="00DA7839">
            <w:pPr>
              <w:pStyle w:val="Normal1"/>
              <w:jc w:val="both"/>
            </w:pPr>
            <w:bookmarkStart w:id="16" w:name="_2jxsxqh" w:colFirst="0" w:colLast="0"/>
            <w:bookmarkEnd w:id="16"/>
            <w:r>
              <w:rPr>
                <w:rFonts w:ascii="Arial" w:eastAsia="Arial" w:hAnsi="Arial" w:cs="Arial"/>
                <w:sz w:val="22"/>
                <w:szCs w:val="22"/>
              </w:rPr>
              <w:t xml:space="preserve">No   </w:t>
            </w:r>
            <w:r>
              <w:rPr>
                <w:rFonts w:ascii="Menlo Regular" w:eastAsia="Menlo Regular" w:hAnsi="Menlo Regular" w:cs="Menlo Regular"/>
                <w:sz w:val="22"/>
                <w:szCs w:val="22"/>
              </w:rPr>
              <w:t>☐</w:t>
            </w:r>
          </w:p>
          <w:p w14:paraId="172DC53A" w14:textId="77777777" w:rsidR="00E65535" w:rsidRDefault="00E65535" w:rsidP="00DA7839">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65535" w14:paraId="1F73A64A" w14:textId="77777777" w:rsidTr="005D5770">
        <w:tc>
          <w:tcPr>
            <w:tcW w:w="1364" w:type="dxa"/>
          </w:tcPr>
          <w:p w14:paraId="19B20FEB" w14:textId="77777777" w:rsidR="00E65535" w:rsidRDefault="00E65535" w:rsidP="00DA7839">
            <w:pPr>
              <w:pStyle w:val="Normal1"/>
              <w:jc w:val="both"/>
            </w:pPr>
          </w:p>
        </w:tc>
        <w:tc>
          <w:tcPr>
            <w:tcW w:w="4444" w:type="dxa"/>
          </w:tcPr>
          <w:p w14:paraId="5F196CC2" w14:textId="77777777" w:rsidR="00E65535" w:rsidRDefault="00E65535" w:rsidP="00DA7839">
            <w:pPr>
              <w:pStyle w:val="Normal1"/>
              <w:jc w:val="both"/>
            </w:pPr>
            <w:r>
              <w:rPr>
                <w:rFonts w:ascii="Arial" w:eastAsia="Arial" w:hAnsi="Arial" w:cs="Arial"/>
                <w:sz w:val="22"/>
                <w:szCs w:val="22"/>
              </w:rPr>
              <w:t>Money laundering or terrorist financing</w:t>
            </w:r>
          </w:p>
        </w:tc>
        <w:tc>
          <w:tcPr>
            <w:tcW w:w="3548" w:type="dxa"/>
          </w:tcPr>
          <w:p w14:paraId="6D6E25C4" w14:textId="77777777" w:rsidR="00E65535" w:rsidRDefault="00E65535" w:rsidP="00DA7839">
            <w:pPr>
              <w:pStyle w:val="Normal1"/>
              <w:jc w:val="both"/>
            </w:pPr>
            <w:bookmarkStart w:id="17" w:name="_z337ya" w:colFirst="0" w:colLast="0"/>
            <w:bookmarkEnd w:id="17"/>
            <w:r>
              <w:rPr>
                <w:rFonts w:ascii="Arial" w:eastAsia="Arial" w:hAnsi="Arial" w:cs="Arial"/>
                <w:sz w:val="22"/>
                <w:szCs w:val="22"/>
              </w:rPr>
              <w:t xml:space="preserve">Yes </w:t>
            </w:r>
            <w:r>
              <w:rPr>
                <w:rFonts w:ascii="Menlo Regular" w:eastAsia="Menlo Regular" w:hAnsi="Menlo Regular" w:cs="Menlo Regular"/>
                <w:sz w:val="22"/>
                <w:szCs w:val="22"/>
              </w:rPr>
              <w:t>☐</w:t>
            </w:r>
          </w:p>
          <w:p w14:paraId="35ABC17F" w14:textId="77777777" w:rsidR="00E65535" w:rsidRDefault="00E65535" w:rsidP="00DA7839">
            <w:pPr>
              <w:pStyle w:val="Normal1"/>
              <w:jc w:val="both"/>
            </w:pPr>
            <w:bookmarkStart w:id="18" w:name="_3j2qqm3" w:colFirst="0" w:colLast="0"/>
            <w:bookmarkEnd w:id="18"/>
            <w:r>
              <w:rPr>
                <w:rFonts w:ascii="Arial" w:eastAsia="Arial" w:hAnsi="Arial" w:cs="Arial"/>
                <w:sz w:val="22"/>
                <w:szCs w:val="22"/>
              </w:rPr>
              <w:t xml:space="preserve">No   </w:t>
            </w:r>
            <w:r>
              <w:rPr>
                <w:rFonts w:ascii="Menlo Regular" w:eastAsia="Menlo Regular" w:hAnsi="Menlo Regular" w:cs="Menlo Regular"/>
                <w:sz w:val="22"/>
                <w:szCs w:val="22"/>
              </w:rPr>
              <w:t>☐</w:t>
            </w:r>
          </w:p>
          <w:p w14:paraId="192AF131" w14:textId="77777777" w:rsidR="00E65535" w:rsidRDefault="00E65535" w:rsidP="00DA7839">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w:t>
            </w:r>
          </w:p>
        </w:tc>
      </w:tr>
      <w:tr w:rsidR="00E65535" w14:paraId="3128697E" w14:textId="77777777" w:rsidTr="005D5770">
        <w:trPr>
          <w:trHeight w:val="560"/>
        </w:trPr>
        <w:tc>
          <w:tcPr>
            <w:tcW w:w="1364" w:type="dxa"/>
          </w:tcPr>
          <w:p w14:paraId="32BF3548" w14:textId="77777777" w:rsidR="00E65535" w:rsidRDefault="00E65535" w:rsidP="00DA7839">
            <w:pPr>
              <w:pStyle w:val="Normal1"/>
              <w:spacing w:before="100"/>
              <w:ind w:right="317"/>
              <w:jc w:val="both"/>
            </w:pPr>
          </w:p>
        </w:tc>
        <w:tc>
          <w:tcPr>
            <w:tcW w:w="4444" w:type="dxa"/>
          </w:tcPr>
          <w:p w14:paraId="6C6BE12C" w14:textId="77777777" w:rsidR="00E65535" w:rsidRDefault="00E65535" w:rsidP="00DA783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01AA42E9" w14:textId="77777777" w:rsidR="00E65535" w:rsidRDefault="00E65535" w:rsidP="00DA7839">
            <w:pPr>
              <w:pStyle w:val="Normal1"/>
              <w:jc w:val="both"/>
            </w:pPr>
            <w:bookmarkStart w:id="19" w:name="_1y810tw" w:colFirst="0" w:colLast="0"/>
            <w:bookmarkEnd w:id="19"/>
            <w:r>
              <w:rPr>
                <w:rFonts w:ascii="Arial" w:eastAsia="Arial" w:hAnsi="Arial" w:cs="Arial"/>
                <w:sz w:val="22"/>
                <w:szCs w:val="22"/>
              </w:rPr>
              <w:t xml:space="preserve">Yes </w:t>
            </w:r>
            <w:r>
              <w:rPr>
                <w:rFonts w:ascii="Menlo Regular" w:eastAsia="Menlo Regular" w:hAnsi="Menlo Regular" w:cs="Menlo Regular"/>
                <w:sz w:val="22"/>
                <w:szCs w:val="22"/>
              </w:rPr>
              <w:t>☐</w:t>
            </w:r>
          </w:p>
          <w:p w14:paraId="7BD583BD" w14:textId="77777777" w:rsidR="00E65535" w:rsidRDefault="00E65535" w:rsidP="00DA7839">
            <w:pPr>
              <w:pStyle w:val="Normal1"/>
              <w:jc w:val="both"/>
            </w:pPr>
            <w:bookmarkStart w:id="20" w:name="_4i7ojhp" w:colFirst="0" w:colLast="0"/>
            <w:bookmarkEnd w:id="20"/>
            <w:r>
              <w:rPr>
                <w:rFonts w:ascii="Arial" w:eastAsia="Arial" w:hAnsi="Arial" w:cs="Arial"/>
                <w:sz w:val="22"/>
                <w:szCs w:val="22"/>
              </w:rPr>
              <w:t xml:space="preserve">No   </w:t>
            </w:r>
            <w:r>
              <w:rPr>
                <w:rFonts w:ascii="Menlo Regular" w:eastAsia="Menlo Regular" w:hAnsi="Menlo Regular" w:cs="Menlo Regular"/>
                <w:sz w:val="22"/>
                <w:szCs w:val="22"/>
              </w:rPr>
              <w:t>☐</w:t>
            </w:r>
          </w:p>
          <w:p w14:paraId="492BD21C" w14:textId="77777777" w:rsidR="00E65535" w:rsidRDefault="00E65535" w:rsidP="00DA7839">
            <w:pPr>
              <w:pStyle w:val="Normal1"/>
              <w:jc w:val="both"/>
            </w:pPr>
            <w:r>
              <w:rPr>
                <w:rFonts w:ascii="Arial" w:eastAsia="Arial" w:hAnsi="Arial" w:cs="Arial"/>
                <w:sz w:val="20"/>
                <w:szCs w:val="20"/>
              </w:rPr>
              <w:t xml:space="preserve">If </w:t>
            </w:r>
            <w:proofErr w:type="gramStart"/>
            <w:r>
              <w:rPr>
                <w:rFonts w:ascii="Arial" w:eastAsia="Arial" w:hAnsi="Arial" w:cs="Arial"/>
                <w:sz w:val="20"/>
                <w:szCs w:val="20"/>
              </w:rPr>
              <w:t>Yes</w:t>
            </w:r>
            <w:proofErr w:type="gramEnd"/>
            <w:r>
              <w:rPr>
                <w:rFonts w:ascii="Arial" w:eastAsia="Arial" w:hAnsi="Arial" w:cs="Arial"/>
                <w:sz w:val="20"/>
                <w:szCs w:val="20"/>
              </w:rPr>
              <w:t xml:space="preserve"> please provide details at 2.1(b) </w:t>
            </w:r>
            <w:r>
              <w:rPr>
                <w:rFonts w:ascii="Arial" w:eastAsia="Arial" w:hAnsi="Arial" w:cs="Arial"/>
                <w:sz w:val="22"/>
                <w:szCs w:val="22"/>
              </w:rPr>
              <w:t xml:space="preserve"> </w:t>
            </w:r>
          </w:p>
        </w:tc>
      </w:tr>
      <w:tr w:rsidR="00E65535" w14:paraId="1722F03C" w14:textId="77777777" w:rsidTr="005D5770">
        <w:tc>
          <w:tcPr>
            <w:tcW w:w="1364" w:type="dxa"/>
          </w:tcPr>
          <w:p w14:paraId="7663E122" w14:textId="77777777" w:rsidR="00E65535" w:rsidRDefault="00E65535" w:rsidP="00DA7839">
            <w:pPr>
              <w:pStyle w:val="Normal1"/>
              <w:keepLines/>
              <w:widowControl w:val="0"/>
              <w:spacing w:before="100"/>
              <w:jc w:val="both"/>
            </w:pPr>
            <w:r>
              <w:rPr>
                <w:rFonts w:ascii="Arial" w:eastAsia="Arial" w:hAnsi="Arial" w:cs="Arial"/>
                <w:sz w:val="22"/>
                <w:szCs w:val="22"/>
              </w:rPr>
              <w:t>2.1(b)</w:t>
            </w:r>
          </w:p>
        </w:tc>
        <w:tc>
          <w:tcPr>
            <w:tcW w:w="4444" w:type="dxa"/>
          </w:tcPr>
          <w:p w14:paraId="70C0D7CD" w14:textId="77777777" w:rsidR="00E65535" w:rsidRDefault="00E65535" w:rsidP="00DA7839">
            <w:pPr>
              <w:pStyle w:val="Normal1"/>
              <w:keepLines/>
              <w:widowControl w:val="0"/>
              <w:jc w:val="both"/>
            </w:pPr>
            <w:r>
              <w:rPr>
                <w:rFonts w:ascii="Arial" w:eastAsia="Arial" w:hAnsi="Arial" w:cs="Arial"/>
                <w:sz w:val="22"/>
                <w:szCs w:val="22"/>
              </w:rPr>
              <w:t>If you have answered yes to question 2.1(a), please provide further details.</w:t>
            </w:r>
          </w:p>
          <w:p w14:paraId="3123B674" w14:textId="77777777" w:rsidR="00E65535" w:rsidRDefault="00E65535" w:rsidP="00DA783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421B5808" w14:textId="77777777" w:rsidR="00E65535" w:rsidRDefault="00E65535" w:rsidP="00DA7839">
            <w:pPr>
              <w:pStyle w:val="Normal1"/>
              <w:keepLines/>
              <w:widowControl w:val="0"/>
              <w:spacing w:before="100"/>
              <w:jc w:val="both"/>
            </w:pPr>
            <w:r>
              <w:rPr>
                <w:rFonts w:ascii="Arial" w:eastAsia="Arial" w:hAnsi="Arial" w:cs="Arial"/>
                <w:sz w:val="22"/>
                <w:szCs w:val="22"/>
              </w:rPr>
              <w:t>Identity of who has been convicted</w:t>
            </w:r>
          </w:p>
          <w:p w14:paraId="2E0D0738" w14:textId="77777777" w:rsidR="00E65535" w:rsidRDefault="00E65535" w:rsidP="00DA7839">
            <w:pPr>
              <w:pStyle w:val="Normal1"/>
              <w:keepLines/>
              <w:widowControl w:val="0"/>
              <w:spacing w:before="100"/>
              <w:jc w:val="both"/>
            </w:pPr>
            <w:r>
              <w:rPr>
                <w:rFonts w:ascii="Arial" w:eastAsia="Arial" w:hAnsi="Arial" w:cs="Arial"/>
                <w:sz w:val="22"/>
                <w:szCs w:val="22"/>
              </w:rPr>
              <w:lastRenderedPageBreak/>
              <w:t>If the relevant documentation is available electronically please provide the web address, issuing authority, precise reference of the documents.</w:t>
            </w:r>
          </w:p>
        </w:tc>
        <w:tc>
          <w:tcPr>
            <w:tcW w:w="3548" w:type="dxa"/>
          </w:tcPr>
          <w:p w14:paraId="44DAC0CA" w14:textId="77777777" w:rsidR="00E65535" w:rsidRDefault="00E65535" w:rsidP="00DA7839">
            <w:pPr>
              <w:pStyle w:val="Normal1"/>
              <w:keepLines/>
              <w:widowControl w:val="0"/>
              <w:jc w:val="both"/>
            </w:pPr>
          </w:p>
        </w:tc>
      </w:tr>
      <w:tr w:rsidR="00E65535" w14:paraId="4B9C87E0" w14:textId="77777777" w:rsidTr="005D5770">
        <w:tc>
          <w:tcPr>
            <w:tcW w:w="1364" w:type="dxa"/>
          </w:tcPr>
          <w:p w14:paraId="3266E206" w14:textId="77777777" w:rsidR="00E65535" w:rsidRDefault="00E65535" w:rsidP="00DA7839">
            <w:pPr>
              <w:pStyle w:val="Normal1"/>
              <w:keepLines/>
              <w:widowControl w:val="0"/>
              <w:spacing w:before="100"/>
              <w:jc w:val="both"/>
            </w:pPr>
            <w:r>
              <w:rPr>
                <w:rFonts w:ascii="Arial" w:eastAsia="Arial" w:hAnsi="Arial" w:cs="Arial"/>
                <w:sz w:val="22"/>
                <w:szCs w:val="22"/>
              </w:rPr>
              <w:t>2.2</w:t>
            </w:r>
          </w:p>
        </w:tc>
        <w:tc>
          <w:tcPr>
            <w:tcW w:w="4444" w:type="dxa"/>
          </w:tcPr>
          <w:p w14:paraId="2FF9CACF" w14:textId="77777777" w:rsidR="00E65535" w:rsidRDefault="00E65535" w:rsidP="00DA7839">
            <w:pPr>
              <w:pStyle w:val="Normal1"/>
              <w:keepLines/>
              <w:widowControl w:val="0"/>
              <w:spacing w:before="100"/>
              <w:jc w:val="both"/>
            </w:pPr>
            <w:r>
              <w:rPr>
                <w:rFonts w:ascii="Arial" w:eastAsia="Arial" w:hAnsi="Arial" w:cs="Arial"/>
                <w:sz w:val="22"/>
                <w:szCs w:val="22"/>
              </w:rPr>
              <w:t xml:space="preserve">If you have answered Yes to any of the points above have measures been taken to demonstrate the reliability of the organisation despite the existence of a relevant ground for </w:t>
            </w:r>
            <w:proofErr w:type="gramStart"/>
            <w:r>
              <w:rPr>
                <w:rFonts w:ascii="Arial" w:eastAsia="Arial" w:hAnsi="Arial" w:cs="Arial"/>
                <w:sz w:val="22"/>
                <w:szCs w:val="22"/>
              </w:rPr>
              <w:t>exclusion ?</w:t>
            </w:r>
            <w:proofErr w:type="gramEnd"/>
            <w:r>
              <w:rPr>
                <w:rFonts w:ascii="Arial" w:eastAsia="Arial" w:hAnsi="Arial" w:cs="Arial"/>
                <w:sz w:val="22"/>
                <w:szCs w:val="22"/>
              </w:rPr>
              <w:t xml:space="preserve">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8" w:type="dxa"/>
          </w:tcPr>
          <w:p w14:paraId="1CE63DBE" w14:textId="77777777" w:rsidR="00E65535" w:rsidRDefault="00E65535" w:rsidP="00DA7839">
            <w:pPr>
              <w:pStyle w:val="Normal1"/>
              <w:keepLines/>
              <w:widowControl w:val="0"/>
              <w:jc w:val="both"/>
            </w:pPr>
            <w:bookmarkStart w:id="21" w:name="_2xcytpi" w:colFirst="0" w:colLast="0"/>
            <w:bookmarkEnd w:id="21"/>
            <w:r>
              <w:rPr>
                <w:rFonts w:ascii="Arial" w:eastAsia="Arial" w:hAnsi="Arial" w:cs="Arial"/>
                <w:sz w:val="20"/>
                <w:szCs w:val="20"/>
              </w:rPr>
              <w:t xml:space="preserve">Yes </w:t>
            </w:r>
            <w:r>
              <w:rPr>
                <w:rFonts w:ascii="Menlo Regular" w:eastAsia="Menlo Regular" w:hAnsi="Menlo Regular" w:cs="Menlo Regular"/>
                <w:sz w:val="20"/>
                <w:szCs w:val="20"/>
              </w:rPr>
              <w:t>☐</w:t>
            </w:r>
          </w:p>
          <w:p w14:paraId="47DB73FF" w14:textId="77777777" w:rsidR="00E65535" w:rsidRDefault="00E65535" w:rsidP="00DA7839">
            <w:pPr>
              <w:pStyle w:val="Normal1"/>
              <w:keepLines/>
              <w:widowControl w:val="0"/>
              <w:jc w:val="both"/>
            </w:pPr>
            <w:bookmarkStart w:id="22" w:name="_1ci93xb" w:colFirst="0" w:colLast="0"/>
            <w:bookmarkEnd w:id="22"/>
            <w:r>
              <w:rPr>
                <w:rFonts w:ascii="Arial" w:eastAsia="Arial" w:hAnsi="Arial" w:cs="Arial"/>
                <w:sz w:val="20"/>
                <w:szCs w:val="20"/>
              </w:rPr>
              <w:t xml:space="preserve">No   </w:t>
            </w:r>
            <w:r>
              <w:rPr>
                <w:rFonts w:ascii="Menlo Regular" w:eastAsia="Menlo Regular" w:hAnsi="Menlo Regular" w:cs="Menlo Regular"/>
                <w:sz w:val="20"/>
                <w:szCs w:val="20"/>
              </w:rPr>
              <w:t>☐</w:t>
            </w:r>
          </w:p>
          <w:p w14:paraId="48FDCC89" w14:textId="77777777" w:rsidR="00E65535" w:rsidRDefault="00E65535" w:rsidP="00DA7839">
            <w:pPr>
              <w:pStyle w:val="Normal1"/>
              <w:keepLines/>
              <w:widowControl w:val="0"/>
              <w:jc w:val="both"/>
            </w:pPr>
          </w:p>
        </w:tc>
      </w:tr>
      <w:tr w:rsidR="00E65535" w14:paraId="0CAAC7BB" w14:textId="77777777" w:rsidTr="005D5770">
        <w:tc>
          <w:tcPr>
            <w:tcW w:w="1364" w:type="dxa"/>
          </w:tcPr>
          <w:p w14:paraId="4F1569A0" w14:textId="77777777" w:rsidR="00E65535" w:rsidRDefault="00E65535" w:rsidP="00DA7839">
            <w:pPr>
              <w:pStyle w:val="Normal1"/>
              <w:spacing w:before="100"/>
              <w:jc w:val="both"/>
            </w:pPr>
            <w:r>
              <w:rPr>
                <w:rFonts w:ascii="Arial" w:eastAsia="Arial" w:hAnsi="Arial" w:cs="Arial"/>
                <w:sz w:val="22"/>
                <w:szCs w:val="22"/>
              </w:rPr>
              <w:t>2.3(a)</w:t>
            </w:r>
          </w:p>
        </w:tc>
        <w:tc>
          <w:tcPr>
            <w:tcW w:w="4444" w:type="dxa"/>
          </w:tcPr>
          <w:p w14:paraId="03820362" w14:textId="77777777" w:rsidR="00E65535" w:rsidRDefault="00E65535" w:rsidP="00DA7839">
            <w:pPr>
              <w:pStyle w:val="Normal1"/>
              <w:spacing w:before="100"/>
              <w:jc w:val="both"/>
            </w:pPr>
            <w:r>
              <w:rPr>
                <w:rFonts w:ascii="Arial" w:eastAsia="Arial" w:hAnsi="Arial" w:cs="Arial"/>
                <w:b/>
                <w:sz w:val="22"/>
                <w:szCs w:val="22"/>
              </w:rPr>
              <w:t>Regulation 57(3)</w:t>
            </w:r>
          </w:p>
          <w:p w14:paraId="2DC87B6D" w14:textId="77777777" w:rsidR="00E65535" w:rsidRDefault="00E65535" w:rsidP="00DA7839">
            <w:pPr>
              <w:pStyle w:val="Normal1"/>
              <w:spacing w:before="100"/>
              <w:jc w:val="both"/>
            </w:pPr>
            <w:r>
              <w:rPr>
                <w:rFonts w:ascii="Arial" w:eastAsia="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7F33E09B" w14:textId="77777777" w:rsidR="00E65535" w:rsidRDefault="00E65535" w:rsidP="00DA7839">
            <w:pPr>
              <w:pStyle w:val="Normal1"/>
              <w:spacing w:before="100"/>
              <w:jc w:val="both"/>
            </w:pPr>
          </w:p>
        </w:tc>
        <w:tc>
          <w:tcPr>
            <w:tcW w:w="3548" w:type="dxa"/>
          </w:tcPr>
          <w:p w14:paraId="043C9C9D" w14:textId="77777777" w:rsidR="00E65535" w:rsidRDefault="00E65535" w:rsidP="00DA7839">
            <w:pPr>
              <w:pStyle w:val="Normal1"/>
              <w:jc w:val="both"/>
            </w:pPr>
            <w:bookmarkStart w:id="23" w:name="_3whwml4" w:colFirst="0" w:colLast="0"/>
            <w:bookmarkEnd w:id="23"/>
            <w:r>
              <w:rPr>
                <w:rFonts w:ascii="Arial" w:eastAsia="Arial" w:hAnsi="Arial" w:cs="Arial"/>
                <w:sz w:val="22"/>
                <w:szCs w:val="22"/>
              </w:rPr>
              <w:t xml:space="preserve">Yes </w:t>
            </w:r>
            <w:r>
              <w:rPr>
                <w:rFonts w:ascii="Menlo Regular" w:eastAsia="Menlo Regular" w:hAnsi="Menlo Regular" w:cs="Menlo Regular"/>
                <w:sz w:val="22"/>
                <w:szCs w:val="22"/>
              </w:rPr>
              <w:t>☐</w:t>
            </w:r>
          </w:p>
          <w:p w14:paraId="2450E1B8" w14:textId="77777777" w:rsidR="00E65535" w:rsidRDefault="00E65535" w:rsidP="00DA7839">
            <w:pPr>
              <w:pStyle w:val="Normal1"/>
              <w:jc w:val="both"/>
            </w:pPr>
            <w:bookmarkStart w:id="24" w:name="_2bn6wsx" w:colFirst="0" w:colLast="0"/>
            <w:bookmarkEnd w:id="24"/>
            <w:r>
              <w:rPr>
                <w:rFonts w:ascii="Arial" w:eastAsia="Arial" w:hAnsi="Arial" w:cs="Arial"/>
                <w:sz w:val="22"/>
                <w:szCs w:val="22"/>
              </w:rPr>
              <w:t xml:space="preserve">No   </w:t>
            </w:r>
            <w:r>
              <w:rPr>
                <w:rFonts w:ascii="Menlo Regular" w:eastAsia="Menlo Regular" w:hAnsi="Menlo Regular" w:cs="Menlo Regular"/>
                <w:sz w:val="22"/>
                <w:szCs w:val="22"/>
              </w:rPr>
              <w:t>☐</w:t>
            </w:r>
          </w:p>
          <w:p w14:paraId="4DF0098A" w14:textId="77777777" w:rsidR="00E65535" w:rsidRDefault="00E65535" w:rsidP="00DA7839">
            <w:pPr>
              <w:pStyle w:val="Normal1"/>
              <w:jc w:val="both"/>
            </w:pPr>
          </w:p>
        </w:tc>
      </w:tr>
      <w:tr w:rsidR="00E65535" w14:paraId="53E2F127" w14:textId="77777777" w:rsidTr="005D5770">
        <w:tc>
          <w:tcPr>
            <w:tcW w:w="1364" w:type="dxa"/>
          </w:tcPr>
          <w:p w14:paraId="0EBD072F" w14:textId="77777777" w:rsidR="00E65535" w:rsidRDefault="00E65535" w:rsidP="00DA7839">
            <w:pPr>
              <w:pStyle w:val="Normal1"/>
              <w:spacing w:before="100"/>
              <w:jc w:val="both"/>
            </w:pPr>
            <w:r>
              <w:rPr>
                <w:rFonts w:ascii="Arial" w:eastAsia="Arial" w:hAnsi="Arial" w:cs="Arial"/>
                <w:sz w:val="22"/>
                <w:szCs w:val="22"/>
              </w:rPr>
              <w:t>2.3(b)</w:t>
            </w:r>
          </w:p>
        </w:tc>
        <w:tc>
          <w:tcPr>
            <w:tcW w:w="4444" w:type="dxa"/>
          </w:tcPr>
          <w:p w14:paraId="04C95D09" w14:textId="77777777" w:rsidR="00E65535" w:rsidRDefault="00E65535" w:rsidP="00DA7839">
            <w:pPr>
              <w:pStyle w:val="Normal1"/>
              <w:spacing w:before="100"/>
              <w:jc w:val="both"/>
            </w:pPr>
            <w:r>
              <w:rPr>
                <w:rFonts w:ascii="Arial" w:eastAsia="Arial" w:hAnsi="Arial" w:cs="Arial"/>
                <w:sz w:val="22"/>
                <w:szCs w:val="22"/>
              </w:rPr>
              <w:t xml:space="preserve">If you have answered yes to question 2.3(a), please provide further details. Please also confirm you have </w:t>
            </w:r>
            <w:proofErr w:type="gramStart"/>
            <w:r>
              <w:rPr>
                <w:rFonts w:ascii="Arial" w:eastAsia="Arial" w:hAnsi="Arial" w:cs="Arial"/>
                <w:sz w:val="22"/>
                <w:szCs w:val="22"/>
              </w:rPr>
              <w:t>paid, or</w:t>
            </w:r>
            <w:proofErr w:type="gramEnd"/>
            <w:r>
              <w:rPr>
                <w:rFonts w:ascii="Arial" w:eastAsia="Arial" w:hAnsi="Arial" w:cs="Arial"/>
                <w:sz w:val="22"/>
                <w:szCs w:val="22"/>
              </w:rPr>
              <w:t xml:space="preserve"> have entered into a binding arrangement with a view to paying, the outstanding sum including where applicable any accrued interest and/or fines.</w:t>
            </w:r>
          </w:p>
        </w:tc>
        <w:tc>
          <w:tcPr>
            <w:tcW w:w="3548" w:type="dxa"/>
          </w:tcPr>
          <w:p w14:paraId="3C02D645" w14:textId="77777777" w:rsidR="00E65535" w:rsidRDefault="00E65535" w:rsidP="00DA7839">
            <w:pPr>
              <w:pStyle w:val="Normal1"/>
              <w:spacing w:before="100"/>
              <w:jc w:val="both"/>
            </w:pPr>
          </w:p>
        </w:tc>
      </w:tr>
    </w:tbl>
    <w:p w14:paraId="444A4813" w14:textId="77777777" w:rsidR="00E65535" w:rsidRDefault="00E65535" w:rsidP="00DA7839">
      <w:pPr>
        <w:widowControl/>
        <w:suppressAutoHyphens/>
        <w:overflowPunct/>
        <w:autoSpaceDE/>
        <w:adjustRightInd/>
        <w:jc w:val="both"/>
        <w:rPr>
          <w:rFonts w:ascii="Calibri" w:eastAsia="Calibri" w:hAnsi="Calibri" w:cs="Calibri"/>
          <w:color w:val="000000"/>
          <w:szCs w:val="20"/>
        </w:rPr>
      </w:pPr>
    </w:p>
    <w:p w14:paraId="70BBD1BF" w14:textId="77777777" w:rsidR="00E65535" w:rsidRDefault="00E65535" w:rsidP="00DA7839">
      <w:pPr>
        <w:pStyle w:val="Normal1"/>
        <w:spacing w:after="160"/>
      </w:pPr>
      <w:r>
        <w:rPr>
          <w:rFonts w:ascii="Arial" w:eastAsia="Arial" w:hAnsi="Arial" w:cs="Arial"/>
          <w:sz w:val="22"/>
          <w:szCs w:val="22"/>
        </w:rPr>
        <w:t xml:space="preserve">Please Note: </w:t>
      </w:r>
      <w:r w:rsidR="005D7D23">
        <w:rPr>
          <w:rFonts w:ascii="Arial" w:eastAsia="Arial" w:hAnsi="Arial" w:cs="Arial"/>
          <w:sz w:val="22"/>
          <w:szCs w:val="22"/>
        </w:rPr>
        <w:t>SMC</w:t>
      </w:r>
      <w:r>
        <w:rPr>
          <w:rFonts w:ascii="Arial" w:eastAsia="Arial" w:hAnsi="Arial" w:cs="Arial"/>
          <w:sz w:val="22"/>
          <w:szCs w:val="22"/>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bl>
      <w:tblPr>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E65535" w14:paraId="739718CB" w14:textId="77777777" w:rsidTr="005D5770">
        <w:trPr>
          <w:trHeight w:val="400"/>
        </w:trPr>
        <w:tc>
          <w:tcPr>
            <w:tcW w:w="1230" w:type="dxa"/>
            <w:tcBorders>
              <w:top w:val="single" w:sz="8" w:space="0" w:color="000000"/>
              <w:bottom w:val="single" w:sz="6" w:space="0" w:color="000000"/>
            </w:tcBorders>
            <w:shd w:val="clear" w:color="auto" w:fill="CCFFFF"/>
          </w:tcPr>
          <w:p w14:paraId="706A8C36" w14:textId="77777777" w:rsidR="00E65535" w:rsidRDefault="00E65535" w:rsidP="00DA7839">
            <w:pPr>
              <w:pStyle w:val="Normal1"/>
              <w:spacing w:before="100"/>
              <w:jc w:val="both"/>
            </w:pPr>
            <w:r>
              <w:rPr>
                <w:rFonts w:ascii="Arial" w:eastAsia="Arial" w:hAnsi="Arial" w:cs="Arial"/>
                <w:sz w:val="22"/>
                <w:szCs w:val="22"/>
              </w:rPr>
              <w:t>3</w:t>
            </w:r>
          </w:p>
        </w:tc>
        <w:tc>
          <w:tcPr>
            <w:tcW w:w="8122" w:type="dxa"/>
            <w:gridSpan w:val="2"/>
            <w:tcBorders>
              <w:top w:val="single" w:sz="8" w:space="0" w:color="000000"/>
              <w:bottom w:val="single" w:sz="6" w:space="0" w:color="000000"/>
            </w:tcBorders>
            <w:shd w:val="clear" w:color="auto" w:fill="CCFFFF"/>
          </w:tcPr>
          <w:p w14:paraId="4291EF53" w14:textId="77777777" w:rsidR="00E65535" w:rsidRDefault="00E65535" w:rsidP="00DA7839">
            <w:pPr>
              <w:pStyle w:val="Normal1"/>
              <w:spacing w:before="100"/>
              <w:jc w:val="both"/>
            </w:pPr>
            <w:r>
              <w:rPr>
                <w:rFonts w:ascii="Arial" w:eastAsia="Arial" w:hAnsi="Arial" w:cs="Arial"/>
                <w:sz w:val="22"/>
                <w:szCs w:val="22"/>
              </w:rPr>
              <w:t xml:space="preserve">Grounds for discretionary exclusion </w:t>
            </w:r>
          </w:p>
        </w:tc>
      </w:tr>
      <w:tr w:rsidR="00E65535" w14:paraId="237AE32F" w14:textId="77777777" w:rsidTr="005D5770">
        <w:trPr>
          <w:trHeight w:val="400"/>
        </w:trPr>
        <w:tc>
          <w:tcPr>
            <w:tcW w:w="1230" w:type="dxa"/>
            <w:tcBorders>
              <w:top w:val="single" w:sz="6" w:space="0" w:color="000000"/>
              <w:bottom w:val="single" w:sz="6" w:space="0" w:color="000000"/>
            </w:tcBorders>
            <w:shd w:val="clear" w:color="auto" w:fill="CCFFFF"/>
          </w:tcPr>
          <w:p w14:paraId="069F1531" w14:textId="77777777" w:rsidR="00E65535" w:rsidRDefault="00E65535" w:rsidP="00DA7839">
            <w:pPr>
              <w:pStyle w:val="Normal1"/>
              <w:spacing w:before="100"/>
              <w:ind w:right="306"/>
            </w:pPr>
          </w:p>
        </w:tc>
        <w:tc>
          <w:tcPr>
            <w:tcW w:w="4575" w:type="dxa"/>
            <w:tcBorders>
              <w:top w:val="single" w:sz="6" w:space="0" w:color="000000"/>
              <w:bottom w:val="single" w:sz="6" w:space="0" w:color="000000"/>
            </w:tcBorders>
            <w:shd w:val="clear" w:color="auto" w:fill="CCFFFF"/>
          </w:tcPr>
          <w:p w14:paraId="1FFCAC94" w14:textId="77777777" w:rsidR="00E65535" w:rsidRDefault="00E65535" w:rsidP="00DA783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3B7570F3" w14:textId="77777777" w:rsidR="00E65535" w:rsidRDefault="00E65535" w:rsidP="00DA7839">
            <w:pPr>
              <w:pStyle w:val="Normal1"/>
              <w:spacing w:before="100"/>
              <w:jc w:val="both"/>
            </w:pPr>
            <w:r>
              <w:rPr>
                <w:rFonts w:ascii="Arial" w:eastAsia="Arial" w:hAnsi="Arial" w:cs="Arial"/>
                <w:sz w:val="22"/>
                <w:szCs w:val="22"/>
              </w:rPr>
              <w:t>Response</w:t>
            </w:r>
          </w:p>
        </w:tc>
      </w:tr>
      <w:tr w:rsidR="00E65535" w14:paraId="2192EBED" w14:textId="77777777" w:rsidTr="005D5770">
        <w:trPr>
          <w:trHeight w:val="400"/>
        </w:trPr>
        <w:tc>
          <w:tcPr>
            <w:tcW w:w="1230" w:type="dxa"/>
            <w:tcBorders>
              <w:top w:val="single" w:sz="6" w:space="0" w:color="000000"/>
            </w:tcBorders>
          </w:tcPr>
          <w:p w14:paraId="3C6A51CC" w14:textId="77777777" w:rsidR="00E65535" w:rsidRDefault="00E65535" w:rsidP="00DA783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55D0E323" w14:textId="77777777" w:rsidR="00E65535" w:rsidRDefault="00E65535" w:rsidP="00DA7839">
            <w:pPr>
              <w:pStyle w:val="Normal1"/>
              <w:spacing w:before="100"/>
              <w:jc w:val="both"/>
            </w:pPr>
            <w:r>
              <w:rPr>
                <w:rFonts w:ascii="Arial" w:eastAsia="Arial" w:hAnsi="Arial" w:cs="Arial"/>
                <w:b/>
                <w:sz w:val="22"/>
                <w:szCs w:val="22"/>
              </w:rPr>
              <w:t>Regulation 57 (8)</w:t>
            </w:r>
          </w:p>
          <w:p w14:paraId="49A6A25C" w14:textId="77777777" w:rsidR="00E65535" w:rsidRDefault="00E65535" w:rsidP="00DA783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24" w:history="1">
              <w:r w:rsidRPr="00105AD3">
                <w:rPr>
                  <w:rStyle w:val="Hyperlink"/>
                  <w:rFonts w:ascii="Arial" w:eastAsia="Arial" w:hAnsi="Arial" w:cs="Arial"/>
                  <w:sz w:val="22"/>
                  <w:szCs w:val="22"/>
                </w:rPr>
                <w:t>web 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18AF8BCD" w14:textId="77777777" w:rsidR="00E65535" w:rsidRDefault="00E65535" w:rsidP="00DA783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E65535" w14:paraId="59E03A9E" w14:textId="77777777" w:rsidTr="005D5770">
        <w:tc>
          <w:tcPr>
            <w:tcW w:w="1230" w:type="dxa"/>
          </w:tcPr>
          <w:p w14:paraId="1C719C45" w14:textId="77777777" w:rsidR="00E65535" w:rsidRDefault="00E65535" w:rsidP="00DA7839">
            <w:pPr>
              <w:pStyle w:val="Normal1"/>
              <w:tabs>
                <w:tab w:val="left" w:pos="0"/>
              </w:tabs>
              <w:jc w:val="both"/>
            </w:pPr>
            <w:r>
              <w:rPr>
                <w:rFonts w:ascii="Arial" w:eastAsia="Arial" w:hAnsi="Arial" w:cs="Arial"/>
                <w:sz w:val="22"/>
                <w:szCs w:val="22"/>
              </w:rPr>
              <w:t>3.1(a)</w:t>
            </w:r>
          </w:p>
          <w:p w14:paraId="4D84CD3F" w14:textId="77777777" w:rsidR="00E65535" w:rsidRDefault="00E65535" w:rsidP="00DA7839">
            <w:pPr>
              <w:pStyle w:val="Normal1"/>
              <w:tabs>
                <w:tab w:val="left" w:pos="0"/>
              </w:tabs>
              <w:jc w:val="both"/>
            </w:pPr>
          </w:p>
          <w:p w14:paraId="7AC2BCFB" w14:textId="77777777" w:rsidR="00E65535" w:rsidRDefault="00E65535" w:rsidP="00DA7839">
            <w:pPr>
              <w:pStyle w:val="Normal1"/>
              <w:tabs>
                <w:tab w:val="left" w:pos="0"/>
              </w:tabs>
              <w:jc w:val="both"/>
            </w:pPr>
          </w:p>
        </w:tc>
        <w:tc>
          <w:tcPr>
            <w:tcW w:w="4575" w:type="dxa"/>
          </w:tcPr>
          <w:p w14:paraId="1BD8D3E2" w14:textId="77777777" w:rsidR="00E65535" w:rsidRDefault="00E65535" w:rsidP="00DA7839">
            <w:pPr>
              <w:pStyle w:val="Normal1"/>
              <w:jc w:val="both"/>
            </w:pPr>
            <w:r>
              <w:rPr>
                <w:rFonts w:ascii="Arial" w:eastAsia="Arial" w:hAnsi="Arial" w:cs="Arial"/>
                <w:sz w:val="22"/>
                <w:szCs w:val="22"/>
              </w:rPr>
              <w:t xml:space="preserve">Breach of environmental obligations? </w:t>
            </w:r>
          </w:p>
        </w:tc>
        <w:tc>
          <w:tcPr>
            <w:tcW w:w="3547" w:type="dxa"/>
          </w:tcPr>
          <w:p w14:paraId="684551C0" w14:textId="77777777" w:rsidR="00E65535" w:rsidRDefault="00E65535" w:rsidP="00DA7839">
            <w:pPr>
              <w:pStyle w:val="Normal1"/>
              <w:jc w:val="both"/>
            </w:pPr>
            <w:bookmarkStart w:id="25" w:name="_qsh70q" w:colFirst="0" w:colLast="0"/>
            <w:bookmarkEnd w:id="25"/>
            <w:r>
              <w:rPr>
                <w:rFonts w:ascii="Arial" w:eastAsia="Arial" w:hAnsi="Arial" w:cs="Arial"/>
                <w:sz w:val="22"/>
                <w:szCs w:val="22"/>
              </w:rPr>
              <w:t xml:space="preserve">Yes </w:t>
            </w:r>
            <w:r>
              <w:rPr>
                <w:rFonts w:ascii="Menlo Regular" w:eastAsia="Menlo Regular" w:hAnsi="Menlo Regular" w:cs="Menlo Regular"/>
                <w:sz w:val="22"/>
                <w:szCs w:val="22"/>
              </w:rPr>
              <w:t>☐</w:t>
            </w:r>
          </w:p>
          <w:p w14:paraId="465E2BFC" w14:textId="77777777" w:rsidR="00E65535" w:rsidRDefault="00E65535" w:rsidP="00DA7839">
            <w:pPr>
              <w:pStyle w:val="Normal1"/>
              <w:jc w:val="both"/>
            </w:pPr>
            <w:bookmarkStart w:id="26" w:name="_3as4poj" w:colFirst="0" w:colLast="0"/>
            <w:bookmarkEnd w:id="26"/>
            <w:r>
              <w:rPr>
                <w:rFonts w:ascii="Arial" w:eastAsia="Arial" w:hAnsi="Arial" w:cs="Arial"/>
                <w:sz w:val="22"/>
                <w:szCs w:val="22"/>
              </w:rPr>
              <w:t xml:space="preserve">No   </w:t>
            </w:r>
            <w:r>
              <w:rPr>
                <w:rFonts w:ascii="Menlo Regular" w:eastAsia="Menlo Regular" w:hAnsi="Menlo Regular" w:cs="Menlo Regular"/>
                <w:sz w:val="22"/>
                <w:szCs w:val="22"/>
              </w:rPr>
              <w:t>☐</w:t>
            </w:r>
          </w:p>
          <w:p w14:paraId="25CA3857"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135B34AF" w14:textId="77777777" w:rsidTr="005D5770">
        <w:tc>
          <w:tcPr>
            <w:tcW w:w="1230" w:type="dxa"/>
          </w:tcPr>
          <w:p w14:paraId="0A35B783" w14:textId="77777777" w:rsidR="00E65535" w:rsidRDefault="00E65535" w:rsidP="00DA7839">
            <w:pPr>
              <w:pStyle w:val="Normal1"/>
              <w:tabs>
                <w:tab w:val="left" w:pos="0"/>
              </w:tabs>
              <w:jc w:val="both"/>
            </w:pPr>
            <w:r>
              <w:rPr>
                <w:rFonts w:ascii="Arial" w:eastAsia="Arial" w:hAnsi="Arial" w:cs="Arial"/>
                <w:sz w:val="22"/>
                <w:szCs w:val="22"/>
              </w:rPr>
              <w:t>3.1 (b)</w:t>
            </w:r>
          </w:p>
        </w:tc>
        <w:tc>
          <w:tcPr>
            <w:tcW w:w="4575" w:type="dxa"/>
          </w:tcPr>
          <w:p w14:paraId="49CDD696" w14:textId="77777777" w:rsidR="00E65535" w:rsidRDefault="00E65535" w:rsidP="00DA7839">
            <w:pPr>
              <w:pStyle w:val="Normal1"/>
              <w:jc w:val="both"/>
            </w:pPr>
            <w:r>
              <w:rPr>
                <w:rFonts w:ascii="Arial" w:eastAsia="Arial" w:hAnsi="Arial" w:cs="Arial"/>
                <w:sz w:val="22"/>
                <w:szCs w:val="22"/>
              </w:rPr>
              <w:t xml:space="preserve">Breach of social obligations?  </w:t>
            </w:r>
          </w:p>
        </w:tc>
        <w:tc>
          <w:tcPr>
            <w:tcW w:w="3547" w:type="dxa"/>
          </w:tcPr>
          <w:p w14:paraId="78AE0298" w14:textId="77777777" w:rsidR="00E65535" w:rsidRDefault="00E65535" w:rsidP="00DA7839">
            <w:pPr>
              <w:pStyle w:val="Normal1"/>
              <w:jc w:val="both"/>
            </w:pPr>
            <w:bookmarkStart w:id="27" w:name="_1pxezwc" w:colFirst="0" w:colLast="0"/>
            <w:bookmarkEnd w:id="27"/>
            <w:r>
              <w:rPr>
                <w:rFonts w:ascii="Arial" w:eastAsia="Arial" w:hAnsi="Arial" w:cs="Arial"/>
                <w:sz w:val="22"/>
                <w:szCs w:val="22"/>
              </w:rPr>
              <w:t xml:space="preserve">Yes </w:t>
            </w:r>
            <w:r>
              <w:rPr>
                <w:rFonts w:ascii="Menlo Regular" w:eastAsia="Menlo Regular" w:hAnsi="Menlo Regular" w:cs="Menlo Regular"/>
                <w:sz w:val="22"/>
                <w:szCs w:val="22"/>
              </w:rPr>
              <w:t>☐</w:t>
            </w:r>
          </w:p>
          <w:p w14:paraId="46A673B6" w14:textId="77777777" w:rsidR="00E65535" w:rsidRDefault="00E65535" w:rsidP="00DA7839">
            <w:pPr>
              <w:pStyle w:val="Normal1"/>
              <w:jc w:val="both"/>
            </w:pPr>
            <w:bookmarkStart w:id="28" w:name="_49x2ik5" w:colFirst="0" w:colLast="0"/>
            <w:bookmarkEnd w:id="28"/>
            <w:r>
              <w:rPr>
                <w:rFonts w:ascii="Arial" w:eastAsia="Arial" w:hAnsi="Arial" w:cs="Arial"/>
                <w:sz w:val="22"/>
                <w:szCs w:val="22"/>
              </w:rPr>
              <w:t xml:space="preserve">No   </w:t>
            </w:r>
            <w:r>
              <w:rPr>
                <w:rFonts w:ascii="Menlo Regular" w:eastAsia="Menlo Regular" w:hAnsi="Menlo Regular" w:cs="Menlo Regular"/>
                <w:sz w:val="22"/>
                <w:szCs w:val="22"/>
              </w:rPr>
              <w:t>☐</w:t>
            </w:r>
          </w:p>
          <w:p w14:paraId="7AB1D592"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12E58A29" w14:textId="77777777" w:rsidTr="005D5770">
        <w:tc>
          <w:tcPr>
            <w:tcW w:w="1230" w:type="dxa"/>
          </w:tcPr>
          <w:p w14:paraId="2D00CDC1" w14:textId="77777777" w:rsidR="00E65535" w:rsidRDefault="00E65535" w:rsidP="00DA7839">
            <w:pPr>
              <w:pStyle w:val="Normal1"/>
              <w:tabs>
                <w:tab w:val="left" w:pos="0"/>
              </w:tabs>
              <w:jc w:val="both"/>
            </w:pPr>
            <w:r>
              <w:rPr>
                <w:rFonts w:ascii="Arial" w:eastAsia="Arial" w:hAnsi="Arial" w:cs="Arial"/>
                <w:sz w:val="22"/>
                <w:szCs w:val="22"/>
              </w:rPr>
              <w:t>3.1 (c)</w:t>
            </w:r>
          </w:p>
        </w:tc>
        <w:tc>
          <w:tcPr>
            <w:tcW w:w="4575" w:type="dxa"/>
          </w:tcPr>
          <w:p w14:paraId="12E23717" w14:textId="77777777" w:rsidR="00E65535" w:rsidRDefault="00E65535" w:rsidP="00DA7839">
            <w:pPr>
              <w:pStyle w:val="Normal1"/>
              <w:jc w:val="both"/>
            </w:pPr>
            <w:r>
              <w:rPr>
                <w:rFonts w:ascii="Arial" w:eastAsia="Arial" w:hAnsi="Arial" w:cs="Arial"/>
                <w:sz w:val="22"/>
                <w:szCs w:val="22"/>
              </w:rPr>
              <w:t xml:space="preserve">Breach of labour law obligations? </w:t>
            </w:r>
          </w:p>
        </w:tc>
        <w:tc>
          <w:tcPr>
            <w:tcW w:w="3547" w:type="dxa"/>
          </w:tcPr>
          <w:p w14:paraId="0B6815E5" w14:textId="77777777" w:rsidR="00E65535" w:rsidRDefault="00E65535" w:rsidP="00DA7839">
            <w:pPr>
              <w:pStyle w:val="Normal1"/>
              <w:jc w:val="both"/>
            </w:pPr>
            <w:bookmarkStart w:id="29" w:name="_2p2csry" w:colFirst="0" w:colLast="0"/>
            <w:bookmarkEnd w:id="29"/>
            <w:r>
              <w:rPr>
                <w:rFonts w:ascii="Arial" w:eastAsia="Arial" w:hAnsi="Arial" w:cs="Arial"/>
                <w:sz w:val="22"/>
                <w:szCs w:val="22"/>
              </w:rPr>
              <w:t xml:space="preserve">Yes </w:t>
            </w:r>
            <w:r>
              <w:rPr>
                <w:rFonts w:ascii="Menlo Regular" w:eastAsia="Menlo Regular" w:hAnsi="Menlo Regular" w:cs="Menlo Regular"/>
                <w:sz w:val="22"/>
                <w:szCs w:val="22"/>
              </w:rPr>
              <w:t>☐</w:t>
            </w:r>
          </w:p>
          <w:p w14:paraId="331CAFEF" w14:textId="77777777" w:rsidR="00E65535" w:rsidRDefault="00E65535" w:rsidP="00DA7839">
            <w:pPr>
              <w:pStyle w:val="Normal1"/>
              <w:jc w:val="both"/>
            </w:pPr>
            <w:bookmarkStart w:id="30" w:name="_147n2zr" w:colFirst="0" w:colLast="0"/>
            <w:bookmarkEnd w:id="30"/>
            <w:r>
              <w:rPr>
                <w:rFonts w:ascii="Arial" w:eastAsia="Arial" w:hAnsi="Arial" w:cs="Arial"/>
                <w:sz w:val="22"/>
                <w:szCs w:val="22"/>
              </w:rPr>
              <w:lastRenderedPageBreak/>
              <w:t xml:space="preserve">No   </w:t>
            </w:r>
            <w:r>
              <w:rPr>
                <w:rFonts w:ascii="Menlo Regular" w:eastAsia="Menlo Regular" w:hAnsi="Menlo Regular" w:cs="Menlo Regular"/>
                <w:sz w:val="22"/>
                <w:szCs w:val="22"/>
              </w:rPr>
              <w:t>☐</w:t>
            </w:r>
          </w:p>
          <w:p w14:paraId="6E963113"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2902B198" w14:textId="77777777" w:rsidTr="005D5770">
        <w:tc>
          <w:tcPr>
            <w:tcW w:w="1230" w:type="dxa"/>
          </w:tcPr>
          <w:p w14:paraId="0AF1FBDF" w14:textId="77777777" w:rsidR="00E65535" w:rsidRDefault="00E65535" w:rsidP="00DA7839">
            <w:pPr>
              <w:pStyle w:val="Normal1"/>
              <w:tabs>
                <w:tab w:val="left" w:pos="743"/>
              </w:tabs>
              <w:spacing w:before="100"/>
              <w:jc w:val="both"/>
            </w:pPr>
            <w:r>
              <w:rPr>
                <w:rFonts w:ascii="Arial" w:eastAsia="Arial" w:hAnsi="Arial" w:cs="Arial"/>
                <w:sz w:val="22"/>
                <w:szCs w:val="22"/>
              </w:rPr>
              <w:lastRenderedPageBreak/>
              <w:t>3.1(d)</w:t>
            </w:r>
          </w:p>
        </w:tc>
        <w:tc>
          <w:tcPr>
            <w:tcW w:w="4575" w:type="dxa"/>
          </w:tcPr>
          <w:p w14:paraId="00585D9A" w14:textId="77777777" w:rsidR="00E65535" w:rsidRDefault="00E65535" w:rsidP="00DA783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590B8A47" w14:textId="77777777" w:rsidR="00E65535" w:rsidRDefault="00E65535" w:rsidP="00DA7839">
            <w:pPr>
              <w:pStyle w:val="Normal1"/>
              <w:jc w:val="both"/>
            </w:pPr>
            <w:bookmarkStart w:id="31" w:name="_3o7alnk" w:colFirst="0" w:colLast="0"/>
            <w:bookmarkEnd w:id="31"/>
            <w:r>
              <w:rPr>
                <w:rFonts w:ascii="Arial" w:eastAsia="Arial" w:hAnsi="Arial" w:cs="Arial"/>
                <w:sz w:val="22"/>
                <w:szCs w:val="22"/>
              </w:rPr>
              <w:t xml:space="preserve">Yes </w:t>
            </w:r>
            <w:r>
              <w:rPr>
                <w:rFonts w:ascii="Menlo Regular" w:eastAsia="Menlo Regular" w:hAnsi="Menlo Regular" w:cs="Menlo Regular"/>
                <w:sz w:val="22"/>
                <w:szCs w:val="22"/>
              </w:rPr>
              <w:t>☐</w:t>
            </w:r>
          </w:p>
          <w:p w14:paraId="2AC49B84" w14:textId="77777777" w:rsidR="00E65535" w:rsidRDefault="00E65535" w:rsidP="00DA7839">
            <w:pPr>
              <w:pStyle w:val="Normal1"/>
              <w:jc w:val="both"/>
            </w:pPr>
            <w:bookmarkStart w:id="32" w:name="_23ckvvd" w:colFirst="0" w:colLast="0"/>
            <w:bookmarkEnd w:id="32"/>
            <w:r>
              <w:rPr>
                <w:rFonts w:ascii="Arial" w:eastAsia="Arial" w:hAnsi="Arial" w:cs="Arial"/>
                <w:sz w:val="22"/>
                <w:szCs w:val="22"/>
              </w:rPr>
              <w:t xml:space="preserve">No   </w:t>
            </w:r>
            <w:r>
              <w:rPr>
                <w:rFonts w:ascii="Menlo Regular" w:eastAsia="Menlo Regular" w:hAnsi="Menlo Regular" w:cs="Menlo Regular"/>
                <w:sz w:val="22"/>
                <w:szCs w:val="22"/>
              </w:rPr>
              <w:t>☐</w:t>
            </w:r>
          </w:p>
          <w:p w14:paraId="538ED106" w14:textId="77777777" w:rsidR="00E65535" w:rsidRDefault="00E65535" w:rsidP="00DA7839">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28F5A441" w14:textId="77777777" w:rsidR="00E65535" w:rsidRDefault="00E65535" w:rsidP="00DA7839">
            <w:pPr>
              <w:pStyle w:val="Normal1"/>
              <w:spacing w:before="100"/>
              <w:jc w:val="both"/>
            </w:pPr>
          </w:p>
          <w:p w14:paraId="72AB199E" w14:textId="77777777" w:rsidR="00E65535" w:rsidRDefault="00E65535" w:rsidP="00DA7839">
            <w:pPr>
              <w:pStyle w:val="Normal1"/>
              <w:spacing w:before="100"/>
              <w:jc w:val="both"/>
            </w:pPr>
          </w:p>
        </w:tc>
      </w:tr>
      <w:tr w:rsidR="00E65535" w14:paraId="081A0FFD" w14:textId="77777777" w:rsidTr="005D5770">
        <w:trPr>
          <w:trHeight w:val="240"/>
        </w:trPr>
        <w:tc>
          <w:tcPr>
            <w:tcW w:w="1230" w:type="dxa"/>
          </w:tcPr>
          <w:p w14:paraId="6763DCF9" w14:textId="77777777" w:rsidR="00E65535" w:rsidRDefault="00E65535" w:rsidP="00DA7839">
            <w:pPr>
              <w:pStyle w:val="Normal1"/>
              <w:tabs>
                <w:tab w:val="left" w:pos="34"/>
              </w:tabs>
              <w:spacing w:before="100"/>
              <w:jc w:val="both"/>
            </w:pPr>
            <w:r>
              <w:rPr>
                <w:rFonts w:ascii="Arial" w:eastAsia="Arial" w:hAnsi="Arial" w:cs="Arial"/>
                <w:sz w:val="22"/>
                <w:szCs w:val="22"/>
              </w:rPr>
              <w:t>3.1(e)</w:t>
            </w:r>
          </w:p>
        </w:tc>
        <w:tc>
          <w:tcPr>
            <w:tcW w:w="4575" w:type="dxa"/>
          </w:tcPr>
          <w:p w14:paraId="7D21249B" w14:textId="77777777" w:rsidR="00E65535" w:rsidRDefault="00E65535" w:rsidP="00DA7839">
            <w:pPr>
              <w:pStyle w:val="Normal1"/>
              <w:spacing w:before="100"/>
              <w:jc w:val="both"/>
            </w:pPr>
            <w:r>
              <w:rPr>
                <w:rFonts w:ascii="Arial" w:eastAsia="Arial" w:hAnsi="Arial" w:cs="Arial"/>
                <w:sz w:val="22"/>
                <w:szCs w:val="22"/>
              </w:rPr>
              <w:t>Guilty of grave professional misconduct?</w:t>
            </w:r>
          </w:p>
        </w:tc>
        <w:tc>
          <w:tcPr>
            <w:tcW w:w="3547" w:type="dxa"/>
          </w:tcPr>
          <w:p w14:paraId="7B863A94" w14:textId="77777777" w:rsidR="00E65535" w:rsidRDefault="00E65535" w:rsidP="00DA7839">
            <w:pPr>
              <w:pStyle w:val="Normal1"/>
              <w:jc w:val="both"/>
            </w:pPr>
            <w:bookmarkStart w:id="33" w:name="_ihv636" w:colFirst="0" w:colLast="0"/>
            <w:bookmarkEnd w:id="33"/>
            <w:r>
              <w:rPr>
                <w:rFonts w:ascii="Arial" w:eastAsia="Arial" w:hAnsi="Arial" w:cs="Arial"/>
                <w:sz w:val="22"/>
                <w:szCs w:val="22"/>
              </w:rPr>
              <w:t xml:space="preserve">Yes </w:t>
            </w:r>
            <w:r>
              <w:rPr>
                <w:rFonts w:ascii="Menlo Regular" w:eastAsia="Menlo Regular" w:hAnsi="Menlo Regular" w:cs="Menlo Regular"/>
                <w:sz w:val="22"/>
                <w:szCs w:val="22"/>
              </w:rPr>
              <w:t>☐</w:t>
            </w:r>
          </w:p>
          <w:p w14:paraId="67822BBC" w14:textId="77777777" w:rsidR="00E65535" w:rsidRDefault="00E65535" w:rsidP="00DA7839">
            <w:pPr>
              <w:pStyle w:val="Normal1"/>
              <w:jc w:val="both"/>
            </w:pPr>
            <w:bookmarkStart w:id="34" w:name="_32hioqz" w:colFirst="0" w:colLast="0"/>
            <w:bookmarkEnd w:id="34"/>
            <w:r>
              <w:rPr>
                <w:rFonts w:ascii="Arial" w:eastAsia="Arial" w:hAnsi="Arial" w:cs="Arial"/>
                <w:sz w:val="22"/>
                <w:szCs w:val="22"/>
              </w:rPr>
              <w:t xml:space="preserve">No   </w:t>
            </w:r>
            <w:r>
              <w:rPr>
                <w:rFonts w:ascii="Menlo Regular" w:eastAsia="Menlo Regular" w:hAnsi="Menlo Regular" w:cs="Menlo Regular"/>
                <w:sz w:val="22"/>
                <w:szCs w:val="22"/>
              </w:rPr>
              <w:t>☐</w:t>
            </w:r>
          </w:p>
          <w:p w14:paraId="07D4C1C3"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51D9EF20" w14:textId="77777777" w:rsidTr="005D5770">
        <w:tc>
          <w:tcPr>
            <w:tcW w:w="1230" w:type="dxa"/>
          </w:tcPr>
          <w:p w14:paraId="6AE40E96" w14:textId="77777777" w:rsidR="00E65535" w:rsidRDefault="00E65535" w:rsidP="00DA7839">
            <w:pPr>
              <w:pStyle w:val="Normal1"/>
              <w:spacing w:before="100"/>
              <w:jc w:val="both"/>
            </w:pPr>
            <w:r>
              <w:rPr>
                <w:rFonts w:ascii="Arial" w:eastAsia="Arial" w:hAnsi="Arial" w:cs="Arial"/>
                <w:sz w:val="22"/>
                <w:szCs w:val="22"/>
              </w:rPr>
              <w:t>3.1(f)</w:t>
            </w:r>
          </w:p>
        </w:tc>
        <w:tc>
          <w:tcPr>
            <w:tcW w:w="4575" w:type="dxa"/>
          </w:tcPr>
          <w:p w14:paraId="4A107ABD" w14:textId="77777777" w:rsidR="00E65535" w:rsidRDefault="00E65535" w:rsidP="00DA783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75419460" w14:textId="77777777" w:rsidR="00E65535" w:rsidRDefault="00E65535" w:rsidP="00DA7839">
            <w:pPr>
              <w:pStyle w:val="Normal1"/>
              <w:jc w:val="both"/>
            </w:pPr>
            <w:bookmarkStart w:id="35" w:name="_1hmsyys" w:colFirst="0" w:colLast="0"/>
            <w:bookmarkEnd w:id="35"/>
            <w:r>
              <w:rPr>
                <w:rFonts w:ascii="Arial" w:eastAsia="Arial" w:hAnsi="Arial" w:cs="Arial"/>
                <w:sz w:val="22"/>
                <w:szCs w:val="22"/>
              </w:rPr>
              <w:t xml:space="preserve">Yes </w:t>
            </w:r>
            <w:r>
              <w:rPr>
                <w:rFonts w:ascii="Menlo Regular" w:eastAsia="Menlo Regular" w:hAnsi="Menlo Regular" w:cs="Menlo Regular"/>
                <w:sz w:val="22"/>
                <w:szCs w:val="22"/>
              </w:rPr>
              <w:t>☐</w:t>
            </w:r>
          </w:p>
          <w:p w14:paraId="6FE62068" w14:textId="77777777" w:rsidR="00E65535" w:rsidRDefault="00E65535" w:rsidP="00DA7839">
            <w:pPr>
              <w:pStyle w:val="Normal1"/>
              <w:jc w:val="both"/>
            </w:pPr>
            <w:bookmarkStart w:id="36" w:name="_41mghml" w:colFirst="0" w:colLast="0"/>
            <w:bookmarkEnd w:id="36"/>
            <w:r>
              <w:rPr>
                <w:rFonts w:ascii="Arial" w:eastAsia="Arial" w:hAnsi="Arial" w:cs="Arial"/>
                <w:sz w:val="22"/>
                <w:szCs w:val="22"/>
              </w:rPr>
              <w:t xml:space="preserve">No   </w:t>
            </w:r>
            <w:r>
              <w:rPr>
                <w:rFonts w:ascii="Menlo Regular" w:eastAsia="Menlo Regular" w:hAnsi="Menlo Regular" w:cs="Menlo Regular"/>
                <w:sz w:val="22"/>
                <w:szCs w:val="22"/>
              </w:rPr>
              <w:t>☐</w:t>
            </w:r>
          </w:p>
          <w:p w14:paraId="6A762798"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199E8501" w14:textId="77777777" w:rsidTr="005D5770">
        <w:tc>
          <w:tcPr>
            <w:tcW w:w="1230" w:type="dxa"/>
          </w:tcPr>
          <w:p w14:paraId="30B77099" w14:textId="77777777" w:rsidR="00E65535" w:rsidRDefault="00E65535" w:rsidP="00DA7839">
            <w:pPr>
              <w:pStyle w:val="Normal1"/>
              <w:spacing w:before="100"/>
              <w:jc w:val="both"/>
            </w:pPr>
            <w:r>
              <w:rPr>
                <w:rFonts w:ascii="Arial" w:eastAsia="Arial" w:hAnsi="Arial" w:cs="Arial"/>
                <w:sz w:val="22"/>
                <w:szCs w:val="22"/>
              </w:rPr>
              <w:t>3.1(g)</w:t>
            </w:r>
          </w:p>
        </w:tc>
        <w:tc>
          <w:tcPr>
            <w:tcW w:w="4575" w:type="dxa"/>
          </w:tcPr>
          <w:p w14:paraId="08676C7C" w14:textId="77777777" w:rsidR="00E65535" w:rsidRDefault="00E65535" w:rsidP="00DA783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02B98ECB" w14:textId="77777777" w:rsidR="00E65535" w:rsidRDefault="00E65535" w:rsidP="00DA7839">
            <w:pPr>
              <w:pStyle w:val="Normal1"/>
              <w:jc w:val="both"/>
            </w:pPr>
            <w:bookmarkStart w:id="37" w:name="_2grqrue" w:colFirst="0" w:colLast="0"/>
            <w:bookmarkEnd w:id="37"/>
            <w:r>
              <w:rPr>
                <w:rFonts w:ascii="Arial" w:eastAsia="Arial" w:hAnsi="Arial" w:cs="Arial"/>
                <w:sz w:val="22"/>
                <w:szCs w:val="22"/>
              </w:rPr>
              <w:t xml:space="preserve">Yes </w:t>
            </w:r>
            <w:r>
              <w:rPr>
                <w:rFonts w:ascii="Menlo Regular" w:eastAsia="Menlo Regular" w:hAnsi="Menlo Regular" w:cs="Menlo Regular"/>
                <w:sz w:val="22"/>
                <w:szCs w:val="22"/>
              </w:rPr>
              <w:t>☐</w:t>
            </w:r>
          </w:p>
          <w:p w14:paraId="23A7A8A3" w14:textId="77777777" w:rsidR="00E65535" w:rsidRDefault="00E65535" w:rsidP="00DA7839">
            <w:pPr>
              <w:pStyle w:val="Normal1"/>
              <w:jc w:val="both"/>
            </w:pPr>
            <w:bookmarkStart w:id="38" w:name="_vx1227" w:colFirst="0" w:colLast="0"/>
            <w:bookmarkEnd w:id="38"/>
            <w:r>
              <w:rPr>
                <w:rFonts w:ascii="Arial" w:eastAsia="Arial" w:hAnsi="Arial" w:cs="Arial"/>
                <w:sz w:val="22"/>
                <w:szCs w:val="22"/>
              </w:rPr>
              <w:t xml:space="preserve">No   </w:t>
            </w:r>
            <w:r>
              <w:rPr>
                <w:rFonts w:ascii="Menlo Regular" w:eastAsia="Menlo Regular" w:hAnsi="Menlo Regular" w:cs="Menlo Regular"/>
                <w:sz w:val="22"/>
                <w:szCs w:val="22"/>
              </w:rPr>
              <w:t>☐</w:t>
            </w:r>
          </w:p>
          <w:p w14:paraId="71FD331B" w14:textId="77777777" w:rsidR="00E65535" w:rsidRDefault="00E65535" w:rsidP="00DA7839">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66C1170F" w14:textId="77777777" w:rsidTr="005D5770">
        <w:tc>
          <w:tcPr>
            <w:tcW w:w="1230" w:type="dxa"/>
          </w:tcPr>
          <w:p w14:paraId="716123F1" w14:textId="77777777" w:rsidR="00E65535" w:rsidRDefault="00E65535" w:rsidP="00DA7839">
            <w:pPr>
              <w:pStyle w:val="Normal1"/>
              <w:spacing w:before="100"/>
              <w:jc w:val="both"/>
            </w:pPr>
            <w:r>
              <w:rPr>
                <w:rFonts w:ascii="Arial" w:eastAsia="Arial" w:hAnsi="Arial" w:cs="Arial"/>
                <w:sz w:val="22"/>
                <w:szCs w:val="22"/>
              </w:rPr>
              <w:t>3.1(h)</w:t>
            </w:r>
          </w:p>
        </w:tc>
        <w:tc>
          <w:tcPr>
            <w:tcW w:w="4575" w:type="dxa"/>
          </w:tcPr>
          <w:p w14:paraId="36ACD7AD" w14:textId="77777777" w:rsidR="00E65535" w:rsidRDefault="00E65535" w:rsidP="00DA783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1FDADCE5" w14:textId="77777777" w:rsidR="00E65535" w:rsidRDefault="00E65535" w:rsidP="00DA7839">
            <w:pPr>
              <w:pStyle w:val="Normal1"/>
              <w:jc w:val="both"/>
            </w:pPr>
            <w:bookmarkStart w:id="39" w:name="_3fwokq0" w:colFirst="0" w:colLast="0"/>
            <w:bookmarkEnd w:id="39"/>
            <w:r>
              <w:rPr>
                <w:rFonts w:ascii="Arial" w:eastAsia="Arial" w:hAnsi="Arial" w:cs="Arial"/>
                <w:sz w:val="22"/>
                <w:szCs w:val="22"/>
              </w:rPr>
              <w:t xml:space="preserve">Yes </w:t>
            </w:r>
            <w:r>
              <w:rPr>
                <w:rFonts w:ascii="Menlo Regular" w:eastAsia="Menlo Regular" w:hAnsi="Menlo Regular" w:cs="Menlo Regular"/>
                <w:sz w:val="22"/>
                <w:szCs w:val="22"/>
              </w:rPr>
              <w:t>☐</w:t>
            </w:r>
          </w:p>
          <w:p w14:paraId="2A58F6E3" w14:textId="77777777" w:rsidR="00E65535" w:rsidRDefault="00E65535" w:rsidP="00DA7839">
            <w:pPr>
              <w:pStyle w:val="Normal1"/>
              <w:jc w:val="both"/>
            </w:pPr>
            <w:bookmarkStart w:id="40" w:name="_1v1yuxt" w:colFirst="0" w:colLast="0"/>
            <w:bookmarkEnd w:id="40"/>
            <w:r>
              <w:rPr>
                <w:rFonts w:ascii="Arial" w:eastAsia="Arial" w:hAnsi="Arial" w:cs="Arial"/>
                <w:sz w:val="22"/>
                <w:szCs w:val="22"/>
              </w:rPr>
              <w:t xml:space="preserve">No   </w:t>
            </w:r>
            <w:r>
              <w:rPr>
                <w:rFonts w:ascii="Menlo Regular" w:eastAsia="Menlo Regular" w:hAnsi="Menlo Regular" w:cs="Menlo Regular"/>
                <w:sz w:val="22"/>
                <w:szCs w:val="22"/>
              </w:rPr>
              <w:t>☐</w:t>
            </w:r>
          </w:p>
          <w:p w14:paraId="3204370F"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619BE92F" w14:textId="77777777" w:rsidTr="005D5770">
        <w:tc>
          <w:tcPr>
            <w:tcW w:w="1230" w:type="dxa"/>
          </w:tcPr>
          <w:p w14:paraId="189E87C6" w14:textId="77777777" w:rsidR="00E65535" w:rsidRDefault="00E65535" w:rsidP="00DA7839">
            <w:pPr>
              <w:pStyle w:val="Normal1"/>
              <w:spacing w:before="100"/>
              <w:jc w:val="both"/>
            </w:pPr>
            <w:r>
              <w:rPr>
                <w:rFonts w:ascii="Arial" w:eastAsia="Arial" w:hAnsi="Arial" w:cs="Arial"/>
                <w:sz w:val="22"/>
                <w:szCs w:val="22"/>
              </w:rPr>
              <w:t>3.1(</w:t>
            </w:r>
            <w:proofErr w:type="spellStart"/>
            <w:r>
              <w:rPr>
                <w:rFonts w:ascii="Arial" w:eastAsia="Arial" w:hAnsi="Arial" w:cs="Arial"/>
                <w:sz w:val="22"/>
                <w:szCs w:val="22"/>
              </w:rPr>
              <w:t>i</w:t>
            </w:r>
            <w:proofErr w:type="spellEnd"/>
            <w:r>
              <w:rPr>
                <w:rFonts w:ascii="Arial" w:eastAsia="Arial" w:hAnsi="Arial" w:cs="Arial"/>
                <w:sz w:val="22"/>
                <w:szCs w:val="22"/>
              </w:rPr>
              <w:t>)</w:t>
            </w:r>
          </w:p>
        </w:tc>
        <w:tc>
          <w:tcPr>
            <w:tcW w:w="4575" w:type="dxa"/>
          </w:tcPr>
          <w:p w14:paraId="14CB6AEF" w14:textId="77777777" w:rsidR="00E65535" w:rsidRDefault="00E65535" w:rsidP="00DA7839">
            <w:pPr>
              <w:pStyle w:val="Normal1"/>
              <w:spacing w:before="100"/>
              <w:jc w:val="both"/>
            </w:pPr>
            <w:r>
              <w:rPr>
                <w:rFonts w:ascii="Arial" w:eastAsia="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547" w:type="dxa"/>
          </w:tcPr>
          <w:p w14:paraId="5AD2088C" w14:textId="77777777" w:rsidR="00E65535" w:rsidRDefault="00E65535" w:rsidP="00DA7839">
            <w:pPr>
              <w:pStyle w:val="Normal1"/>
              <w:jc w:val="both"/>
            </w:pPr>
            <w:bookmarkStart w:id="41" w:name="_4f1mdlm" w:colFirst="0" w:colLast="0"/>
            <w:bookmarkEnd w:id="41"/>
            <w:r>
              <w:rPr>
                <w:rFonts w:ascii="Arial" w:eastAsia="Arial" w:hAnsi="Arial" w:cs="Arial"/>
                <w:sz w:val="22"/>
                <w:szCs w:val="22"/>
              </w:rPr>
              <w:t xml:space="preserve">Yes </w:t>
            </w:r>
            <w:r>
              <w:rPr>
                <w:rFonts w:ascii="Menlo Regular" w:eastAsia="Menlo Regular" w:hAnsi="Menlo Regular" w:cs="Menlo Regular"/>
                <w:sz w:val="22"/>
                <w:szCs w:val="22"/>
              </w:rPr>
              <w:t>☐</w:t>
            </w:r>
          </w:p>
          <w:p w14:paraId="469EC5C4" w14:textId="77777777" w:rsidR="00E65535" w:rsidRDefault="00E65535" w:rsidP="00DA7839">
            <w:pPr>
              <w:pStyle w:val="Normal1"/>
              <w:jc w:val="both"/>
            </w:pPr>
            <w:bookmarkStart w:id="42" w:name="_2u6wntf" w:colFirst="0" w:colLast="0"/>
            <w:bookmarkEnd w:id="42"/>
            <w:r>
              <w:rPr>
                <w:rFonts w:ascii="Arial" w:eastAsia="Arial" w:hAnsi="Arial" w:cs="Arial"/>
                <w:sz w:val="22"/>
                <w:szCs w:val="22"/>
              </w:rPr>
              <w:t xml:space="preserve">No   </w:t>
            </w:r>
            <w:r>
              <w:rPr>
                <w:rFonts w:ascii="Menlo Regular" w:eastAsia="Menlo Regular" w:hAnsi="Menlo Regular" w:cs="Menlo Regular"/>
                <w:sz w:val="22"/>
                <w:szCs w:val="22"/>
              </w:rPr>
              <w:t>☐</w:t>
            </w:r>
          </w:p>
          <w:p w14:paraId="5415C10D" w14:textId="77777777" w:rsidR="00E65535" w:rsidRDefault="00E65535" w:rsidP="00DA7839">
            <w:pPr>
              <w:pStyle w:val="Normal1"/>
              <w:spacing w:before="100"/>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tc>
      </w:tr>
      <w:tr w:rsidR="00E65535" w14:paraId="0B37CE85" w14:textId="77777777" w:rsidTr="005D5770">
        <w:trPr>
          <w:trHeight w:val="580"/>
        </w:trPr>
        <w:tc>
          <w:tcPr>
            <w:tcW w:w="1230" w:type="dxa"/>
          </w:tcPr>
          <w:p w14:paraId="354DABA2" w14:textId="77777777" w:rsidR="00E65535" w:rsidRDefault="00E65535" w:rsidP="00DA7839">
            <w:pPr>
              <w:pStyle w:val="Normal1"/>
              <w:jc w:val="both"/>
            </w:pPr>
            <w:r>
              <w:rPr>
                <w:rFonts w:ascii="Arial" w:eastAsia="Arial" w:hAnsi="Arial" w:cs="Arial"/>
                <w:sz w:val="22"/>
                <w:szCs w:val="22"/>
              </w:rPr>
              <w:t>3.1(j)</w:t>
            </w:r>
          </w:p>
          <w:p w14:paraId="7FBE2D7B" w14:textId="77777777" w:rsidR="00E65535" w:rsidRDefault="00E65535" w:rsidP="00DA7839">
            <w:pPr>
              <w:pStyle w:val="Normal1"/>
              <w:jc w:val="both"/>
            </w:pPr>
          </w:p>
          <w:p w14:paraId="3DE3BA66" w14:textId="77777777" w:rsidR="00E65535" w:rsidRDefault="00E65535" w:rsidP="00DA7839">
            <w:pPr>
              <w:pStyle w:val="Normal1"/>
              <w:jc w:val="both"/>
            </w:pPr>
            <w:r>
              <w:rPr>
                <w:rFonts w:ascii="Arial" w:eastAsia="Arial" w:hAnsi="Arial" w:cs="Arial"/>
                <w:sz w:val="22"/>
                <w:szCs w:val="22"/>
              </w:rPr>
              <w:t>3.1(j) - (</w:t>
            </w:r>
            <w:proofErr w:type="spellStart"/>
            <w:r>
              <w:rPr>
                <w:rFonts w:ascii="Arial" w:eastAsia="Arial" w:hAnsi="Arial" w:cs="Arial"/>
                <w:sz w:val="22"/>
                <w:szCs w:val="22"/>
              </w:rPr>
              <w:t>i</w:t>
            </w:r>
            <w:proofErr w:type="spellEnd"/>
            <w:r>
              <w:rPr>
                <w:rFonts w:ascii="Arial" w:eastAsia="Arial" w:hAnsi="Arial" w:cs="Arial"/>
                <w:sz w:val="22"/>
                <w:szCs w:val="22"/>
              </w:rPr>
              <w:t>)</w:t>
            </w:r>
          </w:p>
          <w:p w14:paraId="6472B87D" w14:textId="77777777" w:rsidR="00E65535" w:rsidRDefault="00E65535" w:rsidP="00DA7839">
            <w:pPr>
              <w:pStyle w:val="Normal1"/>
              <w:jc w:val="both"/>
            </w:pPr>
          </w:p>
          <w:p w14:paraId="201C80A8" w14:textId="77777777" w:rsidR="00E65535" w:rsidRDefault="00E65535" w:rsidP="00DA7839">
            <w:pPr>
              <w:pStyle w:val="Normal1"/>
              <w:jc w:val="both"/>
            </w:pPr>
          </w:p>
          <w:p w14:paraId="0080806E" w14:textId="77777777" w:rsidR="00E65535" w:rsidRDefault="00E65535" w:rsidP="00DA7839">
            <w:pPr>
              <w:pStyle w:val="Normal1"/>
              <w:jc w:val="both"/>
            </w:pPr>
          </w:p>
          <w:p w14:paraId="5CCBB5CE" w14:textId="77777777" w:rsidR="00E65535" w:rsidRDefault="00E65535" w:rsidP="00DA7839">
            <w:pPr>
              <w:pStyle w:val="Normal1"/>
              <w:jc w:val="both"/>
            </w:pPr>
          </w:p>
          <w:p w14:paraId="0E0A825F" w14:textId="77777777" w:rsidR="00E65535" w:rsidRDefault="00E65535" w:rsidP="00DA7839">
            <w:pPr>
              <w:pStyle w:val="Normal1"/>
              <w:jc w:val="both"/>
            </w:pPr>
          </w:p>
          <w:p w14:paraId="44382FFB" w14:textId="77777777" w:rsidR="00E65535" w:rsidRDefault="00E65535" w:rsidP="00DA7839">
            <w:pPr>
              <w:pStyle w:val="Normal1"/>
              <w:jc w:val="both"/>
            </w:pPr>
            <w:r>
              <w:rPr>
                <w:rFonts w:ascii="Arial" w:eastAsia="Arial" w:hAnsi="Arial" w:cs="Arial"/>
                <w:sz w:val="22"/>
                <w:szCs w:val="22"/>
              </w:rPr>
              <w:t>3.1(j) - (ii)</w:t>
            </w:r>
          </w:p>
          <w:p w14:paraId="3A95963D" w14:textId="77777777" w:rsidR="00E65535" w:rsidRDefault="00E65535" w:rsidP="00DA7839">
            <w:pPr>
              <w:pStyle w:val="Normal1"/>
              <w:jc w:val="both"/>
            </w:pPr>
          </w:p>
          <w:p w14:paraId="17B164C6" w14:textId="77777777" w:rsidR="00E65535" w:rsidRDefault="00E65535" w:rsidP="00DA7839">
            <w:pPr>
              <w:pStyle w:val="Normal1"/>
              <w:jc w:val="both"/>
            </w:pPr>
          </w:p>
          <w:p w14:paraId="0B73C5C4" w14:textId="77777777" w:rsidR="00E65535" w:rsidRDefault="00E65535" w:rsidP="00DA7839">
            <w:pPr>
              <w:pStyle w:val="Normal1"/>
              <w:jc w:val="both"/>
            </w:pPr>
          </w:p>
          <w:p w14:paraId="7376AEC4" w14:textId="77777777" w:rsidR="00E65535" w:rsidRDefault="00E65535" w:rsidP="00DA7839">
            <w:pPr>
              <w:pStyle w:val="Normal1"/>
              <w:jc w:val="both"/>
            </w:pPr>
            <w:r>
              <w:rPr>
                <w:rFonts w:ascii="Arial" w:eastAsia="Arial" w:hAnsi="Arial" w:cs="Arial"/>
                <w:sz w:val="22"/>
                <w:szCs w:val="22"/>
              </w:rPr>
              <w:t>3.1(j) –(iii)</w:t>
            </w:r>
          </w:p>
          <w:p w14:paraId="2B1B88BF" w14:textId="77777777" w:rsidR="00E65535" w:rsidRDefault="00E65535" w:rsidP="00DA7839">
            <w:pPr>
              <w:pStyle w:val="Normal1"/>
              <w:jc w:val="both"/>
            </w:pPr>
          </w:p>
          <w:p w14:paraId="5A59BE75" w14:textId="77777777" w:rsidR="00E65535" w:rsidRDefault="00E65535" w:rsidP="00DA7839">
            <w:pPr>
              <w:pStyle w:val="Normal1"/>
              <w:jc w:val="both"/>
            </w:pPr>
          </w:p>
          <w:p w14:paraId="3FEC7BC0" w14:textId="77777777" w:rsidR="00E65535" w:rsidRDefault="00E65535" w:rsidP="00DA7839">
            <w:pPr>
              <w:pStyle w:val="Normal1"/>
              <w:jc w:val="both"/>
            </w:pPr>
          </w:p>
          <w:p w14:paraId="6E544825" w14:textId="77777777" w:rsidR="00E65535" w:rsidRDefault="00E65535" w:rsidP="00DA7839">
            <w:pPr>
              <w:pStyle w:val="Normal1"/>
              <w:jc w:val="both"/>
            </w:pPr>
          </w:p>
          <w:p w14:paraId="326093A7" w14:textId="77777777" w:rsidR="00E65535" w:rsidRDefault="00E65535" w:rsidP="00DA7839">
            <w:pPr>
              <w:pStyle w:val="Normal1"/>
              <w:jc w:val="both"/>
            </w:pPr>
            <w:r>
              <w:rPr>
                <w:rFonts w:ascii="Arial" w:eastAsia="Arial" w:hAnsi="Arial" w:cs="Arial"/>
                <w:sz w:val="22"/>
                <w:szCs w:val="22"/>
              </w:rPr>
              <w:t>3.1(j)-(iv)</w:t>
            </w:r>
          </w:p>
          <w:p w14:paraId="3E0D29D6" w14:textId="77777777" w:rsidR="00E65535" w:rsidRDefault="00E65535" w:rsidP="00DA7839">
            <w:pPr>
              <w:pStyle w:val="Normal1"/>
              <w:jc w:val="both"/>
            </w:pPr>
          </w:p>
          <w:p w14:paraId="1A0ACB1D" w14:textId="77777777" w:rsidR="00E65535" w:rsidRDefault="00E65535" w:rsidP="00DA7839">
            <w:pPr>
              <w:pStyle w:val="Normal1"/>
              <w:jc w:val="both"/>
            </w:pPr>
          </w:p>
          <w:p w14:paraId="2B1EDF3E" w14:textId="77777777" w:rsidR="00E65535" w:rsidRDefault="00E65535" w:rsidP="00DA7839">
            <w:pPr>
              <w:pStyle w:val="Normal1"/>
              <w:jc w:val="both"/>
            </w:pPr>
          </w:p>
          <w:p w14:paraId="5A6720D8" w14:textId="77777777" w:rsidR="00E65535" w:rsidRDefault="00E65535" w:rsidP="00DA7839">
            <w:pPr>
              <w:pStyle w:val="Normal1"/>
              <w:jc w:val="both"/>
            </w:pPr>
          </w:p>
          <w:p w14:paraId="4163D7B5" w14:textId="77777777" w:rsidR="00E65535" w:rsidRDefault="00E65535" w:rsidP="00DA7839">
            <w:pPr>
              <w:pStyle w:val="Normal1"/>
              <w:jc w:val="both"/>
            </w:pPr>
          </w:p>
        </w:tc>
        <w:tc>
          <w:tcPr>
            <w:tcW w:w="4575" w:type="dxa"/>
          </w:tcPr>
          <w:p w14:paraId="2E572168" w14:textId="77777777" w:rsidR="00E65535" w:rsidRDefault="00E65535" w:rsidP="00DA7839">
            <w:pPr>
              <w:pStyle w:val="Normal1"/>
              <w:jc w:val="both"/>
            </w:pPr>
            <w:r>
              <w:rPr>
                <w:rFonts w:ascii="Arial" w:eastAsia="Arial" w:hAnsi="Arial" w:cs="Arial"/>
                <w:sz w:val="22"/>
                <w:szCs w:val="22"/>
              </w:rPr>
              <w:lastRenderedPageBreak/>
              <w:t>Please answer the following statements</w:t>
            </w:r>
          </w:p>
          <w:p w14:paraId="5FA966C6" w14:textId="77777777" w:rsidR="00E65535" w:rsidRDefault="00E65535" w:rsidP="00DA7839">
            <w:pPr>
              <w:pStyle w:val="Normal1"/>
              <w:jc w:val="both"/>
            </w:pPr>
          </w:p>
          <w:p w14:paraId="00D8AB86" w14:textId="77777777" w:rsidR="00E65535" w:rsidRDefault="00E65535" w:rsidP="00DA783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1338F53F" w14:textId="77777777" w:rsidR="00E65535" w:rsidRDefault="00E65535" w:rsidP="00DA7839">
            <w:pPr>
              <w:pStyle w:val="Normal1"/>
              <w:jc w:val="both"/>
            </w:pPr>
          </w:p>
          <w:p w14:paraId="0B2522E5" w14:textId="77777777" w:rsidR="00E65535" w:rsidRDefault="00E65535" w:rsidP="00DA7839">
            <w:pPr>
              <w:pStyle w:val="Normal1"/>
              <w:jc w:val="both"/>
            </w:pPr>
            <w:r>
              <w:rPr>
                <w:rFonts w:ascii="Arial" w:eastAsia="Arial" w:hAnsi="Arial" w:cs="Arial"/>
                <w:sz w:val="22"/>
                <w:szCs w:val="22"/>
              </w:rPr>
              <w:t>The organisation has withheld such information.</w:t>
            </w:r>
          </w:p>
          <w:p w14:paraId="2AB8623A" w14:textId="77777777" w:rsidR="00E65535" w:rsidRDefault="00E65535" w:rsidP="00DA7839">
            <w:pPr>
              <w:pStyle w:val="Normal1"/>
              <w:jc w:val="both"/>
            </w:pPr>
          </w:p>
          <w:p w14:paraId="7E9D21A5" w14:textId="77777777" w:rsidR="00E65535" w:rsidRDefault="00E65535" w:rsidP="00DA7839">
            <w:pPr>
              <w:pStyle w:val="Normal1"/>
              <w:jc w:val="both"/>
            </w:pPr>
          </w:p>
          <w:p w14:paraId="6D20C5F1" w14:textId="77777777" w:rsidR="00E65535" w:rsidRDefault="00E65535" w:rsidP="00DA783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1D568EB0" w14:textId="77777777" w:rsidR="00E65535" w:rsidRDefault="00E65535" w:rsidP="00DA7839">
            <w:pPr>
              <w:pStyle w:val="Normal1"/>
              <w:jc w:val="both"/>
            </w:pPr>
          </w:p>
          <w:p w14:paraId="1CACAB37" w14:textId="77777777" w:rsidR="00E65535" w:rsidRDefault="00E65535" w:rsidP="00DA7839">
            <w:pPr>
              <w:pStyle w:val="Normal1"/>
              <w:jc w:val="both"/>
            </w:pPr>
            <w:r>
              <w:rPr>
                <w:rFonts w:ascii="Arial" w:eastAsia="Arial" w:hAnsi="Arial" w:cs="Arial"/>
                <w:sz w:val="22"/>
                <w:szCs w:val="22"/>
              </w:rPr>
              <w:t xml:space="preserve">The organisation has influenced the decision-making process of the contracting authority to obtain confidential information that may confer upon the organisation undue advantages in the procurement procedure, or </w:t>
            </w:r>
            <w:r>
              <w:rPr>
                <w:rFonts w:ascii="Arial" w:eastAsia="Arial" w:hAnsi="Arial" w:cs="Arial"/>
                <w:sz w:val="22"/>
                <w:szCs w:val="22"/>
              </w:rPr>
              <w:lastRenderedPageBreak/>
              <w:t>to negligently provided misleading information that may have a material influence on decisions concerning exclusion, selection or award.</w:t>
            </w:r>
          </w:p>
        </w:tc>
        <w:tc>
          <w:tcPr>
            <w:tcW w:w="3547" w:type="dxa"/>
          </w:tcPr>
          <w:p w14:paraId="27311614" w14:textId="77777777" w:rsidR="00E65535" w:rsidRDefault="00E65535" w:rsidP="00DA7839">
            <w:pPr>
              <w:pStyle w:val="Normal1"/>
              <w:spacing w:before="100"/>
              <w:jc w:val="both"/>
            </w:pPr>
          </w:p>
          <w:p w14:paraId="2128C07A" w14:textId="77777777" w:rsidR="00E65535" w:rsidRDefault="00E65535" w:rsidP="00DA7839">
            <w:pPr>
              <w:pStyle w:val="Normal1"/>
              <w:jc w:val="both"/>
            </w:pPr>
            <w:bookmarkStart w:id="43" w:name="_19c6y18" w:colFirst="0" w:colLast="0"/>
            <w:bookmarkEnd w:id="43"/>
            <w:r>
              <w:rPr>
                <w:rFonts w:ascii="Arial" w:eastAsia="Arial" w:hAnsi="Arial" w:cs="Arial"/>
                <w:sz w:val="22"/>
                <w:szCs w:val="22"/>
              </w:rPr>
              <w:t xml:space="preserve">Yes </w:t>
            </w:r>
            <w:r>
              <w:rPr>
                <w:rFonts w:ascii="Menlo Regular" w:eastAsia="Menlo Regular" w:hAnsi="Menlo Regular" w:cs="Menlo Regular"/>
                <w:sz w:val="22"/>
                <w:szCs w:val="22"/>
              </w:rPr>
              <w:t>☐</w:t>
            </w:r>
          </w:p>
          <w:p w14:paraId="336CDF8A" w14:textId="77777777" w:rsidR="00E65535" w:rsidRDefault="00E65535" w:rsidP="00DA7839">
            <w:pPr>
              <w:pStyle w:val="Normal1"/>
              <w:jc w:val="both"/>
            </w:pPr>
            <w:bookmarkStart w:id="44" w:name="_3tbugp1" w:colFirst="0" w:colLast="0"/>
            <w:bookmarkEnd w:id="44"/>
            <w:r>
              <w:rPr>
                <w:rFonts w:ascii="Arial" w:eastAsia="Arial" w:hAnsi="Arial" w:cs="Arial"/>
                <w:sz w:val="22"/>
                <w:szCs w:val="22"/>
              </w:rPr>
              <w:t xml:space="preserve">No   </w:t>
            </w:r>
            <w:r>
              <w:rPr>
                <w:rFonts w:ascii="Menlo Regular" w:eastAsia="Menlo Regular" w:hAnsi="Menlo Regular" w:cs="Menlo Regular"/>
                <w:sz w:val="22"/>
                <w:szCs w:val="22"/>
              </w:rPr>
              <w:t>☐</w:t>
            </w:r>
          </w:p>
          <w:p w14:paraId="72C87517"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0F40E9E5" w14:textId="77777777" w:rsidR="00E65535" w:rsidRDefault="00E65535" w:rsidP="00DA7839">
            <w:pPr>
              <w:pStyle w:val="Normal1"/>
              <w:jc w:val="both"/>
            </w:pPr>
          </w:p>
          <w:p w14:paraId="4859B774" w14:textId="77777777" w:rsidR="00E65535" w:rsidRDefault="00E65535" w:rsidP="00DA7839">
            <w:pPr>
              <w:pStyle w:val="Normal1"/>
              <w:jc w:val="both"/>
            </w:pPr>
          </w:p>
          <w:p w14:paraId="34DFBEFF" w14:textId="77777777" w:rsidR="00E65535" w:rsidRDefault="00E65535" w:rsidP="00DA7839">
            <w:pPr>
              <w:pStyle w:val="Normal1"/>
              <w:jc w:val="both"/>
            </w:pPr>
            <w:bookmarkStart w:id="45" w:name="_28h4qwu" w:colFirst="0" w:colLast="0"/>
            <w:bookmarkEnd w:id="45"/>
            <w:r>
              <w:rPr>
                <w:rFonts w:ascii="Arial" w:eastAsia="Arial" w:hAnsi="Arial" w:cs="Arial"/>
                <w:sz w:val="22"/>
                <w:szCs w:val="22"/>
              </w:rPr>
              <w:t xml:space="preserve">Yes </w:t>
            </w:r>
            <w:r>
              <w:rPr>
                <w:rFonts w:ascii="Menlo Regular" w:eastAsia="Menlo Regular" w:hAnsi="Menlo Regular" w:cs="Menlo Regular"/>
                <w:sz w:val="22"/>
                <w:szCs w:val="22"/>
              </w:rPr>
              <w:t>☐</w:t>
            </w:r>
          </w:p>
          <w:p w14:paraId="06AF1F05" w14:textId="77777777" w:rsidR="00E65535" w:rsidRDefault="00E65535" w:rsidP="00DA7839">
            <w:pPr>
              <w:pStyle w:val="Normal1"/>
              <w:jc w:val="both"/>
            </w:pPr>
            <w:bookmarkStart w:id="46" w:name="_nmf14n" w:colFirst="0" w:colLast="0"/>
            <w:bookmarkEnd w:id="46"/>
            <w:r>
              <w:rPr>
                <w:rFonts w:ascii="Arial" w:eastAsia="Arial" w:hAnsi="Arial" w:cs="Arial"/>
                <w:sz w:val="22"/>
                <w:szCs w:val="22"/>
              </w:rPr>
              <w:t xml:space="preserve">No   </w:t>
            </w:r>
            <w:r>
              <w:rPr>
                <w:rFonts w:ascii="Menlo Regular" w:eastAsia="Menlo Regular" w:hAnsi="Menlo Regular" w:cs="Menlo Regular"/>
                <w:sz w:val="22"/>
                <w:szCs w:val="22"/>
              </w:rPr>
              <w:t>☐</w:t>
            </w:r>
          </w:p>
          <w:p w14:paraId="0745C941"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1B466C33" w14:textId="77777777" w:rsidR="00E65535" w:rsidRDefault="00E65535" w:rsidP="00DA7839">
            <w:pPr>
              <w:pStyle w:val="Normal1"/>
              <w:jc w:val="both"/>
            </w:pPr>
          </w:p>
          <w:p w14:paraId="77B1B318" w14:textId="77777777" w:rsidR="00E65535" w:rsidRDefault="00E65535" w:rsidP="00DA783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730A65D" w14:textId="77777777" w:rsidR="00E65535" w:rsidRDefault="00E65535" w:rsidP="00DA783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206B275D"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49D1CBB7" w14:textId="77777777" w:rsidR="00E65535" w:rsidRDefault="00E65535" w:rsidP="00DA7839">
            <w:pPr>
              <w:pStyle w:val="Normal1"/>
              <w:jc w:val="both"/>
            </w:pPr>
          </w:p>
          <w:p w14:paraId="1080F669" w14:textId="77777777" w:rsidR="00E65535" w:rsidRDefault="00E65535" w:rsidP="00DA7839">
            <w:pPr>
              <w:pStyle w:val="Normal1"/>
              <w:jc w:val="both"/>
            </w:pPr>
          </w:p>
          <w:p w14:paraId="3E79E632" w14:textId="77777777" w:rsidR="00E65535" w:rsidRDefault="00E65535" w:rsidP="00DA783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580F403" w14:textId="77777777" w:rsidR="00E65535" w:rsidRDefault="00E65535" w:rsidP="00DA783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1F1E0DDB" w14:textId="77777777" w:rsidR="00E65535" w:rsidRDefault="00E65535" w:rsidP="00DA7839">
            <w:pPr>
              <w:pStyle w:val="Normal1"/>
              <w:jc w:val="both"/>
            </w:pPr>
            <w:r>
              <w:rPr>
                <w:rFonts w:ascii="Arial" w:eastAsia="Arial" w:hAnsi="Arial" w:cs="Arial"/>
                <w:sz w:val="22"/>
                <w:szCs w:val="22"/>
              </w:rPr>
              <w:t xml:space="preserve">If </w:t>
            </w:r>
            <w:proofErr w:type="gramStart"/>
            <w:r>
              <w:rPr>
                <w:rFonts w:ascii="Arial" w:eastAsia="Arial" w:hAnsi="Arial" w:cs="Arial"/>
                <w:sz w:val="22"/>
                <w:szCs w:val="22"/>
              </w:rPr>
              <w:t>Yes</w:t>
            </w:r>
            <w:proofErr w:type="gramEnd"/>
            <w:r>
              <w:rPr>
                <w:rFonts w:ascii="Arial" w:eastAsia="Arial" w:hAnsi="Arial" w:cs="Arial"/>
                <w:sz w:val="22"/>
                <w:szCs w:val="22"/>
              </w:rPr>
              <w:t xml:space="preserve"> please provide details at 3.2</w:t>
            </w:r>
          </w:p>
          <w:p w14:paraId="5F063A36" w14:textId="77777777" w:rsidR="00E65535" w:rsidRDefault="00E65535" w:rsidP="00DA7839">
            <w:pPr>
              <w:pStyle w:val="Normal1"/>
              <w:jc w:val="both"/>
            </w:pPr>
          </w:p>
          <w:p w14:paraId="0CF4178A" w14:textId="77777777" w:rsidR="00E65535" w:rsidRDefault="00E65535" w:rsidP="00DA7839">
            <w:pPr>
              <w:pStyle w:val="Normal1"/>
              <w:jc w:val="both"/>
            </w:pPr>
          </w:p>
        </w:tc>
      </w:tr>
    </w:tbl>
    <w:p w14:paraId="76FA7F6F" w14:textId="77777777" w:rsidR="00E65535" w:rsidRDefault="00E65535" w:rsidP="00DA7839">
      <w:pPr>
        <w:widowControl/>
        <w:suppressAutoHyphens/>
        <w:overflowPunct/>
        <w:autoSpaceDE/>
        <w:adjustRightInd/>
        <w:jc w:val="both"/>
        <w:rPr>
          <w:rFonts w:ascii="Calibri" w:eastAsia="Calibri" w:hAnsi="Calibri" w:cs="Calibri"/>
          <w:color w:val="000000"/>
          <w:szCs w:val="20"/>
        </w:rPr>
      </w:pPr>
    </w:p>
    <w:tbl>
      <w:tblPr>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E65535" w14:paraId="13F8AF26" w14:textId="77777777" w:rsidTr="005D5770">
        <w:tc>
          <w:tcPr>
            <w:tcW w:w="1257" w:type="dxa"/>
          </w:tcPr>
          <w:p w14:paraId="02F7AB3B" w14:textId="77777777" w:rsidR="00E65535" w:rsidRDefault="00E65535" w:rsidP="00DA7839">
            <w:pPr>
              <w:pStyle w:val="Normal1"/>
              <w:spacing w:before="100"/>
              <w:jc w:val="both"/>
            </w:pPr>
            <w:r>
              <w:rPr>
                <w:rFonts w:ascii="Arial" w:eastAsia="Arial" w:hAnsi="Arial" w:cs="Arial"/>
                <w:sz w:val="22"/>
                <w:szCs w:val="22"/>
              </w:rPr>
              <w:t>3.2</w:t>
            </w:r>
          </w:p>
        </w:tc>
        <w:tc>
          <w:tcPr>
            <w:tcW w:w="4521" w:type="dxa"/>
          </w:tcPr>
          <w:p w14:paraId="7270AB1B" w14:textId="77777777" w:rsidR="00E65535" w:rsidRDefault="00E65535" w:rsidP="00DA783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w:t>
            </w:r>
            <w:proofErr w:type="spellStart"/>
            <w:r>
              <w:rPr>
                <w:rFonts w:ascii="Arial" w:eastAsia="Arial" w:hAnsi="Arial" w:cs="Arial"/>
                <w:sz w:val="22"/>
                <w:szCs w:val="22"/>
              </w:rPr>
              <w:t>Self Cleaning</w:t>
            </w:r>
            <w:proofErr w:type="spellEnd"/>
            <w:r>
              <w:rPr>
                <w:rFonts w:ascii="Arial" w:eastAsia="Arial" w:hAnsi="Arial" w:cs="Arial"/>
                <w:sz w:val="22"/>
                <w:szCs w:val="22"/>
              </w:rPr>
              <w:t>)</w:t>
            </w:r>
          </w:p>
        </w:tc>
        <w:tc>
          <w:tcPr>
            <w:tcW w:w="3544" w:type="dxa"/>
          </w:tcPr>
          <w:p w14:paraId="67611F3F" w14:textId="77777777" w:rsidR="00E65535" w:rsidRDefault="00E65535" w:rsidP="00DA7839">
            <w:pPr>
              <w:pStyle w:val="Normal1"/>
              <w:spacing w:before="100"/>
              <w:jc w:val="both"/>
            </w:pPr>
          </w:p>
        </w:tc>
      </w:tr>
    </w:tbl>
    <w:p w14:paraId="4663F090"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14:paraId="0310A127" w14:textId="77777777" w:rsidR="002B6384" w:rsidRPr="002B6384" w:rsidRDefault="002B6384" w:rsidP="00DA7839">
      <w:pPr>
        <w:widowControl/>
        <w:suppressAutoHyphens/>
        <w:overflowPunct/>
        <w:autoSpaceDE/>
        <w:adjustRightInd/>
        <w:ind w:right="-333"/>
        <w:jc w:val="both"/>
        <w:rPr>
          <w:rFonts w:ascii="Calibri" w:eastAsia="Calibri" w:hAnsi="Calibri" w:cs="Calibri"/>
          <w:color w:val="000000"/>
          <w:szCs w:val="20"/>
        </w:rPr>
      </w:pPr>
      <w:r w:rsidRPr="002B6384">
        <w:rPr>
          <w:rFonts w:eastAsia="Arial" w:cs="Arial"/>
          <w:b/>
          <w:color w:val="000000"/>
          <w:szCs w:val="20"/>
        </w:rPr>
        <w:t>Taking Account of Bidders’ Past Performance</w:t>
      </w:r>
    </w:p>
    <w:p w14:paraId="30030AAB" w14:textId="77777777" w:rsidR="002B6384" w:rsidRPr="002B6384" w:rsidRDefault="002B6384" w:rsidP="00DA7839">
      <w:pPr>
        <w:widowControl/>
        <w:suppressAutoHyphens/>
        <w:overflowPunct/>
        <w:autoSpaceDE/>
        <w:adjustRightInd/>
        <w:ind w:right="-333"/>
        <w:jc w:val="both"/>
        <w:rPr>
          <w:rFonts w:ascii="Calibri" w:eastAsia="Calibri" w:hAnsi="Calibri" w:cs="Calibri"/>
          <w:color w:val="000000"/>
          <w:szCs w:val="20"/>
        </w:rPr>
      </w:pPr>
    </w:p>
    <w:p w14:paraId="7FBD101F" w14:textId="77777777" w:rsidR="002B6384" w:rsidRPr="002B6384" w:rsidRDefault="00FA5787" w:rsidP="00DA7839">
      <w:pPr>
        <w:widowControl/>
        <w:suppressAutoHyphens/>
        <w:overflowPunct/>
        <w:autoSpaceDE/>
        <w:adjustRightInd/>
        <w:jc w:val="both"/>
        <w:rPr>
          <w:rFonts w:ascii="Calibri" w:eastAsia="Calibri" w:hAnsi="Calibri" w:cs="Calibri"/>
          <w:color w:val="000000"/>
          <w:szCs w:val="20"/>
        </w:rPr>
      </w:pPr>
      <w:r>
        <w:rPr>
          <w:rFonts w:eastAsia="Arial" w:cs="Arial"/>
          <w:color w:val="000000"/>
          <w:szCs w:val="20"/>
        </w:rPr>
        <w:t>SMC</w:t>
      </w:r>
      <w:r w:rsidR="002B6384" w:rsidRPr="002B6384">
        <w:rPr>
          <w:rFonts w:eastAsia="Arial" w:cs="Arial"/>
          <w:color w:val="000000"/>
          <w:szCs w:val="20"/>
        </w:rPr>
        <w:t xml:space="preserve"> may assess the past performance of a Supplier (through a Certificate of Performance provided by a Customer or other means of evidence). </w:t>
      </w:r>
      <w:r>
        <w:rPr>
          <w:rFonts w:eastAsia="Arial" w:cs="Arial"/>
          <w:color w:val="000000"/>
          <w:szCs w:val="20"/>
        </w:rPr>
        <w:t>SMC</w:t>
      </w:r>
      <w:r w:rsidR="002B6384" w:rsidRPr="002B6384">
        <w:rPr>
          <w:rFonts w:eastAsia="Arial" w:cs="Arial"/>
          <w:color w:val="000000"/>
          <w:szCs w:val="20"/>
        </w:rPr>
        <w:t xml:space="preserve"> may also assess whether specified minimum standards for reliability for such contracts are met. </w:t>
      </w:r>
    </w:p>
    <w:p w14:paraId="1320697B"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14:paraId="5D7B3CAB" w14:textId="77777777" w:rsidR="002B6384" w:rsidRDefault="002B6384" w:rsidP="00DA7839">
      <w:pPr>
        <w:widowControl/>
        <w:suppressAutoHyphens/>
        <w:overflowPunct/>
        <w:autoSpaceDE/>
        <w:adjustRightInd/>
        <w:jc w:val="both"/>
        <w:rPr>
          <w:rFonts w:eastAsia="Arial" w:cs="Arial"/>
          <w:color w:val="000000"/>
          <w:szCs w:val="20"/>
        </w:rPr>
      </w:pPr>
      <w:r w:rsidRPr="002B6384">
        <w:rPr>
          <w:rFonts w:eastAsia="Arial" w:cs="Arial"/>
          <w:color w:val="000000"/>
          <w:szCs w:val="20"/>
        </w:rPr>
        <w:t xml:space="preserve">In addition, </w:t>
      </w:r>
      <w:r w:rsidR="00FA5787">
        <w:rPr>
          <w:rFonts w:eastAsia="Arial" w:cs="Arial"/>
          <w:color w:val="000000"/>
          <w:szCs w:val="20"/>
        </w:rPr>
        <w:t>SMC</w:t>
      </w:r>
      <w:r w:rsidRPr="002B6384">
        <w:rPr>
          <w:rFonts w:eastAsia="Arial" w:cs="Arial"/>
          <w:color w:val="000000"/>
          <w:szCs w:val="20"/>
        </w:rPr>
        <w:t xml:space="preserve"> may re-assess reliability based on past performance at key stages in the procurement process (i.e. supplier selection, tender evaluation, contract award stage etc.). Suppliers may also be asked to update the evidence they provide in this section to reflect more recent performance on new or existing contracts (or to confirm that nothing has changed).</w:t>
      </w:r>
    </w:p>
    <w:p w14:paraId="5BD353AC" w14:textId="77777777" w:rsidR="00721F1C" w:rsidRDefault="00721F1C" w:rsidP="00DA7839">
      <w:pPr>
        <w:widowControl/>
        <w:suppressAutoHyphens/>
        <w:overflowPunct/>
        <w:autoSpaceDE/>
        <w:adjustRightInd/>
        <w:jc w:val="both"/>
        <w:rPr>
          <w:rFonts w:eastAsia="Arial" w:cs="Arial"/>
          <w:color w:val="000000"/>
          <w:szCs w:val="20"/>
        </w:rPr>
      </w:pPr>
    </w:p>
    <w:p w14:paraId="553DC85F" w14:textId="77777777" w:rsidR="00A57C51" w:rsidRPr="00A57C51" w:rsidRDefault="00A57C51" w:rsidP="00DA7839">
      <w:pPr>
        <w:widowControl/>
        <w:suppressAutoHyphens/>
        <w:overflowPunct/>
        <w:autoSpaceDE/>
        <w:adjustRightInd/>
        <w:jc w:val="both"/>
        <w:rPr>
          <w:rFonts w:ascii="Calibri" w:eastAsia="Calibri" w:hAnsi="Calibri" w:cs="Calibri"/>
          <w:b/>
          <w:color w:val="000000"/>
          <w:szCs w:val="20"/>
        </w:rPr>
      </w:pPr>
      <w:r w:rsidRPr="00A57C51">
        <w:rPr>
          <w:rFonts w:eastAsia="Arial" w:cs="Arial"/>
          <w:b/>
          <w:color w:val="000000"/>
          <w:szCs w:val="20"/>
        </w:rPr>
        <w:t>Non-payment of taxes/social security contributions</w:t>
      </w:r>
    </w:p>
    <w:p w14:paraId="3E3CCB04"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14:paraId="3D451E83" w14:textId="77777777" w:rsidR="002B6384" w:rsidRPr="002B6384" w:rsidRDefault="005D7D23" w:rsidP="00DA7839">
      <w:pPr>
        <w:widowControl/>
        <w:suppressAutoHyphens/>
        <w:overflowPunct/>
        <w:autoSpaceDE/>
        <w:adjustRightInd/>
        <w:jc w:val="both"/>
        <w:rPr>
          <w:rFonts w:ascii="Calibri" w:eastAsia="Calibri" w:hAnsi="Calibri" w:cs="Calibri"/>
          <w:color w:val="000000"/>
          <w:szCs w:val="20"/>
        </w:rPr>
      </w:pPr>
      <w:r>
        <w:rPr>
          <w:rFonts w:eastAsia="Arial" w:cs="Arial"/>
          <w:color w:val="000000"/>
          <w:szCs w:val="20"/>
        </w:rPr>
        <w:t>SMC</w:t>
      </w:r>
      <w:r w:rsidR="002B6384" w:rsidRPr="002B6384">
        <w:rPr>
          <w:rFonts w:eastAsia="Arial" w:cs="Arial"/>
          <w:color w:val="000000"/>
          <w:szCs w:val="20"/>
        </w:rPr>
        <w:t xml:space="preserve"> reserves the right to use its discretion to exclude a supplier where it can demonstrate the supplier’s non-payment of taxes/social security contributions where no binding legal decision has been taken.</w:t>
      </w:r>
    </w:p>
    <w:p w14:paraId="1FB05B10"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14:paraId="4BA235A0"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Please note </w:t>
      </w:r>
      <w:r>
        <w:rPr>
          <w:rFonts w:eastAsia="Arial" w:cs="Arial"/>
          <w:color w:val="000000"/>
          <w:szCs w:val="20"/>
        </w:rPr>
        <w:t>that this section</w:t>
      </w:r>
      <w:r w:rsidRPr="002B6384">
        <w:rPr>
          <w:rFonts w:eastAsia="Arial" w:cs="Arial"/>
          <w:color w:val="000000"/>
          <w:szCs w:val="20"/>
        </w:rPr>
        <w:t xml:space="preserve"> relating to tax compliance only applies where </w:t>
      </w:r>
      <w:r w:rsidR="005D7D23">
        <w:rPr>
          <w:rFonts w:eastAsia="Arial" w:cs="Arial"/>
          <w:color w:val="000000"/>
          <w:szCs w:val="20"/>
        </w:rPr>
        <w:t>SMC</w:t>
      </w:r>
      <w:r w:rsidRPr="002B6384">
        <w:rPr>
          <w:rFonts w:eastAsia="Arial" w:cs="Arial"/>
          <w:color w:val="000000"/>
          <w:szCs w:val="20"/>
        </w:rPr>
        <w:t xml:space="preserve"> has indicated that the contract is over £5million in value</w:t>
      </w:r>
      <w:r w:rsidR="00E66D86">
        <w:rPr>
          <w:rFonts w:eastAsia="Arial" w:cs="Arial"/>
          <w:color w:val="000000"/>
          <w:szCs w:val="20"/>
        </w:rPr>
        <w:t>.</w:t>
      </w:r>
    </w:p>
    <w:p w14:paraId="28F01989"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14:paraId="1E107184"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 xml:space="preserve">“Occasion of Tax Non-Compliance” means: </w:t>
      </w:r>
    </w:p>
    <w:p w14:paraId="77DF9923"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p>
    <w:p w14:paraId="5802B8CB" w14:textId="77777777" w:rsidR="002B6384" w:rsidRPr="002B6384" w:rsidRDefault="002B6384" w:rsidP="00EA4286">
      <w:pPr>
        <w:widowControl/>
        <w:numPr>
          <w:ilvl w:val="0"/>
          <w:numId w:val="11"/>
        </w:numPr>
        <w:suppressAutoHyphens/>
        <w:overflowPunct/>
        <w:autoSpaceDE/>
        <w:autoSpaceDN/>
        <w:adjustRightInd/>
        <w:spacing w:after="200"/>
        <w:ind w:hanging="358"/>
        <w:jc w:val="both"/>
        <w:textAlignment w:val="auto"/>
        <w:rPr>
          <w:rFonts w:eastAsia="Arial" w:cs="Arial"/>
          <w:color w:val="000000"/>
          <w:szCs w:val="20"/>
        </w:rPr>
      </w:pPr>
      <w:r w:rsidRPr="002B6384">
        <w:rPr>
          <w:rFonts w:eastAsia="Arial" w:cs="Arial"/>
          <w:color w:val="000000"/>
          <w:szCs w:val="20"/>
        </w:rPr>
        <w:t xml:space="preserve">any tax return of the Supplier submitted to a Relevant Tax Authority on or after 1 October 2012 is found to be incorrect as a result of: </w:t>
      </w:r>
    </w:p>
    <w:p w14:paraId="7B781EEE" w14:textId="77777777" w:rsidR="002B6384" w:rsidRPr="002B6384" w:rsidRDefault="002B6384" w:rsidP="00DA7839">
      <w:pPr>
        <w:widowControl/>
        <w:suppressAutoHyphens/>
        <w:overflowPunct/>
        <w:autoSpaceDE/>
        <w:adjustRightInd/>
        <w:ind w:left="720"/>
        <w:jc w:val="both"/>
        <w:rPr>
          <w:rFonts w:ascii="Calibri" w:eastAsia="Calibri" w:hAnsi="Calibri" w:cs="Calibri"/>
          <w:color w:val="000000"/>
          <w:szCs w:val="20"/>
        </w:rPr>
      </w:pPr>
    </w:p>
    <w:p w14:paraId="4A4792D6" w14:textId="77777777" w:rsidR="002B6384" w:rsidRPr="002B6384" w:rsidRDefault="002B6384" w:rsidP="00EA4286">
      <w:pPr>
        <w:widowControl/>
        <w:numPr>
          <w:ilvl w:val="3"/>
          <w:numId w:val="10"/>
        </w:numPr>
        <w:suppressAutoHyphens/>
        <w:overflowPunct/>
        <w:autoSpaceDE/>
        <w:autoSpaceDN/>
        <w:adjustRightInd/>
        <w:spacing w:after="200"/>
        <w:ind w:left="2880" w:hanging="358"/>
        <w:jc w:val="both"/>
        <w:textAlignment w:val="auto"/>
        <w:rPr>
          <w:rFonts w:eastAsia="Arial" w:cs="Arial"/>
          <w:color w:val="000000"/>
          <w:szCs w:val="20"/>
        </w:rPr>
      </w:pPr>
      <w:r w:rsidRPr="002B6384">
        <w:rPr>
          <w:rFonts w:eastAsia="Arial" w:cs="Arial"/>
          <w:color w:val="000000"/>
          <w:szCs w:val="20"/>
        </w:rPr>
        <w:t xml:space="preserve">a Relevant Tax Authority successfully challenging the Supplier under the General Anti-Abuse Rule or the Halifax Abuse Principle or under any tax rules or legislation that have an effect equivalent or </w:t>
      </w:r>
      <w:proofErr w:type="gramStart"/>
      <w:r w:rsidRPr="002B6384">
        <w:rPr>
          <w:rFonts w:eastAsia="Arial" w:cs="Arial"/>
          <w:color w:val="000000"/>
          <w:szCs w:val="20"/>
        </w:rPr>
        <w:t>similar to</w:t>
      </w:r>
      <w:proofErr w:type="gramEnd"/>
      <w:r w:rsidRPr="002B6384">
        <w:rPr>
          <w:rFonts w:eastAsia="Arial" w:cs="Arial"/>
          <w:color w:val="000000"/>
          <w:szCs w:val="20"/>
        </w:rPr>
        <w:t xml:space="preserve"> the General Anti-Abuse Rule or the Halifax Abuse Principle; </w:t>
      </w:r>
    </w:p>
    <w:p w14:paraId="36D8F7AE" w14:textId="77777777" w:rsidR="002B6384" w:rsidRPr="002B6384" w:rsidRDefault="002B6384" w:rsidP="00EA4286">
      <w:pPr>
        <w:widowControl/>
        <w:numPr>
          <w:ilvl w:val="3"/>
          <w:numId w:val="10"/>
        </w:numPr>
        <w:suppressAutoHyphens/>
        <w:overflowPunct/>
        <w:autoSpaceDE/>
        <w:autoSpaceDN/>
        <w:adjustRightInd/>
        <w:spacing w:after="200"/>
        <w:ind w:left="2880" w:hanging="358"/>
        <w:jc w:val="both"/>
        <w:textAlignment w:val="auto"/>
        <w:rPr>
          <w:rFonts w:eastAsia="Arial" w:cs="Arial"/>
          <w:color w:val="000000"/>
          <w:szCs w:val="20"/>
        </w:rPr>
      </w:pPr>
      <w:r w:rsidRPr="002B6384">
        <w:rPr>
          <w:rFonts w:eastAsia="Arial" w:cs="Arial"/>
          <w:color w:val="000000"/>
          <w:szCs w:val="20"/>
        </w:rPr>
        <w:t xml:space="preserve">the failure of an avoidance scheme which the Supplier was involved in, and which was, or should have been, notified to a Relevant Tax Authority under the DOTAS or any equivalent or similar regime; and/or </w:t>
      </w:r>
    </w:p>
    <w:p w14:paraId="3CA2A32E" w14:textId="77777777" w:rsidR="002B6384" w:rsidRPr="002B6384" w:rsidRDefault="002B6384" w:rsidP="00DA7839">
      <w:pPr>
        <w:widowControl/>
        <w:suppressAutoHyphens/>
        <w:overflowPunct/>
        <w:autoSpaceDE/>
        <w:adjustRightInd/>
        <w:ind w:left="1134"/>
        <w:jc w:val="both"/>
        <w:rPr>
          <w:rFonts w:ascii="Calibri" w:eastAsia="Calibri" w:hAnsi="Calibri" w:cs="Calibri"/>
          <w:color w:val="000000"/>
          <w:szCs w:val="20"/>
        </w:rPr>
      </w:pPr>
    </w:p>
    <w:p w14:paraId="465AF4CD" w14:textId="77777777" w:rsidR="00697C31" w:rsidRPr="00697C31" w:rsidRDefault="002B6384" w:rsidP="00EA4286">
      <w:pPr>
        <w:widowControl/>
        <w:numPr>
          <w:ilvl w:val="0"/>
          <w:numId w:val="11"/>
        </w:numPr>
        <w:suppressAutoHyphens/>
        <w:overflowPunct/>
        <w:autoSpaceDE/>
        <w:autoSpaceDN/>
        <w:adjustRightInd/>
        <w:spacing w:after="200"/>
        <w:ind w:hanging="358"/>
        <w:jc w:val="both"/>
        <w:textAlignment w:val="auto"/>
        <w:rPr>
          <w:rFonts w:eastAsia="Arial" w:cs="Arial"/>
          <w:color w:val="000000"/>
          <w:szCs w:val="20"/>
        </w:rPr>
      </w:pPr>
      <w:r w:rsidRPr="002B6384">
        <w:rPr>
          <w:rFonts w:eastAsia="Arial" w:cs="Arial"/>
          <w:color w:val="000000"/>
          <w:szCs w:val="20"/>
        </w:rPr>
        <w:t>the Supplier’s tax affairs give rise on or after 1 April 2013 to a criminal conviction in any jurisdiction for tax related offences which is not spent at the Effective Date or to a penalty for civil fraud or evasion</w:t>
      </w:r>
      <w:r w:rsidR="00697C31">
        <w:rPr>
          <w:rFonts w:eastAsia="Arial" w:cs="Arial"/>
          <w:color w:val="000000"/>
          <w:szCs w:val="20"/>
        </w:rPr>
        <w:t>.</w:t>
      </w:r>
    </w:p>
    <w:tbl>
      <w:tblPr>
        <w:tblW w:w="9180" w:type="dxa"/>
        <w:tblInd w:w="-228" w:type="dxa"/>
        <w:tblLayout w:type="fixed"/>
        <w:tblCellMar>
          <w:left w:w="10" w:type="dxa"/>
          <w:right w:w="10" w:type="dxa"/>
        </w:tblCellMar>
        <w:tblLook w:val="0000" w:firstRow="0" w:lastRow="0" w:firstColumn="0" w:lastColumn="0" w:noHBand="0" w:noVBand="0"/>
      </w:tblPr>
      <w:tblGrid>
        <w:gridCol w:w="959"/>
        <w:gridCol w:w="6662"/>
        <w:gridCol w:w="1559"/>
      </w:tblGrid>
      <w:tr w:rsidR="002B6384" w:rsidRPr="002B6384" w14:paraId="60FB4EAC" w14:textId="77777777" w:rsidTr="009C2CDB">
        <w:trPr>
          <w:trHeight w:val="8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6E3530"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lastRenderedPageBreak/>
              <w:t>From 1 April 2013 onwards, have any of your company’s tax returns submitted on or after 1 October 2012; (Please indicate your answer by marking ‘X’ in the relevant box).</w:t>
            </w:r>
          </w:p>
        </w:tc>
      </w:tr>
      <w:tr w:rsidR="002B6384" w:rsidRPr="002B6384" w14:paraId="69D2301F" w14:textId="77777777" w:rsidTr="009C2CDB">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4060D54" w14:textId="77777777" w:rsidR="002B6384" w:rsidRPr="002B6384" w:rsidRDefault="002B6384" w:rsidP="00DA7839">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.1</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73A1820" w14:textId="77777777" w:rsidR="002B6384" w:rsidRPr="002B6384" w:rsidRDefault="002B6384" w:rsidP="00DA7839">
            <w:pPr>
              <w:widowControl/>
              <w:suppressAutoHyphens/>
              <w:overflowPunct/>
              <w:autoSpaceDE/>
              <w:adjustRightInd/>
              <w:jc w:val="both"/>
              <w:rPr>
                <w:rFonts w:ascii="Calibri" w:eastAsia="Calibri" w:hAnsi="Calibri" w:cs="Calibri"/>
                <w:color w:val="000000"/>
                <w:szCs w:val="20"/>
              </w:rPr>
            </w:pPr>
            <w:r w:rsidRPr="002B6384">
              <w:rPr>
                <w:rFonts w:eastAsia="Arial" w:cs="Arial"/>
                <w:color w:val="000000"/>
                <w:szCs w:val="20"/>
              </w:rPr>
              <w:t>Given rise to a criminal conviction for tax related offences which is unspent, or to a civil penalty for fraud or evasion;</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2ABC377A" w14:textId="77777777" w:rsidR="002B6384" w:rsidRPr="002B6384" w:rsidRDefault="002B6384" w:rsidP="00DA7839">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11A91179" w14:textId="77777777" w:rsidR="002B6384" w:rsidRPr="002B6384" w:rsidRDefault="002B6384" w:rsidP="00DA7839">
            <w:pPr>
              <w:widowControl/>
              <w:tabs>
                <w:tab w:val="center" w:pos="4513"/>
                <w:tab w:val="right" w:pos="9026"/>
              </w:tabs>
              <w:suppressAutoHyphens/>
              <w:overflowPunct/>
              <w:autoSpaceDE/>
              <w:adjustRightInd/>
              <w:rPr>
                <w:rFonts w:ascii="Calibri" w:eastAsia="Calibri" w:hAnsi="Calibri" w:cs="Calibri"/>
                <w:color w:val="000000"/>
                <w:szCs w:val="20"/>
              </w:rPr>
            </w:pPr>
          </w:p>
          <w:p w14:paraId="1E1013BE" w14:textId="77777777" w:rsidR="002B6384" w:rsidRPr="002B6384" w:rsidRDefault="002B6384" w:rsidP="00DA7839">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14:paraId="0DC6B787" w14:textId="77777777" w:rsidTr="009C2CDB">
        <w:trPr>
          <w:trHeight w:val="1120"/>
        </w:trPr>
        <w:tc>
          <w:tcPr>
            <w:tcW w:w="9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3F8CF5C5" w14:textId="77777777" w:rsidR="002B6384" w:rsidRPr="002B6384" w:rsidRDefault="002B6384" w:rsidP="00DA7839">
            <w:pPr>
              <w:widowControl/>
              <w:suppressAutoHyphens/>
              <w:overflowPunct/>
              <w:autoSpaceDE/>
              <w:adjustRightInd/>
              <w:spacing w:before="120" w:after="120"/>
              <w:rPr>
                <w:rFonts w:ascii="Calibri" w:eastAsia="Calibri" w:hAnsi="Calibri" w:cs="Calibri"/>
                <w:color w:val="000000"/>
                <w:szCs w:val="20"/>
              </w:rPr>
            </w:pPr>
            <w:r>
              <w:rPr>
                <w:rFonts w:eastAsia="Arial" w:cs="Arial"/>
                <w:color w:val="000000"/>
                <w:szCs w:val="20"/>
              </w:rPr>
              <w:t>3</w:t>
            </w:r>
            <w:r w:rsidRPr="002B6384">
              <w:rPr>
                <w:rFonts w:eastAsia="Arial" w:cs="Arial"/>
                <w:color w:val="000000"/>
                <w:szCs w:val="20"/>
              </w:rPr>
              <w:t>.2</w:t>
            </w:r>
          </w:p>
        </w:tc>
        <w:tc>
          <w:tcPr>
            <w:tcW w:w="6662"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DBD5E9C" w14:textId="77777777" w:rsidR="002B6384" w:rsidRPr="002B6384" w:rsidRDefault="002B6384" w:rsidP="00DA7839">
            <w:pPr>
              <w:widowControl/>
              <w:suppressAutoHyphens/>
              <w:overflowPunct/>
              <w:autoSpaceDE/>
              <w:adjustRightInd/>
              <w:spacing w:after="200"/>
              <w:jc w:val="both"/>
              <w:rPr>
                <w:rFonts w:ascii="Calibri" w:eastAsia="Calibri" w:hAnsi="Calibri" w:cs="Calibri"/>
                <w:color w:val="000000"/>
                <w:szCs w:val="20"/>
              </w:rPr>
            </w:pPr>
            <w:r w:rsidRPr="002B6384">
              <w:rPr>
                <w:rFonts w:eastAsia="Arial" w:cs="Arial"/>
                <w:color w:val="000000"/>
                <w:szCs w:val="20"/>
              </w:rPr>
              <w:t>Been found to be incorrect as a result of:</w:t>
            </w:r>
          </w:p>
          <w:p w14:paraId="04E34A90" w14:textId="77777777" w:rsidR="002B6384" w:rsidRPr="002B6384" w:rsidRDefault="002B6384" w:rsidP="00EA4286">
            <w:pPr>
              <w:widowControl/>
              <w:numPr>
                <w:ilvl w:val="2"/>
                <w:numId w:val="12"/>
              </w:numPr>
              <w:suppressAutoHyphens/>
              <w:overflowPunct/>
              <w:autoSpaceDE/>
              <w:autoSpaceDN/>
              <w:adjustRightInd/>
              <w:spacing w:after="120"/>
              <w:ind w:left="742" w:hanging="281"/>
              <w:jc w:val="both"/>
              <w:textAlignment w:val="auto"/>
              <w:rPr>
                <w:rFonts w:ascii="Calibri" w:eastAsia="Calibri" w:hAnsi="Calibri" w:cs="Calibri"/>
                <w:color w:val="000000"/>
                <w:szCs w:val="20"/>
              </w:rPr>
            </w:pPr>
            <w:r w:rsidRPr="002B6384">
              <w:rPr>
                <w:rFonts w:eastAsia="Arial" w:cs="Arial"/>
                <w:color w:val="000000"/>
                <w:szCs w:val="20"/>
              </w:rPr>
              <w:t>HMRC successfully challenging it under the General Anti-Abuse Rule (GAAR) or the “Halifax” abuse principle; or</w:t>
            </w:r>
          </w:p>
          <w:p w14:paraId="1EB01928" w14:textId="77777777" w:rsidR="002B6384" w:rsidRPr="002B6384" w:rsidRDefault="002B6384" w:rsidP="00EA4286">
            <w:pPr>
              <w:widowControl/>
              <w:numPr>
                <w:ilvl w:val="2"/>
                <w:numId w:val="12"/>
              </w:numPr>
              <w:suppressAutoHyphens/>
              <w:overflowPunct/>
              <w:autoSpaceDE/>
              <w:autoSpaceDN/>
              <w:adjustRightInd/>
              <w:spacing w:after="120"/>
              <w:ind w:left="742" w:hanging="281"/>
              <w:jc w:val="both"/>
              <w:textAlignment w:val="auto"/>
              <w:rPr>
                <w:rFonts w:ascii="Calibri" w:eastAsia="Calibri" w:hAnsi="Calibri" w:cs="Calibri"/>
                <w:color w:val="000000"/>
                <w:szCs w:val="20"/>
              </w:rPr>
            </w:pPr>
            <w:r w:rsidRPr="002B6384">
              <w:rPr>
                <w:rFonts w:eastAsia="Arial" w:cs="Arial"/>
                <w:color w:val="000000"/>
                <w:szCs w:val="20"/>
              </w:rPr>
              <w:t xml:space="preserve">a tax authority in a jurisdiction in which the legal entity is established successfully challenging </w:t>
            </w:r>
            <w:proofErr w:type="gramStart"/>
            <w:r w:rsidRPr="002B6384">
              <w:rPr>
                <w:rFonts w:eastAsia="Arial" w:cs="Arial"/>
                <w:color w:val="000000"/>
                <w:szCs w:val="20"/>
              </w:rPr>
              <w:t>it  under</w:t>
            </w:r>
            <w:proofErr w:type="gramEnd"/>
            <w:r w:rsidRPr="002B6384">
              <w:rPr>
                <w:rFonts w:eastAsia="Arial" w:cs="Arial"/>
                <w:color w:val="000000"/>
                <w:szCs w:val="20"/>
              </w:rPr>
              <w:t xml:space="preserve"> any tax rules or legislation that have an effect equivalent or similar to the GAAR or the “Halifax” abuse principle; or</w:t>
            </w:r>
          </w:p>
          <w:p w14:paraId="64C1D8C3" w14:textId="77777777" w:rsidR="002B6384" w:rsidRPr="002B6384" w:rsidRDefault="002B6384" w:rsidP="00EA4286">
            <w:pPr>
              <w:widowControl/>
              <w:numPr>
                <w:ilvl w:val="2"/>
                <w:numId w:val="12"/>
              </w:numPr>
              <w:suppressAutoHyphens/>
              <w:overflowPunct/>
              <w:autoSpaceDE/>
              <w:autoSpaceDN/>
              <w:adjustRightInd/>
              <w:spacing w:after="120"/>
              <w:ind w:left="742" w:hanging="281"/>
              <w:jc w:val="both"/>
              <w:textAlignment w:val="auto"/>
              <w:rPr>
                <w:rFonts w:ascii="Calibri" w:eastAsia="Calibri" w:hAnsi="Calibri" w:cs="Calibri"/>
                <w:color w:val="000000"/>
                <w:szCs w:val="20"/>
              </w:rPr>
            </w:pPr>
            <w:r w:rsidRPr="002B6384">
              <w:rPr>
                <w:rFonts w:eastAsia="Arial" w:cs="Arial"/>
                <w:color w:val="000000"/>
                <w:szCs w:val="20"/>
              </w:rPr>
              <w:t xml:space="preserve">the failure of an avoidance scheme which the Supplier was involved in and which was, or should have been, notified under the Disclosure of Tax Avoidance Scheme (DOTAS) or any equivalent or similar regime in a jurisdiction in which the Supplier is established.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7BA5AABF" w14:textId="77777777" w:rsidR="002B6384" w:rsidRPr="002B6384" w:rsidRDefault="002B6384" w:rsidP="00DA7839">
            <w:pPr>
              <w:widowControl/>
              <w:tabs>
                <w:tab w:val="center" w:pos="4513"/>
                <w:tab w:val="right" w:pos="9026"/>
              </w:tabs>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Yes</w:t>
            </w:r>
          </w:p>
          <w:p w14:paraId="1D944F89" w14:textId="77777777" w:rsidR="002B6384" w:rsidRPr="002B6384" w:rsidRDefault="002B6384" w:rsidP="00DA7839">
            <w:pPr>
              <w:widowControl/>
              <w:tabs>
                <w:tab w:val="center" w:pos="4513"/>
                <w:tab w:val="right" w:pos="9026"/>
              </w:tabs>
              <w:suppressAutoHyphens/>
              <w:overflowPunct/>
              <w:autoSpaceDE/>
              <w:adjustRightInd/>
              <w:rPr>
                <w:rFonts w:ascii="Calibri" w:eastAsia="Calibri" w:hAnsi="Calibri" w:cs="Calibri"/>
                <w:color w:val="000000"/>
                <w:szCs w:val="20"/>
              </w:rPr>
            </w:pPr>
          </w:p>
          <w:p w14:paraId="5DBBEED8" w14:textId="77777777" w:rsidR="002B6384" w:rsidRPr="002B6384" w:rsidRDefault="002B6384" w:rsidP="00DA7839">
            <w:pPr>
              <w:widowControl/>
              <w:suppressAutoHyphens/>
              <w:overflowPunct/>
              <w:autoSpaceDE/>
              <w:adjustRightInd/>
              <w:rPr>
                <w:rFonts w:ascii="Calibri" w:eastAsia="Calibri" w:hAnsi="Calibri" w:cs="Calibri"/>
                <w:color w:val="000000"/>
                <w:szCs w:val="20"/>
              </w:rPr>
            </w:pPr>
            <w:r w:rsidRPr="002B6384">
              <w:rPr>
                <w:rFonts w:ascii="MS Gothic" w:eastAsia="MS Gothic" w:hAnsi="MS Gothic" w:cs="MS Gothic"/>
                <w:color w:val="000000"/>
                <w:szCs w:val="20"/>
              </w:rPr>
              <w:t>▢</w:t>
            </w:r>
            <w:r w:rsidRPr="002B6384">
              <w:rPr>
                <w:rFonts w:eastAsia="Arial" w:cs="Arial"/>
                <w:color w:val="000000"/>
                <w:szCs w:val="20"/>
              </w:rPr>
              <w:t xml:space="preserve">   No    </w:t>
            </w:r>
          </w:p>
        </w:tc>
      </w:tr>
      <w:tr w:rsidR="002B6384" w:rsidRPr="002B6384" w14:paraId="4F0A9D77" w14:textId="77777777" w:rsidTr="009C2CDB">
        <w:trPr>
          <w:trHeight w:val="1120"/>
        </w:trPr>
        <w:tc>
          <w:tcPr>
            <w:tcW w:w="918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p w14:paraId="1B7B6E77" w14:textId="77777777" w:rsidR="002B6384" w:rsidRPr="002B6384" w:rsidRDefault="002B6384" w:rsidP="00DA7839">
            <w:pPr>
              <w:widowControl/>
              <w:suppressAutoHyphens/>
              <w:overflowPunct/>
              <w:autoSpaceDE/>
              <w:adjustRightInd/>
              <w:spacing w:after="120"/>
              <w:jc w:val="both"/>
              <w:rPr>
                <w:rFonts w:ascii="Calibri" w:eastAsia="Calibri" w:hAnsi="Calibri" w:cs="Calibri"/>
                <w:color w:val="000000"/>
                <w:szCs w:val="20"/>
              </w:rPr>
            </w:pPr>
          </w:p>
          <w:p w14:paraId="69499C73" w14:textId="77777777" w:rsidR="002B6384" w:rsidRPr="002B6384" w:rsidRDefault="002B6384" w:rsidP="00DA7839">
            <w:pPr>
              <w:widowControl/>
              <w:suppressAutoHyphens/>
              <w:overflowPunct/>
              <w:autoSpaceDE/>
              <w:adjustRightInd/>
              <w:spacing w:after="120"/>
              <w:jc w:val="both"/>
              <w:rPr>
                <w:rFonts w:ascii="Calibri" w:eastAsia="Calibri" w:hAnsi="Calibri" w:cs="Calibri"/>
                <w:color w:val="000000"/>
                <w:szCs w:val="20"/>
              </w:rPr>
            </w:pPr>
            <w:r>
              <w:rPr>
                <w:rFonts w:eastAsia="Arial" w:cs="Arial"/>
                <w:color w:val="000000"/>
                <w:szCs w:val="20"/>
              </w:rPr>
              <w:t>If answering “Yes” to either 3.1 or 3</w:t>
            </w:r>
            <w:r w:rsidRPr="002B6384">
              <w:rPr>
                <w:rFonts w:eastAsia="Arial" w:cs="Arial"/>
                <w:color w:val="000000"/>
                <w:szCs w:val="20"/>
              </w:rPr>
              <w:t xml:space="preserve">.2 above, the Supplier may provide details of any mitigating factors that it considers relevant and that it wishes </w:t>
            </w:r>
            <w:r w:rsidR="005D7D23">
              <w:rPr>
                <w:rFonts w:eastAsia="Arial" w:cs="Arial"/>
                <w:color w:val="000000"/>
                <w:szCs w:val="20"/>
              </w:rPr>
              <w:t>SMC</w:t>
            </w:r>
            <w:r w:rsidRPr="002B6384">
              <w:rPr>
                <w:rFonts w:eastAsia="Arial" w:cs="Arial"/>
                <w:color w:val="000000"/>
                <w:szCs w:val="20"/>
              </w:rPr>
              <w:t xml:space="preserve"> to take into consideration.  This could include, for example: </w:t>
            </w:r>
          </w:p>
          <w:p w14:paraId="4803E415" w14:textId="77777777" w:rsidR="002B6384" w:rsidRPr="002B6384" w:rsidRDefault="002B6384" w:rsidP="00EA4286">
            <w:pPr>
              <w:widowControl/>
              <w:numPr>
                <w:ilvl w:val="1"/>
                <w:numId w:val="12"/>
              </w:numPr>
              <w:suppressAutoHyphens/>
              <w:overflowPunct/>
              <w:autoSpaceDE/>
              <w:autoSpaceDN/>
              <w:adjustRightInd/>
              <w:spacing w:after="120"/>
              <w:ind w:left="1134" w:hanging="423"/>
              <w:jc w:val="both"/>
              <w:textAlignment w:val="auto"/>
              <w:rPr>
                <w:rFonts w:ascii="Calibri" w:eastAsia="Calibri" w:hAnsi="Calibri" w:cs="Calibri"/>
                <w:color w:val="000000"/>
                <w:szCs w:val="20"/>
              </w:rPr>
            </w:pPr>
            <w:r w:rsidRPr="002B6384">
              <w:rPr>
                <w:rFonts w:eastAsia="Arial" w:cs="Arial"/>
                <w:color w:val="000000"/>
                <w:szCs w:val="20"/>
              </w:rPr>
              <w:t>Corrective action undertaken by the Supplier to date;</w:t>
            </w:r>
          </w:p>
          <w:p w14:paraId="5851E094" w14:textId="77777777" w:rsidR="002B6384" w:rsidRPr="002B6384" w:rsidRDefault="002B6384" w:rsidP="00EA4286">
            <w:pPr>
              <w:widowControl/>
              <w:numPr>
                <w:ilvl w:val="1"/>
                <w:numId w:val="12"/>
              </w:numPr>
              <w:suppressAutoHyphens/>
              <w:overflowPunct/>
              <w:autoSpaceDE/>
              <w:autoSpaceDN/>
              <w:adjustRightInd/>
              <w:spacing w:after="120"/>
              <w:ind w:left="1134" w:hanging="423"/>
              <w:jc w:val="both"/>
              <w:textAlignment w:val="auto"/>
              <w:rPr>
                <w:rFonts w:ascii="Calibri" w:eastAsia="Calibri" w:hAnsi="Calibri" w:cs="Calibri"/>
                <w:color w:val="000000"/>
                <w:szCs w:val="20"/>
              </w:rPr>
            </w:pPr>
            <w:r w:rsidRPr="002B6384">
              <w:rPr>
                <w:rFonts w:eastAsia="Arial" w:cs="Arial"/>
                <w:color w:val="000000"/>
                <w:szCs w:val="20"/>
              </w:rPr>
              <w:t xml:space="preserve">Planned corrective action to be taken; </w:t>
            </w:r>
          </w:p>
          <w:p w14:paraId="58217DA2" w14:textId="77777777" w:rsidR="002B6384" w:rsidRPr="002B6384" w:rsidRDefault="002B6384" w:rsidP="00EA4286">
            <w:pPr>
              <w:widowControl/>
              <w:numPr>
                <w:ilvl w:val="1"/>
                <w:numId w:val="12"/>
              </w:numPr>
              <w:suppressAutoHyphens/>
              <w:overflowPunct/>
              <w:autoSpaceDE/>
              <w:autoSpaceDN/>
              <w:adjustRightInd/>
              <w:spacing w:after="120"/>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personnel or ownership since the Occasion of Non-Compliance (OONC); or</w:t>
            </w:r>
          </w:p>
          <w:p w14:paraId="17DD90F6" w14:textId="77777777" w:rsidR="002B6384" w:rsidRPr="002B6384" w:rsidRDefault="002B6384" w:rsidP="00EA4286">
            <w:pPr>
              <w:widowControl/>
              <w:numPr>
                <w:ilvl w:val="1"/>
                <w:numId w:val="12"/>
              </w:numPr>
              <w:suppressAutoHyphens/>
              <w:overflowPunct/>
              <w:autoSpaceDE/>
              <w:autoSpaceDN/>
              <w:adjustRightInd/>
              <w:spacing w:after="120"/>
              <w:ind w:left="1134" w:hanging="423"/>
              <w:jc w:val="both"/>
              <w:textAlignment w:val="auto"/>
              <w:rPr>
                <w:rFonts w:ascii="Calibri" w:eastAsia="Calibri" w:hAnsi="Calibri" w:cs="Calibri"/>
                <w:color w:val="000000"/>
                <w:szCs w:val="20"/>
              </w:rPr>
            </w:pPr>
            <w:r w:rsidRPr="002B6384">
              <w:rPr>
                <w:rFonts w:eastAsia="Arial" w:cs="Arial"/>
                <w:color w:val="000000"/>
                <w:szCs w:val="20"/>
              </w:rPr>
              <w:t>Changes in financial, accounting, audit or management procedures since the OONC.</w:t>
            </w:r>
          </w:p>
          <w:p w14:paraId="2A0EF06E" w14:textId="77777777" w:rsidR="002B6384" w:rsidRPr="002B6384" w:rsidRDefault="002B6384" w:rsidP="00DA7839">
            <w:pPr>
              <w:widowControl/>
              <w:tabs>
                <w:tab w:val="left" w:pos="1134"/>
                <w:tab w:val="left" w:pos="1701"/>
              </w:tabs>
              <w:suppressAutoHyphens/>
              <w:overflowPunct/>
              <w:autoSpaceDE/>
              <w:adjustRightInd/>
              <w:jc w:val="both"/>
              <w:rPr>
                <w:rFonts w:ascii="Calibri" w:eastAsia="Calibri" w:hAnsi="Calibri" w:cs="Calibri"/>
                <w:color w:val="000000"/>
                <w:szCs w:val="20"/>
              </w:rPr>
            </w:pPr>
          </w:p>
          <w:p w14:paraId="1A2A753E" w14:textId="77777777" w:rsidR="002B6384" w:rsidRPr="002B6384" w:rsidRDefault="002B6384" w:rsidP="00DA7839">
            <w:pPr>
              <w:widowControl/>
              <w:suppressAutoHyphens/>
              <w:overflowPunct/>
              <w:autoSpaceDE/>
              <w:adjustRightInd/>
              <w:spacing w:after="200"/>
              <w:jc w:val="both"/>
              <w:rPr>
                <w:rFonts w:ascii="Calibri" w:eastAsia="Calibri" w:hAnsi="Calibri" w:cs="Calibri"/>
                <w:color w:val="000000"/>
                <w:szCs w:val="20"/>
              </w:rPr>
            </w:pPr>
            <w:r w:rsidRPr="002B6384">
              <w:rPr>
                <w:rFonts w:eastAsia="Arial" w:cs="Arial"/>
                <w:color w:val="000000"/>
                <w:szCs w:val="20"/>
              </w:rPr>
              <w:t xml:space="preserve">In order that </w:t>
            </w:r>
            <w:r w:rsidR="005D7D23">
              <w:rPr>
                <w:rFonts w:eastAsia="Arial" w:cs="Arial"/>
                <w:color w:val="000000"/>
                <w:szCs w:val="20"/>
              </w:rPr>
              <w:t>SMC</w:t>
            </w:r>
            <w:r w:rsidRPr="002B6384">
              <w:rPr>
                <w:rFonts w:eastAsia="Arial" w:cs="Arial"/>
                <w:color w:val="000000"/>
                <w:szCs w:val="20"/>
              </w:rPr>
              <w:t xml:space="preserve"> can consider any factors raised by the Supplier, the following information should be provided:</w:t>
            </w:r>
          </w:p>
          <w:p w14:paraId="69E097B9" w14:textId="77777777" w:rsidR="002B6384" w:rsidRPr="002B6384" w:rsidRDefault="002B6384" w:rsidP="00EA4286">
            <w:pPr>
              <w:widowControl/>
              <w:numPr>
                <w:ilvl w:val="0"/>
                <w:numId w:val="13"/>
              </w:numPr>
              <w:suppressAutoHyphens/>
              <w:overflowPunct/>
              <w:autoSpaceDE/>
              <w:autoSpaceDN/>
              <w:adjustRightInd/>
              <w:spacing w:after="120"/>
              <w:ind w:hanging="358"/>
              <w:jc w:val="both"/>
              <w:textAlignment w:val="auto"/>
              <w:rPr>
                <w:rFonts w:ascii="Calibri" w:eastAsia="Calibri" w:hAnsi="Calibri" w:cs="Calibri"/>
                <w:color w:val="000000"/>
                <w:szCs w:val="20"/>
              </w:rPr>
            </w:pPr>
            <w:r w:rsidRPr="002B6384">
              <w:rPr>
                <w:rFonts w:eastAsia="Arial" w:cs="Arial"/>
                <w:color w:val="000000"/>
                <w:szCs w:val="20"/>
              </w:rPr>
              <w:t xml:space="preserve">A brief description of the occasion, the tax to which it applied, and the type of “non-compliance” e.g. whether HMRC or the foreign tax authority has challenged pursuant to the GAAR, the “Halifax” abuse principle etc. </w:t>
            </w:r>
          </w:p>
          <w:p w14:paraId="682989FE" w14:textId="77777777" w:rsidR="002B6384" w:rsidRPr="002B6384" w:rsidRDefault="002B6384" w:rsidP="00EA4286">
            <w:pPr>
              <w:widowControl/>
              <w:numPr>
                <w:ilvl w:val="0"/>
                <w:numId w:val="13"/>
              </w:numPr>
              <w:suppressAutoHyphens/>
              <w:overflowPunct/>
              <w:autoSpaceDE/>
              <w:autoSpaceDN/>
              <w:adjustRightInd/>
              <w:spacing w:after="120"/>
              <w:ind w:hanging="358"/>
              <w:jc w:val="both"/>
              <w:textAlignment w:val="auto"/>
              <w:rPr>
                <w:rFonts w:ascii="Calibri" w:eastAsia="Calibri" w:hAnsi="Calibri" w:cs="Calibri"/>
                <w:color w:val="000000"/>
                <w:szCs w:val="20"/>
              </w:rPr>
            </w:pPr>
            <w:r w:rsidRPr="002B6384">
              <w:rPr>
                <w:rFonts w:eastAsia="Arial" w:cs="Arial"/>
                <w:color w:val="000000"/>
                <w:szCs w:val="20"/>
              </w:rPr>
              <w:t>Where the OONC relates to a DOTAS, the number of the relevant scheme.</w:t>
            </w:r>
          </w:p>
          <w:p w14:paraId="1C9FC3CC" w14:textId="77777777" w:rsidR="002B6384" w:rsidRPr="002B6384" w:rsidRDefault="002B6384" w:rsidP="00EA4286">
            <w:pPr>
              <w:widowControl/>
              <w:numPr>
                <w:ilvl w:val="0"/>
                <w:numId w:val="13"/>
              </w:numPr>
              <w:suppressAutoHyphens/>
              <w:overflowPunct/>
              <w:autoSpaceDE/>
              <w:autoSpaceDN/>
              <w:adjustRightInd/>
              <w:spacing w:after="120"/>
              <w:ind w:hanging="358"/>
              <w:jc w:val="both"/>
              <w:textAlignment w:val="auto"/>
              <w:rPr>
                <w:rFonts w:ascii="Calibri" w:eastAsia="Calibri" w:hAnsi="Calibri" w:cs="Calibri"/>
                <w:color w:val="000000"/>
                <w:szCs w:val="20"/>
              </w:rPr>
            </w:pPr>
            <w:r w:rsidRPr="002B6384">
              <w:rPr>
                <w:rFonts w:eastAsia="Arial" w:cs="Arial"/>
                <w:color w:val="000000"/>
                <w:szCs w:val="20"/>
              </w:rPr>
              <w:t xml:space="preserve">The date of the original “non-compliance” and the date of any judgement against the Supplier, or date when the return was amended. </w:t>
            </w:r>
          </w:p>
          <w:p w14:paraId="38271984" w14:textId="77777777" w:rsidR="002B6384" w:rsidRPr="00DA7839" w:rsidRDefault="002B6384" w:rsidP="00EA4286">
            <w:pPr>
              <w:widowControl/>
              <w:numPr>
                <w:ilvl w:val="0"/>
                <w:numId w:val="13"/>
              </w:numPr>
              <w:suppressAutoHyphens/>
              <w:overflowPunct/>
              <w:autoSpaceDE/>
              <w:autoSpaceDN/>
              <w:adjustRightInd/>
              <w:spacing w:after="120"/>
              <w:ind w:hanging="358"/>
              <w:jc w:val="both"/>
              <w:textAlignment w:val="auto"/>
              <w:rPr>
                <w:rFonts w:ascii="Calibri" w:eastAsia="Calibri" w:hAnsi="Calibri" w:cs="Calibri"/>
                <w:color w:val="000000"/>
                <w:szCs w:val="20"/>
              </w:rPr>
            </w:pPr>
            <w:r w:rsidRPr="002B6384">
              <w:rPr>
                <w:rFonts w:eastAsia="Arial" w:cs="Arial"/>
                <w:color w:val="000000"/>
                <w:szCs w:val="20"/>
              </w:rPr>
              <w:t>The level of any penalty or criminal conviction applied.</w:t>
            </w:r>
          </w:p>
        </w:tc>
      </w:tr>
    </w:tbl>
    <w:p w14:paraId="6547C721" w14:textId="77777777" w:rsidR="00582E47" w:rsidRPr="00855148" w:rsidRDefault="00665895" w:rsidP="00582E47">
      <w:pPr>
        <w:pStyle w:val="Numbered"/>
        <w:widowControl/>
        <w:rPr>
          <w:b/>
        </w:rPr>
      </w:pPr>
      <w:r>
        <w:br w:type="page"/>
      </w:r>
      <w:r w:rsidR="00855148" w:rsidRPr="00855148">
        <w:rPr>
          <w:b/>
        </w:rPr>
        <w:lastRenderedPageBreak/>
        <w:t xml:space="preserve">Defining Different Types of Organisations </w:t>
      </w:r>
    </w:p>
    <w:p w14:paraId="0DAF2238" w14:textId="77777777" w:rsidR="00B16236" w:rsidRPr="00855148" w:rsidRDefault="00AE08C6" w:rsidP="00AE08C6">
      <w:pPr>
        <w:rPr>
          <w:rFonts w:cs="Times New Roman"/>
          <w:lang w:eastAsia="en-US"/>
        </w:rPr>
      </w:pPr>
      <w:r w:rsidRPr="00855148">
        <w:rPr>
          <w:rFonts w:cs="Times New Roman"/>
          <w:lang w:eastAsia="en-US"/>
        </w:rPr>
        <w:t>The Department for Education is keen t</w:t>
      </w:r>
      <w:r w:rsidR="000C439B">
        <w:rPr>
          <w:rFonts w:cs="Times New Roman"/>
          <w:lang w:eastAsia="en-US"/>
        </w:rPr>
        <w:t>o collect information about SME</w:t>
      </w:r>
      <w:r w:rsidRPr="00855148">
        <w:rPr>
          <w:rFonts w:cs="Times New Roman"/>
          <w:lang w:eastAsia="en-US"/>
        </w:rPr>
        <w:t xml:space="preserve">s.  We are particularly interested in discovering how many SMEs apply for our contracts through the tendering process.  </w:t>
      </w:r>
      <w:r w:rsidR="00B16236" w:rsidRPr="00855148">
        <w:rPr>
          <w:rFonts w:cs="Times New Roman"/>
          <w:lang w:eastAsia="en-US"/>
        </w:rPr>
        <w:t xml:space="preserve">Completion of the table below </w:t>
      </w:r>
      <w:r w:rsidR="00B16236" w:rsidRPr="00855148">
        <w:t>is for departmental information purposes only and will have no effect on the evaluation process</w:t>
      </w:r>
      <w:r w:rsidR="008E4796" w:rsidRPr="00855148">
        <w:t xml:space="preserve"> outcomes. Government is committed to changing how it does business to make sure that small companies, charities and voluntary sector organisations are included and encouraged to compete for our contracts.</w:t>
      </w:r>
    </w:p>
    <w:p w14:paraId="12C08108" w14:textId="77777777" w:rsidR="00B16236" w:rsidRPr="00855148" w:rsidRDefault="00B16236" w:rsidP="00AE08C6">
      <w:pPr>
        <w:rPr>
          <w:rFonts w:cs="Times New Roman"/>
          <w:lang w:eastAsia="en-US"/>
        </w:rPr>
      </w:pPr>
    </w:p>
    <w:p w14:paraId="7E22DCB4" w14:textId="77777777" w:rsidR="00AE08C6" w:rsidRDefault="00AE08C6" w:rsidP="00AE08C6">
      <w:pPr>
        <w:rPr>
          <w:rFonts w:cs="Times New Roman"/>
          <w:lang w:eastAsia="en-US"/>
        </w:rPr>
      </w:pPr>
      <w:r w:rsidRPr="00855148">
        <w:rPr>
          <w:rFonts w:cs="Times New Roman"/>
          <w:lang w:eastAsia="en-US"/>
        </w:rPr>
        <w:t>A voluntary sector organisation may also be a SME</w:t>
      </w:r>
      <w:r w:rsidR="00665895" w:rsidRPr="00855148">
        <w:rPr>
          <w:rFonts w:cs="Times New Roman"/>
          <w:lang w:eastAsia="en-US"/>
        </w:rPr>
        <w:t xml:space="preserve"> if it has the same attributes.</w:t>
      </w:r>
      <w:r w:rsidRPr="00855148">
        <w:rPr>
          <w:rFonts w:cs="Times New Roman"/>
          <w:lang w:eastAsia="en-US"/>
        </w:rPr>
        <w:t xml:space="preserve"> </w:t>
      </w:r>
    </w:p>
    <w:p w14:paraId="1A79EC90" w14:textId="77777777" w:rsidR="001C69F7" w:rsidRPr="00855148" w:rsidRDefault="001C69F7" w:rsidP="00AE08C6">
      <w:pPr>
        <w:rPr>
          <w:rFonts w:cs="Times New Roman"/>
          <w:lang w:eastAsia="en-US"/>
        </w:rPr>
      </w:pPr>
    </w:p>
    <w:p w14:paraId="52751DDD" w14:textId="77777777" w:rsidR="00665895" w:rsidRPr="008B0D33" w:rsidRDefault="008E4796" w:rsidP="00665895">
      <w:pPr>
        <w:rPr>
          <w:rFonts w:cs="Arial"/>
          <w:sz w:val="20"/>
          <w:szCs w:val="20"/>
        </w:rPr>
      </w:pPr>
      <w:proofErr w:type="spellStart"/>
      <w:r w:rsidRPr="008B0D33">
        <w:rPr>
          <w:rFonts w:cs="Arial"/>
          <w:sz w:val="20"/>
          <w:szCs w:val="20"/>
        </w:rPr>
        <w:t>Defn</w:t>
      </w:r>
      <w:proofErr w:type="spellEnd"/>
      <w:r w:rsidRPr="008B0D33">
        <w:rPr>
          <w:rFonts w:cs="Arial"/>
          <w:sz w:val="20"/>
          <w:szCs w:val="20"/>
        </w:rPr>
        <w:t xml:space="preserve">; </w:t>
      </w:r>
      <w:r w:rsidR="00665895" w:rsidRPr="008B0D33">
        <w:rPr>
          <w:rFonts w:cs="Arial"/>
          <w:sz w:val="20"/>
          <w:szCs w:val="20"/>
        </w:rPr>
        <w:t xml:space="preserve">A SME must be autonomous, an EU Company not owned or controlled by a </w:t>
      </w:r>
      <w:proofErr w:type="spellStart"/>
      <w:proofErr w:type="gramStart"/>
      <w:r w:rsidR="00665895" w:rsidRPr="008B0D33">
        <w:rPr>
          <w:rFonts w:cs="Arial"/>
          <w:sz w:val="20"/>
          <w:szCs w:val="20"/>
        </w:rPr>
        <w:t>non EU</w:t>
      </w:r>
      <w:proofErr w:type="spellEnd"/>
      <w:proofErr w:type="gramEnd"/>
      <w:r w:rsidR="00665895" w:rsidRPr="008B0D33">
        <w:rPr>
          <w:rFonts w:cs="Arial"/>
          <w:sz w:val="20"/>
          <w:szCs w:val="20"/>
        </w:rPr>
        <w:t xml:space="preserve"> parent, and employ less than 250 staff and have sales below €50million</w:t>
      </w:r>
    </w:p>
    <w:p w14:paraId="7207810C" w14:textId="77777777" w:rsidR="00665895" w:rsidRPr="008B0D33" w:rsidRDefault="00665895" w:rsidP="00665895">
      <w:pPr>
        <w:rPr>
          <w:rFonts w:cs="Arial"/>
          <w:sz w:val="20"/>
          <w:szCs w:val="20"/>
        </w:rPr>
      </w:pPr>
      <w:r w:rsidRPr="008B0D33">
        <w:rPr>
          <w:rFonts w:cs="Arial"/>
          <w:i/>
          <w:iCs/>
          <w:sz w:val="20"/>
          <w:szCs w:val="20"/>
        </w:rPr>
        <w:t>Source -</w:t>
      </w:r>
      <w:r w:rsidRPr="008B0D33">
        <w:rPr>
          <w:rFonts w:cs="Arial"/>
          <w:iCs/>
          <w:sz w:val="20"/>
          <w:szCs w:val="20"/>
        </w:rPr>
        <w:t>h</w:t>
      </w:r>
      <w:r w:rsidRPr="008B0D33">
        <w:rPr>
          <w:rFonts w:cs="Arial"/>
          <w:sz w:val="20"/>
          <w:szCs w:val="20"/>
        </w:rPr>
        <w:t>ttp://ec.europa.eu/enterprise/policies/sme/files/sme_definition/sme_report_2009_en.pdf</w:t>
      </w:r>
    </w:p>
    <w:p w14:paraId="24EE9A6E" w14:textId="77777777" w:rsidR="00665895" w:rsidRPr="00855148" w:rsidRDefault="00665895" w:rsidP="00AE08C6">
      <w:pPr>
        <w:rPr>
          <w:rFonts w:cs="Times New Roman"/>
          <w:lang w:eastAsia="en-US"/>
        </w:rPr>
      </w:pPr>
    </w:p>
    <w:p w14:paraId="70A7252E" w14:textId="77777777" w:rsidR="00B0166C" w:rsidRDefault="00B0166C" w:rsidP="00AE08C6">
      <w:pPr>
        <w:rPr>
          <w:rFonts w:cs="Times New Roman"/>
          <w:lang w:eastAsia="en-US"/>
        </w:rPr>
      </w:pPr>
      <w:r>
        <w:rPr>
          <w:rFonts w:cs="Times New Roman"/>
          <w:lang w:eastAsia="en-US"/>
        </w:rPr>
        <w:t>P</w:t>
      </w:r>
      <w:r w:rsidR="00AE08C6" w:rsidRPr="00855148">
        <w:rPr>
          <w:rFonts w:cs="Times New Roman"/>
          <w:lang w:eastAsia="en-US"/>
        </w:rPr>
        <w:t>lease complete the table below</w:t>
      </w:r>
      <w:r w:rsidR="00665895" w:rsidRPr="00855148">
        <w:rPr>
          <w:rFonts w:cs="Times New Roman"/>
          <w:lang w:eastAsia="en-US"/>
        </w:rPr>
        <w:t xml:space="preserve">.  </w:t>
      </w:r>
    </w:p>
    <w:p w14:paraId="574A50E4" w14:textId="77777777" w:rsidR="00B304BF" w:rsidRPr="00855148" w:rsidRDefault="00B304BF" w:rsidP="00AE08C6">
      <w:pPr>
        <w:rPr>
          <w:rFonts w:cs="Times New Roman"/>
          <w:lang w:eastAsia="en-US"/>
        </w:rPr>
      </w:pPr>
    </w:p>
    <w:tbl>
      <w:tblPr>
        <w:tblW w:w="0" w:type="auto"/>
        <w:tblLayout w:type="fixed"/>
        <w:tblCellMar>
          <w:left w:w="0" w:type="dxa"/>
          <w:right w:w="0" w:type="dxa"/>
        </w:tblCellMar>
        <w:tblLook w:val="04A0" w:firstRow="1" w:lastRow="0" w:firstColumn="1" w:lastColumn="0" w:noHBand="0" w:noVBand="1"/>
      </w:tblPr>
      <w:tblGrid>
        <w:gridCol w:w="817"/>
        <w:gridCol w:w="4854"/>
        <w:gridCol w:w="3571"/>
      </w:tblGrid>
      <w:tr w:rsidR="001C69F7" w:rsidRPr="001C69F7" w14:paraId="0FC80CEE" w14:textId="77777777" w:rsidTr="008262B7">
        <w:tc>
          <w:tcPr>
            <w:tcW w:w="9242" w:type="dxa"/>
            <w:gridSpan w:val="3"/>
            <w:tcBorders>
              <w:top w:val="single" w:sz="8" w:space="0" w:color="auto"/>
              <w:left w:val="single" w:sz="8" w:space="0" w:color="auto"/>
              <w:bottom w:val="single" w:sz="8" w:space="0" w:color="auto"/>
              <w:right w:val="single" w:sz="8" w:space="0" w:color="auto"/>
            </w:tcBorders>
            <w:shd w:val="clear" w:color="auto" w:fill="104F75"/>
            <w:tcMar>
              <w:top w:w="0" w:type="dxa"/>
              <w:left w:w="108" w:type="dxa"/>
              <w:bottom w:w="0" w:type="dxa"/>
              <w:right w:w="108" w:type="dxa"/>
            </w:tcMar>
            <w:hideMark/>
          </w:tcPr>
          <w:p w14:paraId="590E2C58" w14:textId="77777777" w:rsidR="001C69F7" w:rsidRPr="008262B7" w:rsidRDefault="001C69F7" w:rsidP="001C69F7">
            <w:pPr>
              <w:pStyle w:val="Numbered"/>
              <w:jc w:val="center"/>
              <w:rPr>
                <w:b/>
                <w:bCs/>
                <w:color w:val="FFFFFF"/>
              </w:rPr>
            </w:pPr>
            <w:r w:rsidRPr="008262B7">
              <w:rPr>
                <w:b/>
                <w:bCs/>
                <w:color w:val="FFFFFF"/>
              </w:rPr>
              <w:t>Describe your Organisation</w:t>
            </w:r>
          </w:p>
        </w:tc>
      </w:tr>
      <w:tr w:rsidR="001C69F7" w:rsidRPr="001C69F7" w14:paraId="208DD3E8" w14:textId="77777777" w:rsidTr="008262B7">
        <w:tc>
          <w:tcPr>
            <w:tcW w:w="5671"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A4BB97" w14:textId="77777777" w:rsidR="001C69F7" w:rsidRPr="001C69F7" w:rsidRDefault="001C69F7" w:rsidP="001C69F7">
            <w:pPr>
              <w:pStyle w:val="Numbered"/>
              <w:rPr>
                <w:b/>
                <w:bCs/>
              </w:rPr>
            </w:pPr>
            <w:r w:rsidRPr="001C69F7">
              <w:rPr>
                <w:b/>
                <w:bCs/>
              </w:rPr>
              <w:t xml:space="preserve">What type of supply arrangement best describes you in relation to this </w:t>
            </w:r>
            <w:proofErr w:type="gramStart"/>
            <w:r w:rsidRPr="001C69F7">
              <w:rPr>
                <w:b/>
                <w:bCs/>
              </w:rPr>
              <w:t>bid.</w:t>
            </w:r>
            <w:proofErr w:type="gramEnd"/>
            <w:r w:rsidRPr="001C69F7">
              <w:rPr>
                <w:b/>
                <w:bCs/>
              </w:rPr>
              <w:t xml:space="preserve"> </w:t>
            </w:r>
          </w:p>
        </w:tc>
        <w:tc>
          <w:tcPr>
            <w:tcW w:w="3571" w:type="dxa"/>
            <w:tcBorders>
              <w:top w:val="nil"/>
              <w:left w:val="nil"/>
              <w:bottom w:val="single" w:sz="8" w:space="0" w:color="auto"/>
              <w:right w:val="single" w:sz="8" w:space="0" w:color="auto"/>
            </w:tcBorders>
            <w:tcMar>
              <w:top w:w="0" w:type="dxa"/>
              <w:left w:w="108" w:type="dxa"/>
              <w:bottom w:w="0" w:type="dxa"/>
              <w:right w:w="108" w:type="dxa"/>
            </w:tcMar>
            <w:hideMark/>
          </w:tcPr>
          <w:p w14:paraId="32BD3B04" w14:textId="77777777" w:rsidR="001C69F7" w:rsidRPr="001C69F7" w:rsidRDefault="001C69F7" w:rsidP="001C69F7">
            <w:pPr>
              <w:pStyle w:val="Numbered"/>
              <w:rPr>
                <w:b/>
                <w:bCs/>
              </w:rPr>
            </w:pPr>
            <w:r w:rsidRPr="001C69F7">
              <w:rPr>
                <w:b/>
                <w:bCs/>
              </w:rPr>
              <w:t xml:space="preserve">Delete as appropriate  </w:t>
            </w:r>
          </w:p>
        </w:tc>
      </w:tr>
      <w:tr w:rsidR="001C69F7" w:rsidRPr="001C69F7" w14:paraId="487793F4"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0741BF" w14:textId="77777777" w:rsidR="001C69F7" w:rsidRPr="001C69F7" w:rsidRDefault="001C69F7" w:rsidP="001C69F7">
            <w:pPr>
              <w:pStyle w:val="Numbered"/>
            </w:pPr>
            <w:r w:rsidRPr="001C69F7">
              <w:t>1.</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3D722DC1" w14:textId="77777777" w:rsidR="001C69F7" w:rsidRPr="001C69F7" w:rsidRDefault="001C69F7" w:rsidP="001C69F7">
            <w:pPr>
              <w:pStyle w:val="Numbered"/>
            </w:pPr>
            <w:r w:rsidRPr="001C69F7">
              <w:t xml:space="preserve">We are a SME by definition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60521835" w14:textId="77777777" w:rsidR="001C69F7" w:rsidRPr="001C69F7" w:rsidRDefault="001C69F7" w:rsidP="001C69F7">
            <w:pPr>
              <w:pStyle w:val="Numbered"/>
            </w:pPr>
            <w:r w:rsidRPr="001C69F7">
              <w:t xml:space="preserve">Yes/No </w:t>
            </w:r>
          </w:p>
        </w:tc>
      </w:tr>
      <w:tr w:rsidR="001C69F7" w:rsidRPr="001C69F7" w14:paraId="62024750" w14:textId="77777777" w:rsidTr="008262B7">
        <w:trPr>
          <w:trHeight w:val="600"/>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3C44B" w14:textId="77777777" w:rsidR="001C69F7" w:rsidRPr="001C69F7" w:rsidRDefault="001C69F7" w:rsidP="001C69F7">
            <w:pPr>
              <w:pStyle w:val="Numbered"/>
            </w:pPr>
            <w:r w:rsidRPr="001C69F7">
              <w:t>2.</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2A3E441E" w14:textId="77777777" w:rsidR="001C69F7" w:rsidRPr="001C69F7" w:rsidRDefault="001C69F7" w:rsidP="001C69F7">
            <w:pPr>
              <w:pStyle w:val="Numbered"/>
            </w:pPr>
            <w:r w:rsidRPr="001C69F7">
              <w:t>We are a Charity or Voluntary Sector Organisation (VSO)</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31C808B1" w14:textId="77777777" w:rsidR="001C69F7" w:rsidRPr="001C69F7" w:rsidRDefault="001C69F7" w:rsidP="001C69F7">
            <w:pPr>
              <w:pStyle w:val="Numbered"/>
            </w:pPr>
            <w:r w:rsidRPr="001C69F7">
              <w:t>Yes /No</w:t>
            </w:r>
          </w:p>
        </w:tc>
      </w:tr>
      <w:tr w:rsidR="001C69F7" w:rsidRPr="001C69F7" w14:paraId="3CCE6F08"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76C02D" w14:textId="77777777" w:rsidR="001C69F7" w:rsidRPr="001C69F7" w:rsidRDefault="001C69F7" w:rsidP="001C69F7">
            <w:pPr>
              <w:pStyle w:val="Numbered"/>
            </w:pPr>
            <w:r w:rsidRPr="001C69F7">
              <w:t>3.</w:t>
            </w:r>
          </w:p>
        </w:tc>
        <w:tc>
          <w:tcPr>
            <w:tcW w:w="4854" w:type="dxa"/>
            <w:tcBorders>
              <w:top w:val="nil"/>
              <w:left w:val="nil"/>
              <w:bottom w:val="single" w:sz="8" w:space="0" w:color="auto"/>
              <w:right w:val="single" w:sz="8" w:space="0" w:color="auto"/>
            </w:tcBorders>
            <w:tcMar>
              <w:top w:w="0" w:type="dxa"/>
              <w:left w:w="108" w:type="dxa"/>
              <w:bottom w:w="0" w:type="dxa"/>
              <w:right w:w="108" w:type="dxa"/>
            </w:tcMar>
          </w:tcPr>
          <w:p w14:paraId="42B73858" w14:textId="77777777" w:rsidR="001C69F7" w:rsidRPr="001C69F7" w:rsidRDefault="001C69F7" w:rsidP="001C69F7">
            <w:pPr>
              <w:pStyle w:val="Numbered"/>
            </w:pPr>
            <w:r w:rsidRPr="001C69F7">
              <w:t>We are a mutual organisation</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09F95214" w14:textId="77777777" w:rsidR="001C69F7" w:rsidRPr="001C69F7" w:rsidRDefault="001C69F7" w:rsidP="001C69F7">
            <w:pPr>
              <w:pStyle w:val="Numbered"/>
            </w:pPr>
            <w:r w:rsidRPr="001C69F7">
              <w:t>Yes/No</w:t>
            </w:r>
          </w:p>
        </w:tc>
      </w:tr>
      <w:tr w:rsidR="001C69F7" w:rsidRPr="001C69F7" w14:paraId="62DEA35D" w14:textId="77777777" w:rsidTr="008262B7">
        <w:trPr>
          <w:trHeight w:val="655"/>
        </w:trPr>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864E5C" w14:textId="77777777" w:rsidR="001C69F7" w:rsidRPr="001C69F7" w:rsidRDefault="001C69F7" w:rsidP="001C69F7">
            <w:pPr>
              <w:pStyle w:val="Numbered"/>
            </w:pPr>
            <w:r w:rsidRPr="001C69F7">
              <w:t>4.</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7979120F" w14:textId="77777777" w:rsidR="001C69F7" w:rsidRPr="001C69F7" w:rsidRDefault="001C69F7" w:rsidP="001C69F7">
            <w:pPr>
              <w:pStyle w:val="Numbered"/>
            </w:pPr>
            <w:r w:rsidRPr="001C69F7">
              <w:t xml:space="preserve">We anticipate using a supply chain to deliver against this service.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34B6C635" w14:textId="77777777" w:rsidR="001C69F7" w:rsidRPr="001C69F7" w:rsidRDefault="001C69F7" w:rsidP="001C69F7">
            <w:pPr>
              <w:pStyle w:val="Numbered"/>
            </w:pPr>
            <w:r w:rsidRPr="001C69F7">
              <w:t>Yes/No</w:t>
            </w:r>
          </w:p>
        </w:tc>
      </w:tr>
      <w:tr w:rsidR="001C69F7" w:rsidRPr="001C69F7" w14:paraId="616E1A48"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2E04E6" w14:textId="77777777" w:rsidR="001C69F7" w:rsidRPr="001C69F7" w:rsidRDefault="001C69F7" w:rsidP="001C69F7">
            <w:pPr>
              <w:pStyle w:val="Numbered"/>
            </w:pPr>
            <w:r w:rsidRPr="001C69F7">
              <w:t>5.</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0A7EA46E" w14:textId="77777777" w:rsidR="001C69F7" w:rsidRPr="001C69F7" w:rsidRDefault="001C69F7" w:rsidP="001C69F7">
            <w:pPr>
              <w:pStyle w:val="Numbered"/>
            </w:pPr>
            <w:r w:rsidRPr="001C69F7">
              <w:t xml:space="preserve">We estimate that that our service delivery will be i.e. 40% delivered by VSO’s/SMEs  </w:t>
            </w:r>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3776BE44" w14:textId="77777777" w:rsidR="001C69F7" w:rsidRPr="001C69F7" w:rsidRDefault="001C69F7" w:rsidP="001C69F7">
            <w:pPr>
              <w:pStyle w:val="Numbered"/>
            </w:pPr>
            <w:r w:rsidRPr="001C69F7">
              <w:t>…….%</w:t>
            </w:r>
          </w:p>
        </w:tc>
      </w:tr>
      <w:tr w:rsidR="001C69F7" w:rsidRPr="001C69F7" w14:paraId="30651B26"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7F3255B" w14:textId="77777777" w:rsidR="001C69F7" w:rsidRPr="001C69F7" w:rsidRDefault="001C69F7" w:rsidP="001C69F7">
            <w:pPr>
              <w:pStyle w:val="Numbered"/>
            </w:pPr>
            <w:r w:rsidRPr="001C69F7">
              <w:t>6.</w:t>
            </w:r>
          </w:p>
        </w:tc>
        <w:tc>
          <w:tcPr>
            <w:tcW w:w="8425"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ECEECC" w14:textId="77777777" w:rsidR="001C69F7" w:rsidRDefault="001C69F7" w:rsidP="001C69F7">
            <w:pPr>
              <w:pStyle w:val="Numbered"/>
            </w:pPr>
            <w:r w:rsidRPr="001C69F7">
              <w:t xml:space="preserve">If none of the above applies please describe the type of organisation you are: </w:t>
            </w:r>
          </w:p>
          <w:p w14:paraId="0D91E0AE" w14:textId="77777777" w:rsidR="001C69F7" w:rsidRPr="001C69F7" w:rsidRDefault="001C69F7" w:rsidP="001C69F7">
            <w:pPr>
              <w:pStyle w:val="Numbered"/>
            </w:pPr>
          </w:p>
        </w:tc>
      </w:tr>
      <w:tr w:rsidR="001C69F7" w:rsidRPr="001C69F7" w14:paraId="618B862A" w14:textId="77777777" w:rsidTr="008262B7">
        <w:tc>
          <w:tcPr>
            <w:tcW w:w="81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CF5387" w14:textId="77777777" w:rsidR="001C69F7" w:rsidRPr="001C69F7" w:rsidRDefault="001C69F7" w:rsidP="001C69F7">
            <w:pPr>
              <w:pStyle w:val="Numbered"/>
            </w:pPr>
            <w:r w:rsidRPr="001C69F7">
              <w:t>7.</w:t>
            </w:r>
          </w:p>
        </w:tc>
        <w:tc>
          <w:tcPr>
            <w:tcW w:w="4854" w:type="dxa"/>
            <w:tcBorders>
              <w:top w:val="nil"/>
              <w:left w:val="nil"/>
              <w:bottom w:val="single" w:sz="8" w:space="0" w:color="auto"/>
              <w:right w:val="single" w:sz="8" w:space="0" w:color="auto"/>
            </w:tcBorders>
            <w:tcMar>
              <w:top w:w="0" w:type="dxa"/>
              <w:left w:w="108" w:type="dxa"/>
              <w:bottom w:w="0" w:type="dxa"/>
              <w:right w:w="108" w:type="dxa"/>
            </w:tcMar>
            <w:hideMark/>
          </w:tcPr>
          <w:p w14:paraId="79C429E5" w14:textId="77777777" w:rsidR="001C69F7" w:rsidRDefault="001C69F7" w:rsidP="001C69F7">
            <w:pPr>
              <w:pStyle w:val="Numbered"/>
            </w:pPr>
            <w:r w:rsidRPr="001C69F7">
              <w:t xml:space="preserve">Please provide us with your Dun and Bradstreet Number, or a consortium, the lead bidder’s number. </w:t>
            </w:r>
          </w:p>
          <w:p w14:paraId="75883DCF" w14:textId="77777777" w:rsidR="001C69F7" w:rsidRPr="001C69F7" w:rsidRDefault="00301D6F" w:rsidP="001C69F7">
            <w:pPr>
              <w:pStyle w:val="Numbered"/>
            </w:pPr>
            <w:hyperlink r:id="rId25" w:history="1">
              <w:r w:rsidR="001C69F7" w:rsidRPr="001C69F7">
                <w:rPr>
                  <w:rStyle w:val="Hyperlink"/>
                </w:rPr>
                <w:t>http://www.dnb.co.uk/dandb-duns-number</w:t>
              </w:r>
            </w:hyperlink>
          </w:p>
        </w:tc>
        <w:tc>
          <w:tcPr>
            <w:tcW w:w="3571" w:type="dxa"/>
            <w:tcBorders>
              <w:top w:val="nil"/>
              <w:left w:val="nil"/>
              <w:bottom w:val="single" w:sz="8" w:space="0" w:color="auto"/>
              <w:right w:val="single" w:sz="8" w:space="0" w:color="auto"/>
            </w:tcBorders>
            <w:tcMar>
              <w:top w:w="0" w:type="dxa"/>
              <w:left w:w="108" w:type="dxa"/>
              <w:bottom w:w="0" w:type="dxa"/>
              <w:right w:w="108" w:type="dxa"/>
            </w:tcMar>
          </w:tcPr>
          <w:p w14:paraId="06B825B7" w14:textId="77777777" w:rsidR="001C69F7" w:rsidRPr="001C69F7" w:rsidRDefault="001C69F7" w:rsidP="001C69F7">
            <w:pPr>
              <w:pStyle w:val="Numbered"/>
            </w:pPr>
          </w:p>
        </w:tc>
      </w:tr>
    </w:tbl>
    <w:p w14:paraId="40A6EB4D" w14:textId="77777777" w:rsidR="00C852FC" w:rsidRDefault="00BC6008" w:rsidP="001C69F7">
      <w:pPr>
        <w:pStyle w:val="Numbered"/>
        <w:widowControl/>
      </w:pPr>
      <w:r>
        <w:t>The Department uses Dun</w:t>
      </w:r>
      <w:r w:rsidR="009605D2">
        <w:t xml:space="preserve"> and Bradstreet Numbers to manage its data around suppliers; we strongly encourage all suppliers to apply for a free Dunn’s numbers.   The link to apply is:-</w:t>
      </w:r>
      <w:hyperlink r:id="rId26" w:history="1">
        <w:r w:rsidR="00C852FC">
          <w:rPr>
            <w:rStyle w:val="Hyperlink"/>
          </w:rPr>
          <w:t>http://www.dnb.co.uk/myduns</w:t>
        </w:r>
      </w:hyperlink>
      <w:r w:rsidR="00C852FC">
        <w:t xml:space="preserve"> - </w:t>
      </w:r>
      <w:r w:rsidR="00C852FC" w:rsidRPr="00C852FC">
        <w:t xml:space="preserve">add ‘GOVERNMENT SUPPLIER’ as a reason for requesting </w:t>
      </w:r>
      <w:r w:rsidR="00C852FC">
        <w:t>your</w:t>
      </w:r>
      <w:r w:rsidR="00C852FC" w:rsidRPr="00C852FC">
        <w:t xml:space="preserve"> D&amp;B DUNS number.</w:t>
      </w:r>
    </w:p>
    <w:p w14:paraId="5E9DADFB" w14:textId="77777777" w:rsidR="00B304BF" w:rsidRDefault="009605D2" w:rsidP="00582E47">
      <w:pPr>
        <w:pStyle w:val="Numbered"/>
        <w:widowControl/>
      </w:pPr>
      <w:r>
        <w:t xml:space="preserve">Do not delay returning your </w:t>
      </w:r>
      <w:r w:rsidR="000C439B">
        <w:t>tender</w:t>
      </w:r>
      <w:r>
        <w:t xml:space="preserve"> i</w:t>
      </w:r>
      <w:r w:rsidR="00BC6008">
        <w:t>f you do not already have a Dun</w:t>
      </w:r>
      <w:r>
        <w:t xml:space="preserve"> and Bradstreet number, returning your </w:t>
      </w:r>
      <w:r w:rsidR="000C439B">
        <w:t>tender</w:t>
      </w:r>
      <w:r>
        <w:t xml:space="preserve"> within the deadline is </w:t>
      </w:r>
      <w:r w:rsidR="000F79A1">
        <w:t xml:space="preserve">more important. </w:t>
      </w:r>
    </w:p>
    <w:p w14:paraId="62285B2F" w14:textId="77777777" w:rsidR="00B0166C" w:rsidRDefault="00B0166C" w:rsidP="00582E47">
      <w:pPr>
        <w:pStyle w:val="Numbered"/>
        <w:widowControl/>
      </w:pPr>
    </w:p>
    <w:p w14:paraId="413F1495" w14:textId="77777777" w:rsidR="00582E47" w:rsidRDefault="00582E47" w:rsidP="00582E47">
      <w:pPr>
        <w:pStyle w:val="Numbered"/>
        <w:widowControl/>
      </w:pPr>
      <w:r>
        <w:t>Declarations</w:t>
      </w:r>
    </w:p>
    <w:p w14:paraId="2C05714C" w14:textId="77777777" w:rsidR="00582E47" w:rsidRDefault="00582E47" w:rsidP="00582E47">
      <w:pPr>
        <w:pStyle w:val="Numbered"/>
        <w:widowControl/>
        <w:ind w:left="720" w:hanging="720"/>
      </w:pPr>
      <w:r>
        <w:lastRenderedPageBreak/>
        <w:t>1</w:t>
      </w:r>
      <w:r>
        <w:tab/>
        <w:t xml:space="preserve">...............................................……………………………. (Name of tenderer) declares that we accept </w:t>
      </w:r>
      <w:r w:rsidR="005D7D23">
        <w:t>SMC</w:t>
      </w:r>
      <w:r>
        <w:t xml:space="preserve">’s standard terms and conditions included at Document </w:t>
      </w:r>
      <w:r w:rsidR="00377515">
        <w:t>4 Attachment 1</w:t>
      </w:r>
      <w:r>
        <w:t xml:space="preserve"> as the basis of the contract; and</w:t>
      </w:r>
    </w:p>
    <w:p w14:paraId="67D829ED" w14:textId="77777777" w:rsidR="009E2CDF" w:rsidRDefault="009E2CDF" w:rsidP="00582E47">
      <w:pPr>
        <w:pStyle w:val="Numbered"/>
        <w:widowControl/>
        <w:ind w:left="720" w:hanging="720"/>
      </w:pPr>
      <w:r>
        <w:t>2</w:t>
      </w:r>
      <w:r>
        <w:tab/>
      </w:r>
      <w:r w:rsidRPr="009E2CDF">
        <w:t xml:space="preserve">agree that </w:t>
      </w:r>
      <w:r w:rsidR="005D7D23">
        <w:t>SMC</w:t>
      </w:r>
      <w:r w:rsidRPr="009E2CDF">
        <w:t xml:space="preserve"> may disclose the Contractor's information/documentation (submitted to </w:t>
      </w:r>
      <w:r w:rsidR="005D7D23">
        <w:t>SMC</w:t>
      </w:r>
      <w:r w:rsidRPr="009E2CDF">
        <w:t xml:space="preserve"> during this Procurement) more widely within Government for the purpose of ensuring effective cross-Government procurement processes, including value for money and related purposes.</w:t>
      </w:r>
    </w:p>
    <w:p w14:paraId="6ACD6793" w14:textId="77777777" w:rsidR="00582E47" w:rsidRDefault="009E2CDF" w:rsidP="00582E47">
      <w:pPr>
        <w:pStyle w:val="Numbered"/>
        <w:widowControl/>
        <w:ind w:left="720" w:hanging="720"/>
      </w:pPr>
      <w:r>
        <w:t>3</w:t>
      </w:r>
      <w:r w:rsidR="00582E47">
        <w:tab/>
        <w:t>declare that we have not communicated to any other party the amount or approximate amount of the tender price other than in confidence and for the express purpose of obtaining insurances or a bond in connection with this tender.  The tender price has not been fixed nor adjusted in collusion with any third party, and</w:t>
      </w:r>
    </w:p>
    <w:p w14:paraId="650B639E" w14:textId="77777777" w:rsidR="00582E47" w:rsidRDefault="009E2CDF" w:rsidP="00582E47">
      <w:pPr>
        <w:pStyle w:val="Numbered"/>
        <w:widowControl/>
        <w:ind w:left="720" w:hanging="720"/>
      </w:pPr>
      <w:r>
        <w:t>4</w:t>
      </w:r>
      <w:r w:rsidR="00582E47">
        <w:tab/>
        <w:t xml:space="preserve">declare that the tender will remain valid until </w:t>
      </w:r>
      <w:r w:rsidR="00582E47">
        <w:rPr>
          <w:i/>
        </w:rPr>
        <w:t xml:space="preserve">(insert a date) </w:t>
      </w:r>
      <w:r w:rsidR="00582E47">
        <w:t xml:space="preserve">and that we are not entitled to claim from </w:t>
      </w:r>
      <w:r w:rsidR="005D7D23">
        <w:t>SMC</w:t>
      </w:r>
      <w:r w:rsidR="00582E47">
        <w:t xml:space="preserve"> any costs or expenses incurred in preparing the tender or subsequent negotiations </w:t>
      </w:r>
      <w:proofErr w:type="gramStart"/>
      <w:r w:rsidR="00582E47">
        <w:t>whether or not</w:t>
      </w:r>
      <w:proofErr w:type="gramEnd"/>
      <w:r w:rsidR="00582E47">
        <w:t xml:space="preserve"> the tender is successful.</w:t>
      </w:r>
    </w:p>
    <w:p w14:paraId="00F98FED" w14:textId="77777777" w:rsidR="00582E47" w:rsidRDefault="00582E47" w:rsidP="00582E47">
      <w:pPr>
        <w:pStyle w:val="Numbered"/>
        <w:widowControl/>
      </w:pPr>
    </w:p>
    <w:p w14:paraId="01131D51" w14:textId="77777777" w:rsidR="00582E47" w:rsidRDefault="00582E47" w:rsidP="00582E47">
      <w:pPr>
        <w:pStyle w:val="Numbered"/>
        <w:widowControl/>
        <w:ind w:left="720"/>
      </w:pPr>
      <w:r>
        <w:t>signed on behalf of the Tenderer ..................................................................................</w:t>
      </w:r>
    </w:p>
    <w:p w14:paraId="555851F7" w14:textId="77777777" w:rsidR="00582E47" w:rsidRPr="00E662AA" w:rsidRDefault="00582E47" w:rsidP="00582E47">
      <w:pPr>
        <w:spacing w:before="120" w:after="120"/>
        <w:rPr>
          <w:rFonts w:cs="Arial"/>
          <w:b/>
          <w:bCs/>
          <w:u w:val="single"/>
        </w:rPr>
      </w:pPr>
    </w:p>
    <w:p w14:paraId="384D5625" w14:textId="77777777" w:rsidR="00CA1712" w:rsidRDefault="00CA1712">
      <w:pPr>
        <w:pStyle w:val="Numbered"/>
        <w:widowControl/>
        <w:ind w:left="1440" w:hanging="720"/>
        <w:rPr>
          <w:color w:val="000000"/>
        </w:rPr>
      </w:pPr>
      <w:r>
        <w:rPr>
          <w:color w:val="000000"/>
        </w:rPr>
        <w:t>.</w:t>
      </w:r>
    </w:p>
    <w:p w14:paraId="09EE99C5" w14:textId="77777777" w:rsidR="00CA1712" w:rsidRDefault="00CA1712">
      <w:pPr>
        <w:pStyle w:val="Numbered"/>
        <w:widowControl/>
      </w:pPr>
    </w:p>
    <w:p w14:paraId="75C8DB15" w14:textId="77777777" w:rsidR="004C4417" w:rsidRDefault="00B32E75" w:rsidP="00CD2626">
      <w:pPr>
        <w:widowControl/>
        <w:overflowPunct/>
        <w:spacing w:after="200"/>
        <w:jc w:val="center"/>
        <w:textAlignment w:val="auto"/>
        <w:sectPr w:rsidR="004C4417" w:rsidSect="004D1053">
          <w:headerReference w:type="even" r:id="rId27"/>
          <w:headerReference w:type="default" r:id="rId28"/>
          <w:footerReference w:type="even" r:id="rId29"/>
          <w:footerReference w:type="default" r:id="rId30"/>
          <w:headerReference w:type="first" r:id="rId31"/>
          <w:footerReference w:type="first" r:id="rId32"/>
          <w:pgSz w:w="11909" w:h="16834" w:code="9"/>
          <w:pgMar w:top="1080" w:right="1844" w:bottom="1440" w:left="1440" w:header="706" w:footer="706" w:gutter="0"/>
          <w:cols w:space="720"/>
          <w:docGrid w:linePitch="299"/>
        </w:sectPr>
      </w:pPr>
      <w:r>
        <w:br w:type="page"/>
      </w:r>
    </w:p>
    <w:p w14:paraId="218DC341" w14:textId="30DEFE27" w:rsidR="00CD2626" w:rsidRPr="009A47B9" w:rsidRDefault="00CD2626" w:rsidP="00CD2626">
      <w:pPr>
        <w:widowControl/>
        <w:overflowPunct/>
        <w:spacing w:after="200"/>
        <w:jc w:val="center"/>
        <w:textAlignment w:val="auto"/>
        <w:rPr>
          <w:b/>
        </w:rPr>
      </w:pPr>
      <w:bookmarkStart w:id="47" w:name="Attachment1"/>
      <w:bookmarkEnd w:id="47"/>
      <w:r w:rsidRPr="009A47B9">
        <w:rPr>
          <w:b/>
        </w:rPr>
        <w:lastRenderedPageBreak/>
        <w:t>Attachment 1</w:t>
      </w:r>
    </w:p>
    <w:p w14:paraId="5688604A" w14:textId="77777777" w:rsidR="00CD2626" w:rsidRDefault="00CD2626" w:rsidP="00CD2626">
      <w:pPr>
        <w:widowControl/>
        <w:overflowPunct/>
        <w:spacing w:after="200"/>
        <w:jc w:val="center"/>
        <w:textAlignment w:val="auto"/>
        <w:rPr>
          <w:b/>
        </w:rPr>
      </w:pPr>
      <w:r>
        <w:rPr>
          <w:b/>
        </w:rPr>
        <w:t>Terms and Conditions</w:t>
      </w:r>
    </w:p>
    <w:p w14:paraId="5F1BCC37" w14:textId="77777777" w:rsidR="00301D6F" w:rsidRDefault="00301D6F" w:rsidP="008D0145">
      <w:pPr>
        <w:widowControl/>
        <w:overflowPunct/>
        <w:spacing w:after="200"/>
        <w:jc w:val="center"/>
        <w:textAlignment w:val="auto"/>
        <w:rPr>
          <w:b/>
        </w:rPr>
      </w:pPr>
    </w:p>
    <w:p w14:paraId="5FC9F8D0" w14:textId="76550886" w:rsidR="00301D6F" w:rsidRDefault="00301D6F" w:rsidP="008D0145">
      <w:pPr>
        <w:widowControl/>
        <w:overflowPunct/>
        <w:spacing w:after="200"/>
        <w:jc w:val="center"/>
        <w:textAlignment w:val="auto"/>
        <w:rPr>
          <w:b/>
        </w:rPr>
        <w:sectPr w:rsidR="00301D6F" w:rsidSect="004D1053">
          <w:headerReference w:type="default" r:id="rId33"/>
          <w:pgSz w:w="11909" w:h="16834" w:code="9"/>
          <w:pgMar w:top="1080" w:right="1844" w:bottom="1440" w:left="1440" w:header="706" w:footer="706" w:gutter="0"/>
          <w:cols w:space="720"/>
          <w:docGrid w:linePitch="299"/>
        </w:sectPr>
      </w:pPr>
      <w:r>
        <w:rPr>
          <w:b/>
        </w:rPr>
        <w:object w:dxaOrig="1487" w:dyaOrig="993" w14:anchorId="3734F5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25pt;height:49.5pt" o:ole="">
            <v:imagedata r:id="rId34" o:title=""/>
          </v:shape>
          <o:OLEObject Type="Embed" ProgID="Package" ShapeID="_x0000_i1025" DrawAspect="Icon" ObjectID="_1615982242" r:id="rId35"/>
        </w:object>
      </w:r>
    </w:p>
    <w:p w14:paraId="430EBC9E" w14:textId="344896B2" w:rsidR="00C607F2" w:rsidRDefault="00C607F2" w:rsidP="008D0145">
      <w:pPr>
        <w:widowControl/>
        <w:overflowPunct/>
        <w:spacing w:after="200"/>
        <w:jc w:val="center"/>
        <w:textAlignment w:val="auto"/>
        <w:rPr>
          <w:b/>
        </w:rPr>
      </w:pPr>
      <w:r w:rsidRPr="009A47B9">
        <w:rPr>
          <w:b/>
        </w:rPr>
        <w:lastRenderedPageBreak/>
        <w:t>Attachment 2</w:t>
      </w:r>
    </w:p>
    <w:p w14:paraId="2766CD8B" w14:textId="77777777" w:rsidR="00C607F2" w:rsidRDefault="00C607F2" w:rsidP="008D0145">
      <w:pPr>
        <w:widowControl/>
        <w:overflowPunct/>
        <w:spacing w:after="200"/>
        <w:jc w:val="center"/>
        <w:textAlignment w:val="auto"/>
        <w:rPr>
          <w:b/>
        </w:rPr>
      </w:pPr>
      <w:bookmarkStart w:id="48" w:name="Attachment2"/>
      <w:bookmarkEnd w:id="48"/>
      <w:r>
        <w:rPr>
          <w:b/>
        </w:rPr>
        <w:t>Evaluation Criteria</w:t>
      </w:r>
    </w:p>
    <w:p w14:paraId="2DE826AA" w14:textId="77777777" w:rsidR="00DA7839" w:rsidRDefault="00686C76" w:rsidP="008D0145">
      <w:pPr>
        <w:widowControl/>
        <w:overflowPunct/>
        <w:spacing w:after="200"/>
        <w:jc w:val="center"/>
        <w:textAlignment w:val="auto"/>
        <w:rPr>
          <w:b/>
        </w:rPr>
      </w:pPr>
      <w:r>
        <w:rPr>
          <w:b/>
        </w:rPr>
        <w:t>Set out in Document 4, Section 2</w:t>
      </w:r>
    </w:p>
    <w:p w14:paraId="3E200114" w14:textId="77777777" w:rsidR="008D0145" w:rsidRPr="00697C31" w:rsidRDefault="00C607F2" w:rsidP="004D1053">
      <w:pPr>
        <w:widowControl/>
        <w:overflowPunct/>
        <w:spacing w:after="200"/>
        <w:jc w:val="center"/>
        <w:textAlignment w:val="auto"/>
        <w:rPr>
          <w:rFonts w:cs="Arial"/>
          <w:b/>
        </w:rPr>
      </w:pPr>
      <w:r>
        <w:br w:type="page"/>
      </w:r>
      <w:bookmarkStart w:id="49" w:name="Attachment3"/>
      <w:bookmarkEnd w:id="49"/>
      <w:r w:rsidR="008D0145" w:rsidRPr="00697C31">
        <w:rPr>
          <w:rFonts w:cs="Arial"/>
          <w:b/>
        </w:rPr>
        <w:lastRenderedPageBreak/>
        <w:t xml:space="preserve">Attachment </w:t>
      </w:r>
      <w:r w:rsidRPr="00697C31">
        <w:rPr>
          <w:rFonts w:cs="Arial"/>
          <w:b/>
        </w:rPr>
        <w:t>3</w:t>
      </w:r>
    </w:p>
    <w:p w14:paraId="6CD63461" w14:textId="77777777" w:rsidR="006458C4" w:rsidRPr="00697C31" w:rsidRDefault="006458C4" w:rsidP="00174D29">
      <w:pPr>
        <w:jc w:val="center"/>
        <w:rPr>
          <w:rFonts w:cs="Arial"/>
          <w:b/>
        </w:rPr>
      </w:pPr>
    </w:p>
    <w:p w14:paraId="70A45E74" w14:textId="77777777" w:rsidR="006458C4" w:rsidRPr="00697C31" w:rsidRDefault="006458C4" w:rsidP="00174D29">
      <w:pPr>
        <w:jc w:val="center"/>
        <w:rPr>
          <w:rFonts w:cs="Arial"/>
        </w:rPr>
      </w:pPr>
      <w:r w:rsidRPr="00697C31">
        <w:rPr>
          <w:rFonts w:cs="Arial"/>
          <w:b/>
        </w:rPr>
        <w:t xml:space="preserve">Departmental Security </w:t>
      </w:r>
      <w:r w:rsidR="00095D07" w:rsidRPr="00697C31">
        <w:rPr>
          <w:rFonts w:cs="Arial"/>
          <w:b/>
        </w:rPr>
        <w:t>Standards</w:t>
      </w:r>
    </w:p>
    <w:p w14:paraId="6CC873A9" w14:textId="77777777" w:rsidR="006458C4" w:rsidRPr="00697C31" w:rsidRDefault="006458C4" w:rsidP="00174D29">
      <w:pPr>
        <w:jc w:val="center"/>
        <w:rPr>
          <w:rFonts w:cs="Arial"/>
        </w:rPr>
      </w:pPr>
    </w:p>
    <w:p w14:paraId="610A0D68" w14:textId="77777777" w:rsidR="001209F1" w:rsidRPr="00B37CAF" w:rsidRDefault="000C2F06" w:rsidP="00EA4286">
      <w:pPr>
        <w:widowControl/>
        <w:numPr>
          <w:ilvl w:val="0"/>
          <w:numId w:val="14"/>
        </w:num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b/>
          <w:color w:val="000000"/>
        </w:rPr>
      </w:pPr>
      <w:r w:rsidRPr="00B37CAF" w:rsidDel="000C2F06">
        <w:rPr>
          <w:rFonts w:cs="Arial"/>
          <w:b/>
          <w:i/>
          <w:color w:val="000000"/>
        </w:rPr>
        <w:t xml:space="preserve"> </w:t>
      </w:r>
      <w:r w:rsidR="001209F1" w:rsidRPr="00B37CAF">
        <w:rPr>
          <w:rFonts w:cs="Arial"/>
          <w:b/>
          <w:color w:val="000000"/>
        </w:rPr>
        <w:t>Departmental Security Standards for Business Services and ICT Contracts</w:t>
      </w:r>
    </w:p>
    <w:p w14:paraId="59B14817"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rPr>
          <w:rFonts w:cs="Times New Roman"/>
          <w:color w:val="00000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4"/>
        <w:gridCol w:w="5321"/>
      </w:tblGrid>
      <w:tr w:rsidR="001209F1" w:rsidRPr="001209F1" w14:paraId="4C8FD3F3" w14:textId="77777777" w:rsidTr="00964936">
        <w:trPr>
          <w:trHeight w:val="850"/>
        </w:trPr>
        <w:tc>
          <w:tcPr>
            <w:tcW w:w="4644" w:type="dxa"/>
            <w:shd w:val="clear" w:color="auto" w:fill="auto"/>
          </w:tcPr>
          <w:p w14:paraId="0127771F"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1209F1">
              <w:rPr>
                <w:rFonts w:cs="Arial"/>
                <w:color w:val="000000"/>
              </w:rPr>
              <w:t>“BPSS”</w:t>
            </w:r>
          </w:p>
          <w:p w14:paraId="62118ECA"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ind w:left="720" w:hanging="720"/>
              <w:rPr>
                <w:rFonts w:cs="Arial"/>
                <w:color w:val="000000"/>
              </w:rPr>
            </w:pPr>
            <w:r w:rsidRPr="001209F1">
              <w:rPr>
                <w:rFonts w:cs="Arial"/>
                <w:color w:val="000000"/>
              </w:rPr>
              <w:t>“Baseline Personnel Security Standard”</w:t>
            </w:r>
          </w:p>
        </w:tc>
        <w:tc>
          <w:tcPr>
            <w:tcW w:w="5321" w:type="dxa"/>
            <w:shd w:val="clear" w:color="auto" w:fill="auto"/>
          </w:tcPr>
          <w:p w14:paraId="569FD3DE" w14:textId="77777777" w:rsidR="001209F1" w:rsidRPr="001209F1" w:rsidRDefault="001209F1" w:rsidP="001209F1">
            <w:pPr>
              <w:widowControl/>
              <w:rPr>
                <w:rFonts w:cs="Arial"/>
                <w:color w:val="000000"/>
              </w:rPr>
            </w:pPr>
            <w:r w:rsidRPr="001209F1">
              <w:rPr>
                <w:rFonts w:cs="Arial"/>
                <w:color w:val="000000"/>
              </w:rPr>
              <w:t xml:space="preserve">a level of security clearance described as pre-employment checks in the National Vetting Policy. Further information can be found at: </w:t>
            </w:r>
            <w:hyperlink r:id="rId36" w:history="1">
              <w:r w:rsidRPr="001209F1">
                <w:rPr>
                  <w:rFonts w:cs="Arial"/>
                  <w:color w:val="0000FF"/>
                  <w:u w:val="single"/>
                </w:rPr>
                <w:t>https://www.gov.uk/government/publications/government-baseline-personnel-security-standard</w:t>
              </w:r>
            </w:hyperlink>
          </w:p>
        </w:tc>
      </w:tr>
      <w:tr w:rsidR="001209F1" w:rsidRPr="001209F1" w14:paraId="608C06AB" w14:textId="77777777" w:rsidTr="00964936">
        <w:trPr>
          <w:trHeight w:val="2268"/>
        </w:trPr>
        <w:tc>
          <w:tcPr>
            <w:tcW w:w="4644" w:type="dxa"/>
            <w:shd w:val="clear" w:color="auto" w:fill="auto"/>
          </w:tcPr>
          <w:p w14:paraId="44C2E51F"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“CCSC”</w:t>
            </w:r>
          </w:p>
          <w:p w14:paraId="03DCB9EC"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“Certified Cyber Security Consultancy”</w:t>
            </w:r>
          </w:p>
        </w:tc>
        <w:tc>
          <w:tcPr>
            <w:tcW w:w="5321" w:type="dxa"/>
            <w:shd w:val="clear" w:color="auto" w:fill="auto"/>
          </w:tcPr>
          <w:p w14:paraId="45D5362D"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is NCSC's approach to assessing the services provided by consultancies and confirming that they meet NCSC's standards. This approach builds on the strength of CLAS and certifies the competence of suppliers to deliver a wide and complex range of cyber security consultancy services to both the public and private sectors. See website:</w:t>
            </w:r>
          </w:p>
          <w:p w14:paraId="1F8C32F8" w14:textId="77777777" w:rsidR="001209F1" w:rsidRPr="001209F1" w:rsidRDefault="00301D6F"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37" w:history="1">
              <w:r w:rsidR="001209F1" w:rsidRPr="001209F1">
                <w:rPr>
                  <w:rFonts w:cs="Arial"/>
                  <w:color w:val="0000FF"/>
                  <w:u w:val="single"/>
                </w:rPr>
                <w:t>https://www.ncsc.gov.uk/scheme/certified-cyber-consultancy</w:t>
              </w:r>
            </w:hyperlink>
            <w:r w:rsidR="001209F1" w:rsidRPr="001209F1">
              <w:rPr>
                <w:rFonts w:cs="Arial"/>
                <w:color w:val="000000"/>
              </w:rPr>
              <w:t xml:space="preserve"> </w:t>
            </w:r>
          </w:p>
        </w:tc>
      </w:tr>
      <w:tr w:rsidR="001209F1" w:rsidRPr="001209F1" w14:paraId="64D3B3DA" w14:textId="77777777" w:rsidTr="00964936">
        <w:trPr>
          <w:trHeight w:val="1644"/>
        </w:trPr>
        <w:tc>
          <w:tcPr>
            <w:tcW w:w="4644" w:type="dxa"/>
            <w:shd w:val="clear" w:color="auto" w:fill="auto"/>
          </w:tcPr>
          <w:p w14:paraId="76E8BF43"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“CCP”</w:t>
            </w:r>
          </w:p>
          <w:p w14:paraId="59FE51D1"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“Certified Professional”</w:t>
            </w:r>
          </w:p>
          <w:p w14:paraId="0C95AF19"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shd w:val="clear" w:color="auto" w:fill="auto"/>
          </w:tcPr>
          <w:p w14:paraId="656B0255"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is a NCSC scheme in consultation with government, industry and academia to address the growing need for specialists in the cyber security profession and are building a community of recognised professionals in both the UK public and private </w:t>
            </w:r>
            <w:proofErr w:type="gramStart"/>
            <w:r w:rsidRPr="001209F1">
              <w:rPr>
                <w:rFonts w:cs="Arial"/>
                <w:color w:val="000000"/>
              </w:rPr>
              <w:t>sectors.</w:t>
            </w:r>
            <w:proofErr w:type="gramEnd"/>
            <w:r w:rsidRPr="001209F1">
              <w:rPr>
                <w:rFonts w:cs="Arial"/>
                <w:color w:val="000000"/>
              </w:rPr>
              <w:t xml:space="preserve"> See website:</w:t>
            </w:r>
          </w:p>
          <w:p w14:paraId="5545762E" w14:textId="77777777" w:rsidR="001209F1" w:rsidRPr="001209F1" w:rsidRDefault="00301D6F"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38" w:history="1">
              <w:r w:rsidR="001209F1" w:rsidRPr="001209F1">
                <w:rPr>
                  <w:rFonts w:cs="Arial"/>
                  <w:color w:val="0000FF"/>
                  <w:u w:val="single"/>
                </w:rPr>
                <w:t>https://www.ncsc.gov.uk/scheme/certified-professional</w:t>
              </w:r>
            </w:hyperlink>
            <w:r w:rsidR="001209F1" w:rsidRPr="001209F1">
              <w:rPr>
                <w:rFonts w:cs="Arial"/>
                <w:color w:val="000000"/>
              </w:rPr>
              <w:t xml:space="preserve"> </w:t>
            </w:r>
          </w:p>
        </w:tc>
      </w:tr>
      <w:tr w:rsidR="001209F1" w:rsidRPr="001209F1" w14:paraId="454CB771" w14:textId="77777777" w:rsidTr="00964936">
        <w:trPr>
          <w:trHeight w:val="1294"/>
        </w:trPr>
        <w:tc>
          <w:tcPr>
            <w:tcW w:w="4644" w:type="dxa"/>
            <w:shd w:val="clear" w:color="auto" w:fill="auto"/>
          </w:tcPr>
          <w:p w14:paraId="28A796AD"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w:t>
            </w:r>
          </w:p>
          <w:p w14:paraId="404C3494"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“Common Criteria”</w:t>
            </w:r>
          </w:p>
          <w:p w14:paraId="4689E16A"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shd w:val="clear" w:color="auto" w:fill="auto"/>
          </w:tcPr>
          <w:p w14:paraId="32997C92"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the Common Criteria scheme provides assurance that a developer’s claims about the security features of their product are valid and have been independently tested against recognised criteria. </w:t>
            </w:r>
          </w:p>
        </w:tc>
      </w:tr>
      <w:tr w:rsidR="001209F1" w:rsidRPr="001209F1" w14:paraId="42AB580D" w14:textId="77777777" w:rsidTr="00964936">
        <w:trPr>
          <w:trHeight w:val="1417"/>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2B26520E"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“CPA”</w:t>
            </w:r>
          </w:p>
          <w:p w14:paraId="78269B0E"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“Commercial Product Assurance”</w:t>
            </w:r>
          </w:p>
          <w:p w14:paraId="7C175C39"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[formerly called “CESG Product Assurance”]</w:t>
            </w:r>
          </w:p>
          <w:p w14:paraId="2739E587" w14:textId="77777777" w:rsidR="001209F1" w:rsidRPr="001209F1" w:rsidRDefault="001209F1" w:rsidP="001209F1">
            <w:pPr>
              <w:widowControl/>
              <w:tabs>
                <w:tab w:val="left" w:pos="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73273864"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is an ‘information assurance scheme’ which evaluates commercial off the shelf (COTS) products and their developers against published security and development standards. These CPA certified products can be used by government, the wider public sector and industry. See website: </w:t>
            </w:r>
            <w:hyperlink r:id="rId39" w:history="1">
              <w:r w:rsidRPr="001209F1">
                <w:rPr>
                  <w:rFonts w:cs="Arial"/>
                  <w:color w:val="0000FF"/>
                  <w:u w:val="single"/>
                </w:rPr>
                <w:t>https://www.ncsc.gov.uk/scheme/commercial-product-assurance-cpa</w:t>
              </w:r>
            </w:hyperlink>
            <w:r w:rsidRPr="001209F1">
              <w:rPr>
                <w:rFonts w:cs="Arial"/>
                <w:color w:val="000000"/>
              </w:rPr>
              <w:t xml:space="preserve"> </w:t>
            </w:r>
          </w:p>
        </w:tc>
      </w:tr>
      <w:tr w:rsidR="001209F1" w:rsidRPr="001209F1" w14:paraId="3C850E41" w14:textId="77777777" w:rsidTr="00964936">
        <w:trPr>
          <w:trHeight w:val="1701"/>
        </w:trPr>
        <w:tc>
          <w:tcPr>
            <w:tcW w:w="4644" w:type="dxa"/>
            <w:shd w:val="clear" w:color="auto" w:fill="auto"/>
          </w:tcPr>
          <w:p w14:paraId="425DD126"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“Cyber Essentials”</w:t>
            </w:r>
          </w:p>
          <w:p w14:paraId="242D8442"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“Cyber Essentials Plus”</w:t>
            </w:r>
          </w:p>
        </w:tc>
        <w:tc>
          <w:tcPr>
            <w:tcW w:w="5321" w:type="dxa"/>
            <w:shd w:val="clear" w:color="auto" w:fill="auto"/>
          </w:tcPr>
          <w:p w14:paraId="0137AF92"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Cyber Essentials is the government </w:t>
            </w:r>
            <w:proofErr w:type="gramStart"/>
            <w:r w:rsidRPr="001209F1">
              <w:rPr>
                <w:rFonts w:cs="Arial"/>
                <w:color w:val="000000"/>
              </w:rPr>
              <w:t>backed,</w:t>
            </w:r>
            <w:proofErr w:type="gramEnd"/>
            <w:r w:rsidRPr="001209F1">
              <w:rPr>
                <w:rFonts w:cs="Arial"/>
                <w:color w:val="000000"/>
              </w:rPr>
              <w:t xml:space="preserve"> industry supported scheme to help organisations protect themselves against common cyber-attacks. Cyber Essentials and Cyber Essentials Plus are levels within the scheme. </w:t>
            </w:r>
          </w:p>
          <w:p w14:paraId="5057347A"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FF0000"/>
              </w:rPr>
            </w:pPr>
            <w:r w:rsidRPr="001209F1">
              <w:rPr>
                <w:rFonts w:cs="Arial"/>
              </w:rPr>
              <w:t>There are a number of certification bodies that can be approached for further advice on the scheme; the link below points to one of these providers:</w:t>
            </w:r>
            <w:r w:rsidRPr="001209F1">
              <w:rPr>
                <w:rFonts w:cs="Arial"/>
                <w:color w:val="FF0000"/>
              </w:rPr>
              <w:t xml:space="preserve"> </w:t>
            </w:r>
            <w:hyperlink r:id="rId40" w:history="1">
              <w:r w:rsidRPr="001209F1">
                <w:rPr>
                  <w:rFonts w:cs="Arial"/>
                  <w:color w:val="0000FF"/>
                  <w:u w:val="single"/>
                </w:rPr>
                <w:t>https://www.iasme.co.uk/apply-for-self-assessment/</w:t>
              </w:r>
            </w:hyperlink>
            <w:r w:rsidRPr="001209F1">
              <w:rPr>
                <w:rFonts w:cs="Arial"/>
              </w:rPr>
              <w:t xml:space="preserve"> </w:t>
            </w:r>
          </w:p>
        </w:tc>
      </w:tr>
      <w:tr w:rsidR="001209F1" w:rsidRPr="001209F1" w14:paraId="00575EFC" w14:textId="77777777" w:rsidTr="00964936">
        <w:trPr>
          <w:trHeight w:val="2154"/>
        </w:trPr>
        <w:tc>
          <w:tcPr>
            <w:tcW w:w="4644" w:type="dxa"/>
            <w:shd w:val="clear" w:color="auto" w:fill="auto"/>
          </w:tcPr>
          <w:p w14:paraId="5780A210"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lastRenderedPageBreak/>
              <w:t>“Data”</w:t>
            </w:r>
          </w:p>
          <w:p w14:paraId="7CD62077"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“Data Controller”</w:t>
            </w:r>
          </w:p>
          <w:p w14:paraId="3DA88192"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“Data Processor”</w:t>
            </w:r>
          </w:p>
          <w:p w14:paraId="047FA020"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“Personal Data”</w:t>
            </w:r>
          </w:p>
          <w:p w14:paraId="2F2E9630"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“Sensitive Personal Data”</w:t>
            </w:r>
            <w:r w:rsidRPr="001209F1" w:rsidDel="00A64A13">
              <w:rPr>
                <w:rFonts w:cs="Arial"/>
                <w:color w:val="000000"/>
              </w:rPr>
              <w:t xml:space="preserve"> </w:t>
            </w:r>
          </w:p>
          <w:p w14:paraId="29446982"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“Data Subject”, “Process” and “Processing”</w:t>
            </w:r>
          </w:p>
        </w:tc>
        <w:tc>
          <w:tcPr>
            <w:tcW w:w="5321" w:type="dxa"/>
            <w:shd w:val="clear" w:color="auto" w:fill="auto"/>
          </w:tcPr>
          <w:p w14:paraId="4090714D"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shall have the meanings given to those terms by the Data Protection Act 1998</w:t>
            </w:r>
          </w:p>
        </w:tc>
      </w:tr>
      <w:tr w:rsidR="001209F1" w:rsidRPr="001209F1" w14:paraId="7ADCC163" w14:textId="77777777" w:rsidTr="00964936">
        <w:trPr>
          <w:trHeight w:val="907"/>
        </w:trPr>
        <w:tc>
          <w:tcPr>
            <w:tcW w:w="4644" w:type="dxa"/>
            <w:shd w:val="clear" w:color="auto" w:fill="auto"/>
          </w:tcPr>
          <w:p w14:paraId="32E38C04"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"Department’s Data"</w:t>
            </w:r>
          </w:p>
          <w:p w14:paraId="5E7F3E35"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“Department’s Information”</w:t>
            </w:r>
          </w:p>
        </w:tc>
        <w:tc>
          <w:tcPr>
            <w:tcW w:w="5321" w:type="dxa"/>
            <w:shd w:val="clear" w:color="auto" w:fill="auto"/>
          </w:tcPr>
          <w:p w14:paraId="52826DCA" w14:textId="77777777" w:rsidR="001209F1" w:rsidRPr="001209F1" w:rsidRDefault="001209F1" w:rsidP="001209F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is any data or information owned or retained in order to meet departmental business objectives and tasks, </w:t>
            </w:r>
            <w:proofErr w:type="gramStart"/>
            <w:r w:rsidRPr="001209F1">
              <w:rPr>
                <w:rFonts w:cs="Arial"/>
                <w:color w:val="000000"/>
              </w:rPr>
              <w:t>including:</w:t>
            </w:r>
            <w:proofErr w:type="gramEnd"/>
          </w:p>
          <w:p w14:paraId="70BAC5DB"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209F1">
              <w:rPr>
                <w:rFonts w:cs="Arial"/>
                <w:color w:val="000000"/>
              </w:rPr>
              <w:t>(a) any data, text, drawings, diagrams, images or sounds (together with any repository or database made up of any of these components) which are embodied in any electronic, magnetic, optical or tangible media, and which are:</w:t>
            </w:r>
          </w:p>
          <w:p w14:paraId="48455CD7" w14:textId="77777777" w:rsidR="001209F1" w:rsidRPr="001209F1" w:rsidRDefault="001209F1" w:rsidP="001209F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209F1">
              <w:rPr>
                <w:rFonts w:cs="Arial"/>
                <w:color w:val="000000"/>
              </w:rPr>
              <w:t>(</w:t>
            </w:r>
            <w:proofErr w:type="spellStart"/>
            <w:r w:rsidRPr="001209F1">
              <w:rPr>
                <w:rFonts w:cs="Arial"/>
                <w:color w:val="000000"/>
              </w:rPr>
              <w:t>i</w:t>
            </w:r>
            <w:proofErr w:type="spellEnd"/>
            <w:r w:rsidRPr="001209F1">
              <w:rPr>
                <w:rFonts w:cs="Arial"/>
                <w:color w:val="000000"/>
              </w:rPr>
              <w:t xml:space="preserve">) supplied to the Contractor by or on behalf of the Department; or </w:t>
            </w:r>
          </w:p>
          <w:p w14:paraId="28078EBB" w14:textId="77777777" w:rsidR="001209F1" w:rsidRPr="001209F1" w:rsidRDefault="001209F1" w:rsidP="001209F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18"/>
              <w:rPr>
                <w:rFonts w:cs="Arial"/>
                <w:color w:val="000000"/>
              </w:rPr>
            </w:pPr>
            <w:r w:rsidRPr="001209F1">
              <w:rPr>
                <w:rFonts w:cs="Arial"/>
                <w:color w:val="000000"/>
              </w:rPr>
              <w:t>(ii) which the Contractor is required to generate, process, store or transmit pursuant to this Contract; or</w:t>
            </w:r>
          </w:p>
          <w:p w14:paraId="44FB619E"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34"/>
              <w:rPr>
                <w:rFonts w:cs="Arial"/>
                <w:color w:val="000000"/>
              </w:rPr>
            </w:pPr>
            <w:r w:rsidRPr="001209F1">
              <w:rPr>
                <w:rFonts w:cs="Arial"/>
                <w:color w:val="000000"/>
              </w:rPr>
              <w:t>(b) any Personal Data for which the Department is the Data Controller;</w:t>
            </w:r>
          </w:p>
        </w:tc>
      </w:tr>
      <w:tr w:rsidR="001209F1" w:rsidRPr="001209F1" w14:paraId="23C52E79" w14:textId="77777777" w:rsidTr="00964936">
        <w:trPr>
          <w:trHeight w:val="567"/>
        </w:trPr>
        <w:tc>
          <w:tcPr>
            <w:tcW w:w="4644" w:type="dxa"/>
            <w:shd w:val="clear" w:color="auto" w:fill="auto"/>
          </w:tcPr>
          <w:p w14:paraId="01F3EEC0"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“DfE”</w:t>
            </w:r>
          </w:p>
          <w:p w14:paraId="061AF1ED"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w:t>
            </w:r>
          </w:p>
        </w:tc>
        <w:tc>
          <w:tcPr>
            <w:tcW w:w="5321" w:type="dxa"/>
            <w:shd w:val="clear" w:color="auto" w:fill="auto"/>
          </w:tcPr>
          <w:p w14:paraId="52BFD117" w14:textId="77777777" w:rsidR="001209F1" w:rsidRPr="001209F1" w:rsidRDefault="001209F1" w:rsidP="001209F1">
            <w:pPr>
              <w:widowControl/>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Department for Education</w:t>
            </w:r>
          </w:p>
        </w:tc>
      </w:tr>
      <w:tr w:rsidR="001209F1" w:rsidRPr="001209F1" w14:paraId="4887AAD9" w14:textId="77777777" w:rsidTr="00964936">
        <w:trPr>
          <w:trHeight w:val="1191"/>
        </w:trPr>
        <w:tc>
          <w:tcPr>
            <w:tcW w:w="4644" w:type="dxa"/>
            <w:shd w:val="clear" w:color="auto" w:fill="auto"/>
          </w:tcPr>
          <w:p w14:paraId="5E949B51"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“Departmental Security Standards”</w:t>
            </w:r>
          </w:p>
        </w:tc>
        <w:tc>
          <w:tcPr>
            <w:tcW w:w="5321" w:type="dxa"/>
            <w:shd w:val="clear" w:color="auto" w:fill="auto"/>
          </w:tcPr>
          <w:p w14:paraId="06175795"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Department’s security policy or any standards, procedures, process or specification for security that the Contractor is required to deliver.</w:t>
            </w:r>
          </w:p>
        </w:tc>
      </w:tr>
      <w:tr w:rsidR="001209F1" w:rsidRPr="001209F1" w14:paraId="6C67F6EE" w14:textId="77777777" w:rsidTr="00964936">
        <w:trPr>
          <w:trHeight w:val="1417"/>
        </w:trPr>
        <w:tc>
          <w:tcPr>
            <w:tcW w:w="4644" w:type="dxa"/>
            <w:shd w:val="clear" w:color="auto" w:fill="auto"/>
          </w:tcPr>
          <w:p w14:paraId="17B217C2"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 xml:space="preserve">“Digital Marketplace / </w:t>
            </w:r>
            <w:proofErr w:type="spellStart"/>
            <w:r w:rsidRPr="001209F1">
              <w:rPr>
                <w:rFonts w:cs="Arial"/>
                <w:color w:val="000000"/>
              </w:rPr>
              <w:t>GCloud</w:t>
            </w:r>
            <w:proofErr w:type="spellEnd"/>
            <w:r w:rsidRPr="001209F1">
              <w:rPr>
                <w:rFonts w:cs="Arial"/>
                <w:color w:val="000000"/>
              </w:rPr>
              <w:t>”</w:t>
            </w:r>
          </w:p>
        </w:tc>
        <w:tc>
          <w:tcPr>
            <w:tcW w:w="5321" w:type="dxa"/>
            <w:shd w:val="clear" w:color="auto" w:fill="auto"/>
          </w:tcPr>
          <w:p w14:paraId="2646278C"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the Digital Marketplace is the online framework for identifying and procuring cloud technology and people for digital projects. Cloud services (e.g. web hosting or IT health checks) are on the G-Cloud framework.</w:t>
            </w:r>
          </w:p>
        </w:tc>
      </w:tr>
      <w:tr w:rsidR="00D54A9D" w:rsidRPr="001209F1" w14:paraId="32EB47C3" w14:textId="77777777" w:rsidTr="00964936">
        <w:trPr>
          <w:trHeight w:val="1644"/>
        </w:trPr>
        <w:tc>
          <w:tcPr>
            <w:tcW w:w="4644" w:type="dxa"/>
            <w:shd w:val="clear" w:color="auto" w:fill="auto"/>
          </w:tcPr>
          <w:p w14:paraId="6B78F6D4" w14:textId="77777777" w:rsidR="00D54A9D" w:rsidRDefault="00D54A9D"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Pr>
                <w:rFonts w:cs="Arial"/>
                <w:color w:val="000000"/>
              </w:rPr>
              <w:t>“The Commission”</w:t>
            </w:r>
          </w:p>
          <w:p w14:paraId="1AA21249" w14:textId="77777777" w:rsidR="00D54A9D" w:rsidRDefault="00D54A9D"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Pr>
                <w:rFonts w:cs="Arial"/>
                <w:color w:val="000000"/>
              </w:rPr>
              <w:t>“SMC”</w:t>
            </w:r>
          </w:p>
          <w:p w14:paraId="56A44A51" w14:textId="77777777" w:rsidR="00D54A9D" w:rsidRPr="001209F1" w:rsidRDefault="00D54A9D" w:rsidP="00D54A9D">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p>
        </w:tc>
        <w:tc>
          <w:tcPr>
            <w:tcW w:w="5321" w:type="dxa"/>
            <w:shd w:val="clear" w:color="auto" w:fill="auto"/>
          </w:tcPr>
          <w:p w14:paraId="77C3F06C" w14:textId="77777777" w:rsidR="00D54A9D" w:rsidRPr="001209F1" w:rsidRDefault="00D54A9D"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Pr>
                <w:rFonts w:cs="Arial"/>
                <w:color w:val="000000"/>
              </w:rPr>
              <w:t>means the Social Mobility Commission</w:t>
            </w:r>
          </w:p>
        </w:tc>
      </w:tr>
      <w:tr w:rsidR="001209F1" w:rsidRPr="001209F1" w14:paraId="7CB9029A" w14:textId="77777777" w:rsidTr="00964936">
        <w:trPr>
          <w:trHeight w:val="1644"/>
        </w:trPr>
        <w:tc>
          <w:tcPr>
            <w:tcW w:w="4644" w:type="dxa"/>
            <w:shd w:val="clear" w:color="auto" w:fill="auto"/>
          </w:tcPr>
          <w:p w14:paraId="072CC64E"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“FIPS 140-2”</w:t>
            </w:r>
          </w:p>
        </w:tc>
        <w:tc>
          <w:tcPr>
            <w:tcW w:w="5321" w:type="dxa"/>
            <w:shd w:val="clear" w:color="auto" w:fill="auto"/>
          </w:tcPr>
          <w:p w14:paraId="5BC0563B"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this is the Federal Information Processing Standard (FIPS) Publication 140-2, (FIPS PUB 140-2), entitled ‘Security Requirements for Cryptographic Modules’.  This document is the de facto security standard used for the accreditation of cryptographic modules.</w:t>
            </w:r>
          </w:p>
        </w:tc>
      </w:tr>
      <w:tr w:rsidR="001209F1" w:rsidRPr="001209F1" w14:paraId="256DDE0D" w14:textId="77777777" w:rsidTr="00964936">
        <w:trPr>
          <w:trHeight w:val="1191"/>
        </w:trPr>
        <w:tc>
          <w:tcPr>
            <w:tcW w:w="4644" w:type="dxa"/>
            <w:shd w:val="clear" w:color="auto" w:fill="auto"/>
          </w:tcPr>
          <w:p w14:paraId="60A5C0BC"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“Good Industry Practice”</w:t>
            </w:r>
          </w:p>
          <w:p w14:paraId="51DFD0A0"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“Industry Good Practice”</w:t>
            </w:r>
          </w:p>
        </w:tc>
        <w:tc>
          <w:tcPr>
            <w:tcW w:w="5321" w:type="dxa"/>
            <w:shd w:val="clear" w:color="auto" w:fill="auto"/>
          </w:tcPr>
          <w:p w14:paraId="12536C49"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exercise of that degree of skill, care, prudence, efficiency, foresight and timeliness as would be expected from a leading company within the relevant industry or business sector.</w:t>
            </w:r>
          </w:p>
        </w:tc>
      </w:tr>
      <w:tr w:rsidR="001209F1" w:rsidRPr="001209F1" w14:paraId="1F31FE4B" w14:textId="77777777" w:rsidTr="00964936">
        <w:trPr>
          <w:trHeight w:val="1701"/>
        </w:trPr>
        <w:tc>
          <w:tcPr>
            <w:tcW w:w="4644" w:type="dxa"/>
            <w:shd w:val="clear" w:color="auto" w:fill="auto"/>
          </w:tcPr>
          <w:p w14:paraId="02EC4EAD"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lastRenderedPageBreak/>
              <w:t>“Good Industry Standard”</w:t>
            </w:r>
          </w:p>
          <w:p w14:paraId="3E92EDEF"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“Industry Good Standard”</w:t>
            </w:r>
          </w:p>
        </w:tc>
        <w:tc>
          <w:tcPr>
            <w:tcW w:w="5321" w:type="dxa"/>
            <w:shd w:val="clear" w:color="auto" w:fill="auto"/>
          </w:tcPr>
          <w:p w14:paraId="25BEAE50"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the implementation of products and solutions, and the exercise of that degree of skill, care, prudence, efficiency, foresight and timeliness as would be expected from a leading company within the relevant industry or business sector.</w:t>
            </w:r>
          </w:p>
        </w:tc>
      </w:tr>
      <w:tr w:rsidR="001209F1" w:rsidRPr="001209F1" w14:paraId="464B740D" w14:textId="77777777" w:rsidTr="00964936">
        <w:trPr>
          <w:trHeight w:val="1474"/>
        </w:trPr>
        <w:tc>
          <w:tcPr>
            <w:tcW w:w="4644" w:type="dxa"/>
            <w:shd w:val="clear" w:color="auto" w:fill="auto"/>
          </w:tcPr>
          <w:p w14:paraId="5BF544CF"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“GSC”</w:t>
            </w:r>
          </w:p>
          <w:p w14:paraId="6B5D9090"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“GSCP”</w:t>
            </w:r>
          </w:p>
          <w:p w14:paraId="7F7FDC92"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p>
        </w:tc>
        <w:tc>
          <w:tcPr>
            <w:tcW w:w="5321" w:type="dxa"/>
            <w:shd w:val="clear" w:color="auto" w:fill="auto"/>
          </w:tcPr>
          <w:p w14:paraId="673DBB68"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means the Government Security Classification Policy which establishes the rules for classifying HMG information. The policy is available at: </w:t>
            </w:r>
            <w:hyperlink r:id="rId41" w:history="1">
              <w:r w:rsidRPr="001209F1">
                <w:rPr>
                  <w:rFonts w:cs="Arial"/>
                  <w:color w:val="0000FF"/>
                  <w:u w:val="single"/>
                </w:rPr>
                <w:t>https://www.gov.uk/government/publications/government-security-classifications</w:t>
              </w:r>
            </w:hyperlink>
            <w:r w:rsidRPr="001209F1">
              <w:rPr>
                <w:rFonts w:cs="Arial"/>
                <w:color w:val="000000"/>
              </w:rPr>
              <w:t xml:space="preserve"> </w:t>
            </w:r>
          </w:p>
        </w:tc>
      </w:tr>
      <w:tr w:rsidR="001209F1" w:rsidRPr="001209F1" w14:paraId="37E0E6B3" w14:textId="77777777" w:rsidTr="00964936">
        <w:trPr>
          <w:trHeight w:val="680"/>
        </w:trPr>
        <w:tc>
          <w:tcPr>
            <w:tcW w:w="4644" w:type="dxa"/>
            <w:shd w:val="clear" w:color="auto" w:fill="auto"/>
          </w:tcPr>
          <w:p w14:paraId="57AFE672"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“HMG”</w:t>
            </w:r>
          </w:p>
        </w:tc>
        <w:tc>
          <w:tcPr>
            <w:tcW w:w="5321" w:type="dxa"/>
            <w:shd w:val="clear" w:color="auto" w:fill="auto"/>
          </w:tcPr>
          <w:p w14:paraId="12288772"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Her Majesty’s Government</w:t>
            </w:r>
          </w:p>
        </w:tc>
      </w:tr>
      <w:tr w:rsidR="001209F1" w:rsidRPr="001209F1" w14:paraId="23DA21F3" w14:textId="77777777" w:rsidTr="00964936">
        <w:trPr>
          <w:trHeight w:val="340"/>
        </w:trPr>
        <w:tc>
          <w:tcPr>
            <w:tcW w:w="4644" w:type="dxa"/>
            <w:shd w:val="clear" w:color="auto" w:fill="auto"/>
          </w:tcPr>
          <w:p w14:paraId="49FF230A"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“ICT”</w:t>
            </w:r>
          </w:p>
        </w:tc>
        <w:tc>
          <w:tcPr>
            <w:tcW w:w="5321" w:type="dxa"/>
            <w:shd w:val="clear" w:color="auto" w:fill="auto"/>
          </w:tcPr>
          <w:p w14:paraId="5BF01172"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means </w:t>
            </w:r>
            <w:r w:rsidRPr="001209F1">
              <w:rPr>
                <w:rFonts w:cs="Arial"/>
              </w:rPr>
              <w:t>Information and Communications Technology (</w:t>
            </w:r>
            <w:r w:rsidRPr="001209F1">
              <w:rPr>
                <w:rFonts w:cs="Arial"/>
                <w:color w:val="000000"/>
              </w:rPr>
              <w:t>ICT) is used as an extended synonym for information technology (IT), used to describe the bringing together of enabling technologies used to deliver the end-to-end solution</w:t>
            </w:r>
          </w:p>
        </w:tc>
      </w:tr>
      <w:tr w:rsidR="001209F1" w:rsidRPr="001209F1" w14:paraId="3FBD6048" w14:textId="77777777" w:rsidTr="00964936">
        <w:trPr>
          <w:trHeight w:val="737"/>
        </w:trPr>
        <w:tc>
          <w:tcPr>
            <w:tcW w:w="4644" w:type="dxa"/>
            <w:shd w:val="clear" w:color="auto" w:fill="auto"/>
          </w:tcPr>
          <w:p w14:paraId="02553176"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“ISO/IEC 27001” “ISO 27001”</w:t>
            </w:r>
          </w:p>
        </w:tc>
        <w:tc>
          <w:tcPr>
            <w:tcW w:w="5321" w:type="dxa"/>
            <w:shd w:val="clear" w:color="auto" w:fill="auto"/>
          </w:tcPr>
          <w:p w14:paraId="1957289A"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is the International Standard for Information Security Management Systems Requirements</w:t>
            </w:r>
          </w:p>
        </w:tc>
      </w:tr>
      <w:tr w:rsidR="001209F1" w:rsidRPr="001209F1" w14:paraId="2573A2C4" w14:textId="77777777" w:rsidTr="00964936">
        <w:tc>
          <w:tcPr>
            <w:tcW w:w="4644" w:type="dxa"/>
            <w:shd w:val="clear" w:color="auto" w:fill="auto"/>
          </w:tcPr>
          <w:p w14:paraId="5F238DCF"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“ISO/IEC 27002” “ISO 27002”</w:t>
            </w:r>
          </w:p>
        </w:tc>
        <w:tc>
          <w:tcPr>
            <w:tcW w:w="5321" w:type="dxa"/>
            <w:shd w:val="clear" w:color="auto" w:fill="auto"/>
          </w:tcPr>
          <w:p w14:paraId="72042E5D"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is the International Standard describing the Code of Practice for Information Security </w:t>
            </w:r>
            <w:proofErr w:type="gramStart"/>
            <w:r w:rsidRPr="001209F1">
              <w:rPr>
                <w:rFonts w:cs="Arial"/>
                <w:color w:val="000000"/>
              </w:rPr>
              <w:t>Controls.</w:t>
            </w:r>
            <w:proofErr w:type="gramEnd"/>
          </w:p>
        </w:tc>
      </w:tr>
      <w:tr w:rsidR="001209F1" w:rsidRPr="001209F1" w14:paraId="08D2A8D4" w14:textId="77777777" w:rsidTr="00964936">
        <w:trPr>
          <w:trHeight w:val="624"/>
        </w:trPr>
        <w:tc>
          <w:tcPr>
            <w:tcW w:w="4644" w:type="dxa"/>
            <w:shd w:val="clear" w:color="auto" w:fill="auto"/>
          </w:tcPr>
          <w:p w14:paraId="60381224"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“ISO 22301”</w:t>
            </w:r>
          </w:p>
        </w:tc>
        <w:tc>
          <w:tcPr>
            <w:tcW w:w="5321" w:type="dxa"/>
            <w:shd w:val="clear" w:color="auto" w:fill="auto"/>
          </w:tcPr>
          <w:p w14:paraId="621CE038"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is the International Standard describing for Business Continuity</w:t>
            </w:r>
          </w:p>
        </w:tc>
      </w:tr>
      <w:tr w:rsidR="001209F1" w:rsidRPr="001209F1" w14:paraId="502E074E" w14:textId="77777777" w:rsidTr="00964936">
        <w:tc>
          <w:tcPr>
            <w:tcW w:w="4644" w:type="dxa"/>
            <w:shd w:val="clear" w:color="auto" w:fill="auto"/>
          </w:tcPr>
          <w:p w14:paraId="14A37062"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209F1">
              <w:rPr>
                <w:rFonts w:cs="Arial"/>
              </w:rPr>
              <w:t>“IT Security Health Check (ITSHC)”</w:t>
            </w:r>
          </w:p>
          <w:p w14:paraId="5D1B2F40"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209F1">
              <w:rPr>
                <w:rFonts w:cs="Arial"/>
              </w:rPr>
              <w:t>“IT Health Check (ITHC)”</w:t>
            </w:r>
          </w:p>
          <w:p w14:paraId="76F0874F"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rPr>
            </w:pPr>
            <w:r w:rsidRPr="001209F1">
              <w:rPr>
                <w:rFonts w:cs="Arial"/>
              </w:rPr>
              <w:t>“Penetration Testing”</w:t>
            </w:r>
          </w:p>
        </w:tc>
        <w:tc>
          <w:tcPr>
            <w:tcW w:w="5321" w:type="dxa"/>
            <w:shd w:val="clear" w:color="auto" w:fill="auto"/>
          </w:tcPr>
          <w:p w14:paraId="0483D278"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means an assessment to identify risks and vulnerabilities in systems, applications and networks which may compromise the confidentiality, integrity or availability of information held on that IT system.</w:t>
            </w:r>
          </w:p>
        </w:tc>
      </w:tr>
      <w:tr w:rsidR="001209F1" w:rsidRPr="001209F1" w14:paraId="6622AF7A" w14:textId="77777777" w:rsidTr="00964936">
        <w:tc>
          <w:tcPr>
            <w:tcW w:w="4644" w:type="dxa"/>
            <w:shd w:val="clear" w:color="auto" w:fill="auto"/>
          </w:tcPr>
          <w:p w14:paraId="10DB20A4"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“Need-to-Know”</w:t>
            </w:r>
          </w:p>
        </w:tc>
        <w:tc>
          <w:tcPr>
            <w:tcW w:w="5321" w:type="dxa"/>
            <w:shd w:val="clear" w:color="auto" w:fill="auto"/>
          </w:tcPr>
          <w:p w14:paraId="417FFD3C"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the Need-to-Know principle is employed within HMG to limit the distribution of classified information to those people with a clear ‘need to know’ in order to carry out their duties.</w:t>
            </w:r>
          </w:p>
        </w:tc>
      </w:tr>
      <w:tr w:rsidR="001209F1" w:rsidRPr="001209F1" w14:paraId="726F9859" w14:textId="77777777" w:rsidTr="00964936">
        <w:tc>
          <w:tcPr>
            <w:tcW w:w="4644" w:type="dxa"/>
            <w:tcBorders>
              <w:top w:val="single" w:sz="4" w:space="0" w:color="auto"/>
              <w:left w:val="single" w:sz="4" w:space="0" w:color="auto"/>
              <w:bottom w:val="single" w:sz="4" w:space="0" w:color="auto"/>
              <w:right w:val="single" w:sz="4" w:space="0" w:color="auto"/>
            </w:tcBorders>
            <w:shd w:val="clear" w:color="auto" w:fill="auto"/>
          </w:tcPr>
          <w:p w14:paraId="5BB2BC80"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720" w:hanging="720"/>
              <w:rPr>
                <w:rFonts w:cs="Arial"/>
                <w:color w:val="000000"/>
              </w:rPr>
            </w:pPr>
            <w:r w:rsidRPr="001209F1">
              <w:rPr>
                <w:rFonts w:cs="Arial"/>
                <w:color w:val="000000"/>
              </w:rPr>
              <w:t>“NCSC”</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72F66AE4"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 xml:space="preserve">The National Cyber Security Centre (NCSC) </w:t>
            </w:r>
            <w:r w:rsidRPr="001209F1">
              <w:rPr>
                <w:rFonts w:cs="Arial"/>
              </w:rPr>
              <w:t>formerly CESG is</w:t>
            </w:r>
            <w:r w:rsidRPr="001209F1">
              <w:rPr>
                <w:rFonts w:cs="Arial"/>
                <w:color w:val="000000"/>
              </w:rPr>
              <w:t xml:space="preserve"> the UK government’s National Technical Authority for Information Assurance. The NCSC website is </w:t>
            </w:r>
            <w:hyperlink r:id="rId42" w:history="1">
              <w:r w:rsidRPr="001209F1">
                <w:rPr>
                  <w:rFonts w:cs="Arial"/>
                  <w:color w:val="0000FF"/>
                  <w:u w:val="single"/>
                </w:rPr>
                <w:t>https://www.ncsc.gov.uk</w:t>
              </w:r>
            </w:hyperlink>
            <w:r w:rsidRPr="001209F1">
              <w:rPr>
                <w:rFonts w:cs="Arial"/>
                <w:color w:val="000000"/>
              </w:rPr>
              <w:t xml:space="preserve"> </w:t>
            </w:r>
          </w:p>
        </w:tc>
      </w:tr>
      <w:tr w:rsidR="001209F1" w:rsidRPr="001209F1" w14:paraId="70F3CA8B" w14:textId="77777777" w:rsidTr="00964936">
        <w:trPr>
          <w:trHeight w:val="3118"/>
        </w:trPr>
        <w:tc>
          <w:tcPr>
            <w:tcW w:w="4644" w:type="dxa"/>
            <w:shd w:val="clear" w:color="auto" w:fill="auto"/>
          </w:tcPr>
          <w:p w14:paraId="3E348159"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209F1">
              <w:rPr>
                <w:rFonts w:cs="Arial"/>
                <w:color w:val="000000"/>
              </w:rPr>
              <w:t>“OFFICIAL”</w:t>
            </w:r>
          </w:p>
          <w:p w14:paraId="7F530646"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209F1">
              <w:rPr>
                <w:rFonts w:cs="Arial"/>
                <w:color w:val="000000"/>
              </w:rPr>
              <w:t xml:space="preserve">“OFFICIAL-SENSITIVE” </w:t>
            </w:r>
          </w:p>
        </w:tc>
        <w:tc>
          <w:tcPr>
            <w:tcW w:w="5321" w:type="dxa"/>
            <w:shd w:val="clear" w:color="auto" w:fill="auto"/>
          </w:tcPr>
          <w:p w14:paraId="2F24AE8E" w14:textId="77777777" w:rsidR="001209F1" w:rsidRPr="001209F1" w:rsidRDefault="001209F1" w:rsidP="001209F1">
            <w:pPr>
              <w:widowControl/>
              <w:overflowPunct/>
              <w:spacing w:before="40" w:after="40"/>
              <w:textAlignment w:val="auto"/>
              <w:rPr>
                <w:rFonts w:cs="Arial"/>
                <w:color w:val="000000"/>
              </w:rPr>
            </w:pPr>
            <w:r w:rsidRPr="001209F1">
              <w:rPr>
                <w:rFonts w:cs="Arial"/>
                <w:color w:val="000000"/>
              </w:rPr>
              <w:t xml:space="preserve">the term ‘OFFICIAL’ is used to describe the baseline level of ‘security classification’ described within the Government Security Classification Policy (GSCP) which details the level of protection to be afforded to information by HMG, for all routine public sector business, operations and services. </w:t>
            </w:r>
          </w:p>
          <w:p w14:paraId="2D4952A2"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rPr>
                <w:rFonts w:cs="Arial"/>
                <w:color w:val="000000"/>
              </w:rPr>
            </w:pPr>
            <w:r w:rsidRPr="001209F1">
              <w:rPr>
                <w:rFonts w:cs="Arial"/>
                <w:color w:val="000000"/>
              </w:rPr>
              <w:t>the ‘OFFICIAL–SENSITIVE’ caveat is used to identify a limited subset of OFFICIAL information that could have more damaging consequences (for individuals, an organisation or government generally) if it were lost, stolen or published in the media, as described in the Government Security Classification Policy.</w:t>
            </w:r>
          </w:p>
        </w:tc>
      </w:tr>
      <w:tr w:rsidR="001209F1" w:rsidRPr="001209F1" w14:paraId="140087D3" w14:textId="77777777" w:rsidTr="00964936">
        <w:trPr>
          <w:trHeight w:val="1124"/>
        </w:trPr>
        <w:tc>
          <w:tcPr>
            <w:tcW w:w="4644" w:type="dxa"/>
            <w:tcBorders>
              <w:top w:val="single" w:sz="4" w:space="0" w:color="auto"/>
              <w:left w:val="single" w:sz="4" w:space="0" w:color="auto"/>
              <w:bottom w:val="single" w:sz="4" w:space="0" w:color="auto"/>
              <w:right w:val="single" w:sz="4" w:space="0" w:color="auto"/>
            </w:tcBorders>
            <w:shd w:val="clear" w:color="auto" w:fill="auto"/>
          </w:tcPr>
          <w:p w14:paraId="53AE3174"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r w:rsidRPr="001209F1">
              <w:rPr>
                <w:rFonts w:cs="Arial"/>
                <w:color w:val="000000"/>
              </w:rPr>
              <w:lastRenderedPageBreak/>
              <w:t>“Secure Sanitisation”</w:t>
            </w:r>
          </w:p>
          <w:p w14:paraId="5CAC0BD3"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p w14:paraId="4F4E91F1" w14:textId="77777777" w:rsidR="001209F1" w:rsidRPr="001209F1" w:rsidRDefault="001209F1"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jc w:val="both"/>
              <w:rPr>
                <w:rFonts w:cs="Arial"/>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1441A0CC" w14:textId="77777777" w:rsidR="001209F1" w:rsidRPr="001209F1" w:rsidRDefault="001209F1" w:rsidP="001209F1">
            <w:pPr>
              <w:widowControl/>
              <w:overflowPunct/>
              <w:spacing w:before="40" w:after="40"/>
              <w:textAlignment w:val="auto"/>
              <w:rPr>
                <w:rFonts w:cs="Arial"/>
                <w:color w:val="000000"/>
              </w:rPr>
            </w:pPr>
            <w:r w:rsidRPr="001209F1">
              <w:rPr>
                <w:rFonts w:cs="Arial"/>
                <w:color w:val="000000"/>
              </w:rPr>
              <w:t xml:space="preserve">Secure sanitisation is the process of treating data held on storage media to reduce the likelihood of retrieval and reconstruction to an acceptable level. Some forms of sanitisation will allow you to re-use the media, while others are destructive in nature and render the media unusable. Secure sanitisation was previously covered by “Information Assurance Standard No. 5 - Secure Sanitisation” (“IS5”) issued by the former CESG. Guidance can now be found at: </w:t>
            </w:r>
            <w:hyperlink r:id="rId43" w:history="1">
              <w:r w:rsidRPr="001209F1">
                <w:rPr>
                  <w:rFonts w:cs="Arial"/>
                  <w:color w:val="0000FF"/>
                  <w:u w:val="single"/>
                </w:rPr>
                <w:t>https://www.ncsc.gov.uk/guidance/secure-sanitisation-storage-media</w:t>
              </w:r>
            </w:hyperlink>
            <w:r w:rsidRPr="001209F1">
              <w:rPr>
                <w:rFonts w:cs="Arial"/>
                <w:color w:val="000000"/>
              </w:rPr>
              <w:t xml:space="preserve"> </w:t>
            </w:r>
          </w:p>
          <w:p w14:paraId="34C26835" w14:textId="77777777" w:rsidR="001209F1" w:rsidRPr="001209F1" w:rsidRDefault="001209F1" w:rsidP="001209F1">
            <w:pPr>
              <w:widowControl/>
              <w:overflowPunct/>
              <w:spacing w:before="40" w:after="40"/>
              <w:textAlignment w:val="auto"/>
              <w:rPr>
                <w:rFonts w:cs="Arial"/>
                <w:color w:val="000000"/>
              </w:rPr>
            </w:pPr>
          </w:p>
          <w:p w14:paraId="212498A4" w14:textId="77777777" w:rsidR="001209F1" w:rsidRPr="001209F1" w:rsidRDefault="001209F1" w:rsidP="001209F1">
            <w:pPr>
              <w:widowControl/>
              <w:overflowPunct/>
              <w:spacing w:before="40" w:after="40"/>
              <w:textAlignment w:val="auto"/>
              <w:rPr>
                <w:rFonts w:cs="Arial"/>
                <w:color w:val="000000"/>
              </w:rPr>
            </w:pPr>
            <w:r w:rsidRPr="001209F1">
              <w:rPr>
                <w:rFonts w:cs="Arial"/>
              </w:rPr>
              <w:t>The disposal of physical documents and hardcopy materials advice can be found at:</w:t>
            </w:r>
            <w:r w:rsidRPr="001209F1">
              <w:rPr>
                <w:rFonts w:ascii="Times New Roman" w:hAnsi="Times New Roman" w:cs="Times New Roman"/>
              </w:rPr>
              <w:t xml:space="preserve"> </w:t>
            </w:r>
            <w:hyperlink r:id="rId44" w:history="1">
              <w:r w:rsidRPr="001209F1">
                <w:rPr>
                  <w:rFonts w:cs="Arial"/>
                  <w:color w:val="0000FF"/>
                  <w:u w:val="single"/>
                </w:rPr>
                <w:t>https://www.cpni.gov.uk/secure-destruction</w:t>
              </w:r>
            </w:hyperlink>
          </w:p>
        </w:tc>
      </w:tr>
      <w:tr w:rsidR="001209F1" w:rsidRPr="001209F1" w14:paraId="787B02D4" w14:textId="77777777" w:rsidTr="00964936">
        <w:tc>
          <w:tcPr>
            <w:tcW w:w="4644" w:type="dxa"/>
            <w:shd w:val="clear" w:color="auto" w:fill="auto"/>
          </w:tcPr>
          <w:p w14:paraId="73675EA0"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“Security and Information Risk Advisor” </w:t>
            </w:r>
          </w:p>
          <w:p w14:paraId="5FA60A12"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“CCP SIRA”</w:t>
            </w:r>
          </w:p>
          <w:p w14:paraId="7FDD4EBE"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“SIRA”</w:t>
            </w:r>
          </w:p>
        </w:tc>
        <w:tc>
          <w:tcPr>
            <w:tcW w:w="5321" w:type="dxa"/>
            <w:shd w:val="clear" w:color="auto" w:fill="auto"/>
          </w:tcPr>
          <w:p w14:paraId="6822D90A"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the Security and Information Risk Advisor (SIRA) is a role defined under the NCSC Certified Professional (CCP) Scheme. See also:</w:t>
            </w:r>
          </w:p>
          <w:p w14:paraId="1BED44F4" w14:textId="77777777" w:rsidR="001209F1" w:rsidRPr="001209F1" w:rsidRDefault="00301D6F"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hyperlink r:id="rId45" w:history="1">
              <w:r w:rsidR="001209F1" w:rsidRPr="001209F1">
                <w:rPr>
                  <w:rFonts w:cs="Arial"/>
                  <w:color w:val="0000FF"/>
                  <w:u w:val="single"/>
                </w:rPr>
                <w:t>https://www.ncsc.gov.uk/articles/about-certified-professional-scheme</w:t>
              </w:r>
            </w:hyperlink>
            <w:r w:rsidR="001209F1" w:rsidRPr="001209F1">
              <w:rPr>
                <w:rFonts w:cs="Arial"/>
                <w:color w:val="000000"/>
              </w:rPr>
              <w:t xml:space="preserve"> </w:t>
            </w:r>
          </w:p>
        </w:tc>
      </w:tr>
      <w:tr w:rsidR="001209F1" w:rsidRPr="001209F1" w14:paraId="7B6BA8D8" w14:textId="77777777" w:rsidTr="00964936">
        <w:tc>
          <w:tcPr>
            <w:tcW w:w="4644" w:type="dxa"/>
            <w:tcBorders>
              <w:top w:val="single" w:sz="4" w:space="0" w:color="auto"/>
              <w:left w:val="single" w:sz="4" w:space="0" w:color="auto"/>
              <w:bottom w:val="single" w:sz="4" w:space="0" w:color="auto"/>
              <w:right w:val="single" w:sz="4" w:space="0" w:color="auto"/>
            </w:tcBorders>
            <w:shd w:val="clear" w:color="auto" w:fill="auto"/>
          </w:tcPr>
          <w:p w14:paraId="22287614"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“SPF”</w:t>
            </w:r>
          </w:p>
          <w:p w14:paraId="0546A8DF"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“HMG Security Policy Framework”</w:t>
            </w: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02C9310E"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This is the definitive HMG Security Policy which describes the expectations of the Cabinet Secretary and Government’s Official Committee on Security on how HMG organisations and third parties handling HMG information and other assets will apply protective security to ensure HMG can function effectively, efficiently and securely. </w:t>
            </w:r>
            <w:hyperlink r:id="rId46" w:history="1">
              <w:r w:rsidRPr="001209F1">
                <w:rPr>
                  <w:rFonts w:cs="Arial"/>
                  <w:color w:val="0000FF"/>
                  <w:u w:val="single"/>
                </w:rPr>
                <w:t>https://www.gov.uk/government/publications/security-policy-framework</w:t>
              </w:r>
            </w:hyperlink>
            <w:r w:rsidRPr="001209F1">
              <w:rPr>
                <w:rFonts w:cs="Arial"/>
                <w:color w:val="000000"/>
              </w:rPr>
              <w:t xml:space="preserve"> </w:t>
            </w:r>
          </w:p>
        </w:tc>
      </w:tr>
      <w:tr w:rsidR="001209F1" w:rsidRPr="001209F1" w14:paraId="2D88FE90" w14:textId="77777777" w:rsidTr="00964936">
        <w:tc>
          <w:tcPr>
            <w:tcW w:w="4644" w:type="dxa"/>
            <w:tcBorders>
              <w:top w:val="single" w:sz="4" w:space="0" w:color="auto"/>
              <w:left w:val="single" w:sz="4" w:space="0" w:color="auto"/>
              <w:bottom w:val="single" w:sz="4" w:space="0" w:color="auto"/>
              <w:right w:val="single" w:sz="4" w:space="0" w:color="auto"/>
            </w:tcBorders>
            <w:shd w:val="clear" w:color="auto" w:fill="auto"/>
          </w:tcPr>
          <w:p w14:paraId="6C39609A"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roofErr w:type="gramStart"/>
            <w:r w:rsidRPr="001209F1">
              <w:rPr>
                <w:rFonts w:cs="Arial"/>
                <w:color w:val="000000"/>
              </w:rPr>
              <w:t>”Tailored</w:t>
            </w:r>
            <w:proofErr w:type="gramEnd"/>
            <w:r w:rsidRPr="001209F1">
              <w:rPr>
                <w:rFonts w:cs="Arial"/>
                <w:color w:val="000000"/>
              </w:rPr>
              <w:t xml:space="preserve"> Assurance”</w:t>
            </w:r>
          </w:p>
          <w:p w14:paraId="703BE7B5"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[formerly called “CTAS”, or,</w:t>
            </w:r>
          </w:p>
          <w:p w14:paraId="4534FD05"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roofErr w:type="gramStart"/>
            <w:r w:rsidRPr="001209F1">
              <w:rPr>
                <w:rFonts w:cs="Arial"/>
                <w:color w:val="000000"/>
              </w:rPr>
              <w:t>”CESG</w:t>
            </w:r>
            <w:proofErr w:type="gramEnd"/>
            <w:r w:rsidRPr="001209F1">
              <w:rPr>
                <w:rFonts w:cs="Arial"/>
                <w:color w:val="000000"/>
              </w:rPr>
              <w:t xml:space="preserve"> Tailored Assurance”]</w:t>
            </w:r>
          </w:p>
          <w:p w14:paraId="1CDB82CF"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p>
        </w:tc>
        <w:tc>
          <w:tcPr>
            <w:tcW w:w="5321" w:type="dxa"/>
            <w:tcBorders>
              <w:top w:val="single" w:sz="4" w:space="0" w:color="auto"/>
              <w:left w:val="single" w:sz="4" w:space="0" w:color="auto"/>
              <w:bottom w:val="single" w:sz="4" w:space="0" w:color="auto"/>
              <w:right w:val="single" w:sz="4" w:space="0" w:color="auto"/>
            </w:tcBorders>
            <w:shd w:val="clear" w:color="auto" w:fill="auto"/>
          </w:tcPr>
          <w:p w14:paraId="2C35F872" w14:textId="77777777" w:rsidR="001209F1" w:rsidRPr="001209F1" w:rsidRDefault="001209F1" w:rsidP="001209F1">
            <w:pPr>
              <w:widowControl/>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rFonts w:cs="Arial"/>
                <w:color w:val="000000"/>
              </w:rPr>
            </w:pPr>
            <w:r w:rsidRPr="001209F1">
              <w:rPr>
                <w:rFonts w:cs="Arial"/>
                <w:color w:val="000000"/>
              </w:rPr>
              <w:t xml:space="preserve">is an ‘information assurance scheme’ which provides assurance for a wide range of HMG, MOD, Critical National Infrastructure (CNI) and public sector customers procuring IT systems, products and services, ranging from simple software components to national infrastructure networks. </w:t>
            </w:r>
            <w:hyperlink r:id="rId47" w:history="1">
              <w:r w:rsidRPr="001209F1">
                <w:rPr>
                  <w:rFonts w:cs="Arial"/>
                  <w:color w:val="0000FF"/>
                  <w:u w:val="single"/>
                </w:rPr>
                <w:t>https://www.ncsc.gov.uk/documents/ctas-principles-and-methodology</w:t>
              </w:r>
            </w:hyperlink>
            <w:r w:rsidRPr="001209F1">
              <w:rPr>
                <w:rFonts w:cs="Arial"/>
                <w:color w:val="000000"/>
              </w:rPr>
              <w:t xml:space="preserve"> </w:t>
            </w:r>
          </w:p>
        </w:tc>
      </w:tr>
    </w:tbl>
    <w:p w14:paraId="7B9AA949"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775D4097"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4F83D06C"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0EDFAAE9"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35AC60CC"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310A35C5"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6FBDA13A"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58DF2608"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03C2D368"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6434EFBB"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5DDDC68D"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20170576" w14:textId="77777777" w:rsidR="001209F1" w:rsidRPr="001209F1" w:rsidRDefault="001209F1" w:rsidP="00EA4286">
      <w:pPr>
        <w:keepNext/>
        <w:keepLines/>
        <w:widowControl/>
        <w:numPr>
          <w:ilvl w:val="0"/>
          <w:numId w:val="15"/>
        </w:numPr>
        <w:tabs>
          <w:tab w:val="num" w:pos="1440"/>
        </w:tabs>
        <w:spacing w:before="120" w:after="120"/>
        <w:outlineLvl w:val="1"/>
        <w:rPr>
          <w:rFonts w:cs="Arial"/>
          <w:vanish/>
          <w:kern w:val="28"/>
          <w:sz w:val="24"/>
          <w:szCs w:val="24"/>
        </w:rPr>
      </w:pPr>
    </w:p>
    <w:p w14:paraId="2E394B79" w14:textId="77777777" w:rsidR="001209F1" w:rsidRPr="00697C31" w:rsidRDefault="001209F1" w:rsidP="00EA4286">
      <w:pPr>
        <w:keepNext/>
        <w:keepLines/>
        <w:widowControl/>
        <w:numPr>
          <w:ilvl w:val="1"/>
          <w:numId w:val="15"/>
        </w:numPr>
        <w:tabs>
          <w:tab w:val="num" w:pos="709"/>
        </w:tabs>
        <w:spacing w:before="120" w:after="120"/>
        <w:ind w:left="709" w:hanging="851"/>
        <w:outlineLvl w:val="1"/>
        <w:rPr>
          <w:rFonts w:cs="Arial"/>
          <w:kern w:val="28"/>
        </w:rPr>
      </w:pPr>
      <w:r w:rsidRPr="00697C31">
        <w:rPr>
          <w:rFonts w:cs="Arial"/>
          <w:kern w:val="28"/>
        </w:rPr>
        <w:t xml:space="preserve">The Contractor shall comply with Departmental Security Standards for Contractors which include but are not constrained to the following clauses. </w:t>
      </w:r>
    </w:p>
    <w:p w14:paraId="67111EFF" w14:textId="77777777" w:rsidR="001209F1" w:rsidRPr="00697C31" w:rsidRDefault="001209F1" w:rsidP="00EA4286">
      <w:pPr>
        <w:keepNext/>
        <w:keepLines/>
        <w:widowControl/>
        <w:numPr>
          <w:ilvl w:val="1"/>
          <w:numId w:val="15"/>
        </w:numPr>
        <w:tabs>
          <w:tab w:val="num" w:pos="709"/>
        </w:tabs>
        <w:spacing w:before="120" w:after="120"/>
        <w:ind w:left="709" w:hanging="851"/>
        <w:outlineLvl w:val="1"/>
        <w:rPr>
          <w:rFonts w:cs="Arial"/>
          <w:kern w:val="28"/>
        </w:rPr>
      </w:pPr>
      <w:r w:rsidRPr="00697C31">
        <w:rPr>
          <w:rFonts w:cs="Arial"/>
          <w:kern w:val="28"/>
        </w:rPr>
        <w:t xml:space="preserve">Where the Contractor will provide ICT products or services or otherwise handle information at OFFICIAL on behalf of </w:t>
      </w:r>
      <w:r w:rsidR="005D7D23">
        <w:rPr>
          <w:rFonts w:cs="Arial"/>
          <w:kern w:val="28"/>
        </w:rPr>
        <w:t>SMC</w:t>
      </w:r>
      <w:r w:rsidRPr="00697C31">
        <w:rPr>
          <w:rFonts w:cs="Arial"/>
          <w:kern w:val="28"/>
        </w:rPr>
        <w:t xml:space="preserve">, the requirements under Cabinet Office Procurement Policy Note – Use of Cyber Essentials Scheme certification - </w:t>
      </w:r>
      <w:hyperlink r:id="rId48" w:history="1">
        <w:r w:rsidRPr="00697C31">
          <w:rPr>
            <w:rFonts w:cs="Arial"/>
            <w:color w:val="0000FF"/>
            <w:kern w:val="28"/>
            <w:u w:val="single"/>
          </w:rPr>
          <w:t>Action Note 09/14</w:t>
        </w:r>
      </w:hyperlink>
      <w:r w:rsidRPr="00697C31">
        <w:rPr>
          <w:rFonts w:cs="Arial"/>
          <w:kern w:val="28"/>
        </w:rPr>
        <w:t xml:space="preserve"> 25 May 2016, or any subsequent updated document, are mandated; that “contractors supplying products or services to HMG shall have achieved, and retain certification at the appropriate level, under the HMG Cyber Essentials Scheme”. The certification scope must be relevant to the services supplied to, or on behalf of, </w:t>
      </w:r>
      <w:r w:rsidR="005D7D23">
        <w:rPr>
          <w:rFonts w:cs="Arial"/>
          <w:kern w:val="28"/>
        </w:rPr>
        <w:t>SMC</w:t>
      </w:r>
      <w:r w:rsidRPr="00697C31">
        <w:rPr>
          <w:rFonts w:cs="Arial"/>
          <w:kern w:val="28"/>
        </w:rPr>
        <w:t>.</w:t>
      </w:r>
    </w:p>
    <w:p w14:paraId="16DF05C4" w14:textId="77777777" w:rsidR="001209F1" w:rsidRPr="00697C31" w:rsidRDefault="001209F1" w:rsidP="001209F1">
      <w:pPr>
        <w:keepNext/>
        <w:keepLines/>
        <w:widowControl/>
        <w:spacing w:before="120" w:after="120"/>
        <w:ind w:left="709" w:hanging="851"/>
        <w:outlineLvl w:val="1"/>
        <w:rPr>
          <w:rFonts w:cs="Arial"/>
          <w:kern w:val="28"/>
        </w:rPr>
      </w:pPr>
      <w:r w:rsidRPr="00697C31">
        <w:rPr>
          <w:rFonts w:cs="Arial"/>
        </w:rPr>
        <w:t>12.3</w:t>
      </w:r>
      <w:r w:rsidRPr="00697C31">
        <w:rPr>
          <w:rFonts w:cs="Arial"/>
        </w:rPr>
        <w:tab/>
      </w:r>
      <w:r w:rsidRPr="00697C31">
        <w:rPr>
          <w:rFonts w:cs="Arial"/>
          <w:kern w:val="28"/>
        </w:rPr>
        <w:t xml:space="preserve">The Contractor shall be able to demonstrate conformance </w:t>
      </w:r>
      <w:proofErr w:type="gramStart"/>
      <w:r w:rsidRPr="00697C31">
        <w:rPr>
          <w:rFonts w:cs="Arial"/>
          <w:kern w:val="28"/>
        </w:rPr>
        <w:t>to, and</w:t>
      </w:r>
      <w:proofErr w:type="gramEnd"/>
      <w:r w:rsidRPr="00697C31">
        <w:rPr>
          <w:rFonts w:cs="Arial"/>
          <w:kern w:val="28"/>
        </w:rPr>
        <w:t xml:space="preserve"> show evidence of such conformance to the ISO/IEC 27001 (Information Security Management Systems Requirements) standard, including the application of controls from ISO/IEC 27002 (Code of Practice for Information Security Controls).</w:t>
      </w:r>
    </w:p>
    <w:p w14:paraId="04ECDD9D" w14:textId="77777777" w:rsidR="001209F1" w:rsidRPr="00D54A9D" w:rsidRDefault="001209F1" w:rsidP="00D54A9D">
      <w:pPr>
        <w:widowControl/>
        <w:spacing w:before="120" w:after="120"/>
        <w:ind w:left="709" w:hanging="851"/>
        <w:rPr>
          <w:rFonts w:cs="Arial"/>
          <w:b/>
        </w:rPr>
      </w:pPr>
      <w:r w:rsidRPr="00697C31">
        <w:rPr>
          <w:rFonts w:cs="Arial"/>
        </w:rPr>
        <w:t>12.3</w:t>
      </w:r>
      <w:r w:rsidRPr="00697C31">
        <w:rPr>
          <w:rFonts w:cs="Arial"/>
        </w:rPr>
        <w:tab/>
        <w:t xml:space="preserve">The Contractor shall have achieved, and be able to maintain, independent certification to ISO/IEC 27001 (Information Security Management Systems Requirements). The ISO/IEC 27001 certification must have a scope relevant to the services supplied to, or on behalf of, </w:t>
      </w:r>
      <w:r w:rsidR="005D7D23">
        <w:rPr>
          <w:rFonts w:cs="Arial"/>
        </w:rPr>
        <w:t>SMC</w:t>
      </w:r>
      <w:r w:rsidRPr="00697C31">
        <w:rPr>
          <w:rFonts w:cs="Arial"/>
        </w:rPr>
        <w:t xml:space="preserve">. The scope of certification and the statement of applicability must be acceptable, following review, to </w:t>
      </w:r>
      <w:r w:rsidR="005D7D23">
        <w:rPr>
          <w:rFonts w:cs="Arial"/>
        </w:rPr>
        <w:t>SMC</w:t>
      </w:r>
      <w:r w:rsidRPr="00697C31">
        <w:rPr>
          <w:rFonts w:cs="Arial"/>
        </w:rPr>
        <w:t>, including the application of controls from ISO/IEC 27002 (Code of Practice for Information Security Controls).</w:t>
      </w:r>
    </w:p>
    <w:p w14:paraId="0DFE865D" w14:textId="77777777" w:rsidR="001209F1" w:rsidRPr="00697C31" w:rsidRDefault="001209F1" w:rsidP="00EA4286">
      <w:pPr>
        <w:keepNext/>
        <w:keepLines/>
        <w:widowControl/>
        <w:numPr>
          <w:ilvl w:val="1"/>
          <w:numId w:val="18"/>
        </w:numPr>
        <w:tabs>
          <w:tab w:val="clear" w:pos="1440"/>
          <w:tab w:val="num" w:pos="709"/>
        </w:tabs>
        <w:spacing w:before="120" w:after="120"/>
        <w:ind w:left="709" w:hanging="851"/>
        <w:outlineLvl w:val="1"/>
        <w:rPr>
          <w:rFonts w:cs="Arial"/>
          <w:kern w:val="28"/>
        </w:rPr>
      </w:pPr>
      <w:r w:rsidRPr="00697C31">
        <w:rPr>
          <w:rFonts w:cs="Arial"/>
          <w:kern w:val="28"/>
        </w:rPr>
        <w:lastRenderedPageBreak/>
        <w:t xml:space="preserve">The Contractor shall follow the UK Government Security Classification Policy (GSCP) in respect of any Departmental Data being handled in the course of providing this </w:t>
      </w:r>
      <w:proofErr w:type="gramStart"/>
      <w:r w:rsidRPr="00697C31">
        <w:rPr>
          <w:rFonts w:cs="Arial"/>
          <w:kern w:val="28"/>
        </w:rPr>
        <w:t>service, and</w:t>
      </w:r>
      <w:proofErr w:type="gramEnd"/>
      <w:r w:rsidRPr="00697C31">
        <w:rPr>
          <w:rFonts w:cs="Arial"/>
          <w:kern w:val="28"/>
        </w:rPr>
        <w:t xml:space="preserve"> will handle this data in accordance with its security classification. (In the event where the Contractor has an existing Protective Marking Scheme then the Contractor may continue to use this but must map the HMG security classifications against it to ensure the correct controls are applied to the Departmental Data). </w:t>
      </w:r>
    </w:p>
    <w:p w14:paraId="78754558" w14:textId="77777777" w:rsidR="001209F1" w:rsidRPr="00697C31" w:rsidRDefault="001209F1" w:rsidP="00EA4286">
      <w:pPr>
        <w:keepNext/>
        <w:keepLines/>
        <w:widowControl/>
        <w:numPr>
          <w:ilvl w:val="1"/>
          <w:numId w:val="19"/>
        </w:numPr>
        <w:tabs>
          <w:tab w:val="clear" w:pos="1440"/>
          <w:tab w:val="num" w:pos="709"/>
        </w:tabs>
        <w:spacing w:before="120" w:after="120"/>
        <w:ind w:left="709" w:hanging="851"/>
        <w:outlineLvl w:val="1"/>
        <w:rPr>
          <w:rFonts w:cs="Arial"/>
          <w:kern w:val="28"/>
        </w:rPr>
      </w:pPr>
      <w:r w:rsidRPr="00697C31">
        <w:rPr>
          <w:rFonts w:cs="Arial"/>
          <w:kern w:val="28"/>
        </w:rPr>
        <w:t xml:space="preserve">Departmental Data being handled in the course of providing an ICT solution or service must be segregated from all other data on the Contractor’s or sub-contractor’s own IT equipment to protect the Departmental Data and enable the data to be identified and securely deleted when required. </w:t>
      </w:r>
      <w:proofErr w:type="gramStart"/>
      <w:r w:rsidRPr="00697C31">
        <w:rPr>
          <w:rFonts w:cs="Arial"/>
          <w:kern w:val="28"/>
        </w:rPr>
        <w:t>In the event that</w:t>
      </w:r>
      <w:proofErr w:type="gramEnd"/>
      <w:r w:rsidRPr="00697C31">
        <w:rPr>
          <w:rFonts w:cs="Arial"/>
          <w:kern w:val="28"/>
        </w:rPr>
        <w:t xml:space="preserve"> it is not possible to segregate any Departmental Data then the Contractor and any sub-contractor shall be required to ensure that it is stored in such a way that it is possible to securely delete the data in line with Clause 12.14.</w:t>
      </w:r>
    </w:p>
    <w:p w14:paraId="45F23D93"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 xml:space="preserve">The Contractor shall have in place and maintain physical security, in line with those outlined in ISO/IEC 27002 including, but not limited to, entry control mechanisms (e.g. door access) to premises and sensitive areas </w:t>
      </w:r>
    </w:p>
    <w:p w14:paraId="79310CF0"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shall have in place and maintain an access control policy and process for the logical access (e.g. identification and authentication) to ICT systems to ensure only authorised personnel have access to Departmental Data.</w:t>
      </w:r>
    </w:p>
    <w:p w14:paraId="69CA398A"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shall have in place and shall maintain procedural, personnel, physical and technical safeguards to protect Departmental Data, including but not limited to: physical security controls; good industry standard policies and process; anti-virus and firewalls; security updates and up-to-date patching regimes for anti-virus solutions; operating systems, network devices, and application software, user access controls and the creation and retention of audit logs of system use.</w:t>
      </w:r>
    </w:p>
    <w:p w14:paraId="0E0E41C5"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Any data in transit using either physical or electronic transfer methods across public space or cyberspace, including mail and couriers systems, or third party provider networks must be protected via encryption which has been certified to FIPS 140-2 standard or a similar method approved by the Department prior to being used for the transfer of any Departmental Data.</w:t>
      </w:r>
    </w:p>
    <w:p w14:paraId="53FDE5DA"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Storage of Departmental Data on any portable devices or media shall be limited to the absolute minimum required to deliver the stated business requirement and shall be subject to Clause 12.11 and 12.12 below.</w:t>
      </w:r>
    </w:p>
    <w:p w14:paraId="4E67BA61"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Any portable removable media (including but not constrained to pen drives, flash drives, memory sticks, CDs, DVDs, or other devices) which handle, store or process Departmental Data to deliver and support the service, shall be under the control and configuration management of the contractor or (sub-)contractors providing the service, shall be both necessary to deliver the service and shall be encrypted using a product which has been certified to FIPS140-2 standard or another encryption standard that is acceptable to the Department.</w:t>
      </w:r>
    </w:p>
    <w:p w14:paraId="7C660170"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lastRenderedPageBreak/>
        <w:t>All portable ICT devices, including but not limited to laptops, tablets, smartphones or other devices, such as smart watches, which handle, store or process Departmental Data to deliver and support the service, shall be under the control and configuration management of the contractor or sub-contractors providing the service, and shall be necessary to deliver the service. These devices shall be full-disk encrypted using a product which has been certified to FIPS140-2 standard or another encryption standard that is acceptable to the Department.</w:t>
      </w:r>
    </w:p>
    <w:p w14:paraId="70521C99"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Whilst in the Contractor’s care all removable media and hardcopy paper documents containing Departmental Data must be handled securely and secured under lock and key when not in use and shall be securely destroyed when no longer required, using either a cross-cut shredder or a professional secure disposal organisation.</w:t>
      </w:r>
    </w:p>
    <w:p w14:paraId="191FFD9D"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When necessary to hand carry removable media and/or hardcopy paper documents containing Departmental Data, the media or documents being carried shall be kept under cover and transported in such a way as to ensure that no unauthorised person has either visual or physical access to the material being carried. This clause shall apply equally regardless of whether the material is being carried inside or outside of company premises.</w:t>
      </w:r>
    </w:p>
    <w:p w14:paraId="7B513664"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At the end of the contract or in the event of equipment failure or obsolescence, all Departmental information and data, in either hardcopy or electronic format, that is physically held or logically stored on the Contractor’s ICT infrastructure must be securely sanitised or destroyed and accounted for in accordance with the current HMG policy using a NCSC</w:t>
      </w:r>
      <w:r w:rsidRPr="00697C31">
        <w:rPr>
          <w:rFonts w:cs="Arial"/>
          <w:color w:val="FF0000"/>
          <w:kern w:val="28"/>
        </w:rPr>
        <w:t xml:space="preserve"> </w:t>
      </w:r>
      <w:r w:rsidRPr="00697C31">
        <w:rPr>
          <w:rFonts w:cs="Arial"/>
          <w:kern w:val="28"/>
        </w:rPr>
        <w:t xml:space="preserve">approved product or method. Where sanitisation or destruction is not possible for legal, regulatory or technical reasons, such as a Storage Area Network (SAN) or shared backup tapes, then the Contractor or sub-contractor shall protect the Department’s information and data until the time, which may be long after the end of the contract, when it can be securely cleansed or destroyed. </w:t>
      </w:r>
    </w:p>
    <w:p w14:paraId="75A089AB"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Access by Contractor or sub-contractor staff to Departmental Data shall be confined to those individuals who have a “need-to-know” in order to carry out their role; and have undergone mandatory pre-employment screening, to a minimum of HMG Baseline Personnel Security Standard (BPSS); or hold an appropriate National Security Vetting clearance as required by the Department. All Contractor or sub-contractor staff must complete this process before access to Departmental Data is permitted.</w:t>
      </w:r>
    </w:p>
    <w:p w14:paraId="2ACE6254"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All Contractor or sub-contractor employees who handle Departmental Data must have annual awareness training in protecting information.</w:t>
      </w:r>
    </w:p>
    <w:p w14:paraId="4A9EF812"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 xml:space="preserve">The Contractor shall, as a minimum, have in place robust Business Continuity arrangements and processes including IT disaster recovery plans and procedures that conform to ISO 22301 to ensure that the delivery of the contract is not adversely affected in the event of an incident. An incident shall be defined as any situation that might, or could lead to, a disruption, loss, emergency or crisis to the services delivered. If </w:t>
      </w:r>
      <w:proofErr w:type="gramStart"/>
      <w:r w:rsidRPr="00697C31">
        <w:rPr>
          <w:rFonts w:cs="Arial"/>
          <w:kern w:val="28"/>
        </w:rPr>
        <w:t>a</w:t>
      </w:r>
      <w:proofErr w:type="gramEnd"/>
      <w:r w:rsidRPr="00697C31">
        <w:rPr>
          <w:rFonts w:cs="Arial"/>
          <w:kern w:val="28"/>
        </w:rPr>
        <w:t xml:space="preserve"> ISO 22301 certificate is not available the supplier will provide evidence of the effectiveness of their ISO 22301 conformant Business Continuity arrangements and processes including IT disaster recovery plans and procedures. This should include evidence that the Contractor has tested or exercised these plans within the last 12 months and produced a written report of the outcome, including required actions. </w:t>
      </w:r>
    </w:p>
    <w:p w14:paraId="4F9FB649" w14:textId="77777777" w:rsidR="001209F1" w:rsidRPr="00697C31" w:rsidRDefault="001209F1" w:rsidP="00EA4286">
      <w:pPr>
        <w:keepNext/>
        <w:keepLines/>
        <w:widowControl/>
        <w:numPr>
          <w:ilvl w:val="1"/>
          <w:numId w:val="20"/>
        </w:numPr>
        <w:tabs>
          <w:tab w:val="clear" w:pos="1440"/>
        </w:tabs>
        <w:spacing w:before="120" w:after="120"/>
        <w:ind w:left="709" w:hanging="851"/>
        <w:outlineLvl w:val="1"/>
        <w:rPr>
          <w:rFonts w:cs="Arial"/>
          <w:kern w:val="28"/>
        </w:rPr>
      </w:pPr>
      <w:r w:rsidRPr="00697C31">
        <w:rPr>
          <w:rFonts w:cs="Arial"/>
          <w:kern w:val="28"/>
        </w:rPr>
        <w:lastRenderedPageBreak/>
        <w:t>Any suspected or actual breach of the confidentiality, integrity or availability of Departmental Data being handled in the course of providing this service, or any non-compliance with these Departmental Security Standards for Contractors, or other Security Standards pertaining to the solution, shall be investigated immediately and escalated to the Department by a method agreed by both parties.</w:t>
      </w:r>
    </w:p>
    <w:p w14:paraId="3D20F000"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shall ensure that any IT systems and hosting environments that are used to handle, store or process Departmental Data shall be subject to independent IT Health Checks (ITHC) using a NCSC approved ITHC provider before go-live and periodically (at least annually) thereafter. The findings of the ITHC relevant to the service being provided are to be shared with the Department and all necessary remedial work carried out. In the event of significant security issues being identified, a follow up remediation test may be required.</w:t>
      </w:r>
    </w:p>
    <w:p w14:paraId="33A415E7"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or sub-contractors providing the service will provide the Department with full details of any storage of Departmental Data outside of the UK or any future intention to host Departmental Data outside the UK or to perform any form of ICT management, support or development function from outside the UK. The Contractor or sub-contractor will not go ahead with any such proposal without the prior written agreement from the Department.</w:t>
      </w:r>
    </w:p>
    <w:p w14:paraId="38E919F5"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Department reserves the right to audit the Contractor or sub-contractors providing the service within a mutually agreed timeframe but always within seven days of notice of a request to audit being given. The audit shall cover the overall scope of the service being supplied and the Contractor’s, and any sub-contractors, compliance with the clauses contained in this Section.</w:t>
      </w:r>
    </w:p>
    <w:p w14:paraId="61959A14"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shall contractually enforce all these Departmental Security Standards for Contractors onto any third-party suppliers, sub-contractors or partners who could potentially access Departmental Data in the course of providing this service.</w:t>
      </w:r>
    </w:p>
    <w:p w14:paraId="4344D572" w14:textId="77777777" w:rsidR="001209F1" w:rsidRPr="00697C31" w:rsidRDefault="001209F1" w:rsidP="00EA4286">
      <w:pPr>
        <w:keepNext/>
        <w:keepLines/>
        <w:widowControl/>
        <w:numPr>
          <w:ilvl w:val="1"/>
          <w:numId w:val="20"/>
        </w:numPr>
        <w:tabs>
          <w:tab w:val="clear" w:pos="1440"/>
          <w:tab w:val="num" w:pos="709"/>
        </w:tabs>
        <w:spacing w:before="120" w:after="120"/>
        <w:ind w:left="709" w:hanging="851"/>
        <w:outlineLvl w:val="1"/>
        <w:rPr>
          <w:rFonts w:cs="Arial"/>
          <w:kern w:val="28"/>
        </w:rPr>
      </w:pPr>
      <w:r w:rsidRPr="00697C31">
        <w:rPr>
          <w:rFonts w:cs="Arial"/>
          <w:kern w:val="28"/>
        </w:rPr>
        <w:t>The Contractor and sub-contractors shall undergo appropriate security assurance activities as determined by the Department. Contractor and sub-contractors shall support the provision of appropriate evidence of assurance and the production of the necessary security documentation such as completing the DfE Security Assurance Model (DSAM) process or the Business Service Assurance Model (BSAM). This will include obtaining any necessary professional security resources required to support the Contractor’s and sub-contractor’s security assurance activities such as: a NCSC Certified Cyber Security Consultancy (CCSC) or NCSC Certified Professional (CCP) Security and Information Risk Advisor (SIRA)</w:t>
      </w:r>
    </w:p>
    <w:p w14:paraId="42BD4AA2" w14:textId="77777777" w:rsidR="00D71F29" w:rsidRPr="00697C31" w:rsidRDefault="00D71F29" w:rsidP="001209F1">
      <w:pPr>
        <w:widowContro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rPr>
      </w:pPr>
    </w:p>
    <w:sectPr w:rsidR="00D71F29" w:rsidRPr="00697C31" w:rsidSect="004D1053">
      <w:pgSz w:w="11909" w:h="16834" w:code="9"/>
      <w:pgMar w:top="1080" w:right="1844"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82755" w14:textId="77777777" w:rsidR="00174D45" w:rsidRDefault="00174D45">
      <w:r>
        <w:separator/>
      </w:r>
    </w:p>
  </w:endnote>
  <w:endnote w:type="continuationSeparator" w:id="0">
    <w:p w14:paraId="6977A921" w14:textId="77777777" w:rsidR="00174D45" w:rsidRDefault="00174D45">
      <w:r>
        <w:continuationSeparator/>
      </w:r>
    </w:p>
  </w:endnote>
  <w:endnote w:type="continuationNotice" w:id="1">
    <w:p w14:paraId="567A78C7" w14:textId="77777777" w:rsidR="00174D45" w:rsidRDefault="00174D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Marlett">
    <w:panose1 w:val="00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enlo Regular">
    <w:altName w:val="Arial"/>
    <w:charset w:val="00"/>
    <w:family w:val="auto"/>
    <w:pitch w:val="variable"/>
    <w:sig w:usb0="00000000" w:usb1="D200F9FB" w:usb2="02000028" w:usb3="00000000" w:csb0="000001D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EC149" w14:textId="77777777" w:rsidR="004C4417" w:rsidRDefault="004C44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6BA10F" w14:textId="77777777" w:rsidR="00174D45" w:rsidRPr="004D1053" w:rsidRDefault="00174D45">
    <w:pPr>
      <w:pStyle w:val="Footer"/>
      <w:rPr>
        <w:rFonts w:ascii="Times New Roman" w:hAnsi="Times New Roman" w:cs="Times New Roman"/>
        <w:sz w:val="20"/>
        <w:szCs w:val="20"/>
      </w:rPr>
    </w:pPr>
    <w:r w:rsidRPr="004D1053">
      <w:rPr>
        <w:rFonts w:ascii="Times New Roman" w:hAnsi="Times New Roman" w:cs="Times New Roman"/>
        <w:sz w:val="20"/>
        <w:szCs w:val="20"/>
      </w:rPr>
      <w:t>V</w:t>
    </w:r>
    <w:r>
      <w:rPr>
        <w:rFonts w:ascii="Times New Roman" w:hAnsi="Times New Roman" w:cs="Times New Roman"/>
        <w:sz w:val="20"/>
        <w:szCs w:val="20"/>
      </w:rPr>
      <w:t>5</w:t>
    </w:r>
    <w:r w:rsidRPr="004D1053">
      <w:rPr>
        <w:rFonts w:ascii="Times New Roman" w:hAnsi="Times New Roman" w:cs="Times New Roman"/>
        <w:sz w:val="20"/>
        <w:szCs w:val="20"/>
      </w:rPr>
      <w:t xml:space="preserve"> – </w:t>
    </w:r>
    <w:r>
      <w:rPr>
        <w:rFonts w:ascii="Times New Roman" w:hAnsi="Times New Roman" w:cs="Times New Roman"/>
        <w:sz w:val="20"/>
        <w:szCs w:val="20"/>
      </w:rPr>
      <w:t>9</w:t>
    </w:r>
    <w:proofErr w:type="gramStart"/>
    <w:r w:rsidRPr="00DD78E6">
      <w:rPr>
        <w:rFonts w:ascii="Times New Roman" w:hAnsi="Times New Roman" w:cs="Times New Roman"/>
        <w:sz w:val="20"/>
        <w:szCs w:val="20"/>
        <w:vertAlign w:val="superscript"/>
      </w:rPr>
      <w:t>th</w:t>
    </w:r>
    <w:r>
      <w:rPr>
        <w:rFonts w:ascii="Times New Roman" w:hAnsi="Times New Roman" w:cs="Times New Roman"/>
        <w:sz w:val="20"/>
        <w:szCs w:val="20"/>
      </w:rPr>
      <w:t xml:space="preserve">  January</w:t>
    </w:r>
    <w:proofErr w:type="gramEnd"/>
    <w:r>
      <w:rPr>
        <w:rFonts w:ascii="Times New Roman" w:hAnsi="Times New Roman" w:cs="Times New Roman"/>
        <w:sz w:val="20"/>
        <w:szCs w:val="20"/>
      </w:rPr>
      <w:t xml:space="preserve"> 2019</w:t>
    </w:r>
    <w:r w:rsidRPr="004D1053">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D1053">
      <w:rPr>
        <w:rFonts w:ascii="Times New Roman" w:hAnsi="Times New Roman" w:cs="Times New Roman"/>
        <w:sz w:val="20"/>
        <w:szCs w:val="20"/>
      </w:rPr>
      <w:t xml:space="preserve">      </w:t>
    </w:r>
    <w:r w:rsidRPr="004D1053">
      <w:rPr>
        <w:rFonts w:ascii="Times New Roman" w:hAnsi="Times New Roman" w:cs="Times New Roman"/>
        <w:sz w:val="20"/>
        <w:szCs w:val="20"/>
      </w:rPr>
      <w:fldChar w:fldCharType="begin"/>
    </w:r>
    <w:r w:rsidRPr="004D1053">
      <w:rPr>
        <w:rFonts w:ascii="Times New Roman" w:hAnsi="Times New Roman" w:cs="Times New Roman"/>
        <w:sz w:val="20"/>
        <w:szCs w:val="20"/>
      </w:rPr>
      <w:instrText xml:space="preserve"> PAGE   \* MERGEFORMAT </w:instrText>
    </w:r>
    <w:r w:rsidRPr="004D1053">
      <w:rPr>
        <w:rFonts w:ascii="Times New Roman" w:hAnsi="Times New Roman" w:cs="Times New Roman"/>
        <w:sz w:val="20"/>
        <w:szCs w:val="20"/>
      </w:rPr>
      <w:fldChar w:fldCharType="separate"/>
    </w:r>
    <w:r>
      <w:rPr>
        <w:rFonts w:ascii="Times New Roman" w:hAnsi="Times New Roman" w:cs="Times New Roman"/>
        <w:noProof/>
        <w:sz w:val="20"/>
        <w:szCs w:val="20"/>
      </w:rPr>
      <w:t>16</w:t>
    </w:r>
    <w:r w:rsidRPr="004D1053">
      <w:rPr>
        <w:rFonts w:ascii="Times New Roman" w:hAnsi="Times New Roman" w:cs="Times New Roman"/>
        <w:noProof/>
        <w:sz w:val="20"/>
        <w:szCs w:val="20"/>
      </w:rPr>
      <w:fldChar w:fldCharType="end"/>
    </w:r>
    <w:r w:rsidRPr="004D1053">
      <w:rPr>
        <w:rFonts w:ascii="Times New Roman" w:hAnsi="Times New Roman" w:cs="Times New Roman"/>
        <w:noProof/>
        <w:sz w:val="20"/>
        <w:szCs w:val="20"/>
      </w:rPr>
      <w:t xml:space="preserve">                                      Review 31</w:t>
    </w:r>
    <w:r w:rsidRPr="004D1053">
      <w:rPr>
        <w:rFonts w:ascii="Times New Roman" w:hAnsi="Times New Roman" w:cs="Times New Roman"/>
        <w:noProof/>
        <w:sz w:val="20"/>
        <w:szCs w:val="20"/>
        <w:vertAlign w:val="superscript"/>
      </w:rPr>
      <w:t>st</w:t>
    </w:r>
    <w:r w:rsidRPr="004D1053">
      <w:rPr>
        <w:rFonts w:ascii="Times New Roman" w:hAnsi="Times New Roman" w:cs="Times New Roman"/>
        <w:noProof/>
        <w:sz w:val="20"/>
        <w:szCs w:val="20"/>
      </w:rPr>
      <w:t xml:space="preserve"> </w:t>
    </w:r>
    <w:r>
      <w:rPr>
        <w:rFonts w:ascii="Times New Roman" w:hAnsi="Times New Roman" w:cs="Times New Roman"/>
        <w:noProof/>
        <w:sz w:val="20"/>
        <w:szCs w:val="20"/>
      </w:rPr>
      <w:t>March 2019</w:t>
    </w:r>
    <w:r w:rsidRPr="004D1053">
      <w:rPr>
        <w:rFonts w:ascii="Times New Roman" w:hAnsi="Times New Roman" w:cs="Times New Roman"/>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E26680" w14:textId="77777777" w:rsidR="00174D45" w:rsidRDefault="00174D45">
    <w:pPr>
      <w:pStyle w:val="Footer"/>
    </w:pPr>
    <w:r>
      <w:t>July 2014 version</w:t>
    </w:r>
  </w:p>
  <w:p w14:paraId="588303FB" w14:textId="77777777" w:rsidR="00174D45" w:rsidRDefault="00174D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5C91CF" w14:textId="77777777" w:rsidR="00174D45" w:rsidRDefault="00174D45">
      <w:r>
        <w:separator/>
      </w:r>
    </w:p>
  </w:footnote>
  <w:footnote w:type="continuationSeparator" w:id="0">
    <w:p w14:paraId="0C0AA467" w14:textId="77777777" w:rsidR="00174D45" w:rsidRDefault="00174D45">
      <w:r>
        <w:continuationSeparator/>
      </w:r>
    </w:p>
  </w:footnote>
  <w:footnote w:type="continuationNotice" w:id="1">
    <w:p w14:paraId="4B726869" w14:textId="77777777" w:rsidR="00174D45" w:rsidRDefault="00174D45"/>
  </w:footnote>
  <w:footnote w:id="2">
    <w:p w14:paraId="4FDCE19F" w14:textId="77777777" w:rsidR="00174D45" w:rsidRPr="007C72BF" w:rsidRDefault="00174D45" w:rsidP="00BC41D0">
      <w:pPr>
        <w:pStyle w:val="FootnoteText"/>
        <w:rPr>
          <w:rFonts w:ascii="Arial" w:hAnsi="Arial" w:cs="Arial"/>
        </w:rPr>
      </w:pPr>
      <w:r w:rsidRPr="007C72BF">
        <w:rPr>
          <w:rStyle w:val="FootnoteReference"/>
          <w:rFonts w:ascii="Arial" w:hAnsi="Arial" w:cs="Arial"/>
        </w:rPr>
        <w:footnoteRef/>
      </w:r>
      <w:r w:rsidRPr="007C72BF">
        <w:rPr>
          <w:rFonts w:ascii="Arial" w:hAnsi="Arial" w:cs="Arial"/>
        </w:rPr>
        <w:t xml:space="preserve"> Social Mobility Commission, </w:t>
      </w:r>
      <w:r w:rsidRPr="007C72BF">
        <w:rPr>
          <w:rFonts w:ascii="Arial" w:hAnsi="Arial" w:cs="Arial"/>
          <w:i/>
        </w:rPr>
        <w:t>The Great Escape</w:t>
      </w:r>
      <w:r w:rsidRPr="007C72BF">
        <w:rPr>
          <w:rFonts w:ascii="Arial" w:hAnsi="Arial" w:cs="Arial"/>
        </w:rPr>
        <w:t>, 2017</w:t>
      </w:r>
    </w:p>
  </w:footnote>
  <w:footnote w:id="3">
    <w:p w14:paraId="67C86F65" w14:textId="77777777" w:rsidR="00174D45" w:rsidRPr="007C72BF" w:rsidRDefault="00174D45" w:rsidP="00BC41D0">
      <w:pPr>
        <w:pStyle w:val="FootnoteText"/>
        <w:rPr>
          <w:rFonts w:ascii="Arial" w:hAnsi="Arial" w:cs="Arial"/>
        </w:rPr>
      </w:pPr>
      <w:r w:rsidRPr="007C72BF">
        <w:rPr>
          <w:rStyle w:val="FootnoteReference"/>
          <w:rFonts w:ascii="Arial" w:hAnsi="Arial" w:cs="Arial"/>
        </w:rPr>
        <w:footnoteRef/>
      </w:r>
      <w:r w:rsidRPr="007C72BF">
        <w:rPr>
          <w:rFonts w:ascii="Arial" w:hAnsi="Arial" w:cs="Arial"/>
        </w:rPr>
        <w:t xml:space="preserve"> Resolution Foundation, </w:t>
      </w:r>
      <w:r w:rsidRPr="007C72BF">
        <w:rPr>
          <w:rFonts w:ascii="Arial" w:hAnsi="Arial" w:cs="Arial"/>
          <w:i/>
        </w:rPr>
        <w:t>Low Pay Britain</w:t>
      </w:r>
      <w:r w:rsidRPr="007C72BF">
        <w:rPr>
          <w:rFonts w:ascii="Arial" w:hAnsi="Arial" w:cs="Arial"/>
        </w:rPr>
        <w:t>, 2018</w:t>
      </w:r>
    </w:p>
  </w:footnote>
  <w:footnote w:id="4">
    <w:p w14:paraId="0F665F58" w14:textId="77777777" w:rsidR="00174D45" w:rsidRPr="007C72BF" w:rsidRDefault="00174D45" w:rsidP="00BC41D0">
      <w:pPr>
        <w:pStyle w:val="FootnoteText"/>
        <w:rPr>
          <w:rFonts w:ascii="Arial" w:hAnsi="Arial" w:cs="Arial"/>
        </w:rPr>
      </w:pPr>
      <w:r w:rsidRPr="007C72BF">
        <w:rPr>
          <w:rStyle w:val="FootnoteReference"/>
          <w:rFonts w:ascii="Arial" w:hAnsi="Arial" w:cs="Arial"/>
        </w:rPr>
        <w:footnoteRef/>
      </w:r>
      <w:r w:rsidRPr="007C72BF">
        <w:rPr>
          <w:rFonts w:ascii="Arial" w:hAnsi="Arial" w:cs="Arial"/>
        </w:rPr>
        <w:t xml:space="preserve"> Social Mobility Commission, </w:t>
      </w:r>
      <w:r w:rsidRPr="007C72BF">
        <w:rPr>
          <w:rFonts w:ascii="Arial" w:hAnsi="Arial" w:cs="Arial"/>
          <w:i/>
        </w:rPr>
        <w:t>The adult skills gap</w:t>
      </w:r>
      <w:r w:rsidRPr="007C72BF">
        <w:rPr>
          <w:rFonts w:ascii="Arial" w:hAnsi="Arial" w:cs="Arial"/>
        </w:rPr>
        <w:t>, 2019</w:t>
      </w:r>
    </w:p>
  </w:footnote>
  <w:footnote w:id="5">
    <w:p w14:paraId="65646ACA" w14:textId="77777777" w:rsidR="00174D45" w:rsidRPr="007C72BF" w:rsidRDefault="00174D45" w:rsidP="00BC41D0">
      <w:pPr>
        <w:pStyle w:val="FootnoteText"/>
        <w:rPr>
          <w:rFonts w:ascii="Arial" w:hAnsi="Arial" w:cs="Arial"/>
        </w:rPr>
      </w:pPr>
      <w:r w:rsidRPr="007C72BF">
        <w:rPr>
          <w:rStyle w:val="FootnoteReference"/>
          <w:rFonts w:ascii="Arial" w:hAnsi="Arial" w:cs="Arial"/>
        </w:rPr>
        <w:footnoteRef/>
      </w:r>
      <w:r w:rsidRPr="007C72BF">
        <w:rPr>
          <w:rFonts w:ascii="Arial" w:hAnsi="Arial" w:cs="Arial"/>
        </w:rPr>
        <w:t xml:space="preserve"> Department for Education, </w:t>
      </w:r>
      <w:r w:rsidRPr="007C72BF">
        <w:rPr>
          <w:rFonts w:ascii="Arial" w:hAnsi="Arial" w:cs="Arial"/>
          <w:i/>
        </w:rPr>
        <w:t>Level 2 and 3 attainment in England: Attainment by age 19 in 2017</w:t>
      </w:r>
      <w:r w:rsidRPr="007C72BF">
        <w:rPr>
          <w:rFonts w:ascii="Arial" w:hAnsi="Arial" w:cs="Arial"/>
        </w:rPr>
        <w:t>, 2018</w:t>
      </w:r>
    </w:p>
  </w:footnote>
  <w:footnote w:id="6">
    <w:p w14:paraId="5861AD95" w14:textId="77777777" w:rsidR="00174D45" w:rsidRPr="007C72BF" w:rsidRDefault="00174D45" w:rsidP="00BC41D0">
      <w:pPr>
        <w:pStyle w:val="FootnoteText"/>
        <w:rPr>
          <w:rFonts w:ascii="Arial" w:hAnsi="Arial" w:cs="Arial"/>
        </w:rPr>
      </w:pPr>
      <w:r w:rsidRPr="007C72BF">
        <w:rPr>
          <w:rStyle w:val="FootnoteReference"/>
          <w:rFonts w:ascii="Arial" w:hAnsi="Arial" w:cs="Arial"/>
        </w:rPr>
        <w:footnoteRef/>
      </w:r>
      <w:r w:rsidRPr="007C72BF">
        <w:rPr>
          <w:rFonts w:ascii="Arial" w:hAnsi="Arial" w:cs="Arial"/>
        </w:rPr>
        <w:t xml:space="preserve"> Ibid.</w:t>
      </w:r>
    </w:p>
  </w:footnote>
  <w:footnote w:id="7">
    <w:p w14:paraId="364D240B" w14:textId="77777777" w:rsidR="00174D45" w:rsidRPr="007C72BF" w:rsidRDefault="00174D45" w:rsidP="00BC41D0">
      <w:pPr>
        <w:pStyle w:val="FootnoteText"/>
        <w:rPr>
          <w:rFonts w:ascii="Arial" w:hAnsi="Arial" w:cs="Arial"/>
        </w:rPr>
      </w:pPr>
      <w:r w:rsidRPr="007C72BF">
        <w:rPr>
          <w:rStyle w:val="FootnoteReference"/>
          <w:rFonts w:ascii="Arial" w:hAnsi="Arial" w:cs="Arial"/>
        </w:rPr>
        <w:footnoteRef/>
      </w:r>
      <w:r w:rsidRPr="007C72BF">
        <w:rPr>
          <w:rFonts w:ascii="Arial" w:hAnsi="Arial" w:cs="Arial"/>
        </w:rPr>
        <w:t xml:space="preserve"> Ibid.</w:t>
      </w:r>
    </w:p>
  </w:footnote>
  <w:footnote w:id="8">
    <w:p w14:paraId="486C7796" w14:textId="77777777" w:rsidR="00174D45" w:rsidRPr="007C72BF" w:rsidRDefault="00174D45" w:rsidP="00BC41D0">
      <w:pPr>
        <w:pStyle w:val="FootnoteText"/>
        <w:rPr>
          <w:rFonts w:ascii="Arial" w:hAnsi="Arial" w:cs="Arial"/>
        </w:rPr>
      </w:pPr>
      <w:r w:rsidRPr="007C72BF">
        <w:rPr>
          <w:rStyle w:val="FootnoteReference"/>
          <w:rFonts w:ascii="Arial" w:hAnsi="Arial" w:cs="Arial"/>
        </w:rPr>
        <w:footnoteRef/>
      </w:r>
      <w:r w:rsidRPr="007C72BF">
        <w:rPr>
          <w:rFonts w:ascii="Arial" w:hAnsi="Arial" w:cs="Arial"/>
        </w:rPr>
        <w:t xml:space="preserve"> Social Mobility Commission, </w:t>
      </w:r>
      <w:r w:rsidRPr="007C72BF">
        <w:rPr>
          <w:rFonts w:ascii="Arial" w:hAnsi="Arial" w:cs="Arial"/>
          <w:i/>
        </w:rPr>
        <w:t>State of the Nation</w:t>
      </w:r>
      <w:r w:rsidRPr="007C72BF">
        <w:rPr>
          <w:rFonts w:ascii="Arial" w:hAnsi="Arial" w:cs="Arial"/>
        </w:rPr>
        <w:t>, 2018</w:t>
      </w:r>
    </w:p>
  </w:footnote>
  <w:footnote w:id="9">
    <w:p w14:paraId="04349B2D" w14:textId="77777777" w:rsidR="00174D45" w:rsidRPr="007C72BF" w:rsidRDefault="00174D45" w:rsidP="00BC41D0">
      <w:pPr>
        <w:pStyle w:val="FootnoteText"/>
        <w:rPr>
          <w:rFonts w:ascii="Arial" w:hAnsi="Arial" w:cs="Arial"/>
        </w:rPr>
      </w:pPr>
      <w:r w:rsidRPr="007C72BF">
        <w:rPr>
          <w:rStyle w:val="FootnoteReference"/>
          <w:rFonts w:ascii="Arial" w:hAnsi="Arial" w:cs="Arial"/>
        </w:rPr>
        <w:footnoteRef/>
      </w:r>
      <w:r w:rsidRPr="007C72BF">
        <w:rPr>
          <w:rFonts w:ascii="Arial" w:hAnsi="Arial" w:cs="Arial"/>
        </w:rPr>
        <w:t xml:space="preserve"> Social Mobility Commission, </w:t>
      </w:r>
      <w:r w:rsidRPr="007C72BF">
        <w:rPr>
          <w:rFonts w:ascii="Arial" w:hAnsi="Arial" w:cs="Arial"/>
          <w:i/>
        </w:rPr>
        <w:t>State of the Nation</w:t>
      </w:r>
      <w:r w:rsidRPr="007C72BF">
        <w:rPr>
          <w:rFonts w:ascii="Arial" w:hAnsi="Arial" w:cs="Arial"/>
        </w:rPr>
        <w:t>, 2018</w:t>
      </w:r>
    </w:p>
  </w:footnote>
  <w:footnote w:id="10">
    <w:p w14:paraId="7131AD1D" w14:textId="77777777" w:rsidR="00174D45" w:rsidRPr="007C72BF" w:rsidRDefault="00174D45" w:rsidP="00BC41D0">
      <w:pPr>
        <w:pStyle w:val="FootnoteText"/>
        <w:rPr>
          <w:rFonts w:ascii="Arial" w:hAnsi="Arial" w:cs="Arial"/>
          <w:i/>
        </w:rPr>
      </w:pPr>
      <w:r w:rsidRPr="007C72BF">
        <w:rPr>
          <w:rStyle w:val="FootnoteReference"/>
          <w:rFonts w:ascii="Arial" w:hAnsi="Arial" w:cs="Arial"/>
        </w:rPr>
        <w:footnoteRef/>
      </w:r>
      <w:r w:rsidRPr="007C72BF">
        <w:rPr>
          <w:rFonts w:ascii="Arial" w:hAnsi="Arial" w:cs="Arial"/>
        </w:rPr>
        <w:t xml:space="preserve"> Social Mobility Commission, </w:t>
      </w:r>
      <w:r w:rsidRPr="007C72BF">
        <w:rPr>
          <w:rFonts w:ascii="Arial" w:hAnsi="Arial" w:cs="Arial"/>
          <w:i/>
        </w:rPr>
        <w:t xml:space="preserve">Adult skills gap: is falling investment in UK adults stalling social </w:t>
      </w:r>
      <w:r w:rsidRPr="007C72BF">
        <w:rPr>
          <w:rFonts w:ascii="Arial" w:hAnsi="Arial" w:cs="Arial"/>
          <w:i/>
        </w:rPr>
        <w:t>mobility?,</w:t>
      </w:r>
      <w:r w:rsidRPr="007C72BF">
        <w:rPr>
          <w:rFonts w:ascii="Arial" w:hAnsi="Arial" w:cs="Arial"/>
        </w:rPr>
        <w:t xml:space="preserv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B5324" w14:textId="77777777" w:rsidR="004C4417" w:rsidRDefault="004C44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0307BA" w14:textId="77777777" w:rsidR="00174D45" w:rsidRDefault="00174D45">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45D6" w14:textId="77777777" w:rsidR="004C4417" w:rsidRDefault="004C441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AFFF1" w14:textId="77777777" w:rsidR="004C4417" w:rsidRDefault="004C4417">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C3723"/>
    <w:multiLevelType w:val="multilevel"/>
    <w:tmpl w:val="EEA015DC"/>
    <w:lvl w:ilvl="0">
      <w:start w:val="1"/>
      <w:numFmt w:val="lowerLetter"/>
      <w:lvlText w:val="(%1)"/>
      <w:lvlJc w:val="left"/>
      <w:pPr>
        <w:ind w:left="1800" w:firstLine="0"/>
      </w:pPr>
    </w:lvl>
    <w:lvl w:ilvl="1">
      <w:start w:val="1"/>
      <w:numFmt w:val="lowerLetter"/>
      <w:lvlText w:val="%2."/>
      <w:lvlJc w:val="left"/>
      <w:pPr>
        <w:ind w:left="3960" w:firstLine="0"/>
      </w:pPr>
    </w:lvl>
    <w:lvl w:ilvl="2">
      <w:start w:val="1"/>
      <w:numFmt w:val="lowerRoman"/>
      <w:lvlText w:val="%3."/>
      <w:lvlJc w:val="right"/>
      <w:pPr>
        <w:ind w:left="6300" w:firstLine="0"/>
      </w:pPr>
    </w:lvl>
    <w:lvl w:ilvl="3">
      <w:start w:val="1"/>
      <w:numFmt w:val="decimal"/>
      <w:lvlText w:val="%4."/>
      <w:lvlJc w:val="left"/>
      <w:pPr>
        <w:ind w:left="8280" w:firstLine="0"/>
      </w:pPr>
    </w:lvl>
    <w:lvl w:ilvl="4">
      <w:start w:val="1"/>
      <w:numFmt w:val="lowerLetter"/>
      <w:lvlText w:val="%5."/>
      <w:lvlJc w:val="left"/>
      <w:pPr>
        <w:ind w:left="10440" w:firstLine="0"/>
      </w:pPr>
    </w:lvl>
    <w:lvl w:ilvl="5">
      <w:start w:val="1"/>
      <w:numFmt w:val="lowerRoman"/>
      <w:lvlText w:val="%6."/>
      <w:lvlJc w:val="right"/>
      <w:pPr>
        <w:ind w:left="12780" w:firstLine="0"/>
      </w:pPr>
    </w:lvl>
    <w:lvl w:ilvl="6">
      <w:start w:val="1"/>
      <w:numFmt w:val="decimal"/>
      <w:lvlText w:val="%7."/>
      <w:lvlJc w:val="left"/>
      <w:pPr>
        <w:ind w:left="14760" w:firstLine="0"/>
      </w:pPr>
    </w:lvl>
    <w:lvl w:ilvl="7">
      <w:start w:val="1"/>
      <w:numFmt w:val="lowerLetter"/>
      <w:lvlText w:val="%8."/>
      <w:lvlJc w:val="left"/>
      <w:pPr>
        <w:ind w:left="16920" w:firstLine="0"/>
      </w:pPr>
    </w:lvl>
    <w:lvl w:ilvl="8">
      <w:start w:val="1"/>
      <w:numFmt w:val="lowerRoman"/>
      <w:lvlText w:val="%9."/>
      <w:lvlJc w:val="right"/>
      <w:pPr>
        <w:ind w:left="19260" w:firstLine="0"/>
      </w:pPr>
    </w:lvl>
  </w:abstractNum>
  <w:abstractNum w:abstractNumId="1" w15:restartNumberingAfterBreak="0">
    <w:nsid w:val="13195D50"/>
    <w:multiLevelType w:val="hybridMultilevel"/>
    <w:tmpl w:val="13B6A278"/>
    <w:lvl w:ilvl="0" w:tplc="DD0478D0">
      <w:start w:val="1"/>
      <w:numFmt w:val="bullet"/>
      <w:lvlText w:val="-"/>
      <w:lvlJc w:val="left"/>
      <w:pPr>
        <w:ind w:left="1080" w:hanging="360"/>
      </w:pPr>
      <w:rPr>
        <w:rFonts w:ascii="Courier New" w:hAnsi="Courier New" w:hint="default"/>
      </w:rPr>
    </w:lvl>
    <w:lvl w:ilvl="1" w:tplc="DD0478D0">
      <w:start w:val="1"/>
      <w:numFmt w:val="bullet"/>
      <w:lvlText w:val="-"/>
      <w:lvlJc w:val="left"/>
      <w:pPr>
        <w:ind w:left="1800" w:hanging="360"/>
      </w:pPr>
      <w:rPr>
        <w:rFonts w:ascii="Courier New" w:hAnsi="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34A30BE"/>
    <w:multiLevelType w:val="hybridMultilevel"/>
    <w:tmpl w:val="A4F010E6"/>
    <w:lvl w:ilvl="0" w:tplc="471693E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B309FC"/>
    <w:multiLevelType w:val="hybridMultilevel"/>
    <w:tmpl w:val="7D72EA3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 w15:restartNumberingAfterBreak="0">
    <w:nsid w:val="258F0E2F"/>
    <w:multiLevelType w:val="hybridMultilevel"/>
    <w:tmpl w:val="F3F8146E"/>
    <w:lvl w:ilvl="0" w:tplc="1B701348">
      <w:start w:val="1"/>
      <w:numFmt w:val="decimal"/>
      <w:lvlText w:val="%1."/>
      <w:lvlJc w:val="left"/>
      <w:pPr>
        <w:ind w:left="720" w:hanging="360"/>
      </w:pPr>
      <w:rPr>
        <w:rFonts w:hint="default"/>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6" w15:restartNumberingAfterBreak="0">
    <w:nsid w:val="26497A72"/>
    <w:multiLevelType w:val="singleLevel"/>
    <w:tmpl w:val="8FD8BB0E"/>
    <w:lvl w:ilvl="0">
      <w:start w:val="1"/>
      <w:numFmt w:val="none"/>
      <w:lvlText w:val=""/>
      <w:legacy w:legacy="1" w:legacySpace="0" w:legacyIndent="283"/>
      <w:lvlJc w:val="left"/>
      <w:pPr>
        <w:ind w:left="2443" w:hanging="283"/>
      </w:pPr>
      <w:rPr>
        <w:rFonts w:ascii="Symbol" w:hAnsi="Symbol" w:hint="default"/>
      </w:rPr>
    </w:lvl>
  </w:abstractNum>
  <w:abstractNum w:abstractNumId="7" w15:restartNumberingAfterBreak="0">
    <w:nsid w:val="29CF23BE"/>
    <w:multiLevelType w:val="hybridMultilevel"/>
    <w:tmpl w:val="EBAA60E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BEE11D3"/>
    <w:multiLevelType w:val="hybridMultilevel"/>
    <w:tmpl w:val="FD8EEBB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CBA094E"/>
    <w:multiLevelType w:val="singleLevel"/>
    <w:tmpl w:val="8FD8BB0E"/>
    <w:lvl w:ilvl="0">
      <w:start w:val="1"/>
      <w:numFmt w:val="none"/>
      <w:lvlText w:val=""/>
      <w:legacy w:legacy="1" w:legacySpace="0" w:legacyIndent="283"/>
      <w:lvlJc w:val="left"/>
      <w:pPr>
        <w:ind w:left="2443" w:hanging="283"/>
      </w:pPr>
      <w:rPr>
        <w:rFonts w:ascii="Symbol" w:hAnsi="Symbol" w:hint="default"/>
      </w:rPr>
    </w:lvl>
  </w:abstractNum>
  <w:abstractNum w:abstractNumId="10" w15:restartNumberingAfterBreak="0">
    <w:nsid w:val="2EDF68CD"/>
    <w:multiLevelType w:val="hybridMultilevel"/>
    <w:tmpl w:val="BCDE393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0142F07"/>
    <w:multiLevelType w:val="singleLevel"/>
    <w:tmpl w:val="8FD8BB0E"/>
    <w:lvl w:ilvl="0">
      <w:start w:val="1"/>
      <w:numFmt w:val="none"/>
      <w:lvlText w:val=""/>
      <w:legacy w:legacy="1" w:legacySpace="0" w:legacyIndent="283"/>
      <w:lvlJc w:val="left"/>
      <w:pPr>
        <w:ind w:left="2443" w:hanging="283"/>
      </w:pPr>
      <w:rPr>
        <w:rFonts w:ascii="Symbol" w:hAnsi="Symbol" w:hint="default"/>
      </w:rPr>
    </w:lvl>
  </w:abstractNum>
  <w:abstractNum w:abstractNumId="12" w15:restartNumberingAfterBreak="0">
    <w:nsid w:val="31BF252A"/>
    <w:multiLevelType w:val="multilevel"/>
    <w:tmpl w:val="5A480FB2"/>
    <w:lvl w:ilvl="0">
      <w:start w:val="12"/>
      <w:numFmt w:val="decimal"/>
      <w:lvlRestart w:val="0"/>
      <w:lvlText w:val="%1."/>
      <w:lvlJc w:val="left"/>
      <w:pPr>
        <w:tabs>
          <w:tab w:val="num" w:pos="720"/>
        </w:tabs>
        <w:ind w:left="0" w:firstLine="0"/>
      </w:pPr>
      <w:rPr>
        <w:rFonts w:hint="default"/>
      </w:rPr>
    </w:lvl>
    <w:lvl w:ilvl="1">
      <w:start w:val="4"/>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13" w15:restartNumberingAfterBreak="0">
    <w:nsid w:val="321049E0"/>
    <w:multiLevelType w:val="hybridMultilevel"/>
    <w:tmpl w:val="A27A9BE8"/>
    <w:lvl w:ilvl="0" w:tplc="000AB6A2">
      <w:start w:val="1"/>
      <w:numFmt w:val="bullet"/>
      <w:lvlRestart w:val="0"/>
      <w:pStyle w:val="DfESBullets"/>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2DF4918"/>
    <w:multiLevelType w:val="singleLevel"/>
    <w:tmpl w:val="F17850A0"/>
    <w:lvl w:ilvl="0">
      <w:start w:val="1"/>
      <w:numFmt w:val="none"/>
      <w:lvlText w:val=""/>
      <w:legacy w:legacy="1" w:legacySpace="120" w:legacyIndent="360"/>
      <w:lvlJc w:val="left"/>
      <w:pPr>
        <w:ind w:left="2160" w:hanging="360"/>
      </w:pPr>
      <w:rPr>
        <w:rFonts w:ascii="Symbol" w:hAnsi="Symbol" w:hint="default"/>
      </w:rPr>
    </w:lvl>
  </w:abstractNum>
  <w:abstractNum w:abstractNumId="15" w15:restartNumberingAfterBreak="0">
    <w:nsid w:val="339D5DC3"/>
    <w:multiLevelType w:val="hybridMultilevel"/>
    <w:tmpl w:val="115C76DA"/>
    <w:lvl w:ilvl="0" w:tplc="67D8487C">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6" w15:restartNumberingAfterBreak="0">
    <w:nsid w:val="343A4867"/>
    <w:multiLevelType w:val="hybridMultilevel"/>
    <w:tmpl w:val="0248D5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35D27B4E"/>
    <w:multiLevelType w:val="multilevel"/>
    <w:tmpl w:val="4A04092A"/>
    <w:lvl w:ilvl="0">
      <w:numFmt w:val="bullet"/>
      <w:lvlText w:val="●"/>
      <w:lvlJc w:val="left"/>
      <w:pPr>
        <w:ind w:left="1800" w:firstLine="0"/>
      </w:pPr>
      <w:rPr>
        <w:rFonts w:ascii="Arial" w:eastAsia="Arial" w:hAnsi="Arial" w:cs="Arial"/>
      </w:rPr>
    </w:lvl>
    <w:lvl w:ilvl="1">
      <w:numFmt w:val="bullet"/>
      <w:lvlText w:val="●"/>
      <w:lvlJc w:val="left"/>
      <w:pPr>
        <w:ind w:left="3960" w:firstLine="0"/>
      </w:pPr>
      <w:rPr>
        <w:rFonts w:ascii="Arial" w:eastAsia="Arial" w:hAnsi="Arial" w:cs="Arial"/>
      </w:rPr>
    </w:lvl>
    <w:lvl w:ilvl="2">
      <w:numFmt w:val="bullet"/>
      <w:lvlText w:val="▪"/>
      <w:lvlJc w:val="left"/>
      <w:pPr>
        <w:ind w:left="6120" w:firstLine="0"/>
      </w:pPr>
      <w:rPr>
        <w:rFonts w:ascii="Arial" w:eastAsia="Arial" w:hAnsi="Arial" w:cs="Arial"/>
      </w:rPr>
    </w:lvl>
    <w:lvl w:ilvl="3">
      <w:numFmt w:val="bullet"/>
      <w:lvlText w:val="●"/>
      <w:lvlJc w:val="left"/>
      <w:pPr>
        <w:ind w:left="8280" w:firstLine="0"/>
      </w:pPr>
      <w:rPr>
        <w:rFonts w:ascii="Arial" w:eastAsia="Arial" w:hAnsi="Arial" w:cs="Arial"/>
      </w:rPr>
    </w:lvl>
    <w:lvl w:ilvl="4">
      <w:start w:val="1"/>
      <w:numFmt w:val="decimal"/>
      <w:lvlText w:val="%5."/>
      <w:lvlJc w:val="left"/>
      <w:pPr>
        <w:ind w:left="1146" w:firstLine="0"/>
      </w:pPr>
    </w:lvl>
    <w:lvl w:ilvl="5">
      <w:start w:val="1"/>
      <w:numFmt w:val="decimal"/>
      <w:lvlText w:val="%6."/>
      <w:lvlJc w:val="left"/>
      <w:pPr>
        <w:ind w:left="12600" w:firstLine="0"/>
      </w:pPr>
    </w:lvl>
    <w:lvl w:ilvl="6">
      <w:start w:val="1"/>
      <w:numFmt w:val="decimal"/>
      <w:lvlText w:val="%7."/>
      <w:lvlJc w:val="left"/>
      <w:pPr>
        <w:ind w:left="14760" w:firstLine="0"/>
      </w:pPr>
    </w:lvl>
    <w:lvl w:ilvl="7">
      <w:start w:val="1"/>
      <w:numFmt w:val="decimal"/>
      <w:lvlText w:val="%8."/>
      <w:lvlJc w:val="left"/>
      <w:pPr>
        <w:ind w:left="16920" w:firstLine="0"/>
      </w:pPr>
    </w:lvl>
    <w:lvl w:ilvl="8">
      <w:start w:val="1"/>
      <w:numFmt w:val="decimal"/>
      <w:lvlText w:val="%9."/>
      <w:lvlJc w:val="left"/>
      <w:pPr>
        <w:ind w:left="19080" w:firstLine="0"/>
      </w:pPr>
    </w:lvl>
  </w:abstractNum>
  <w:abstractNum w:abstractNumId="18" w15:restartNumberingAfterBreak="0">
    <w:nsid w:val="362E2F3C"/>
    <w:multiLevelType w:val="singleLevel"/>
    <w:tmpl w:val="8FD8BB0E"/>
    <w:lvl w:ilvl="0">
      <w:start w:val="1"/>
      <w:numFmt w:val="none"/>
      <w:lvlText w:val=""/>
      <w:legacy w:legacy="1" w:legacySpace="0" w:legacyIndent="283"/>
      <w:lvlJc w:val="left"/>
      <w:pPr>
        <w:ind w:left="2443" w:hanging="283"/>
      </w:pPr>
      <w:rPr>
        <w:rFonts w:ascii="Symbol" w:hAnsi="Symbol" w:hint="default"/>
      </w:rPr>
    </w:lvl>
  </w:abstractNum>
  <w:abstractNum w:abstractNumId="19" w15:restartNumberingAfterBreak="0">
    <w:nsid w:val="368008B3"/>
    <w:multiLevelType w:val="multilevel"/>
    <w:tmpl w:val="6FDEFFBC"/>
    <w:lvl w:ilvl="0">
      <w:start w:val="12"/>
      <w:numFmt w:val="decimal"/>
      <w:lvlRestart w:val="0"/>
      <w:lvlText w:val="%1."/>
      <w:lvlJc w:val="left"/>
      <w:pPr>
        <w:tabs>
          <w:tab w:val="num" w:pos="720"/>
        </w:tabs>
        <w:ind w:left="0" w:firstLine="0"/>
      </w:pPr>
      <w:rPr>
        <w:rFonts w:hint="default"/>
      </w:rPr>
    </w:lvl>
    <w:lvl w:ilvl="1">
      <w:start w:val="6"/>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3BC35953"/>
    <w:multiLevelType w:val="hybridMultilevel"/>
    <w:tmpl w:val="30709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63261C"/>
    <w:multiLevelType w:val="hybridMultilevel"/>
    <w:tmpl w:val="B0089E1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2" w15:restartNumberingAfterBreak="0">
    <w:nsid w:val="45DF3D63"/>
    <w:multiLevelType w:val="multilevel"/>
    <w:tmpl w:val="8830FDEA"/>
    <w:lvl w:ilvl="0">
      <w:start w:val="1"/>
      <w:numFmt w:val="lowerLetter"/>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lowerLetter"/>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23" w15:restartNumberingAfterBreak="0">
    <w:nsid w:val="46904884"/>
    <w:multiLevelType w:val="multilevel"/>
    <w:tmpl w:val="EA241BD2"/>
    <w:lvl w:ilvl="0">
      <w:start w:val="12"/>
      <w:numFmt w:val="decimal"/>
      <w:lvlRestart w:val="0"/>
      <w:lvlText w:val="%1."/>
      <w:lvlJc w:val="left"/>
      <w:pPr>
        <w:tabs>
          <w:tab w:val="num" w:pos="720"/>
        </w:tabs>
        <w:ind w:left="0" w:firstLine="0"/>
      </w:pPr>
      <w:rPr>
        <w:rFonts w:hint="default"/>
      </w:rPr>
    </w:lvl>
    <w:lvl w:ilvl="1">
      <w:start w:val="5"/>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24" w15:restartNumberingAfterBreak="0">
    <w:nsid w:val="46C711C2"/>
    <w:multiLevelType w:val="hybridMultilevel"/>
    <w:tmpl w:val="95DC87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7ED1D00"/>
    <w:multiLevelType w:val="hybridMultilevel"/>
    <w:tmpl w:val="FEBCF4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7" w15:restartNumberingAfterBreak="0">
    <w:nsid w:val="524E3D54"/>
    <w:multiLevelType w:val="hybridMultilevel"/>
    <w:tmpl w:val="0AC224D8"/>
    <w:lvl w:ilvl="0" w:tplc="B0985306">
      <w:start w:val="1"/>
      <w:numFmt w:val="bullet"/>
      <w:lvlRestart w:val="0"/>
      <w:lvlText w:val=""/>
      <w:lvlJc w:val="left"/>
      <w:pPr>
        <w:tabs>
          <w:tab w:val="num" w:pos="1350"/>
        </w:tabs>
        <w:ind w:left="1350" w:hanging="360"/>
      </w:pPr>
      <w:rPr>
        <w:rFonts w:ascii="Symbol" w:hAnsi="Symbol" w:hint="default"/>
      </w:rPr>
    </w:lvl>
    <w:lvl w:ilvl="1" w:tplc="08090003" w:tentative="1">
      <w:start w:val="1"/>
      <w:numFmt w:val="bullet"/>
      <w:lvlText w:val="o"/>
      <w:lvlJc w:val="left"/>
      <w:pPr>
        <w:tabs>
          <w:tab w:val="num" w:pos="2070"/>
        </w:tabs>
        <w:ind w:left="2070" w:hanging="360"/>
      </w:pPr>
      <w:rPr>
        <w:rFonts w:ascii="Courier New" w:hAnsi="Courier New" w:cs="Courier New" w:hint="default"/>
      </w:rPr>
    </w:lvl>
    <w:lvl w:ilvl="2" w:tplc="08090005" w:tentative="1">
      <w:start w:val="1"/>
      <w:numFmt w:val="bullet"/>
      <w:lvlText w:val=""/>
      <w:lvlJc w:val="left"/>
      <w:pPr>
        <w:tabs>
          <w:tab w:val="num" w:pos="2790"/>
        </w:tabs>
        <w:ind w:left="2790" w:hanging="360"/>
      </w:pPr>
      <w:rPr>
        <w:rFonts w:ascii="Wingdings" w:hAnsi="Wingdings" w:hint="default"/>
      </w:rPr>
    </w:lvl>
    <w:lvl w:ilvl="3" w:tplc="08090001" w:tentative="1">
      <w:start w:val="1"/>
      <w:numFmt w:val="bullet"/>
      <w:lvlText w:val=""/>
      <w:lvlJc w:val="left"/>
      <w:pPr>
        <w:tabs>
          <w:tab w:val="num" w:pos="3510"/>
        </w:tabs>
        <w:ind w:left="3510" w:hanging="360"/>
      </w:pPr>
      <w:rPr>
        <w:rFonts w:ascii="Symbol" w:hAnsi="Symbol" w:hint="default"/>
      </w:rPr>
    </w:lvl>
    <w:lvl w:ilvl="4" w:tplc="08090003" w:tentative="1">
      <w:start w:val="1"/>
      <w:numFmt w:val="bullet"/>
      <w:lvlText w:val="o"/>
      <w:lvlJc w:val="left"/>
      <w:pPr>
        <w:tabs>
          <w:tab w:val="num" w:pos="4230"/>
        </w:tabs>
        <w:ind w:left="4230" w:hanging="360"/>
      </w:pPr>
      <w:rPr>
        <w:rFonts w:ascii="Courier New" w:hAnsi="Courier New" w:cs="Courier New" w:hint="default"/>
      </w:rPr>
    </w:lvl>
    <w:lvl w:ilvl="5" w:tplc="08090005" w:tentative="1">
      <w:start w:val="1"/>
      <w:numFmt w:val="bullet"/>
      <w:lvlText w:val=""/>
      <w:lvlJc w:val="left"/>
      <w:pPr>
        <w:tabs>
          <w:tab w:val="num" w:pos="4950"/>
        </w:tabs>
        <w:ind w:left="4950" w:hanging="360"/>
      </w:pPr>
      <w:rPr>
        <w:rFonts w:ascii="Wingdings" w:hAnsi="Wingdings" w:hint="default"/>
      </w:rPr>
    </w:lvl>
    <w:lvl w:ilvl="6" w:tplc="08090001" w:tentative="1">
      <w:start w:val="1"/>
      <w:numFmt w:val="bullet"/>
      <w:lvlText w:val=""/>
      <w:lvlJc w:val="left"/>
      <w:pPr>
        <w:tabs>
          <w:tab w:val="num" w:pos="5670"/>
        </w:tabs>
        <w:ind w:left="5670" w:hanging="360"/>
      </w:pPr>
      <w:rPr>
        <w:rFonts w:ascii="Symbol" w:hAnsi="Symbol" w:hint="default"/>
      </w:rPr>
    </w:lvl>
    <w:lvl w:ilvl="7" w:tplc="08090003" w:tentative="1">
      <w:start w:val="1"/>
      <w:numFmt w:val="bullet"/>
      <w:lvlText w:val="o"/>
      <w:lvlJc w:val="left"/>
      <w:pPr>
        <w:tabs>
          <w:tab w:val="num" w:pos="6390"/>
        </w:tabs>
        <w:ind w:left="6390" w:hanging="360"/>
      </w:pPr>
      <w:rPr>
        <w:rFonts w:ascii="Courier New" w:hAnsi="Courier New" w:cs="Courier New" w:hint="default"/>
      </w:rPr>
    </w:lvl>
    <w:lvl w:ilvl="8" w:tplc="08090005" w:tentative="1">
      <w:start w:val="1"/>
      <w:numFmt w:val="bullet"/>
      <w:lvlText w:val=""/>
      <w:lvlJc w:val="left"/>
      <w:pPr>
        <w:tabs>
          <w:tab w:val="num" w:pos="7110"/>
        </w:tabs>
        <w:ind w:left="7110" w:hanging="360"/>
      </w:pPr>
      <w:rPr>
        <w:rFonts w:ascii="Wingdings" w:hAnsi="Wingdings" w:hint="default"/>
      </w:rPr>
    </w:lvl>
  </w:abstractNum>
  <w:abstractNum w:abstractNumId="28" w15:restartNumberingAfterBreak="0">
    <w:nsid w:val="532E639D"/>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29" w15:restartNumberingAfterBreak="0">
    <w:nsid w:val="552419C9"/>
    <w:multiLevelType w:val="singleLevel"/>
    <w:tmpl w:val="F17850A0"/>
    <w:lvl w:ilvl="0">
      <w:start w:val="1"/>
      <w:numFmt w:val="none"/>
      <w:lvlText w:val=""/>
      <w:legacy w:legacy="1" w:legacySpace="120" w:legacyIndent="360"/>
      <w:lvlJc w:val="left"/>
      <w:pPr>
        <w:ind w:left="2226" w:hanging="360"/>
      </w:pPr>
      <w:rPr>
        <w:rFonts w:ascii="Symbol" w:hAnsi="Symbol" w:hint="default"/>
      </w:rPr>
    </w:lvl>
  </w:abstractNum>
  <w:abstractNum w:abstractNumId="30" w15:restartNumberingAfterBreak="0">
    <w:nsid w:val="599C7C1E"/>
    <w:multiLevelType w:val="multilevel"/>
    <w:tmpl w:val="B25E677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1" w15:restartNumberingAfterBreak="0">
    <w:nsid w:val="5BD66112"/>
    <w:multiLevelType w:val="hybridMultilevel"/>
    <w:tmpl w:val="997A708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5D4035AC"/>
    <w:multiLevelType w:val="hybridMultilevel"/>
    <w:tmpl w:val="7E364F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5E6A4064"/>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abstractNum w:abstractNumId="34" w15:restartNumberingAfterBreak="0">
    <w:nsid w:val="618B506E"/>
    <w:multiLevelType w:val="singleLevel"/>
    <w:tmpl w:val="94782260"/>
    <w:lvl w:ilvl="0">
      <w:start w:val="1"/>
      <w:numFmt w:val="none"/>
      <w:lvlText w:val=""/>
      <w:legacy w:legacy="1" w:legacySpace="120" w:legacyIndent="360"/>
      <w:lvlJc w:val="left"/>
      <w:pPr>
        <w:ind w:left="2160" w:hanging="360"/>
      </w:pPr>
      <w:rPr>
        <w:rFonts w:ascii="Symbol" w:hAnsi="Symbol" w:hint="default"/>
        <w:sz w:val="20"/>
        <w:szCs w:val="20"/>
      </w:rPr>
    </w:lvl>
  </w:abstractNum>
  <w:abstractNum w:abstractNumId="35" w15:restartNumberingAfterBreak="0">
    <w:nsid w:val="620C3603"/>
    <w:multiLevelType w:val="singleLevel"/>
    <w:tmpl w:val="8FD8BB0E"/>
    <w:lvl w:ilvl="0">
      <w:start w:val="1"/>
      <w:numFmt w:val="none"/>
      <w:lvlText w:val=""/>
      <w:legacy w:legacy="1" w:legacySpace="0" w:legacyIndent="283"/>
      <w:lvlJc w:val="left"/>
      <w:pPr>
        <w:ind w:left="2443" w:hanging="283"/>
      </w:pPr>
      <w:rPr>
        <w:rFonts w:ascii="Symbol" w:hAnsi="Symbol" w:hint="default"/>
      </w:rPr>
    </w:lvl>
  </w:abstractNum>
  <w:abstractNum w:abstractNumId="36" w15:restartNumberingAfterBreak="0">
    <w:nsid w:val="64F43014"/>
    <w:multiLevelType w:val="multilevel"/>
    <w:tmpl w:val="6E80B5AC"/>
    <w:lvl w:ilvl="0">
      <w:numFmt w:val="bullet"/>
      <w:lvlText w:val="●"/>
      <w:lvlJc w:val="left"/>
      <w:pPr>
        <w:ind w:left="358" w:firstLine="0"/>
      </w:pPr>
      <w:rPr>
        <w:rFonts w:ascii="Arial" w:eastAsia="Arial" w:hAnsi="Arial" w:cs="Arial"/>
      </w:rPr>
    </w:lvl>
    <w:lvl w:ilvl="1">
      <w:numFmt w:val="bullet"/>
      <w:lvlText w:val="o"/>
      <w:lvlJc w:val="left"/>
      <w:pPr>
        <w:ind w:left="2518" w:firstLine="0"/>
      </w:pPr>
      <w:rPr>
        <w:rFonts w:ascii="Arial" w:eastAsia="Arial" w:hAnsi="Arial" w:cs="Arial"/>
      </w:rPr>
    </w:lvl>
    <w:lvl w:ilvl="2">
      <w:start w:val="1"/>
      <w:numFmt w:val="decimal"/>
      <w:lvlText w:val="%3."/>
      <w:lvlJc w:val="left"/>
      <w:pPr>
        <w:ind w:left="3826" w:firstLine="0"/>
      </w:pPr>
    </w:lvl>
    <w:lvl w:ilvl="3">
      <w:start w:val="1"/>
      <w:numFmt w:val="decimal"/>
      <w:lvlText w:val="%4."/>
      <w:lvlJc w:val="left"/>
      <w:pPr>
        <w:ind w:left="5986" w:firstLine="0"/>
      </w:pPr>
    </w:lvl>
    <w:lvl w:ilvl="4">
      <w:start w:val="1"/>
      <w:numFmt w:val="decimal"/>
      <w:lvlText w:val="%5."/>
      <w:lvlJc w:val="left"/>
      <w:pPr>
        <w:ind w:left="8146" w:firstLine="0"/>
      </w:pPr>
    </w:lvl>
    <w:lvl w:ilvl="5">
      <w:start w:val="1"/>
      <w:numFmt w:val="decimal"/>
      <w:lvlText w:val="%6."/>
      <w:lvlJc w:val="left"/>
      <w:pPr>
        <w:ind w:left="10306" w:firstLine="0"/>
      </w:pPr>
    </w:lvl>
    <w:lvl w:ilvl="6">
      <w:start w:val="1"/>
      <w:numFmt w:val="decimal"/>
      <w:lvlText w:val="%7."/>
      <w:lvlJc w:val="left"/>
      <w:pPr>
        <w:ind w:left="12466" w:firstLine="0"/>
      </w:pPr>
    </w:lvl>
    <w:lvl w:ilvl="7">
      <w:start w:val="1"/>
      <w:numFmt w:val="decimal"/>
      <w:lvlText w:val="%8."/>
      <w:lvlJc w:val="left"/>
      <w:pPr>
        <w:ind w:left="14626" w:firstLine="0"/>
      </w:pPr>
    </w:lvl>
    <w:lvl w:ilvl="8">
      <w:start w:val="1"/>
      <w:numFmt w:val="decimal"/>
      <w:lvlText w:val="%9."/>
      <w:lvlJc w:val="left"/>
      <w:pPr>
        <w:ind w:left="16786" w:firstLine="0"/>
      </w:pPr>
    </w:lvl>
  </w:abstractNum>
  <w:abstractNum w:abstractNumId="37" w15:restartNumberingAfterBreak="0">
    <w:nsid w:val="6C344515"/>
    <w:multiLevelType w:val="singleLevel"/>
    <w:tmpl w:val="F17850A0"/>
    <w:lvl w:ilvl="0">
      <w:start w:val="1"/>
      <w:numFmt w:val="none"/>
      <w:lvlText w:val=""/>
      <w:legacy w:legacy="1" w:legacySpace="120" w:legacyIndent="360"/>
      <w:lvlJc w:val="left"/>
      <w:pPr>
        <w:ind w:left="2160" w:hanging="360"/>
      </w:pPr>
      <w:rPr>
        <w:rFonts w:ascii="Symbol" w:hAnsi="Symbol" w:hint="default"/>
      </w:rPr>
    </w:lvl>
  </w:abstractNum>
  <w:abstractNum w:abstractNumId="38" w15:restartNumberingAfterBreak="0">
    <w:nsid w:val="6EEF13CD"/>
    <w:multiLevelType w:val="multilevel"/>
    <w:tmpl w:val="8C400130"/>
    <w:lvl w:ilvl="0">
      <w:start w:val="1"/>
      <w:numFmt w:val="bullet"/>
      <w:lvlText w:val="●"/>
      <w:lvlJc w:val="left"/>
      <w:pPr>
        <w:ind w:left="1214" w:hanging="360"/>
      </w:pPr>
      <w:rPr>
        <w:rFonts w:ascii="Noto Sans Symbols" w:eastAsia="Noto Sans Symbols" w:hAnsi="Noto Sans Symbols" w:cs="Noto Sans Symbols"/>
      </w:rPr>
    </w:lvl>
    <w:lvl w:ilvl="1">
      <w:start w:val="1"/>
      <w:numFmt w:val="bullet"/>
      <w:lvlText w:val="o"/>
      <w:lvlJc w:val="left"/>
      <w:pPr>
        <w:ind w:left="1934" w:hanging="360"/>
      </w:pPr>
      <w:rPr>
        <w:rFonts w:ascii="Courier New" w:eastAsia="Courier New" w:hAnsi="Courier New" w:cs="Courier New"/>
      </w:rPr>
    </w:lvl>
    <w:lvl w:ilvl="2">
      <w:start w:val="1"/>
      <w:numFmt w:val="bullet"/>
      <w:lvlText w:val="▪"/>
      <w:lvlJc w:val="left"/>
      <w:pPr>
        <w:ind w:left="2654" w:hanging="360"/>
      </w:pPr>
      <w:rPr>
        <w:rFonts w:ascii="Noto Sans Symbols" w:eastAsia="Noto Sans Symbols" w:hAnsi="Noto Sans Symbols" w:cs="Noto Sans Symbols"/>
      </w:rPr>
    </w:lvl>
    <w:lvl w:ilvl="3">
      <w:start w:val="1"/>
      <w:numFmt w:val="bullet"/>
      <w:lvlText w:val="●"/>
      <w:lvlJc w:val="left"/>
      <w:pPr>
        <w:ind w:left="3374" w:hanging="360"/>
      </w:pPr>
      <w:rPr>
        <w:rFonts w:ascii="Noto Sans Symbols" w:eastAsia="Noto Sans Symbols" w:hAnsi="Noto Sans Symbols" w:cs="Noto Sans Symbols"/>
      </w:rPr>
    </w:lvl>
    <w:lvl w:ilvl="4">
      <w:start w:val="1"/>
      <w:numFmt w:val="bullet"/>
      <w:lvlText w:val="o"/>
      <w:lvlJc w:val="left"/>
      <w:pPr>
        <w:ind w:left="4094" w:hanging="360"/>
      </w:pPr>
      <w:rPr>
        <w:rFonts w:ascii="Courier New" w:eastAsia="Courier New" w:hAnsi="Courier New" w:cs="Courier New"/>
      </w:rPr>
    </w:lvl>
    <w:lvl w:ilvl="5">
      <w:start w:val="1"/>
      <w:numFmt w:val="bullet"/>
      <w:lvlText w:val="▪"/>
      <w:lvlJc w:val="left"/>
      <w:pPr>
        <w:ind w:left="4814" w:hanging="360"/>
      </w:pPr>
      <w:rPr>
        <w:rFonts w:ascii="Noto Sans Symbols" w:eastAsia="Noto Sans Symbols" w:hAnsi="Noto Sans Symbols" w:cs="Noto Sans Symbols"/>
      </w:rPr>
    </w:lvl>
    <w:lvl w:ilvl="6">
      <w:start w:val="1"/>
      <w:numFmt w:val="bullet"/>
      <w:lvlText w:val="●"/>
      <w:lvlJc w:val="left"/>
      <w:pPr>
        <w:ind w:left="5534" w:hanging="360"/>
      </w:pPr>
      <w:rPr>
        <w:rFonts w:ascii="Noto Sans Symbols" w:eastAsia="Noto Sans Symbols" w:hAnsi="Noto Sans Symbols" w:cs="Noto Sans Symbols"/>
      </w:rPr>
    </w:lvl>
    <w:lvl w:ilvl="7">
      <w:start w:val="1"/>
      <w:numFmt w:val="bullet"/>
      <w:lvlText w:val="o"/>
      <w:lvlJc w:val="left"/>
      <w:pPr>
        <w:ind w:left="6254" w:hanging="360"/>
      </w:pPr>
      <w:rPr>
        <w:rFonts w:ascii="Courier New" w:eastAsia="Courier New" w:hAnsi="Courier New" w:cs="Courier New"/>
      </w:rPr>
    </w:lvl>
    <w:lvl w:ilvl="8">
      <w:start w:val="1"/>
      <w:numFmt w:val="bullet"/>
      <w:lvlText w:val="▪"/>
      <w:lvlJc w:val="left"/>
      <w:pPr>
        <w:ind w:left="6974" w:hanging="360"/>
      </w:pPr>
      <w:rPr>
        <w:rFonts w:ascii="Noto Sans Symbols" w:eastAsia="Noto Sans Symbols" w:hAnsi="Noto Sans Symbols" w:cs="Noto Sans Symbols"/>
      </w:rPr>
    </w:lvl>
  </w:abstractNum>
  <w:abstractNum w:abstractNumId="39" w15:restartNumberingAfterBreak="0">
    <w:nsid w:val="71D2429A"/>
    <w:multiLevelType w:val="hybridMultilevel"/>
    <w:tmpl w:val="89585DE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2D47FB1"/>
    <w:multiLevelType w:val="hybridMultilevel"/>
    <w:tmpl w:val="F9968D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2E45DBA"/>
    <w:multiLevelType w:val="singleLevel"/>
    <w:tmpl w:val="F17850A0"/>
    <w:lvl w:ilvl="0">
      <w:start w:val="1"/>
      <w:numFmt w:val="none"/>
      <w:lvlText w:val=""/>
      <w:legacy w:legacy="1" w:legacySpace="120" w:legacyIndent="360"/>
      <w:lvlJc w:val="left"/>
      <w:pPr>
        <w:ind w:left="2160" w:hanging="360"/>
      </w:pPr>
      <w:rPr>
        <w:rFonts w:ascii="Symbol" w:hAnsi="Symbol" w:hint="default"/>
      </w:rPr>
    </w:lvl>
  </w:abstractNum>
  <w:abstractNum w:abstractNumId="42" w15:restartNumberingAfterBreak="0">
    <w:nsid w:val="73E157FF"/>
    <w:multiLevelType w:val="hybridMultilevel"/>
    <w:tmpl w:val="193EB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360" w:hanging="360"/>
      </w:pPr>
      <w:rPr>
        <w:rFonts w:ascii="Courier New" w:hAnsi="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3" w15:restartNumberingAfterBreak="0">
    <w:nsid w:val="75A75BB6"/>
    <w:multiLevelType w:val="hybridMultilevel"/>
    <w:tmpl w:val="C0086A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7D5D3DCA"/>
    <w:multiLevelType w:val="multilevel"/>
    <w:tmpl w:val="D12AC90C"/>
    <w:lvl w:ilvl="0">
      <w:start w:val="12"/>
      <w:numFmt w:val="decimal"/>
      <w:lvlRestart w:val="0"/>
      <w:lvlText w:val="%1."/>
      <w:lvlJc w:val="left"/>
      <w:pPr>
        <w:tabs>
          <w:tab w:val="num" w:pos="720"/>
        </w:tabs>
        <w:ind w:left="0" w:firstLine="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968"/>
        </w:tabs>
        <w:ind w:left="4968" w:hanging="1368"/>
      </w:pPr>
      <w:rPr>
        <w:rFonts w:hint="default"/>
      </w:rPr>
    </w:lvl>
    <w:lvl w:ilvl="6">
      <w:start w:val="1"/>
      <w:numFmt w:val="decimal"/>
      <w:lvlText w:val="%1.%2.%3.%4.%5.%6.%7."/>
      <w:lvlJc w:val="left"/>
      <w:pPr>
        <w:tabs>
          <w:tab w:val="num" w:pos="5976"/>
        </w:tabs>
        <w:ind w:left="5976" w:hanging="1656"/>
      </w:pPr>
      <w:rPr>
        <w:rFonts w:hint="default"/>
      </w:rPr>
    </w:lvl>
    <w:lvl w:ilvl="7">
      <w:start w:val="1"/>
      <w:numFmt w:val="decimal"/>
      <w:lvlText w:val="%1.%2.%3.%4.%5.%6.%7.%8."/>
      <w:lvlJc w:val="left"/>
      <w:pPr>
        <w:tabs>
          <w:tab w:val="num" w:pos="6696"/>
        </w:tabs>
        <w:ind w:left="6696" w:hanging="1656"/>
      </w:pPr>
      <w:rPr>
        <w:rFonts w:hint="default"/>
      </w:rPr>
    </w:lvl>
    <w:lvl w:ilvl="8">
      <w:start w:val="1"/>
      <w:numFmt w:val="decimal"/>
      <w:lvlText w:val="%1.%2.%3.%4.%5.%6.%7.%8.%9."/>
      <w:lvlJc w:val="left"/>
      <w:pPr>
        <w:tabs>
          <w:tab w:val="num" w:pos="7560"/>
        </w:tabs>
        <w:ind w:left="7560" w:hanging="1800"/>
      </w:pPr>
      <w:rPr>
        <w:rFonts w:hint="default"/>
      </w:rPr>
    </w:lvl>
  </w:abstractNum>
  <w:abstractNum w:abstractNumId="45" w15:restartNumberingAfterBreak="0">
    <w:nsid w:val="7DB60D71"/>
    <w:multiLevelType w:val="multilevel"/>
    <w:tmpl w:val="2190ECFE"/>
    <w:lvl w:ilvl="0">
      <w:start w:val="1"/>
      <w:numFmt w:val="decimal"/>
      <w:lvlRestart w:val="0"/>
      <w:lvlText w:val="%1."/>
      <w:lvlJc w:val="left"/>
      <w:pPr>
        <w:tabs>
          <w:tab w:val="num" w:pos="720"/>
        </w:tabs>
        <w:ind w:left="0" w:firstLine="0"/>
      </w:pPr>
    </w:lvl>
    <w:lvl w:ilvl="1">
      <w:start w:val="1"/>
      <w:numFmt w:val="decimal"/>
      <w:lvlText w:val="%1.%2."/>
      <w:lvlJc w:val="left"/>
      <w:pPr>
        <w:tabs>
          <w:tab w:val="num" w:pos="1440"/>
        </w:tabs>
        <w:ind w:left="1440" w:hanging="720"/>
      </w:pPr>
    </w:lvl>
    <w:lvl w:ilvl="2">
      <w:start w:val="1"/>
      <w:numFmt w:val="decimal"/>
      <w:lvlText w:val="%1.%2.%3."/>
      <w:lvlJc w:val="left"/>
      <w:pPr>
        <w:tabs>
          <w:tab w:val="num" w:pos="2160"/>
        </w:tabs>
        <w:ind w:left="2160" w:hanging="720"/>
      </w:pPr>
    </w:lvl>
    <w:lvl w:ilvl="3">
      <w:start w:val="1"/>
      <w:numFmt w:val="decimal"/>
      <w:lvlText w:val="%1.%2.%3.%4."/>
      <w:lvlJc w:val="left"/>
      <w:pPr>
        <w:tabs>
          <w:tab w:val="num" w:pos="3240"/>
        </w:tabs>
        <w:ind w:left="3240" w:hanging="1080"/>
      </w:pPr>
    </w:lvl>
    <w:lvl w:ilvl="4">
      <w:start w:val="1"/>
      <w:numFmt w:val="decimal"/>
      <w:lvlText w:val="%1.%2.%3.%4.%5."/>
      <w:lvlJc w:val="left"/>
      <w:pPr>
        <w:tabs>
          <w:tab w:val="num" w:pos="3960"/>
        </w:tabs>
        <w:ind w:left="3960" w:hanging="1080"/>
      </w:pPr>
    </w:lvl>
    <w:lvl w:ilvl="5">
      <w:start w:val="1"/>
      <w:numFmt w:val="decimal"/>
      <w:lvlText w:val="%1.%2.%3.%4.%5.%6."/>
      <w:lvlJc w:val="left"/>
      <w:pPr>
        <w:tabs>
          <w:tab w:val="num" w:pos="4968"/>
        </w:tabs>
        <w:ind w:left="4968" w:hanging="1368"/>
      </w:pPr>
    </w:lvl>
    <w:lvl w:ilvl="6">
      <w:start w:val="1"/>
      <w:numFmt w:val="decimal"/>
      <w:lvlText w:val="%1.%2.%3.%4.%5.%6.%7."/>
      <w:lvlJc w:val="left"/>
      <w:pPr>
        <w:tabs>
          <w:tab w:val="num" w:pos="5976"/>
        </w:tabs>
        <w:ind w:left="5976" w:hanging="1656"/>
      </w:pPr>
    </w:lvl>
    <w:lvl w:ilvl="7">
      <w:start w:val="1"/>
      <w:numFmt w:val="decimal"/>
      <w:lvlText w:val="%1.%2.%3.%4.%5.%6.%7.%8."/>
      <w:lvlJc w:val="left"/>
      <w:pPr>
        <w:tabs>
          <w:tab w:val="num" w:pos="6696"/>
        </w:tabs>
        <w:ind w:left="6696" w:hanging="1656"/>
      </w:pPr>
    </w:lvl>
    <w:lvl w:ilvl="8">
      <w:start w:val="1"/>
      <w:numFmt w:val="decimal"/>
      <w:lvlText w:val="%1.%2.%3.%4.%5.%6.%7.%8.%9."/>
      <w:lvlJc w:val="left"/>
      <w:pPr>
        <w:tabs>
          <w:tab w:val="num" w:pos="7560"/>
        </w:tabs>
        <w:ind w:left="7560" w:hanging="1800"/>
      </w:pPr>
    </w:lvl>
  </w:abstractNum>
  <w:abstractNum w:abstractNumId="46" w15:restartNumberingAfterBreak="0">
    <w:nsid w:val="7F176F03"/>
    <w:multiLevelType w:val="singleLevel"/>
    <w:tmpl w:val="08BEDA4E"/>
    <w:lvl w:ilvl="0">
      <w:start w:val="1"/>
      <w:numFmt w:val="none"/>
      <w:lvlText w:val=""/>
      <w:legacy w:legacy="1" w:legacySpace="0" w:legacyIndent="283"/>
      <w:lvlJc w:val="left"/>
      <w:pPr>
        <w:ind w:left="1003" w:hanging="283"/>
      </w:pPr>
      <w:rPr>
        <w:rFonts w:ascii="Wingdings" w:hAnsi="Wingdings" w:hint="default"/>
        <w:b w:val="0"/>
        <w:i w:val="0"/>
        <w:sz w:val="20"/>
      </w:rPr>
    </w:lvl>
  </w:abstractNum>
  <w:num w:numId="1">
    <w:abstractNumId w:val="46"/>
  </w:num>
  <w:num w:numId="2">
    <w:abstractNumId w:val="28"/>
  </w:num>
  <w:num w:numId="3">
    <w:abstractNumId w:val="33"/>
  </w:num>
  <w:num w:numId="4">
    <w:abstractNumId w:val="5"/>
  </w:num>
  <w:num w:numId="5">
    <w:abstractNumId w:val="25"/>
  </w:num>
  <w:num w:numId="6">
    <w:abstractNumId w:val="30"/>
  </w:num>
  <w:num w:numId="7">
    <w:abstractNumId w:val="13"/>
  </w:num>
  <w:num w:numId="8">
    <w:abstractNumId w:val="43"/>
  </w:num>
  <w:num w:numId="9">
    <w:abstractNumId w:val="15"/>
  </w:num>
  <w:num w:numId="10">
    <w:abstractNumId w:val="22"/>
  </w:num>
  <w:num w:numId="11">
    <w:abstractNumId w:val="0"/>
  </w:num>
  <w:num w:numId="12">
    <w:abstractNumId w:val="17"/>
  </w:num>
  <w:num w:numId="13">
    <w:abstractNumId w:val="36"/>
  </w:num>
  <w:num w:numId="14">
    <w:abstractNumId w:val="44"/>
  </w:num>
  <w:num w:numId="15">
    <w:abstractNumId w:val="45"/>
  </w:num>
  <w:num w:numId="16">
    <w:abstractNumId w:val="2"/>
  </w:num>
  <w:num w:numId="17">
    <w:abstractNumId w:val="3"/>
  </w:num>
  <w:num w:numId="18">
    <w:abstractNumId w:val="12"/>
  </w:num>
  <w:num w:numId="19">
    <w:abstractNumId w:val="23"/>
  </w:num>
  <w:num w:numId="20">
    <w:abstractNumId w:val="19"/>
  </w:num>
  <w:num w:numId="21">
    <w:abstractNumId w:val="9"/>
  </w:num>
  <w:num w:numId="22">
    <w:abstractNumId w:val="35"/>
  </w:num>
  <w:num w:numId="23">
    <w:abstractNumId w:val="6"/>
  </w:num>
  <w:num w:numId="24">
    <w:abstractNumId w:val="18"/>
  </w:num>
  <w:num w:numId="25">
    <w:abstractNumId w:val="11"/>
  </w:num>
  <w:num w:numId="26">
    <w:abstractNumId w:val="27"/>
  </w:num>
  <w:num w:numId="27">
    <w:abstractNumId w:val="10"/>
  </w:num>
  <w:num w:numId="28">
    <w:abstractNumId w:val="16"/>
  </w:num>
  <w:num w:numId="29">
    <w:abstractNumId w:val="39"/>
  </w:num>
  <w:num w:numId="30">
    <w:abstractNumId w:val="7"/>
  </w:num>
  <w:num w:numId="31">
    <w:abstractNumId w:val="1"/>
  </w:num>
  <w:num w:numId="32">
    <w:abstractNumId w:val="32"/>
  </w:num>
  <w:num w:numId="33">
    <w:abstractNumId w:val="21"/>
  </w:num>
  <w:num w:numId="34">
    <w:abstractNumId w:val="29"/>
  </w:num>
  <w:num w:numId="35">
    <w:abstractNumId w:val="14"/>
  </w:num>
  <w:num w:numId="36">
    <w:abstractNumId w:val="41"/>
  </w:num>
  <w:num w:numId="37">
    <w:abstractNumId w:val="37"/>
  </w:num>
  <w:num w:numId="38">
    <w:abstractNumId w:val="34"/>
  </w:num>
  <w:num w:numId="39">
    <w:abstractNumId w:val="31"/>
  </w:num>
  <w:num w:numId="40">
    <w:abstractNumId w:val="26"/>
  </w:num>
  <w:num w:numId="41">
    <w:abstractNumId w:val="42"/>
  </w:num>
  <w:num w:numId="42">
    <w:abstractNumId w:val="8"/>
  </w:num>
  <w:num w:numId="43">
    <w:abstractNumId w:val="20"/>
  </w:num>
  <w:num w:numId="44">
    <w:abstractNumId w:val="40"/>
  </w:num>
  <w:num w:numId="45">
    <w:abstractNumId w:val="4"/>
  </w:num>
  <w:num w:numId="46">
    <w:abstractNumId w:val="24"/>
  </w:num>
  <w:num w:numId="47">
    <w:abstractNumId w:val="38"/>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9223"/>
  </w:hdrShapeDefaults>
  <w:footnotePr>
    <w:footnote w:id="-1"/>
    <w:footnote w:id="0"/>
    <w:footnote w:id="1"/>
  </w:footnotePr>
  <w:endnotePr>
    <w:endnote w:id="-1"/>
    <w:endnote w:id="0"/>
    <w:endnote w:id="1"/>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0CD5"/>
    <w:rsid w:val="00001C6B"/>
    <w:rsid w:val="00002578"/>
    <w:rsid w:val="00007771"/>
    <w:rsid w:val="00007D10"/>
    <w:rsid w:val="000125BE"/>
    <w:rsid w:val="00021F30"/>
    <w:rsid w:val="00041BFD"/>
    <w:rsid w:val="00045040"/>
    <w:rsid w:val="00046651"/>
    <w:rsid w:val="00060DA5"/>
    <w:rsid w:val="0007567D"/>
    <w:rsid w:val="00080B2D"/>
    <w:rsid w:val="000826B8"/>
    <w:rsid w:val="000846D5"/>
    <w:rsid w:val="00095CC3"/>
    <w:rsid w:val="00095D07"/>
    <w:rsid w:val="000A26DF"/>
    <w:rsid w:val="000A6431"/>
    <w:rsid w:val="000B145D"/>
    <w:rsid w:val="000B3DC5"/>
    <w:rsid w:val="000C0A4D"/>
    <w:rsid w:val="000C1EB1"/>
    <w:rsid w:val="000C2F06"/>
    <w:rsid w:val="000C361B"/>
    <w:rsid w:val="000C439B"/>
    <w:rsid w:val="000D00D0"/>
    <w:rsid w:val="000E026E"/>
    <w:rsid w:val="000E0DC9"/>
    <w:rsid w:val="000E2959"/>
    <w:rsid w:val="000E36E7"/>
    <w:rsid w:val="000E456E"/>
    <w:rsid w:val="000F4EB7"/>
    <w:rsid w:val="000F79A1"/>
    <w:rsid w:val="001014C6"/>
    <w:rsid w:val="00101E5F"/>
    <w:rsid w:val="00101FBF"/>
    <w:rsid w:val="00112CB4"/>
    <w:rsid w:val="00117CFB"/>
    <w:rsid w:val="001209F1"/>
    <w:rsid w:val="0012243A"/>
    <w:rsid w:val="0012387E"/>
    <w:rsid w:val="00143A00"/>
    <w:rsid w:val="00147D18"/>
    <w:rsid w:val="00160334"/>
    <w:rsid w:val="00163A3E"/>
    <w:rsid w:val="00165D84"/>
    <w:rsid w:val="00174D29"/>
    <w:rsid w:val="00174D45"/>
    <w:rsid w:val="00187DF5"/>
    <w:rsid w:val="00197E9E"/>
    <w:rsid w:val="001A2A58"/>
    <w:rsid w:val="001A740F"/>
    <w:rsid w:val="001B4127"/>
    <w:rsid w:val="001B549A"/>
    <w:rsid w:val="001B5D8B"/>
    <w:rsid w:val="001C6134"/>
    <w:rsid w:val="001C69F7"/>
    <w:rsid w:val="001D1C57"/>
    <w:rsid w:val="001F0B38"/>
    <w:rsid w:val="001F45F7"/>
    <w:rsid w:val="001F6DAC"/>
    <w:rsid w:val="0020646F"/>
    <w:rsid w:val="0020763E"/>
    <w:rsid w:val="00211921"/>
    <w:rsid w:val="00220935"/>
    <w:rsid w:val="00224E21"/>
    <w:rsid w:val="002369E6"/>
    <w:rsid w:val="0023713E"/>
    <w:rsid w:val="00240CAA"/>
    <w:rsid w:val="00241056"/>
    <w:rsid w:val="00241855"/>
    <w:rsid w:val="002441CE"/>
    <w:rsid w:val="002616A1"/>
    <w:rsid w:val="00281684"/>
    <w:rsid w:val="002A1180"/>
    <w:rsid w:val="002A2F2F"/>
    <w:rsid w:val="002A6825"/>
    <w:rsid w:val="002A72BA"/>
    <w:rsid w:val="002B6384"/>
    <w:rsid w:val="002C24C8"/>
    <w:rsid w:val="002C2E50"/>
    <w:rsid w:val="002C687F"/>
    <w:rsid w:val="002E64C6"/>
    <w:rsid w:val="002F0430"/>
    <w:rsid w:val="002F14C5"/>
    <w:rsid w:val="002F1C10"/>
    <w:rsid w:val="002F23B3"/>
    <w:rsid w:val="00301D6F"/>
    <w:rsid w:val="00303483"/>
    <w:rsid w:val="00315DC2"/>
    <w:rsid w:val="00322F01"/>
    <w:rsid w:val="0033021D"/>
    <w:rsid w:val="00335C93"/>
    <w:rsid w:val="00337ADA"/>
    <w:rsid w:val="00345EC4"/>
    <w:rsid w:val="0034712E"/>
    <w:rsid w:val="003747A2"/>
    <w:rsid w:val="00377515"/>
    <w:rsid w:val="0038598B"/>
    <w:rsid w:val="00397537"/>
    <w:rsid w:val="003A26BA"/>
    <w:rsid w:val="003B09CE"/>
    <w:rsid w:val="003B157F"/>
    <w:rsid w:val="003B2FC3"/>
    <w:rsid w:val="003C7D82"/>
    <w:rsid w:val="003D6AE8"/>
    <w:rsid w:val="003E19E4"/>
    <w:rsid w:val="003E1A9D"/>
    <w:rsid w:val="003E38BD"/>
    <w:rsid w:val="003F3D9D"/>
    <w:rsid w:val="003F4D78"/>
    <w:rsid w:val="00407FAE"/>
    <w:rsid w:val="004102E6"/>
    <w:rsid w:val="004109BC"/>
    <w:rsid w:val="00413EB9"/>
    <w:rsid w:val="00417046"/>
    <w:rsid w:val="00432638"/>
    <w:rsid w:val="004359B0"/>
    <w:rsid w:val="00441C66"/>
    <w:rsid w:val="00445699"/>
    <w:rsid w:val="004459C7"/>
    <w:rsid w:val="004471E5"/>
    <w:rsid w:val="00451181"/>
    <w:rsid w:val="00453637"/>
    <w:rsid w:val="00461E00"/>
    <w:rsid w:val="0046214C"/>
    <w:rsid w:val="00471563"/>
    <w:rsid w:val="00480B33"/>
    <w:rsid w:val="00482CEB"/>
    <w:rsid w:val="00484C8F"/>
    <w:rsid w:val="004A69A4"/>
    <w:rsid w:val="004A72A3"/>
    <w:rsid w:val="004C4417"/>
    <w:rsid w:val="004C6ED5"/>
    <w:rsid w:val="004D1053"/>
    <w:rsid w:val="004E43CD"/>
    <w:rsid w:val="004F16B1"/>
    <w:rsid w:val="004F286D"/>
    <w:rsid w:val="004F731C"/>
    <w:rsid w:val="00503ABE"/>
    <w:rsid w:val="00516973"/>
    <w:rsid w:val="00522A88"/>
    <w:rsid w:val="0052499A"/>
    <w:rsid w:val="00535756"/>
    <w:rsid w:val="005418D4"/>
    <w:rsid w:val="005431C3"/>
    <w:rsid w:val="0054483C"/>
    <w:rsid w:val="00555D6A"/>
    <w:rsid w:val="00556F14"/>
    <w:rsid w:val="0056108B"/>
    <w:rsid w:val="00582E47"/>
    <w:rsid w:val="00586ED8"/>
    <w:rsid w:val="00590958"/>
    <w:rsid w:val="00596556"/>
    <w:rsid w:val="005A3463"/>
    <w:rsid w:val="005A4B46"/>
    <w:rsid w:val="005B6E47"/>
    <w:rsid w:val="005C19D7"/>
    <w:rsid w:val="005C398D"/>
    <w:rsid w:val="005D1CD7"/>
    <w:rsid w:val="005D4E0E"/>
    <w:rsid w:val="005D5770"/>
    <w:rsid w:val="005D7D23"/>
    <w:rsid w:val="005E015F"/>
    <w:rsid w:val="005F395C"/>
    <w:rsid w:val="00607603"/>
    <w:rsid w:val="00612D07"/>
    <w:rsid w:val="00620AFE"/>
    <w:rsid w:val="00623EE6"/>
    <w:rsid w:val="006277E7"/>
    <w:rsid w:val="00634091"/>
    <w:rsid w:val="0063440F"/>
    <w:rsid w:val="00635265"/>
    <w:rsid w:val="00641DA4"/>
    <w:rsid w:val="006458C4"/>
    <w:rsid w:val="00650775"/>
    <w:rsid w:val="00657CEE"/>
    <w:rsid w:val="006605CE"/>
    <w:rsid w:val="00665895"/>
    <w:rsid w:val="00666A2C"/>
    <w:rsid w:val="00666F56"/>
    <w:rsid w:val="00670A54"/>
    <w:rsid w:val="00671556"/>
    <w:rsid w:val="00671707"/>
    <w:rsid w:val="00680E9D"/>
    <w:rsid w:val="00686C76"/>
    <w:rsid w:val="00697C31"/>
    <w:rsid w:val="006A624E"/>
    <w:rsid w:val="006B4315"/>
    <w:rsid w:val="006B6166"/>
    <w:rsid w:val="006B69B7"/>
    <w:rsid w:val="006C1199"/>
    <w:rsid w:val="006C2061"/>
    <w:rsid w:val="006C680E"/>
    <w:rsid w:val="006D330D"/>
    <w:rsid w:val="006F0B61"/>
    <w:rsid w:val="006F11F0"/>
    <w:rsid w:val="006F2354"/>
    <w:rsid w:val="0070241B"/>
    <w:rsid w:val="0070259B"/>
    <w:rsid w:val="00713EE2"/>
    <w:rsid w:val="00715234"/>
    <w:rsid w:val="00721F1C"/>
    <w:rsid w:val="0072215E"/>
    <w:rsid w:val="007445CD"/>
    <w:rsid w:val="00744B7C"/>
    <w:rsid w:val="007473A8"/>
    <w:rsid w:val="007514D6"/>
    <w:rsid w:val="00752066"/>
    <w:rsid w:val="00762AC0"/>
    <w:rsid w:val="00764029"/>
    <w:rsid w:val="0076592B"/>
    <w:rsid w:val="00766686"/>
    <w:rsid w:val="00781582"/>
    <w:rsid w:val="007854F7"/>
    <w:rsid w:val="00790626"/>
    <w:rsid w:val="00791515"/>
    <w:rsid w:val="007B6816"/>
    <w:rsid w:val="007C63BC"/>
    <w:rsid w:val="007D3EAB"/>
    <w:rsid w:val="007D6863"/>
    <w:rsid w:val="007E6CB2"/>
    <w:rsid w:val="007F2B7A"/>
    <w:rsid w:val="0080517B"/>
    <w:rsid w:val="00811A22"/>
    <w:rsid w:val="00823884"/>
    <w:rsid w:val="00824505"/>
    <w:rsid w:val="008262B7"/>
    <w:rsid w:val="00833E00"/>
    <w:rsid w:val="008343E4"/>
    <w:rsid w:val="00840B95"/>
    <w:rsid w:val="008433A1"/>
    <w:rsid w:val="00846548"/>
    <w:rsid w:val="00855148"/>
    <w:rsid w:val="00857A76"/>
    <w:rsid w:val="008605C0"/>
    <w:rsid w:val="00860A50"/>
    <w:rsid w:val="00875E47"/>
    <w:rsid w:val="0088161B"/>
    <w:rsid w:val="008835E7"/>
    <w:rsid w:val="008915AA"/>
    <w:rsid w:val="00891B6B"/>
    <w:rsid w:val="00892888"/>
    <w:rsid w:val="00892E53"/>
    <w:rsid w:val="008A2D90"/>
    <w:rsid w:val="008A49A2"/>
    <w:rsid w:val="008B0D33"/>
    <w:rsid w:val="008B241F"/>
    <w:rsid w:val="008C43A5"/>
    <w:rsid w:val="008D0145"/>
    <w:rsid w:val="008D25F3"/>
    <w:rsid w:val="008D2E5B"/>
    <w:rsid w:val="008E4796"/>
    <w:rsid w:val="008F16C7"/>
    <w:rsid w:val="008F3A3F"/>
    <w:rsid w:val="008F65EB"/>
    <w:rsid w:val="00916890"/>
    <w:rsid w:val="00916D17"/>
    <w:rsid w:val="00923B3C"/>
    <w:rsid w:val="00936766"/>
    <w:rsid w:val="00942764"/>
    <w:rsid w:val="0094523E"/>
    <w:rsid w:val="00945E0A"/>
    <w:rsid w:val="009464A7"/>
    <w:rsid w:val="00953300"/>
    <w:rsid w:val="009605D2"/>
    <w:rsid w:val="00964936"/>
    <w:rsid w:val="0098035A"/>
    <w:rsid w:val="009A47B9"/>
    <w:rsid w:val="009B415F"/>
    <w:rsid w:val="009B5CBF"/>
    <w:rsid w:val="009B70BE"/>
    <w:rsid w:val="009B7FF0"/>
    <w:rsid w:val="009C2CDB"/>
    <w:rsid w:val="009D1592"/>
    <w:rsid w:val="009D33E3"/>
    <w:rsid w:val="009E2CDF"/>
    <w:rsid w:val="009F63A8"/>
    <w:rsid w:val="00A1619A"/>
    <w:rsid w:val="00A164B7"/>
    <w:rsid w:val="00A1706E"/>
    <w:rsid w:val="00A20DD7"/>
    <w:rsid w:val="00A220B3"/>
    <w:rsid w:val="00A309CB"/>
    <w:rsid w:val="00A30EE0"/>
    <w:rsid w:val="00A319DD"/>
    <w:rsid w:val="00A52A6C"/>
    <w:rsid w:val="00A57C51"/>
    <w:rsid w:val="00A60038"/>
    <w:rsid w:val="00A6648E"/>
    <w:rsid w:val="00A70FB2"/>
    <w:rsid w:val="00A81434"/>
    <w:rsid w:val="00AB38B8"/>
    <w:rsid w:val="00AB711B"/>
    <w:rsid w:val="00AD2A0D"/>
    <w:rsid w:val="00AD453E"/>
    <w:rsid w:val="00AD4741"/>
    <w:rsid w:val="00AD4ED2"/>
    <w:rsid w:val="00AE08C6"/>
    <w:rsid w:val="00AE6726"/>
    <w:rsid w:val="00B0166C"/>
    <w:rsid w:val="00B16236"/>
    <w:rsid w:val="00B304BF"/>
    <w:rsid w:val="00B32E75"/>
    <w:rsid w:val="00B37B0E"/>
    <w:rsid w:val="00B37CAF"/>
    <w:rsid w:val="00B4054E"/>
    <w:rsid w:val="00B47F69"/>
    <w:rsid w:val="00B60590"/>
    <w:rsid w:val="00B64BB1"/>
    <w:rsid w:val="00B73A7D"/>
    <w:rsid w:val="00B86EAE"/>
    <w:rsid w:val="00B9425E"/>
    <w:rsid w:val="00BB7E68"/>
    <w:rsid w:val="00BC41D0"/>
    <w:rsid w:val="00BC6008"/>
    <w:rsid w:val="00BC79C1"/>
    <w:rsid w:val="00BD25FC"/>
    <w:rsid w:val="00BE7EAD"/>
    <w:rsid w:val="00BF1C9C"/>
    <w:rsid w:val="00C25890"/>
    <w:rsid w:val="00C25E55"/>
    <w:rsid w:val="00C337BE"/>
    <w:rsid w:val="00C607F2"/>
    <w:rsid w:val="00C72753"/>
    <w:rsid w:val="00C852FC"/>
    <w:rsid w:val="00C923C7"/>
    <w:rsid w:val="00C926B3"/>
    <w:rsid w:val="00CA1712"/>
    <w:rsid w:val="00CA3CF4"/>
    <w:rsid w:val="00CA415B"/>
    <w:rsid w:val="00CA4548"/>
    <w:rsid w:val="00CA7035"/>
    <w:rsid w:val="00CC25F9"/>
    <w:rsid w:val="00CC4DAC"/>
    <w:rsid w:val="00CC5C39"/>
    <w:rsid w:val="00CD2626"/>
    <w:rsid w:val="00CD6659"/>
    <w:rsid w:val="00CD6FE7"/>
    <w:rsid w:val="00CE05D3"/>
    <w:rsid w:val="00CE078A"/>
    <w:rsid w:val="00CE1381"/>
    <w:rsid w:val="00CF17C7"/>
    <w:rsid w:val="00D00837"/>
    <w:rsid w:val="00D073CA"/>
    <w:rsid w:val="00D114B8"/>
    <w:rsid w:val="00D12799"/>
    <w:rsid w:val="00D205AF"/>
    <w:rsid w:val="00D21FB7"/>
    <w:rsid w:val="00D331A3"/>
    <w:rsid w:val="00D35F29"/>
    <w:rsid w:val="00D435ED"/>
    <w:rsid w:val="00D4583E"/>
    <w:rsid w:val="00D548FB"/>
    <w:rsid w:val="00D54A9D"/>
    <w:rsid w:val="00D55A52"/>
    <w:rsid w:val="00D62081"/>
    <w:rsid w:val="00D71F29"/>
    <w:rsid w:val="00D72D15"/>
    <w:rsid w:val="00D77604"/>
    <w:rsid w:val="00D92EA0"/>
    <w:rsid w:val="00DA7839"/>
    <w:rsid w:val="00DB445E"/>
    <w:rsid w:val="00DC42E3"/>
    <w:rsid w:val="00DC6A1C"/>
    <w:rsid w:val="00DD3674"/>
    <w:rsid w:val="00DD78E6"/>
    <w:rsid w:val="00E107B0"/>
    <w:rsid w:val="00E14105"/>
    <w:rsid w:val="00E1647E"/>
    <w:rsid w:val="00E4476A"/>
    <w:rsid w:val="00E54791"/>
    <w:rsid w:val="00E61151"/>
    <w:rsid w:val="00E62240"/>
    <w:rsid w:val="00E65535"/>
    <w:rsid w:val="00E66D86"/>
    <w:rsid w:val="00E812C9"/>
    <w:rsid w:val="00E84324"/>
    <w:rsid w:val="00E85129"/>
    <w:rsid w:val="00E87D54"/>
    <w:rsid w:val="00E91E19"/>
    <w:rsid w:val="00E961EF"/>
    <w:rsid w:val="00EA4286"/>
    <w:rsid w:val="00EB18F8"/>
    <w:rsid w:val="00EB4B2D"/>
    <w:rsid w:val="00EC4100"/>
    <w:rsid w:val="00ED16FB"/>
    <w:rsid w:val="00ED517B"/>
    <w:rsid w:val="00ED620B"/>
    <w:rsid w:val="00EE64BD"/>
    <w:rsid w:val="00F0116D"/>
    <w:rsid w:val="00F02CE8"/>
    <w:rsid w:val="00F1449A"/>
    <w:rsid w:val="00F16A26"/>
    <w:rsid w:val="00F1789C"/>
    <w:rsid w:val="00F25148"/>
    <w:rsid w:val="00F257F8"/>
    <w:rsid w:val="00F26A2A"/>
    <w:rsid w:val="00F27705"/>
    <w:rsid w:val="00F309BE"/>
    <w:rsid w:val="00F335C7"/>
    <w:rsid w:val="00F35218"/>
    <w:rsid w:val="00F4442A"/>
    <w:rsid w:val="00F45645"/>
    <w:rsid w:val="00F51B02"/>
    <w:rsid w:val="00F6027E"/>
    <w:rsid w:val="00F6261B"/>
    <w:rsid w:val="00F675CC"/>
    <w:rsid w:val="00F67835"/>
    <w:rsid w:val="00F72102"/>
    <w:rsid w:val="00F72ADE"/>
    <w:rsid w:val="00F73DFA"/>
    <w:rsid w:val="00F802E5"/>
    <w:rsid w:val="00F822E4"/>
    <w:rsid w:val="00F839AC"/>
    <w:rsid w:val="00F83E4B"/>
    <w:rsid w:val="00F84384"/>
    <w:rsid w:val="00F85041"/>
    <w:rsid w:val="00F943D9"/>
    <w:rsid w:val="00FA0774"/>
    <w:rsid w:val="00FA5787"/>
    <w:rsid w:val="00FB3E91"/>
    <w:rsid w:val="00FB76A3"/>
    <w:rsid w:val="00FC0CD5"/>
    <w:rsid w:val="00FC1A3A"/>
    <w:rsid w:val="00FC4E46"/>
    <w:rsid w:val="00FC6D03"/>
    <w:rsid w:val="00FC720C"/>
    <w:rsid w:val="00FD6A0B"/>
    <w:rsid w:val="00FE18DF"/>
    <w:rsid w:val="00FE40FB"/>
    <w:rsid w:val="00FF04C9"/>
    <w:rsid w:val="00FF72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23"/>
    <o:shapelayout v:ext="edit">
      <o:idmap v:ext="edit" data="1"/>
    </o:shapelayout>
  </w:shapeDefaults>
  <w:decimalSymbol w:val="."/>
  <w:listSeparator w:val=","/>
  <w14:docId w14:val="6422AEC1"/>
  <w15:chartTrackingRefBased/>
  <w15:docId w15:val="{343EF34B-5E34-4E92-AD75-C3309756D5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57C51"/>
    <w:pPr>
      <w:widowControl w:val="0"/>
      <w:overflowPunct w:val="0"/>
      <w:autoSpaceDE w:val="0"/>
      <w:autoSpaceDN w:val="0"/>
      <w:adjustRightInd w:val="0"/>
      <w:textAlignment w:val="baseline"/>
    </w:pPr>
    <w:rPr>
      <w:rFonts w:ascii="Arial" w:hAnsi="Arial" w:cs="Mangal"/>
      <w:sz w:val="22"/>
      <w:szCs w:val="22"/>
    </w:rPr>
  </w:style>
  <w:style w:type="paragraph" w:styleId="Heading1">
    <w:name w:val="heading 1"/>
    <w:aliases w:val="Numbered - 1,h1,A MAJOR/BOLD,Schedheading,Heading 1(Report Only),h1 chapter heading,Section Heading,H1,Attribute Heading 1,Roman 14 B Heading,Roman 14 B Heading1,Roman 14 B Heading2,Roman 14 B Heading11,new page/chapter,1st level,(Alt+1),Part"/>
    <w:basedOn w:val="Normal"/>
    <w:next w:val="Normal"/>
    <w:qFormat/>
    <w:pPr>
      <w:keepNext/>
      <w:keepLines/>
      <w:spacing w:before="240" w:after="240"/>
      <w:outlineLvl w:val="0"/>
    </w:pPr>
    <w:rPr>
      <w:b/>
      <w:bCs/>
      <w:kern w:val="28"/>
    </w:rPr>
  </w:style>
  <w:style w:type="paragraph" w:styleId="Heading2">
    <w:name w:val="heading 2"/>
    <w:aliases w:val="Numbered - 2"/>
    <w:basedOn w:val="Heading1"/>
    <w:next w:val="Normal"/>
    <w:qFormat/>
    <w:pPr>
      <w:outlineLvl w:val="1"/>
    </w:pPr>
  </w:style>
  <w:style w:type="paragraph" w:styleId="Heading3">
    <w:name w:val="heading 3"/>
    <w:aliases w:val="Numbered - 3"/>
    <w:basedOn w:val="Heading2"/>
    <w:next w:val="Normal"/>
    <w:qFormat/>
    <w:pPr>
      <w:keepNext w:val="0"/>
      <w:keepLines w:val="0"/>
      <w:spacing w:before="0" w:after="0"/>
      <w:outlineLvl w:val="2"/>
    </w:pPr>
    <w:rPr>
      <w:b w:val="0"/>
      <w:bCs w:val="0"/>
    </w:rPr>
  </w:style>
  <w:style w:type="paragraph" w:styleId="Heading4">
    <w:name w:val="heading 4"/>
    <w:aliases w:val="Numbered - 4"/>
    <w:basedOn w:val="Heading3"/>
    <w:next w:val="Normal"/>
    <w:qFormat/>
    <w:pPr>
      <w:outlineLvl w:val="3"/>
    </w:pPr>
  </w:style>
  <w:style w:type="paragraph" w:styleId="Heading5">
    <w:name w:val="heading 5"/>
    <w:aliases w:val="Numbered - 5,Heading 5(unused),Level 3 - (i),Third Level Heading,h5,Response Type,Response Type1,Response Type2,Response Type3,Response Type4,Response Type5,Response Type6,Response Type7,Appendix A to X,Heading 5   Appendix A to X,H5,Subheadin"/>
    <w:basedOn w:val="Heading4"/>
    <w:next w:val="Normal"/>
    <w:qFormat/>
    <w:pPr>
      <w:outlineLvl w:val="4"/>
    </w:pPr>
  </w:style>
  <w:style w:type="paragraph" w:styleId="Heading6">
    <w:name w:val="heading 6"/>
    <w:aliases w:val="Numbered - 6,Heading 6(unused),Legal Level 1.,L1 PIP,Heading 6  Appendix Y &amp; Z,Lev 6,H6 DO NOT USE,Bullet list,PA Appendix,H6,H61,PR14"/>
    <w:basedOn w:val="Heading5"/>
    <w:next w:val="Normal"/>
    <w:qFormat/>
    <w:pPr>
      <w:outlineLvl w:val="5"/>
    </w:pPr>
  </w:style>
  <w:style w:type="paragraph" w:styleId="Heading7">
    <w:name w:val="heading 7"/>
    <w:aliases w:val="Numbered - 7,Heading 7(unused),Legal Level 1.1.,L2 PIP,Lev 7,H7DO NOT USE,PA Appendix Major"/>
    <w:basedOn w:val="Heading6"/>
    <w:next w:val="Normal"/>
    <w:qFormat/>
    <w:pPr>
      <w:outlineLvl w:val="6"/>
    </w:pPr>
  </w:style>
  <w:style w:type="paragraph" w:styleId="Heading8">
    <w:name w:val="heading 8"/>
    <w:aliases w:val="Numbered - 8,Legal Level 1.1.1.,Lev 8,h8 DO NOT USE,PA Appendix Minor"/>
    <w:basedOn w:val="Heading7"/>
    <w:next w:val="Normal"/>
    <w:qFormat/>
    <w:pPr>
      <w:outlineLvl w:val="7"/>
    </w:pPr>
  </w:style>
  <w:style w:type="paragraph" w:styleId="Heading9">
    <w:name w:val="heading 9"/>
    <w:aliases w:val="Numbered - 9,Heading 9 (defunct),Legal Level 1.1.1.1.,Lev 9,h9 DO NOT USE,App Heading,Titre 10,App1"/>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07"/>
        <w:tab w:val="left" w:pos="9029"/>
      </w:tabs>
    </w:pPr>
  </w:style>
  <w:style w:type="paragraph" w:styleId="Header">
    <w:name w:val="header"/>
    <w:basedOn w:val="Normal"/>
    <w:link w:val="HeaderChar"/>
    <w:uiPriority w:val="99"/>
    <w:pPr>
      <w:tabs>
        <w:tab w:val="center" w:pos="4507"/>
        <w:tab w:val="left" w:pos="9029"/>
      </w:tabs>
    </w:pPr>
  </w:style>
  <w:style w:type="paragraph" w:styleId="NormalIndent">
    <w:name w:val="Normal Indent"/>
    <w:basedOn w:val="Normal"/>
    <w:pPr>
      <w:ind w:left="720"/>
    </w:pPr>
  </w:style>
  <w:style w:type="paragraph" w:customStyle="1" w:styleId="SpecialBelowAddress">
    <w:name w:val="Special Below Address"/>
    <w:basedOn w:val="Normal"/>
    <w:next w:val="Normal"/>
    <w:pPr>
      <w:spacing w:after="480"/>
    </w:pPr>
  </w:style>
  <w:style w:type="paragraph" w:customStyle="1" w:styleId="AddressBlockRight">
    <w:name w:val="Address Block Right"/>
    <w:basedOn w:val="Normal"/>
    <w:pPr>
      <w:spacing w:after="240"/>
    </w:pPr>
  </w:style>
  <w:style w:type="paragraph" w:customStyle="1" w:styleId="AddressBlockRightTop">
    <w:name w:val="Address Block Right Top"/>
    <w:basedOn w:val="AddressBlockRight"/>
    <w:next w:val="AddressBlockRight"/>
    <w:pPr>
      <w:spacing w:before="1440"/>
    </w:pPr>
  </w:style>
  <w:style w:type="paragraph" w:customStyle="1" w:styleId="AddressBlockLeftTop">
    <w:name w:val="Address Block Left Top"/>
    <w:basedOn w:val="Normal"/>
    <w:next w:val="Normal"/>
    <w:pPr>
      <w:spacing w:before="1440"/>
    </w:pPr>
  </w:style>
  <w:style w:type="paragraph" w:customStyle="1" w:styleId="Heading">
    <w:name w:val="Heading"/>
    <w:basedOn w:val="Normal"/>
    <w:next w:val="Normal"/>
    <w:pPr>
      <w:keepNext/>
      <w:keepLines/>
      <w:spacing w:before="240" w:after="240"/>
      <w:ind w:left="-720"/>
    </w:pPr>
    <w:rPr>
      <w:b/>
      <w:bCs/>
    </w:rPr>
  </w:style>
  <w:style w:type="character" w:styleId="PageNumber">
    <w:name w:val="page number"/>
    <w:basedOn w:val="DefaultParagraphFont"/>
  </w:style>
  <w:style w:type="paragraph" w:customStyle="1" w:styleId="Sub-Heading">
    <w:name w:val="Sub-Heading"/>
    <w:basedOn w:val="Heading"/>
    <w:next w:val="Numbered"/>
    <w:pPr>
      <w:spacing w:before="0"/>
    </w:pPr>
  </w:style>
  <w:style w:type="paragraph" w:customStyle="1" w:styleId="Numbered">
    <w:name w:val="Numbered"/>
    <w:basedOn w:val="Normal"/>
    <w:link w:val="NumberedChar"/>
    <w:pPr>
      <w:spacing w:after="240"/>
    </w:pPr>
  </w:style>
  <w:style w:type="paragraph" w:customStyle="1" w:styleId="SpecialAboveAddress">
    <w:name w:val="Special Above Address"/>
    <w:basedOn w:val="SpecialBelowAddress"/>
    <w:pPr>
      <w:spacing w:after="0"/>
    </w:pPr>
  </w:style>
  <w:style w:type="paragraph" w:styleId="BodyText">
    <w:name w:val="Body Text"/>
    <w:basedOn w:val="Normal"/>
    <w:link w:val="BodyTextChar"/>
  </w:style>
  <w:style w:type="paragraph" w:customStyle="1" w:styleId="BodyText21">
    <w:name w:val="Body Text 21"/>
    <w:basedOn w:val="Normal"/>
    <w:pPr>
      <w:ind w:left="288"/>
    </w:pPr>
  </w:style>
  <w:style w:type="paragraph" w:customStyle="1" w:styleId="MinuteTop">
    <w:name w:val="Minute Top"/>
    <w:basedOn w:val="Normal"/>
    <w:pPr>
      <w:tabs>
        <w:tab w:val="left" w:pos="4680"/>
        <w:tab w:val="left" w:pos="5587"/>
      </w:tabs>
    </w:pPr>
  </w:style>
  <w:style w:type="paragraph" w:styleId="Subtitle">
    <w:name w:val="Subtitle"/>
    <w:basedOn w:val="Normal"/>
    <w:qFormat/>
    <w:pPr>
      <w:spacing w:after="60"/>
      <w:jc w:val="center"/>
    </w:pPr>
    <w:rPr>
      <w:i/>
      <w:iCs/>
    </w:rPr>
  </w:style>
  <w:style w:type="paragraph" w:styleId="BodyText2">
    <w:name w:val="Body Text 2"/>
    <w:basedOn w:val="Normal"/>
    <w:pPr>
      <w:widowControl/>
      <w:ind w:left="720" w:hanging="720"/>
    </w:pPr>
    <w:rPr>
      <w:color w:val="000000"/>
      <w:lang w:val="en-US"/>
    </w:rPr>
  </w:style>
  <w:style w:type="paragraph" w:customStyle="1" w:styleId="DfESOutNumbered">
    <w:name w:val="DfESOutNumbered"/>
    <w:basedOn w:val="Normal"/>
    <w:pPr>
      <w:tabs>
        <w:tab w:val="left" w:pos="360"/>
      </w:tabs>
      <w:spacing w:after="240"/>
    </w:pPr>
  </w:style>
  <w:style w:type="paragraph" w:customStyle="1" w:styleId="DfESBullets">
    <w:name w:val="DfESBullets"/>
    <w:basedOn w:val="Normal"/>
    <w:pPr>
      <w:numPr>
        <w:numId w:val="7"/>
      </w:numPr>
      <w:tabs>
        <w:tab w:val="left" w:pos="360"/>
      </w:tabs>
      <w:spacing w:after="240"/>
    </w:pPr>
  </w:style>
  <w:style w:type="character" w:styleId="Hyperlink">
    <w:name w:val="Hyperlink"/>
    <w:rPr>
      <w:color w:val="0000FF"/>
      <w:u w:val="single"/>
    </w:rPr>
  </w:style>
  <w:style w:type="paragraph" w:customStyle="1" w:styleId="DeptOutNumbered">
    <w:name w:val="DeptOutNumbered"/>
    <w:basedOn w:val="Normal"/>
    <w:rsid w:val="00744B7C"/>
    <w:pPr>
      <w:numPr>
        <w:numId w:val="4"/>
      </w:numPr>
      <w:spacing w:after="240"/>
    </w:pPr>
    <w:rPr>
      <w:rFonts w:cs="Times New Roman"/>
      <w:sz w:val="24"/>
      <w:szCs w:val="20"/>
      <w:lang w:eastAsia="en-US"/>
    </w:rPr>
  </w:style>
  <w:style w:type="paragraph" w:customStyle="1" w:styleId="DeptBullets">
    <w:name w:val="DeptBullets"/>
    <w:basedOn w:val="Normal"/>
    <w:rsid w:val="00744B7C"/>
    <w:pPr>
      <w:numPr>
        <w:numId w:val="5"/>
      </w:numPr>
      <w:spacing w:after="240"/>
    </w:pPr>
    <w:rPr>
      <w:rFonts w:cs="Times New Roman"/>
      <w:sz w:val="24"/>
      <w:szCs w:val="20"/>
      <w:lang w:eastAsia="en-US"/>
    </w:rPr>
  </w:style>
  <w:style w:type="character" w:styleId="FollowedHyperlink">
    <w:name w:val="FollowedHyperlink"/>
    <w:rsid w:val="00A52A6C"/>
    <w:rPr>
      <w:color w:val="800080"/>
      <w:u w:val="single"/>
    </w:rPr>
  </w:style>
  <w:style w:type="paragraph" w:styleId="BodyTextIndent2">
    <w:name w:val="Body Text Indent 2"/>
    <w:basedOn w:val="Normal"/>
    <w:link w:val="BodyTextIndent2Char"/>
    <w:rsid w:val="00CD6FE7"/>
    <w:pPr>
      <w:spacing w:after="120" w:line="480" w:lineRule="auto"/>
      <w:ind w:left="283"/>
    </w:pPr>
  </w:style>
  <w:style w:type="paragraph" w:styleId="NormalWeb">
    <w:name w:val="Normal (Web)"/>
    <w:basedOn w:val="Normal"/>
    <w:uiPriority w:val="99"/>
    <w:rsid w:val="00C337BE"/>
    <w:rPr>
      <w:rFonts w:ascii="Times New Roman" w:hAnsi="Times New Roman" w:cs="Times New Roman"/>
      <w:sz w:val="24"/>
      <w:szCs w:val="24"/>
    </w:rPr>
  </w:style>
  <w:style w:type="paragraph" w:customStyle="1" w:styleId="numbered0">
    <w:name w:val="numbered"/>
    <w:basedOn w:val="Normal"/>
    <w:rsid w:val="003F4D78"/>
    <w:pPr>
      <w:widowControl/>
      <w:overflowPunct/>
      <w:autoSpaceDE/>
      <w:autoSpaceDN/>
      <w:adjustRightInd/>
      <w:spacing w:before="100" w:beforeAutospacing="1" w:after="100" w:afterAutospacing="1"/>
      <w:textAlignment w:val="auto"/>
    </w:pPr>
    <w:rPr>
      <w:rFonts w:cs="Arial"/>
      <w:sz w:val="24"/>
      <w:szCs w:val="24"/>
    </w:rPr>
  </w:style>
  <w:style w:type="table" w:styleId="TableGrid">
    <w:name w:val="Table Grid"/>
    <w:basedOn w:val="TableNormal"/>
    <w:rsid w:val="00CA45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0646F"/>
    <w:pPr>
      <w:autoSpaceDE w:val="0"/>
      <w:autoSpaceDN w:val="0"/>
      <w:adjustRightInd w:val="0"/>
    </w:pPr>
    <w:rPr>
      <w:rFonts w:ascii="Arial" w:hAnsi="Arial" w:cs="Arial"/>
      <w:color w:val="000000"/>
      <w:sz w:val="24"/>
      <w:szCs w:val="24"/>
    </w:rPr>
  </w:style>
  <w:style w:type="paragraph" w:customStyle="1" w:styleId="Outline2">
    <w:name w:val="Outline 2"/>
    <w:basedOn w:val="Normal"/>
    <w:rsid w:val="009A47B9"/>
    <w:pPr>
      <w:widowControl/>
      <w:tabs>
        <w:tab w:val="left" w:pos="851"/>
      </w:tabs>
      <w:spacing w:after="240"/>
      <w:ind w:left="851" w:hanging="851"/>
      <w:jc w:val="both"/>
    </w:pPr>
    <w:rPr>
      <w:rFonts w:cs="Times New Roman"/>
      <w:szCs w:val="20"/>
    </w:rPr>
  </w:style>
  <w:style w:type="paragraph" w:customStyle="1" w:styleId="OutlinePara">
    <w:name w:val="Outline Para"/>
    <w:basedOn w:val="Normal"/>
    <w:rsid w:val="009A47B9"/>
    <w:pPr>
      <w:widowControl/>
      <w:spacing w:after="240"/>
      <w:jc w:val="both"/>
    </w:pPr>
    <w:rPr>
      <w:rFonts w:cs="Times New Roman"/>
      <w:szCs w:val="20"/>
    </w:rPr>
  </w:style>
  <w:style w:type="table" w:customStyle="1" w:styleId="TableGrid1">
    <w:name w:val="Table Grid1"/>
    <w:basedOn w:val="TableNormal"/>
    <w:next w:val="TableGrid"/>
    <w:rsid w:val="00AE08C6"/>
    <w:pPr>
      <w:widowControl w:val="0"/>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16236"/>
    <w:rPr>
      <w:rFonts w:ascii="Tahoma" w:hAnsi="Tahoma" w:cs="Tahoma"/>
      <w:sz w:val="16"/>
      <w:szCs w:val="14"/>
    </w:rPr>
  </w:style>
  <w:style w:type="character" w:customStyle="1" w:styleId="BalloonTextChar">
    <w:name w:val="Balloon Text Char"/>
    <w:link w:val="BalloonText"/>
    <w:rsid w:val="00B16236"/>
    <w:rPr>
      <w:rFonts w:ascii="Tahoma" w:hAnsi="Tahoma" w:cs="Tahoma"/>
      <w:sz w:val="16"/>
      <w:szCs w:val="14"/>
    </w:rPr>
  </w:style>
  <w:style w:type="paragraph" w:customStyle="1" w:styleId="Outline1">
    <w:name w:val="Outline 1"/>
    <w:basedOn w:val="Normal"/>
    <w:rsid w:val="00174D29"/>
    <w:pPr>
      <w:keepNext/>
      <w:widowControl/>
      <w:tabs>
        <w:tab w:val="left" w:pos="851"/>
      </w:tabs>
      <w:spacing w:after="240"/>
      <w:ind w:left="851" w:hanging="851"/>
      <w:jc w:val="both"/>
    </w:pPr>
    <w:rPr>
      <w:rFonts w:cs="Times New Roman"/>
      <w:b/>
      <w:caps/>
      <w:szCs w:val="20"/>
    </w:rPr>
  </w:style>
  <w:style w:type="paragraph" w:styleId="BodyTextIndent3">
    <w:name w:val="Body Text Indent 3"/>
    <w:basedOn w:val="Normal"/>
    <w:link w:val="BodyTextIndent3Char"/>
    <w:rsid w:val="00303483"/>
    <w:pPr>
      <w:spacing w:after="120"/>
      <w:ind w:left="283"/>
    </w:pPr>
    <w:rPr>
      <w:sz w:val="16"/>
      <w:szCs w:val="16"/>
    </w:rPr>
  </w:style>
  <w:style w:type="character" w:customStyle="1" w:styleId="FooterChar">
    <w:name w:val="Footer Char"/>
    <w:link w:val="Footer"/>
    <w:uiPriority w:val="99"/>
    <w:rsid w:val="00ED16FB"/>
    <w:rPr>
      <w:rFonts w:ascii="Arial" w:hAnsi="Arial" w:cs="Mangal"/>
      <w:sz w:val="22"/>
      <w:szCs w:val="22"/>
    </w:rPr>
  </w:style>
  <w:style w:type="paragraph" w:styleId="ListParagraph">
    <w:name w:val="List Paragraph"/>
    <w:basedOn w:val="Normal"/>
    <w:uiPriority w:val="34"/>
    <w:qFormat/>
    <w:rsid w:val="008A2D90"/>
    <w:pPr>
      <w:ind w:left="720"/>
    </w:pPr>
    <w:rPr>
      <w:szCs w:val="20"/>
    </w:rPr>
  </w:style>
  <w:style w:type="character" w:styleId="CommentReference">
    <w:name w:val="annotation reference"/>
    <w:rsid w:val="00B64BB1"/>
    <w:rPr>
      <w:sz w:val="16"/>
      <w:szCs w:val="16"/>
    </w:rPr>
  </w:style>
  <w:style w:type="paragraph" w:styleId="CommentText">
    <w:name w:val="annotation text"/>
    <w:basedOn w:val="Normal"/>
    <w:link w:val="CommentTextChar"/>
    <w:rsid w:val="00B64BB1"/>
    <w:rPr>
      <w:sz w:val="20"/>
      <w:szCs w:val="18"/>
    </w:rPr>
  </w:style>
  <w:style w:type="character" w:customStyle="1" w:styleId="CommentTextChar">
    <w:name w:val="Comment Text Char"/>
    <w:link w:val="CommentText"/>
    <w:rsid w:val="00B64BB1"/>
    <w:rPr>
      <w:rFonts w:ascii="Arial" w:hAnsi="Arial" w:cs="Mangal"/>
      <w:szCs w:val="18"/>
    </w:rPr>
  </w:style>
  <w:style w:type="paragraph" w:customStyle="1" w:styleId="Normal1">
    <w:name w:val="Normal1"/>
    <w:rsid w:val="00E65535"/>
    <w:rPr>
      <w:color w:val="000000"/>
      <w:sz w:val="24"/>
      <w:szCs w:val="24"/>
      <w:lang w:eastAsia="en-US"/>
    </w:rPr>
  </w:style>
  <w:style w:type="paragraph" w:styleId="BodyText3">
    <w:name w:val="Body Text 3"/>
    <w:basedOn w:val="Normal"/>
    <w:link w:val="BodyText3Char"/>
    <w:rsid w:val="00FD6A0B"/>
    <w:pPr>
      <w:spacing w:after="120"/>
    </w:pPr>
    <w:rPr>
      <w:sz w:val="16"/>
      <w:szCs w:val="14"/>
    </w:rPr>
  </w:style>
  <w:style w:type="character" w:customStyle="1" w:styleId="BodyText3Char">
    <w:name w:val="Body Text 3 Char"/>
    <w:link w:val="BodyText3"/>
    <w:rsid w:val="00FD6A0B"/>
    <w:rPr>
      <w:rFonts w:ascii="Arial" w:hAnsi="Arial" w:cs="Mangal"/>
      <w:sz w:val="16"/>
      <w:szCs w:val="14"/>
    </w:rPr>
  </w:style>
  <w:style w:type="character" w:styleId="Emphasis">
    <w:name w:val="Emphasis"/>
    <w:qFormat/>
    <w:rsid w:val="00FD6A0B"/>
    <w:rPr>
      <w:i/>
      <w:iCs/>
    </w:rPr>
  </w:style>
  <w:style w:type="paragraph" w:styleId="CommentSubject">
    <w:name w:val="annotation subject"/>
    <w:basedOn w:val="CommentText"/>
    <w:next w:val="CommentText"/>
    <w:link w:val="CommentSubjectChar"/>
    <w:rsid w:val="009B415F"/>
    <w:rPr>
      <w:b/>
      <w:bCs/>
    </w:rPr>
  </w:style>
  <w:style w:type="character" w:customStyle="1" w:styleId="CommentSubjectChar">
    <w:name w:val="Comment Subject Char"/>
    <w:link w:val="CommentSubject"/>
    <w:rsid w:val="009B415F"/>
    <w:rPr>
      <w:rFonts w:ascii="Arial" w:hAnsi="Arial" w:cs="Mangal"/>
      <w:b/>
      <w:bCs/>
      <w:szCs w:val="18"/>
    </w:rPr>
  </w:style>
  <w:style w:type="paragraph" w:styleId="NoSpacing">
    <w:name w:val="No Spacing"/>
    <w:link w:val="NoSpacingChar"/>
    <w:uiPriority w:val="1"/>
    <w:qFormat/>
    <w:rsid w:val="0063440F"/>
    <w:rPr>
      <w:rFonts w:ascii="Calibri" w:eastAsia="Calibri" w:hAnsi="Calibri"/>
      <w:sz w:val="22"/>
      <w:szCs w:val="22"/>
      <w:lang w:eastAsia="en-US"/>
    </w:rPr>
  </w:style>
  <w:style w:type="character" w:customStyle="1" w:styleId="NoSpacingChar">
    <w:name w:val="No Spacing Char"/>
    <w:link w:val="NoSpacing"/>
    <w:rsid w:val="0063440F"/>
    <w:rPr>
      <w:rFonts w:ascii="Calibri" w:eastAsia="Calibri" w:hAnsi="Calibri"/>
      <w:sz w:val="22"/>
      <w:szCs w:val="22"/>
      <w:lang w:eastAsia="en-US"/>
    </w:rPr>
  </w:style>
  <w:style w:type="character" w:customStyle="1" w:styleId="NumberedChar">
    <w:name w:val="Numbered Char"/>
    <w:link w:val="Numbered"/>
    <w:rsid w:val="00916D17"/>
    <w:rPr>
      <w:rFonts w:ascii="Arial" w:hAnsi="Arial" w:cs="Mangal"/>
      <w:sz w:val="22"/>
      <w:szCs w:val="22"/>
    </w:rPr>
  </w:style>
  <w:style w:type="character" w:styleId="UnresolvedMention">
    <w:name w:val="Unresolved Mention"/>
    <w:uiPriority w:val="99"/>
    <w:semiHidden/>
    <w:unhideWhenUsed/>
    <w:rsid w:val="002E64C6"/>
    <w:rPr>
      <w:color w:val="605E5C"/>
      <w:shd w:val="clear" w:color="auto" w:fill="E1DFDD"/>
    </w:rPr>
  </w:style>
  <w:style w:type="paragraph" w:styleId="FootnoteText">
    <w:name w:val="footnote text"/>
    <w:basedOn w:val="Normal"/>
    <w:link w:val="FootnoteTextChar"/>
    <w:uiPriority w:val="99"/>
    <w:unhideWhenUsed/>
    <w:rsid w:val="00BC41D0"/>
    <w:pPr>
      <w:widowControl/>
      <w:overflowPunct/>
      <w:autoSpaceDE/>
      <w:autoSpaceDN/>
      <w:adjustRightInd/>
      <w:textAlignment w:val="auto"/>
    </w:pPr>
    <w:rPr>
      <w:rFonts w:ascii="Calibri" w:eastAsia="Calibri" w:hAnsi="Calibri" w:cs="Times New Roman"/>
      <w:sz w:val="20"/>
      <w:szCs w:val="20"/>
      <w:lang w:eastAsia="en-US"/>
    </w:rPr>
  </w:style>
  <w:style w:type="character" w:customStyle="1" w:styleId="FootnoteTextChar">
    <w:name w:val="Footnote Text Char"/>
    <w:basedOn w:val="DefaultParagraphFont"/>
    <w:link w:val="FootnoteText"/>
    <w:uiPriority w:val="99"/>
    <w:rsid w:val="00BC41D0"/>
    <w:rPr>
      <w:rFonts w:ascii="Calibri" w:eastAsia="Calibri" w:hAnsi="Calibri"/>
      <w:lang w:eastAsia="en-US"/>
    </w:rPr>
  </w:style>
  <w:style w:type="character" w:styleId="FootnoteReference">
    <w:name w:val="footnote reference"/>
    <w:uiPriority w:val="99"/>
    <w:unhideWhenUsed/>
    <w:rsid w:val="00BC41D0"/>
    <w:rPr>
      <w:vertAlign w:val="superscript"/>
    </w:rPr>
  </w:style>
  <w:style w:type="paragraph" w:customStyle="1" w:styleId="Outline3">
    <w:name w:val="Outline 3"/>
    <w:basedOn w:val="Normal"/>
    <w:rsid w:val="004C4417"/>
    <w:pPr>
      <w:widowControl/>
      <w:tabs>
        <w:tab w:val="left" w:pos="1701"/>
      </w:tabs>
      <w:spacing w:after="240"/>
      <w:ind w:left="1701" w:hanging="850"/>
      <w:jc w:val="both"/>
    </w:pPr>
    <w:rPr>
      <w:rFonts w:cs="Times New Roman"/>
      <w:szCs w:val="20"/>
    </w:rPr>
  </w:style>
  <w:style w:type="paragraph" w:customStyle="1" w:styleId="Outline4">
    <w:name w:val="Outline 4"/>
    <w:basedOn w:val="Normal"/>
    <w:rsid w:val="004C4417"/>
    <w:pPr>
      <w:widowControl/>
      <w:tabs>
        <w:tab w:val="left" w:pos="2268"/>
      </w:tabs>
      <w:spacing w:after="240"/>
      <w:ind w:left="2268" w:hanging="567"/>
      <w:jc w:val="both"/>
    </w:pPr>
    <w:rPr>
      <w:rFonts w:cs="Times New Roman"/>
      <w:szCs w:val="20"/>
    </w:rPr>
  </w:style>
  <w:style w:type="paragraph" w:customStyle="1" w:styleId="Outline5">
    <w:name w:val="Outline 5"/>
    <w:basedOn w:val="Normal"/>
    <w:rsid w:val="004C4417"/>
    <w:pPr>
      <w:widowControl/>
      <w:tabs>
        <w:tab w:val="left" w:pos="2835"/>
      </w:tabs>
      <w:spacing w:after="240"/>
      <w:ind w:left="2835" w:hanging="567"/>
      <w:jc w:val="both"/>
    </w:pPr>
    <w:rPr>
      <w:rFonts w:cs="Times New Roman"/>
      <w:szCs w:val="20"/>
    </w:rPr>
  </w:style>
  <w:style w:type="paragraph" w:customStyle="1" w:styleId="OutlineInd2">
    <w:name w:val="Outline Ind 2"/>
    <w:basedOn w:val="Normal"/>
    <w:rsid w:val="004C4417"/>
    <w:pPr>
      <w:widowControl/>
      <w:tabs>
        <w:tab w:val="left" w:pos="1701"/>
      </w:tabs>
      <w:spacing w:after="240"/>
      <w:ind w:left="1701" w:hanging="850"/>
      <w:jc w:val="both"/>
    </w:pPr>
    <w:rPr>
      <w:rFonts w:cs="Times New Roman"/>
      <w:szCs w:val="20"/>
    </w:rPr>
  </w:style>
  <w:style w:type="paragraph" w:customStyle="1" w:styleId="OutlineInd3">
    <w:name w:val="Outline Ind 3"/>
    <w:basedOn w:val="Normal"/>
    <w:rsid w:val="004C4417"/>
    <w:pPr>
      <w:widowControl/>
      <w:tabs>
        <w:tab w:val="left" w:pos="2552"/>
      </w:tabs>
      <w:spacing w:after="240"/>
      <w:ind w:left="2552" w:hanging="851"/>
      <w:jc w:val="both"/>
    </w:pPr>
    <w:rPr>
      <w:rFonts w:cs="Times New Roman"/>
      <w:szCs w:val="20"/>
    </w:rPr>
  </w:style>
  <w:style w:type="paragraph" w:customStyle="1" w:styleId="OutlineInd4">
    <w:name w:val="Outline Ind 4"/>
    <w:basedOn w:val="Normal"/>
    <w:rsid w:val="004C4417"/>
    <w:pPr>
      <w:widowControl/>
      <w:tabs>
        <w:tab w:val="left" w:pos="3119"/>
      </w:tabs>
      <w:spacing w:after="240"/>
      <w:ind w:left="3119" w:hanging="567"/>
      <w:jc w:val="both"/>
    </w:pPr>
    <w:rPr>
      <w:rFonts w:cs="Times New Roman"/>
      <w:szCs w:val="20"/>
    </w:rPr>
  </w:style>
  <w:style w:type="paragraph" w:customStyle="1" w:styleId="OutlineInd5">
    <w:name w:val="Outline Ind 5"/>
    <w:basedOn w:val="Normal"/>
    <w:rsid w:val="004C4417"/>
    <w:pPr>
      <w:widowControl/>
      <w:tabs>
        <w:tab w:val="left" w:pos="3686"/>
      </w:tabs>
      <w:spacing w:after="240"/>
      <w:ind w:left="3686" w:hanging="567"/>
      <w:jc w:val="both"/>
    </w:pPr>
    <w:rPr>
      <w:rFonts w:cs="Times New Roman"/>
      <w:szCs w:val="20"/>
    </w:rPr>
  </w:style>
  <w:style w:type="character" w:customStyle="1" w:styleId="BodyTextChar">
    <w:name w:val="Body Text Char"/>
    <w:link w:val="BodyText"/>
    <w:locked/>
    <w:rsid w:val="004C4417"/>
    <w:rPr>
      <w:rFonts w:ascii="Arial" w:hAnsi="Arial" w:cs="Mangal"/>
      <w:sz w:val="22"/>
      <w:szCs w:val="22"/>
    </w:rPr>
  </w:style>
  <w:style w:type="character" w:customStyle="1" w:styleId="BodyTextIndent2Char">
    <w:name w:val="Body Text Indent 2 Char"/>
    <w:basedOn w:val="DefaultParagraphFont"/>
    <w:link w:val="BodyTextIndent2"/>
    <w:rsid w:val="004C4417"/>
    <w:rPr>
      <w:rFonts w:ascii="Arial" w:hAnsi="Arial" w:cs="Mangal"/>
      <w:sz w:val="22"/>
      <w:szCs w:val="22"/>
    </w:rPr>
  </w:style>
  <w:style w:type="character" w:customStyle="1" w:styleId="BodyTextIndent3Char">
    <w:name w:val="Body Text Indent 3 Char"/>
    <w:link w:val="BodyTextIndent3"/>
    <w:rsid w:val="004C4417"/>
    <w:rPr>
      <w:rFonts w:ascii="Arial" w:hAnsi="Arial" w:cs="Mangal"/>
      <w:sz w:val="16"/>
      <w:szCs w:val="16"/>
    </w:rPr>
  </w:style>
  <w:style w:type="character" w:customStyle="1" w:styleId="HeaderChar">
    <w:name w:val="Header Char"/>
    <w:link w:val="Header"/>
    <w:uiPriority w:val="99"/>
    <w:rsid w:val="004C4417"/>
    <w:rPr>
      <w:rFonts w:ascii="Arial" w:hAnsi="Arial" w:cs="Mang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00498">
      <w:bodyDiv w:val="1"/>
      <w:marLeft w:val="0"/>
      <w:marRight w:val="0"/>
      <w:marTop w:val="0"/>
      <w:marBottom w:val="0"/>
      <w:divBdr>
        <w:top w:val="none" w:sz="0" w:space="0" w:color="auto"/>
        <w:left w:val="none" w:sz="0" w:space="0" w:color="auto"/>
        <w:bottom w:val="none" w:sz="0" w:space="0" w:color="auto"/>
        <w:right w:val="none" w:sz="0" w:space="0" w:color="auto"/>
      </w:divBdr>
      <w:divsChild>
        <w:div w:id="117696156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229848138">
      <w:bodyDiv w:val="1"/>
      <w:marLeft w:val="0"/>
      <w:marRight w:val="0"/>
      <w:marTop w:val="0"/>
      <w:marBottom w:val="0"/>
      <w:divBdr>
        <w:top w:val="none" w:sz="0" w:space="0" w:color="auto"/>
        <w:left w:val="none" w:sz="0" w:space="0" w:color="auto"/>
        <w:bottom w:val="none" w:sz="0" w:space="0" w:color="auto"/>
        <w:right w:val="none" w:sz="0" w:space="0" w:color="auto"/>
      </w:divBdr>
      <w:divsChild>
        <w:div w:id="340590806">
          <w:marLeft w:val="0"/>
          <w:marRight w:val="0"/>
          <w:marTop w:val="0"/>
          <w:marBottom w:val="0"/>
          <w:divBdr>
            <w:top w:val="none" w:sz="0" w:space="0" w:color="auto"/>
            <w:left w:val="none" w:sz="0" w:space="0" w:color="auto"/>
            <w:bottom w:val="none" w:sz="0" w:space="0" w:color="auto"/>
            <w:right w:val="none" w:sz="0" w:space="0" w:color="auto"/>
          </w:divBdr>
          <w:divsChild>
            <w:div w:id="972519403">
              <w:marLeft w:val="0"/>
              <w:marRight w:val="0"/>
              <w:marTop w:val="0"/>
              <w:marBottom w:val="0"/>
              <w:divBdr>
                <w:top w:val="none" w:sz="0" w:space="0" w:color="auto"/>
                <w:left w:val="none" w:sz="0" w:space="0" w:color="auto"/>
                <w:bottom w:val="none" w:sz="0" w:space="0" w:color="auto"/>
                <w:right w:val="none" w:sz="0" w:space="0" w:color="auto"/>
              </w:divBdr>
              <w:divsChild>
                <w:div w:id="1627201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209082">
      <w:bodyDiv w:val="1"/>
      <w:marLeft w:val="0"/>
      <w:marRight w:val="0"/>
      <w:marTop w:val="0"/>
      <w:marBottom w:val="0"/>
      <w:divBdr>
        <w:top w:val="none" w:sz="0" w:space="0" w:color="auto"/>
        <w:left w:val="none" w:sz="0" w:space="0" w:color="auto"/>
        <w:bottom w:val="none" w:sz="0" w:space="0" w:color="auto"/>
        <w:right w:val="none" w:sz="0" w:space="0" w:color="auto"/>
      </w:divBdr>
    </w:div>
    <w:div w:id="733092214">
      <w:bodyDiv w:val="1"/>
      <w:marLeft w:val="15"/>
      <w:marRight w:val="15"/>
      <w:marTop w:val="15"/>
      <w:marBottom w:val="15"/>
      <w:divBdr>
        <w:top w:val="none" w:sz="0" w:space="0" w:color="auto"/>
        <w:left w:val="none" w:sz="0" w:space="0" w:color="auto"/>
        <w:bottom w:val="none" w:sz="0" w:space="0" w:color="auto"/>
        <w:right w:val="none" w:sz="0" w:space="0" w:color="auto"/>
      </w:divBdr>
      <w:divsChild>
        <w:div w:id="715548090">
          <w:marLeft w:val="2700"/>
          <w:marRight w:val="2700"/>
          <w:marTop w:val="0"/>
          <w:marBottom w:val="0"/>
          <w:divBdr>
            <w:top w:val="none" w:sz="0" w:space="0" w:color="auto"/>
            <w:left w:val="none" w:sz="0" w:space="0" w:color="auto"/>
            <w:bottom w:val="none" w:sz="0" w:space="0" w:color="auto"/>
            <w:right w:val="none" w:sz="0" w:space="0" w:color="auto"/>
          </w:divBdr>
          <w:divsChild>
            <w:div w:id="93987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389093">
      <w:bodyDiv w:val="1"/>
      <w:marLeft w:val="0"/>
      <w:marRight w:val="0"/>
      <w:marTop w:val="0"/>
      <w:marBottom w:val="0"/>
      <w:divBdr>
        <w:top w:val="none" w:sz="0" w:space="0" w:color="auto"/>
        <w:left w:val="none" w:sz="0" w:space="0" w:color="auto"/>
        <w:bottom w:val="none" w:sz="0" w:space="0" w:color="auto"/>
        <w:right w:val="none" w:sz="0" w:space="0" w:color="auto"/>
      </w:divBdr>
    </w:div>
    <w:div w:id="1283269134">
      <w:bodyDiv w:val="1"/>
      <w:marLeft w:val="15"/>
      <w:marRight w:val="15"/>
      <w:marTop w:val="15"/>
      <w:marBottom w:val="15"/>
      <w:divBdr>
        <w:top w:val="none" w:sz="0" w:space="0" w:color="auto"/>
        <w:left w:val="none" w:sz="0" w:space="0" w:color="auto"/>
        <w:bottom w:val="none" w:sz="0" w:space="0" w:color="auto"/>
        <w:right w:val="none" w:sz="0" w:space="0" w:color="auto"/>
      </w:divBdr>
      <w:divsChild>
        <w:div w:id="144052807">
          <w:marLeft w:val="2700"/>
          <w:marRight w:val="2700"/>
          <w:marTop w:val="0"/>
          <w:marBottom w:val="0"/>
          <w:divBdr>
            <w:top w:val="none" w:sz="0" w:space="0" w:color="auto"/>
            <w:left w:val="none" w:sz="0" w:space="0" w:color="auto"/>
            <w:bottom w:val="none" w:sz="0" w:space="0" w:color="auto"/>
            <w:right w:val="none" w:sz="0" w:space="0" w:color="auto"/>
          </w:divBdr>
          <w:divsChild>
            <w:div w:id="163579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8468360">
      <w:bodyDiv w:val="1"/>
      <w:marLeft w:val="0"/>
      <w:marRight w:val="0"/>
      <w:marTop w:val="0"/>
      <w:marBottom w:val="0"/>
      <w:divBdr>
        <w:top w:val="none" w:sz="0" w:space="0" w:color="auto"/>
        <w:left w:val="none" w:sz="0" w:space="0" w:color="auto"/>
        <w:bottom w:val="none" w:sz="0" w:space="0" w:color="auto"/>
        <w:right w:val="none" w:sz="0" w:space="0" w:color="auto"/>
      </w:divBdr>
    </w:div>
    <w:div w:id="1673995416">
      <w:bodyDiv w:val="1"/>
      <w:marLeft w:val="0"/>
      <w:marRight w:val="0"/>
      <w:marTop w:val="0"/>
      <w:marBottom w:val="0"/>
      <w:divBdr>
        <w:top w:val="none" w:sz="0" w:space="0" w:color="auto"/>
        <w:left w:val="none" w:sz="0" w:space="0" w:color="auto"/>
        <w:bottom w:val="none" w:sz="0" w:space="0" w:color="auto"/>
        <w:right w:val="none" w:sz="0" w:space="0" w:color="auto"/>
      </w:divBdr>
      <w:divsChild>
        <w:div w:id="1089354819">
          <w:marLeft w:val="0"/>
          <w:marRight w:val="0"/>
          <w:marTop w:val="0"/>
          <w:marBottom w:val="0"/>
          <w:divBdr>
            <w:top w:val="none" w:sz="0" w:space="0" w:color="auto"/>
            <w:left w:val="none" w:sz="0" w:space="0" w:color="auto"/>
            <w:bottom w:val="none" w:sz="0" w:space="0" w:color="auto"/>
            <w:right w:val="none" w:sz="0" w:space="0" w:color="auto"/>
          </w:divBdr>
        </w:div>
      </w:divsChild>
    </w:div>
    <w:div w:id="1751778243">
      <w:bodyDiv w:val="1"/>
      <w:marLeft w:val="0"/>
      <w:marRight w:val="0"/>
      <w:marTop w:val="0"/>
      <w:marBottom w:val="0"/>
      <w:divBdr>
        <w:top w:val="none" w:sz="0" w:space="0" w:color="auto"/>
        <w:left w:val="none" w:sz="0" w:space="0" w:color="auto"/>
        <w:bottom w:val="none" w:sz="0" w:space="0" w:color="auto"/>
        <w:right w:val="none" w:sz="0" w:space="0" w:color="auto"/>
      </w:divBdr>
    </w:div>
    <w:div w:id="1851875328">
      <w:bodyDiv w:val="1"/>
      <w:marLeft w:val="0"/>
      <w:marRight w:val="0"/>
      <w:marTop w:val="0"/>
      <w:marBottom w:val="0"/>
      <w:divBdr>
        <w:top w:val="none" w:sz="0" w:space="0" w:color="auto"/>
        <w:left w:val="none" w:sz="0" w:space="0" w:color="auto"/>
        <w:bottom w:val="none" w:sz="0" w:space="0" w:color="auto"/>
        <w:right w:val="none" w:sz="0" w:space="0" w:color="auto"/>
      </w:divBdr>
      <w:divsChild>
        <w:div w:id="314142620">
          <w:marLeft w:val="0"/>
          <w:marRight w:val="0"/>
          <w:marTop w:val="0"/>
          <w:marBottom w:val="0"/>
          <w:divBdr>
            <w:top w:val="none" w:sz="0" w:space="0" w:color="auto"/>
            <w:left w:val="none" w:sz="0" w:space="0" w:color="auto"/>
            <w:bottom w:val="none" w:sz="0" w:space="0" w:color="auto"/>
            <w:right w:val="none" w:sz="0" w:space="0" w:color="auto"/>
          </w:divBdr>
          <w:divsChild>
            <w:div w:id="775369699">
              <w:marLeft w:val="0"/>
              <w:marRight w:val="0"/>
              <w:marTop w:val="0"/>
              <w:marBottom w:val="0"/>
              <w:divBdr>
                <w:top w:val="none" w:sz="0" w:space="0" w:color="auto"/>
                <w:left w:val="none" w:sz="0" w:space="0" w:color="auto"/>
                <w:bottom w:val="none" w:sz="0" w:space="0" w:color="auto"/>
                <w:right w:val="none" w:sz="0" w:space="0" w:color="auto"/>
              </w:divBdr>
              <w:divsChild>
                <w:div w:id="142468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161012">
      <w:bodyDiv w:val="1"/>
      <w:marLeft w:val="0"/>
      <w:marRight w:val="0"/>
      <w:marTop w:val="0"/>
      <w:marBottom w:val="0"/>
      <w:divBdr>
        <w:top w:val="none" w:sz="0" w:space="0" w:color="auto"/>
        <w:left w:val="none" w:sz="0" w:space="0" w:color="auto"/>
        <w:bottom w:val="none" w:sz="0" w:space="0" w:color="auto"/>
        <w:right w:val="none" w:sz="0" w:space="0" w:color="auto"/>
      </w:divBdr>
    </w:div>
    <w:div w:id="2070884288">
      <w:bodyDiv w:val="1"/>
      <w:marLeft w:val="0"/>
      <w:marRight w:val="0"/>
      <w:marTop w:val="0"/>
      <w:marBottom w:val="0"/>
      <w:divBdr>
        <w:top w:val="none" w:sz="0" w:space="0" w:color="auto"/>
        <w:left w:val="none" w:sz="0" w:space="0" w:color="auto"/>
        <w:bottom w:val="none" w:sz="0" w:space="0" w:color="auto"/>
        <w:right w:val="none" w:sz="0" w:space="0" w:color="auto"/>
      </w:divBdr>
    </w:div>
    <w:div w:id="2098553245">
      <w:bodyDiv w:val="1"/>
      <w:marLeft w:val="0"/>
      <w:marRight w:val="0"/>
      <w:marTop w:val="0"/>
      <w:marBottom w:val="0"/>
      <w:divBdr>
        <w:top w:val="none" w:sz="0" w:space="0" w:color="auto"/>
        <w:left w:val="none" w:sz="0" w:space="0" w:color="auto"/>
        <w:bottom w:val="none" w:sz="0" w:space="0" w:color="auto"/>
        <w:right w:val="none" w:sz="0" w:space="0" w:color="auto"/>
      </w:divBdr>
      <w:divsChild>
        <w:div w:id="127574446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ontact@socialmobilitycommission.gov.uk" TargetMode="External"/><Relationship Id="rId18" Type="http://schemas.openxmlformats.org/officeDocument/2006/relationships/hyperlink" Target="https://www.gov.uk/government/publications/cyber-essentials-scheme-overview" TargetMode="External"/><Relationship Id="rId26" Type="http://schemas.openxmlformats.org/officeDocument/2006/relationships/hyperlink" Target="http://www.dnb.co.uk/myduns" TargetMode="External"/><Relationship Id="rId39" Type="http://schemas.openxmlformats.org/officeDocument/2006/relationships/hyperlink" Target="https://www.ncsc.gov.uk/scheme/commercial-product-assurance-cpa" TargetMode="External"/><Relationship Id="rId3" Type="http://schemas.openxmlformats.org/officeDocument/2006/relationships/customXml" Target="../customXml/item3.xml"/><Relationship Id="rId21" Type="http://schemas.openxmlformats.org/officeDocument/2006/relationships/hyperlink" Target="https://www.gov.uk/guidance/disability-confident-how-to-sign-up-to-the-employer-scheme" TargetMode="External"/><Relationship Id="rId34" Type="http://schemas.openxmlformats.org/officeDocument/2006/relationships/image" Target="media/image2.emf"/><Relationship Id="rId42" Type="http://schemas.openxmlformats.org/officeDocument/2006/relationships/hyperlink" Target="https://www.ncsc.gov.uk" TargetMode="External"/><Relationship Id="rId47" Type="http://schemas.openxmlformats.org/officeDocument/2006/relationships/hyperlink" Target="https://www.ncsc.gov.uk/documents/ctas-principles-and-methodology" TargetMode="External"/><Relationship Id="rId50"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ontact@socialmobilitycommission.gov.uk" TargetMode="External"/><Relationship Id="rId17" Type="http://schemas.openxmlformats.org/officeDocument/2006/relationships/hyperlink" Target="https://www.gov.uk/government/publications/government-security-classifications" TargetMode="External"/><Relationship Id="rId25" Type="http://schemas.openxmlformats.org/officeDocument/2006/relationships/hyperlink" Target="http://www.dnb.co.uk/dandb-duns-number" TargetMode="External"/><Relationship Id="rId33" Type="http://schemas.openxmlformats.org/officeDocument/2006/relationships/header" Target="header4.xml"/><Relationship Id="rId38" Type="http://schemas.openxmlformats.org/officeDocument/2006/relationships/hyperlink" Target="https://www.ncsc.gov.uk/scheme/certified-professional" TargetMode="External"/><Relationship Id="rId46" Type="http://schemas.openxmlformats.org/officeDocument/2006/relationships/hyperlink" Target="https://www.gov.uk/government/publications/security-policy-framework" TargetMode="External"/><Relationship Id="rId2" Type="http://schemas.openxmlformats.org/officeDocument/2006/relationships/customXml" Target="../customXml/item2.xml"/><Relationship Id="rId16" Type="http://schemas.openxmlformats.org/officeDocument/2006/relationships/hyperlink" Target="https://www.gov.uk/government/uploads/system/uploads/attachment_data/file/592358/TransparencyPrinciplesFebruary2017.pdf" TargetMode="External"/><Relationship Id="rId20" Type="http://schemas.openxmlformats.org/officeDocument/2006/relationships/hyperlink" Target="https://www.gov.uk/government/policies/armed-forces-covenant" TargetMode="External"/><Relationship Id="rId29" Type="http://schemas.openxmlformats.org/officeDocument/2006/relationships/footer" Target="footer1.xml"/><Relationship Id="rId41" Type="http://schemas.openxmlformats.org/officeDocument/2006/relationships/hyperlink" Target="https://www.gov.uk/government/publications/government-security-classification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gov.uk/government/uploads/system/uploads/attachment_data/file/551130/List_of_Mandatory_and_Discretionary_Exclusions.pdf" TargetMode="External"/><Relationship Id="rId32" Type="http://schemas.openxmlformats.org/officeDocument/2006/relationships/footer" Target="footer3.xml"/><Relationship Id="rId37" Type="http://schemas.openxmlformats.org/officeDocument/2006/relationships/hyperlink" Target="https://www.ncsc.gov.uk/scheme/certified-cyber-consultancy" TargetMode="External"/><Relationship Id="rId40" Type="http://schemas.openxmlformats.org/officeDocument/2006/relationships/hyperlink" Target="https://www.iasme.co.uk/apply-for-self-assessment/" TargetMode="External"/><Relationship Id="rId45" Type="http://schemas.openxmlformats.org/officeDocument/2006/relationships/hyperlink" Target="https://www.ncsc.gov.uk/articles/about-certified-professional-scheme" TargetMode="External"/><Relationship Id="rId5" Type="http://schemas.openxmlformats.org/officeDocument/2006/relationships/numbering" Target="numbering.xml"/><Relationship Id="rId15" Type="http://schemas.openxmlformats.org/officeDocument/2006/relationships/hyperlink" Target="mailto:contact@socialmobilitycommission.gov.uk" TargetMode="External"/><Relationship Id="rId23" Type="http://schemas.openxmlformats.org/officeDocument/2006/relationships/hyperlink" Target="https://www.gov.uk/government/uploads/system/uploads/attachment_data/file/551130/List_of_Mandatory_and_Discretionary_Exclusions.pdf" TargetMode="External"/><Relationship Id="rId28" Type="http://schemas.openxmlformats.org/officeDocument/2006/relationships/header" Target="header2.xml"/><Relationship Id="rId36" Type="http://schemas.openxmlformats.org/officeDocument/2006/relationships/hyperlink" Target="https://www.gov.uk/government/publications/government-baseline-personnel-security-standard" TargetMode="External"/><Relationship Id="rId49"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cyberstreetwise.com/cyberessentials" TargetMode="External"/><Relationship Id="rId31" Type="http://schemas.openxmlformats.org/officeDocument/2006/relationships/header" Target="header3.xml"/><Relationship Id="rId44" Type="http://schemas.openxmlformats.org/officeDocument/2006/relationships/hyperlink" Target="https://www.cpni.gov.uk/secure-destructio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organisations/social-mobility-commission" TargetMode="External"/><Relationship Id="rId22" Type="http://schemas.openxmlformats.org/officeDocument/2006/relationships/hyperlink" Target="https://www.gov.uk/government/uploads/system/uploads/attachment_data/file/551130/List_of_Mandatory_and_Discretionary_Exclusions.pdf" TargetMode="External"/><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oleObject" Target="embeddings/oleObject1.bin"/><Relationship Id="rId43" Type="http://schemas.openxmlformats.org/officeDocument/2006/relationships/hyperlink" Target="https://www.ncsc.gov.uk/guidance/secure-sanitisation-storage-media" TargetMode="External"/><Relationship Id="rId48" Type="http://schemas.openxmlformats.org/officeDocument/2006/relationships/hyperlink" Target="https://www.gov.uk/government/publications/procurement-policy-note-0914-cyber-essentials-scheme-certification" TargetMode="Externa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O:\WINWORD6\TEMPLATE\LET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0914FCDED47B41B3D8B727DC3149CC" ma:contentTypeVersion="5" ma:contentTypeDescription="Create a new document." ma:contentTypeScope="" ma:versionID="c3a545580a391702468aa46804d333da">
  <xsd:schema xmlns:xsd="http://www.w3.org/2001/XMLSchema" xmlns:xs="http://www.w3.org/2001/XMLSchema" xmlns:p="http://schemas.microsoft.com/office/2006/metadata/properties" xmlns:ns1="http://schemas.microsoft.com/sharepoint/v3" xmlns:ns2="d31a1c68-cca8-4a5d-82db-be2672e3a42d" xmlns:ns3="d87ae06f-ddc7-413d-8f33-efe950f32258" targetNamespace="http://schemas.microsoft.com/office/2006/metadata/properties" ma:root="true" ma:fieldsID="f9944f7b5a4b365cefafe665b98dd50c" ns1:_="" ns2:_="" ns3:_="">
    <xsd:import namespace="http://schemas.microsoft.com/sharepoint/v3"/>
    <xsd:import namespace="d31a1c68-cca8-4a5d-82db-be2672e3a42d"/>
    <xsd:import namespace="d87ae06f-ddc7-413d-8f33-efe950f32258"/>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31a1c68-cca8-4a5d-82db-be2672e3a42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7ae06f-ddc7-413d-8f33-efe950f3225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8F2A1-4FCD-4775-BD38-01B186A066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31a1c68-cca8-4a5d-82db-be2672e3a42d"/>
    <ds:schemaRef ds:uri="d87ae06f-ddc7-413d-8f33-efe950f322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75F168-7641-46E3-8470-FBC6B1D370F7}">
  <ds:schemaRefs>
    <ds:schemaRef ds:uri="http://schemas.microsoft.com/office/infopath/2007/PartnerControls"/>
    <ds:schemaRef ds:uri="http://purl.org/dc/terms/"/>
    <ds:schemaRef ds:uri="d87ae06f-ddc7-413d-8f33-efe950f32258"/>
    <ds:schemaRef ds:uri="http://www.w3.org/XML/1998/namespace"/>
    <ds:schemaRef ds:uri="http://schemas.microsoft.com/office/2006/documentManagement/types"/>
    <ds:schemaRef ds:uri="http://schemas.microsoft.com/sharepoint/v3"/>
    <ds:schemaRef ds:uri="http://purl.org/dc/elements/1.1/"/>
    <ds:schemaRef ds:uri="http://schemas.openxmlformats.org/package/2006/metadata/core-properties"/>
    <ds:schemaRef ds:uri="d31a1c68-cca8-4a5d-82db-be2672e3a42d"/>
    <ds:schemaRef ds:uri="http://schemas.microsoft.com/office/2006/metadata/properties"/>
    <ds:schemaRef ds:uri="http://purl.org/dc/dcmitype/"/>
  </ds:schemaRefs>
</ds:datastoreItem>
</file>

<file path=customXml/itemProps3.xml><?xml version="1.0" encoding="utf-8"?>
<ds:datastoreItem xmlns:ds="http://schemas.openxmlformats.org/officeDocument/2006/customXml" ds:itemID="{531362C3-6A2A-4907-94FC-CD98511D479F}">
  <ds:schemaRefs>
    <ds:schemaRef ds:uri="http://schemas.microsoft.com/sharepoint/v3/contenttype/forms"/>
  </ds:schemaRefs>
</ds:datastoreItem>
</file>

<file path=customXml/itemProps4.xml><?xml version="1.0" encoding="utf-8"?>
<ds:datastoreItem xmlns:ds="http://schemas.openxmlformats.org/officeDocument/2006/customXml" ds:itemID="{F53312B8-3C42-4917-86E9-27DBC94D0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Template>
  <TotalTime>0</TotalTime>
  <Pages>37</Pages>
  <Words>11296</Words>
  <Characters>64934</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Model Invitation to Tender Letter</vt:lpstr>
    </vt:vector>
  </TitlesOfParts>
  <Company>DfEE</Company>
  <LinksUpToDate>false</LinksUpToDate>
  <CharactersWithSpaces>76078</CharactersWithSpaces>
  <SharedDoc>false</SharedDoc>
  <HLinks>
    <vt:vector size="204" baseType="variant">
      <vt:variant>
        <vt:i4>4194333</vt:i4>
      </vt:variant>
      <vt:variant>
        <vt:i4>99</vt:i4>
      </vt:variant>
      <vt:variant>
        <vt:i4>0</vt:i4>
      </vt:variant>
      <vt:variant>
        <vt:i4>5</vt:i4>
      </vt:variant>
      <vt:variant>
        <vt:lpwstr>https://www.gov.uk/government/publications/procurement-policy-note-0914-cyber-essentials-scheme-certification</vt:lpwstr>
      </vt:variant>
      <vt:variant>
        <vt:lpwstr/>
      </vt:variant>
      <vt:variant>
        <vt:i4>4390936</vt:i4>
      </vt:variant>
      <vt:variant>
        <vt:i4>96</vt:i4>
      </vt:variant>
      <vt:variant>
        <vt:i4>0</vt:i4>
      </vt:variant>
      <vt:variant>
        <vt:i4>5</vt:i4>
      </vt:variant>
      <vt:variant>
        <vt:lpwstr>https://www.ncsc.gov.uk/documents/ctas-principles-and-methodology</vt:lpwstr>
      </vt:variant>
      <vt:variant>
        <vt:lpwstr/>
      </vt:variant>
      <vt:variant>
        <vt:i4>1900548</vt:i4>
      </vt:variant>
      <vt:variant>
        <vt:i4>93</vt:i4>
      </vt:variant>
      <vt:variant>
        <vt:i4>0</vt:i4>
      </vt:variant>
      <vt:variant>
        <vt:i4>5</vt:i4>
      </vt:variant>
      <vt:variant>
        <vt:lpwstr>https://www.gov.uk/government/publications/security-policy-framework</vt:lpwstr>
      </vt:variant>
      <vt:variant>
        <vt:lpwstr/>
      </vt:variant>
      <vt:variant>
        <vt:i4>4259866</vt:i4>
      </vt:variant>
      <vt:variant>
        <vt:i4>90</vt:i4>
      </vt:variant>
      <vt:variant>
        <vt:i4>0</vt:i4>
      </vt:variant>
      <vt:variant>
        <vt:i4>5</vt:i4>
      </vt:variant>
      <vt:variant>
        <vt:lpwstr>https://www.ncsc.gov.uk/articles/about-certified-professional-scheme</vt:lpwstr>
      </vt:variant>
      <vt:variant>
        <vt:lpwstr/>
      </vt:variant>
      <vt:variant>
        <vt:i4>7209081</vt:i4>
      </vt:variant>
      <vt:variant>
        <vt:i4>87</vt:i4>
      </vt:variant>
      <vt:variant>
        <vt:i4>0</vt:i4>
      </vt:variant>
      <vt:variant>
        <vt:i4>5</vt:i4>
      </vt:variant>
      <vt:variant>
        <vt:lpwstr>https://www.cpni.gov.uk/secure-destruction</vt:lpwstr>
      </vt:variant>
      <vt:variant>
        <vt:lpwstr/>
      </vt:variant>
      <vt:variant>
        <vt:i4>2162787</vt:i4>
      </vt:variant>
      <vt:variant>
        <vt:i4>84</vt:i4>
      </vt:variant>
      <vt:variant>
        <vt:i4>0</vt:i4>
      </vt:variant>
      <vt:variant>
        <vt:i4>5</vt:i4>
      </vt:variant>
      <vt:variant>
        <vt:lpwstr>https://www.ncsc.gov.uk/guidance/secure-sanitisation-storage-media</vt:lpwstr>
      </vt:variant>
      <vt:variant>
        <vt:lpwstr/>
      </vt:variant>
      <vt:variant>
        <vt:i4>196697</vt:i4>
      </vt:variant>
      <vt:variant>
        <vt:i4>81</vt:i4>
      </vt:variant>
      <vt:variant>
        <vt:i4>0</vt:i4>
      </vt:variant>
      <vt:variant>
        <vt:i4>5</vt:i4>
      </vt:variant>
      <vt:variant>
        <vt:lpwstr>https://www.ncsc.gov.uk/</vt:lpwstr>
      </vt:variant>
      <vt:variant>
        <vt:lpwstr/>
      </vt:variant>
      <vt:variant>
        <vt:i4>7209083</vt:i4>
      </vt:variant>
      <vt:variant>
        <vt:i4>78</vt:i4>
      </vt:variant>
      <vt:variant>
        <vt:i4>0</vt:i4>
      </vt:variant>
      <vt:variant>
        <vt:i4>5</vt:i4>
      </vt:variant>
      <vt:variant>
        <vt:lpwstr>https://www.gov.uk/government/publications/government-security-classifications</vt:lpwstr>
      </vt:variant>
      <vt:variant>
        <vt:lpwstr/>
      </vt:variant>
      <vt:variant>
        <vt:i4>6422563</vt:i4>
      </vt:variant>
      <vt:variant>
        <vt:i4>75</vt:i4>
      </vt:variant>
      <vt:variant>
        <vt:i4>0</vt:i4>
      </vt:variant>
      <vt:variant>
        <vt:i4>5</vt:i4>
      </vt:variant>
      <vt:variant>
        <vt:lpwstr>https://www.iasme.co.uk/apply-for-self-assessment/</vt:lpwstr>
      </vt:variant>
      <vt:variant>
        <vt:lpwstr/>
      </vt:variant>
      <vt:variant>
        <vt:i4>2424931</vt:i4>
      </vt:variant>
      <vt:variant>
        <vt:i4>72</vt:i4>
      </vt:variant>
      <vt:variant>
        <vt:i4>0</vt:i4>
      </vt:variant>
      <vt:variant>
        <vt:i4>5</vt:i4>
      </vt:variant>
      <vt:variant>
        <vt:lpwstr>https://www.ncsc.gov.uk/scheme/commercial-product-assurance-cpa</vt:lpwstr>
      </vt:variant>
      <vt:variant>
        <vt:lpwstr/>
      </vt:variant>
      <vt:variant>
        <vt:i4>1179743</vt:i4>
      </vt:variant>
      <vt:variant>
        <vt:i4>69</vt:i4>
      </vt:variant>
      <vt:variant>
        <vt:i4>0</vt:i4>
      </vt:variant>
      <vt:variant>
        <vt:i4>5</vt:i4>
      </vt:variant>
      <vt:variant>
        <vt:lpwstr>https://www.ncsc.gov.uk/scheme/certified-professional</vt:lpwstr>
      </vt:variant>
      <vt:variant>
        <vt:lpwstr/>
      </vt:variant>
      <vt:variant>
        <vt:i4>8192124</vt:i4>
      </vt:variant>
      <vt:variant>
        <vt:i4>66</vt:i4>
      </vt:variant>
      <vt:variant>
        <vt:i4>0</vt:i4>
      </vt:variant>
      <vt:variant>
        <vt:i4>5</vt:i4>
      </vt:variant>
      <vt:variant>
        <vt:lpwstr>https://www.ncsc.gov.uk/scheme/certified-cyber-consultancy</vt:lpwstr>
      </vt:variant>
      <vt:variant>
        <vt:lpwstr/>
      </vt:variant>
      <vt:variant>
        <vt:i4>3211315</vt:i4>
      </vt:variant>
      <vt:variant>
        <vt:i4>63</vt:i4>
      </vt:variant>
      <vt:variant>
        <vt:i4>0</vt:i4>
      </vt:variant>
      <vt:variant>
        <vt:i4>5</vt:i4>
      </vt:variant>
      <vt:variant>
        <vt:lpwstr>https://www.gov.uk/government/publications/government-baseline-personnel-security-standard</vt:lpwstr>
      </vt:variant>
      <vt:variant>
        <vt:lpwstr/>
      </vt:variant>
      <vt:variant>
        <vt:i4>7077929</vt:i4>
      </vt:variant>
      <vt:variant>
        <vt:i4>60</vt:i4>
      </vt:variant>
      <vt:variant>
        <vt:i4>0</vt:i4>
      </vt:variant>
      <vt:variant>
        <vt:i4>5</vt:i4>
      </vt:variant>
      <vt:variant>
        <vt:lpwstr>http://www.dnb.co.uk/myduns</vt:lpwstr>
      </vt:variant>
      <vt:variant>
        <vt:lpwstr/>
      </vt:variant>
      <vt:variant>
        <vt:i4>2162797</vt:i4>
      </vt:variant>
      <vt:variant>
        <vt:i4>57</vt:i4>
      </vt:variant>
      <vt:variant>
        <vt:i4>0</vt:i4>
      </vt:variant>
      <vt:variant>
        <vt:i4>5</vt:i4>
      </vt:variant>
      <vt:variant>
        <vt:lpwstr>http://www.dnb.co.uk/dandb-duns-number</vt:lpwstr>
      </vt:variant>
      <vt:variant>
        <vt:lpwstr/>
      </vt:variant>
      <vt:variant>
        <vt:i4>2490402</vt:i4>
      </vt:variant>
      <vt:variant>
        <vt:i4>54</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51</vt:i4>
      </vt:variant>
      <vt:variant>
        <vt:i4>0</vt:i4>
      </vt:variant>
      <vt:variant>
        <vt:i4>5</vt:i4>
      </vt:variant>
      <vt:variant>
        <vt:lpwstr>https://www.gov.uk/government/uploads/system/uploads/attachment_data/file/551130/List_of_Mandatory_and_Discretionary_Exclusions.pdf</vt:lpwstr>
      </vt:variant>
      <vt:variant>
        <vt:lpwstr/>
      </vt:variant>
      <vt:variant>
        <vt:i4>2490402</vt:i4>
      </vt:variant>
      <vt:variant>
        <vt:i4>48</vt:i4>
      </vt:variant>
      <vt:variant>
        <vt:i4>0</vt:i4>
      </vt:variant>
      <vt:variant>
        <vt:i4>5</vt:i4>
      </vt:variant>
      <vt:variant>
        <vt:lpwstr>https://www.gov.uk/government/uploads/system/uploads/attachment_data/file/551130/List_of_Mandatory_and_Discretionary_Exclusions.pdf</vt:lpwstr>
      </vt:variant>
      <vt:variant>
        <vt:lpwstr/>
      </vt:variant>
      <vt:variant>
        <vt:i4>7536763</vt:i4>
      </vt:variant>
      <vt:variant>
        <vt:i4>45</vt:i4>
      </vt:variant>
      <vt:variant>
        <vt:i4>0</vt:i4>
      </vt:variant>
      <vt:variant>
        <vt:i4>5</vt:i4>
      </vt:variant>
      <vt:variant>
        <vt:lpwstr>https://www.gov.uk/guidance/disability-confident-how-to-sign-up-to-the-employer-scheme</vt:lpwstr>
      </vt:variant>
      <vt:variant>
        <vt:lpwstr/>
      </vt:variant>
      <vt:variant>
        <vt:i4>1703963</vt:i4>
      </vt:variant>
      <vt:variant>
        <vt:i4>42</vt:i4>
      </vt:variant>
      <vt:variant>
        <vt:i4>0</vt:i4>
      </vt:variant>
      <vt:variant>
        <vt:i4>5</vt:i4>
      </vt:variant>
      <vt:variant>
        <vt:lpwstr>https://www.gov.uk/government/policies/armed-forces-covenant</vt:lpwstr>
      </vt:variant>
      <vt:variant>
        <vt:lpwstr/>
      </vt:variant>
      <vt:variant>
        <vt:i4>3866660</vt:i4>
      </vt:variant>
      <vt:variant>
        <vt:i4>39</vt:i4>
      </vt:variant>
      <vt:variant>
        <vt:i4>0</vt:i4>
      </vt:variant>
      <vt:variant>
        <vt:i4>5</vt:i4>
      </vt:variant>
      <vt:variant>
        <vt:lpwstr>https://www.cyberstreetwise.com/cyberessentials</vt:lpwstr>
      </vt:variant>
      <vt:variant>
        <vt:lpwstr/>
      </vt:variant>
      <vt:variant>
        <vt:i4>6684731</vt:i4>
      </vt:variant>
      <vt:variant>
        <vt:i4>36</vt:i4>
      </vt:variant>
      <vt:variant>
        <vt:i4>0</vt:i4>
      </vt:variant>
      <vt:variant>
        <vt:i4>5</vt:i4>
      </vt:variant>
      <vt:variant>
        <vt:lpwstr>https://www.gov.uk/government/publications/cyber-essentials-scheme-overview</vt:lpwstr>
      </vt:variant>
      <vt:variant>
        <vt:lpwstr/>
      </vt:variant>
      <vt:variant>
        <vt:i4>7209083</vt:i4>
      </vt:variant>
      <vt:variant>
        <vt:i4>33</vt:i4>
      </vt:variant>
      <vt:variant>
        <vt:i4>0</vt:i4>
      </vt:variant>
      <vt:variant>
        <vt:i4>5</vt:i4>
      </vt:variant>
      <vt:variant>
        <vt:lpwstr>https://www.gov.uk/government/publications/government-security-classifications</vt:lpwstr>
      </vt:variant>
      <vt:variant>
        <vt:lpwstr/>
      </vt:variant>
      <vt:variant>
        <vt:i4>720946</vt:i4>
      </vt:variant>
      <vt:variant>
        <vt:i4>30</vt:i4>
      </vt:variant>
      <vt:variant>
        <vt:i4>0</vt:i4>
      </vt:variant>
      <vt:variant>
        <vt:i4>5</vt:i4>
      </vt:variant>
      <vt:variant>
        <vt:lpwstr>https://www.gov.uk/government/uploads/system/uploads/attachment_data/file/592358/TransparencyPrinciplesFebruary2017.pdf</vt:lpwstr>
      </vt:variant>
      <vt:variant>
        <vt:lpwstr/>
      </vt:variant>
      <vt:variant>
        <vt:i4>6488092</vt:i4>
      </vt:variant>
      <vt:variant>
        <vt:i4>27</vt:i4>
      </vt:variant>
      <vt:variant>
        <vt:i4>0</vt:i4>
      </vt:variant>
      <vt:variant>
        <vt:i4>5</vt:i4>
      </vt:variant>
      <vt:variant>
        <vt:lpwstr>mailto:contact@socialmobilitycommission.gov.uk</vt:lpwstr>
      </vt:variant>
      <vt:variant>
        <vt:lpwstr/>
      </vt:variant>
      <vt:variant>
        <vt:i4>6357042</vt:i4>
      </vt:variant>
      <vt:variant>
        <vt:i4>24</vt:i4>
      </vt:variant>
      <vt:variant>
        <vt:i4>0</vt:i4>
      </vt:variant>
      <vt:variant>
        <vt:i4>5</vt:i4>
      </vt:variant>
      <vt:variant>
        <vt:lpwstr>https://beta.ukdataservice.ac.uk/datacatalogue/series/series?id=2000110</vt:lpwstr>
      </vt:variant>
      <vt:variant>
        <vt:lpwstr/>
      </vt:variant>
      <vt:variant>
        <vt:i4>3670066</vt:i4>
      </vt:variant>
      <vt:variant>
        <vt:i4>21</vt:i4>
      </vt:variant>
      <vt:variant>
        <vt:i4>0</vt:i4>
      </vt:variant>
      <vt:variant>
        <vt:i4>5</vt:i4>
      </vt:variant>
      <vt:variant>
        <vt:lpwstr>https://www.gov.uk/government/organisations/social-mobility-commission</vt:lpwstr>
      </vt:variant>
      <vt:variant>
        <vt:lpwstr/>
      </vt:variant>
      <vt:variant>
        <vt:i4>6488092</vt:i4>
      </vt:variant>
      <vt:variant>
        <vt:i4>18</vt:i4>
      </vt:variant>
      <vt:variant>
        <vt:i4>0</vt:i4>
      </vt:variant>
      <vt:variant>
        <vt:i4>5</vt:i4>
      </vt:variant>
      <vt:variant>
        <vt:lpwstr>mailto:contact@socialmobilitycommission.gov.uk</vt:lpwstr>
      </vt:variant>
      <vt:variant>
        <vt:lpwstr/>
      </vt:variant>
      <vt:variant>
        <vt:i4>6488092</vt:i4>
      </vt:variant>
      <vt:variant>
        <vt:i4>15</vt:i4>
      </vt:variant>
      <vt:variant>
        <vt:i4>0</vt:i4>
      </vt:variant>
      <vt:variant>
        <vt:i4>5</vt:i4>
      </vt:variant>
      <vt:variant>
        <vt:lpwstr>mailto:contact@socialmobilitycommission.gov.uk</vt:lpwstr>
      </vt:variant>
      <vt:variant>
        <vt:lpwstr/>
      </vt:variant>
      <vt:variant>
        <vt:i4>720900</vt:i4>
      </vt:variant>
      <vt:variant>
        <vt:i4>12</vt:i4>
      </vt:variant>
      <vt:variant>
        <vt:i4>0</vt:i4>
      </vt:variant>
      <vt:variant>
        <vt:i4>5</vt:i4>
      </vt:variant>
      <vt:variant>
        <vt:lpwstr/>
      </vt:variant>
      <vt:variant>
        <vt:lpwstr>Document5</vt:lpwstr>
      </vt:variant>
      <vt:variant>
        <vt:i4>720900</vt:i4>
      </vt:variant>
      <vt:variant>
        <vt:i4>9</vt:i4>
      </vt:variant>
      <vt:variant>
        <vt:i4>0</vt:i4>
      </vt:variant>
      <vt:variant>
        <vt:i4>5</vt:i4>
      </vt:variant>
      <vt:variant>
        <vt:lpwstr/>
      </vt:variant>
      <vt:variant>
        <vt:lpwstr>Document4</vt:lpwstr>
      </vt:variant>
      <vt:variant>
        <vt:i4>720900</vt:i4>
      </vt:variant>
      <vt:variant>
        <vt:i4>6</vt:i4>
      </vt:variant>
      <vt:variant>
        <vt:i4>0</vt:i4>
      </vt:variant>
      <vt:variant>
        <vt:i4>5</vt:i4>
      </vt:variant>
      <vt:variant>
        <vt:lpwstr/>
      </vt:variant>
      <vt:variant>
        <vt:lpwstr>Document3</vt:lpwstr>
      </vt:variant>
      <vt:variant>
        <vt:i4>720900</vt:i4>
      </vt:variant>
      <vt:variant>
        <vt:i4>3</vt:i4>
      </vt:variant>
      <vt:variant>
        <vt:i4>0</vt:i4>
      </vt:variant>
      <vt:variant>
        <vt:i4>5</vt:i4>
      </vt:variant>
      <vt:variant>
        <vt:lpwstr/>
      </vt:variant>
      <vt:variant>
        <vt:lpwstr>Document2</vt:lpwstr>
      </vt:variant>
      <vt:variant>
        <vt:i4>720900</vt:i4>
      </vt:variant>
      <vt:variant>
        <vt:i4>0</vt:i4>
      </vt:variant>
      <vt:variant>
        <vt:i4>0</vt:i4>
      </vt:variant>
      <vt:variant>
        <vt:i4>5</vt:i4>
      </vt:variant>
      <vt:variant>
        <vt:lpwstr/>
      </vt:variant>
      <vt:variant>
        <vt:lpwstr>Document1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Invitation to Tender Letter</dc:title>
  <dc:subject/>
  <dc:creator>(set for each user)</dc:creator>
  <cp:keywords>Version 1</cp:keywords>
  <dc:description/>
  <cp:lastModifiedBy>TRAMMELL, Lindsay</cp:lastModifiedBy>
  <cp:revision>2</cp:revision>
  <cp:lastPrinted>2019-04-05T13:45:00Z</cp:lastPrinted>
  <dcterms:created xsi:type="dcterms:W3CDTF">2019-04-05T14:11:00Z</dcterms:created>
  <dcterms:modified xsi:type="dcterms:W3CDTF">2019-04-05T14:11:00Z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SubjectOOB">
    <vt:lpwstr>;#Procurement;#</vt:lpwstr>
  </property>
  <property fmtid="{D5CDD505-2E9C-101B-9397-08002B2CF9AE}" pid="3" name="DCSFContributor">
    <vt:lpwstr/>
  </property>
  <property fmtid="{D5CDD505-2E9C-101B-9397-08002B2CF9AE}" pid="4" name="DocumentStatusOOB">
    <vt:lpwstr>approved</vt:lpwstr>
  </property>
  <property fmtid="{D5CDD505-2E9C-101B-9397-08002B2CF9AE}" pid="5" name="_Source">
    <vt:lpwstr/>
  </property>
  <property fmtid="{D5CDD505-2E9C-101B-9397-08002B2CF9AE}" pid="6" name="SecurityClassificationOOB">
    <vt:lpwstr>unclassified</vt:lpwstr>
  </property>
  <property fmtid="{D5CDD505-2E9C-101B-9397-08002B2CF9AE}" pid="7" name="_Version">
    <vt:lpwstr/>
  </property>
  <property fmtid="{D5CDD505-2E9C-101B-9397-08002B2CF9AE}" pid="8" name="ContentType">
    <vt:lpwstr>IWP Document</vt:lpwstr>
  </property>
  <property fmtid="{D5CDD505-2E9C-101B-9397-08002B2CF9AE}" pid="9" name="SiteTypeOOB">
    <vt:lpwstr/>
  </property>
  <property fmtid="{D5CDD505-2E9C-101B-9397-08002B2CF9AE}" pid="10" name="Function2OOB">
    <vt:lpwstr/>
  </property>
  <property fmtid="{D5CDD505-2E9C-101B-9397-08002B2CF9AE}" pid="11" name="OwnerOOB">
    <vt:lpwstr>Commercial Group</vt:lpwstr>
  </property>
</Properties>
</file>