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A8" w:rsidRPr="009A5D5C" w:rsidRDefault="00281AA8" w:rsidP="0090593A">
      <w:pPr>
        <w:spacing w:after="0"/>
        <w:jc w:val="both"/>
        <w:rPr>
          <w:rFonts w:ascii="Arial" w:eastAsia="Times New Roman" w:hAnsi="Arial" w:cs="Arial"/>
          <w:b/>
          <w:sz w:val="20"/>
          <w:lang w:val="en-GB" w:eastAsia="en-GB"/>
        </w:rPr>
      </w:pPr>
      <w:bookmarkStart w:id="0" w:name="_GoBack"/>
      <w:bookmarkEnd w:id="0"/>
      <w:r w:rsidRPr="009A5D5C">
        <w:rPr>
          <w:rFonts w:ascii="Arial" w:eastAsia="Times New Roman" w:hAnsi="Arial" w:cs="Arial"/>
          <w:b/>
          <w:sz w:val="20"/>
          <w:lang w:val="en-GB" w:eastAsia="en-GB"/>
        </w:rPr>
        <w:t>Service Specification for Stable Glau</w:t>
      </w:r>
      <w:r w:rsidR="006E2405" w:rsidRPr="009A5D5C">
        <w:rPr>
          <w:rFonts w:ascii="Arial" w:eastAsia="Times New Roman" w:hAnsi="Arial" w:cs="Arial"/>
          <w:b/>
          <w:sz w:val="20"/>
          <w:lang w:val="en-GB" w:eastAsia="en-GB"/>
        </w:rPr>
        <w:t>coma Community Monitoring Service</w:t>
      </w:r>
    </w:p>
    <w:p w:rsidR="00D61252" w:rsidRPr="009A5D5C" w:rsidRDefault="00D61252" w:rsidP="0090593A">
      <w:pPr>
        <w:spacing w:after="0"/>
        <w:jc w:val="both"/>
        <w:rPr>
          <w:rFonts w:ascii="Arial" w:eastAsia="Times New Roman" w:hAnsi="Arial" w:cs="Arial"/>
          <w:b/>
          <w:sz w:val="20"/>
          <w:lang w:val="en-GB" w:eastAsia="en-GB"/>
        </w:rPr>
      </w:pPr>
    </w:p>
    <w:p w:rsidR="00281AA8" w:rsidRPr="009A5D5C" w:rsidRDefault="00281AA8" w:rsidP="0090593A">
      <w:pPr>
        <w:spacing w:after="0"/>
        <w:jc w:val="both"/>
        <w:rPr>
          <w:rFonts w:ascii="Arial" w:eastAsia="Times New Roman" w:hAnsi="Arial" w:cs="Arial"/>
          <w:b/>
          <w:sz w:val="20"/>
          <w:lang w:val="en-GB" w:eastAsia="en-GB"/>
        </w:rPr>
      </w:pPr>
      <w:r w:rsidRPr="009A5D5C">
        <w:rPr>
          <w:rFonts w:ascii="Arial" w:eastAsia="Times New Roman" w:hAnsi="Arial" w:cs="Arial"/>
          <w:b/>
          <w:sz w:val="20"/>
          <w:lang w:val="en-GB" w:eastAsia="en-GB"/>
        </w:rPr>
        <w:t>Background</w:t>
      </w:r>
    </w:p>
    <w:p w:rsidR="000F1635" w:rsidRDefault="000F1635" w:rsidP="0090593A">
      <w:pPr>
        <w:shd w:val="clear" w:color="auto" w:fill="FFFFFF" w:themeFill="background1"/>
        <w:spacing w:after="0"/>
        <w:jc w:val="both"/>
        <w:rPr>
          <w:rFonts w:ascii="Arial" w:eastAsia="Times New Roman" w:hAnsi="Arial" w:cs="Arial"/>
          <w:sz w:val="20"/>
          <w:lang w:eastAsia="en-GB"/>
        </w:rPr>
      </w:pPr>
    </w:p>
    <w:p w:rsidR="000F1635" w:rsidRDefault="000F1635" w:rsidP="000F1635">
      <w:pPr>
        <w:spacing w:after="0"/>
        <w:jc w:val="both"/>
        <w:rPr>
          <w:rFonts w:ascii="Arial" w:eastAsia="Times New Roman" w:hAnsi="Arial" w:cs="Arial"/>
          <w:sz w:val="20"/>
          <w:lang w:eastAsia="en-GB"/>
        </w:rPr>
      </w:pPr>
      <w:r>
        <w:rPr>
          <w:rFonts w:ascii="Arial" w:eastAsia="Times New Roman" w:hAnsi="Arial" w:cs="Arial"/>
          <w:sz w:val="20"/>
          <w:lang w:eastAsia="en-GB"/>
        </w:rPr>
        <w:t>NICE Guideline 81 (2017) focuses on the referral, diagnosis and management of chronic open-angle glaucoma.</w:t>
      </w:r>
    </w:p>
    <w:p w:rsidR="000F1635" w:rsidRDefault="000F1635" w:rsidP="000F1635">
      <w:pPr>
        <w:spacing w:after="0"/>
        <w:jc w:val="both"/>
        <w:rPr>
          <w:rFonts w:ascii="Arial" w:eastAsia="Times New Roman" w:hAnsi="Arial" w:cs="Arial"/>
          <w:sz w:val="20"/>
          <w:lang w:eastAsia="en-GB"/>
        </w:rPr>
      </w:pPr>
    </w:p>
    <w:p w:rsidR="000F1635" w:rsidRDefault="00B7039D" w:rsidP="000F1635">
      <w:pPr>
        <w:spacing w:after="0"/>
        <w:jc w:val="both"/>
        <w:rPr>
          <w:rFonts w:ascii="Arial" w:eastAsia="Times New Roman" w:hAnsi="Arial" w:cs="Arial"/>
          <w:sz w:val="20"/>
          <w:lang w:eastAsia="en-GB"/>
        </w:rPr>
      </w:pPr>
      <w:r>
        <w:rPr>
          <w:rFonts w:ascii="Arial" w:eastAsia="Times New Roman" w:hAnsi="Arial" w:cs="Arial"/>
          <w:sz w:val="20"/>
          <w:lang w:eastAsia="en-GB"/>
        </w:rPr>
        <w:t>By 2020 it is estimated that there will be 80</w:t>
      </w:r>
      <w:r w:rsidR="000F1635">
        <w:rPr>
          <w:rFonts w:ascii="Arial" w:eastAsia="Times New Roman" w:hAnsi="Arial" w:cs="Arial"/>
          <w:sz w:val="20"/>
          <w:lang w:eastAsia="en-GB"/>
        </w:rPr>
        <w:t xml:space="preserve"> million people across the world affected by glaucoma</w:t>
      </w:r>
      <w:r>
        <w:rPr>
          <w:rStyle w:val="FootnoteReference"/>
          <w:rFonts w:ascii="Arial" w:eastAsia="Times New Roman" w:hAnsi="Arial" w:cs="Arial"/>
          <w:sz w:val="20"/>
          <w:lang w:eastAsia="en-GB"/>
        </w:rPr>
        <w:footnoteReference w:id="1"/>
      </w:r>
      <w:r w:rsidR="000F1635">
        <w:rPr>
          <w:rFonts w:ascii="Arial" w:eastAsia="Times New Roman" w:hAnsi="Arial" w:cs="Arial"/>
          <w:sz w:val="20"/>
          <w:lang w:eastAsia="en-GB"/>
        </w:rPr>
        <w:t xml:space="preserve">, of which </w:t>
      </w:r>
      <w:r>
        <w:rPr>
          <w:rFonts w:ascii="Arial" w:eastAsia="Times New Roman" w:hAnsi="Arial" w:cs="Arial"/>
          <w:sz w:val="20"/>
          <w:lang w:eastAsia="en-GB"/>
        </w:rPr>
        <w:t>10% will experience loss of vision</w:t>
      </w:r>
      <w:r w:rsidR="000F1635">
        <w:rPr>
          <w:rFonts w:ascii="Arial" w:eastAsia="Times New Roman" w:hAnsi="Arial" w:cs="Arial"/>
          <w:sz w:val="20"/>
          <w:lang w:eastAsia="en-GB"/>
        </w:rPr>
        <w:t xml:space="preserve"> as a result</w:t>
      </w:r>
      <w:r>
        <w:rPr>
          <w:rStyle w:val="FootnoteReference"/>
          <w:rFonts w:ascii="Arial" w:eastAsia="Times New Roman" w:hAnsi="Arial" w:cs="Arial"/>
          <w:sz w:val="20"/>
          <w:lang w:eastAsia="en-GB"/>
        </w:rPr>
        <w:footnoteReference w:id="2"/>
      </w:r>
      <w:r w:rsidR="000F1635">
        <w:rPr>
          <w:rFonts w:ascii="Arial" w:eastAsia="Times New Roman" w:hAnsi="Arial" w:cs="Arial"/>
          <w:sz w:val="20"/>
          <w:lang w:eastAsia="en-GB"/>
        </w:rPr>
        <w:t xml:space="preserve">.  In the UK, 10% of blindness registrations are ascribed to glaucoma.  Around 2% of people older than 40 years have chronic open-angle glaucoma, </w:t>
      </w:r>
      <w:r w:rsidR="00771B20">
        <w:rPr>
          <w:rFonts w:ascii="Arial" w:eastAsia="Times New Roman" w:hAnsi="Arial" w:cs="Arial"/>
          <w:sz w:val="20"/>
          <w:lang w:eastAsia="en-GB"/>
        </w:rPr>
        <w:t>and the percentage continues to increase with age</w:t>
      </w:r>
      <w:r w:rsidR="00771B20">
        <w:rPr>
          <w:rStyle w:val="FootnoteReference"/>
          <w:rFonts w:ascii="Arial" w:eastAsia="Times New Roman" w:hAnsi="Arial" w:cs="Arial"/>
          <w:sz w:val="20"/>
          <w:lang w:eastAsia="en-GB"/>
        </w:rPr>
        <w:footnoteReference w:id="3"/>
      </w:r>
      <w:r w:rsidR="00771B20">
        <w:rPr>
          <w:rFonts w:ascii="Arial" w:eastAsia="Times New Roman" w:hAnsi="Arial" w:cs="Arial"/>
          <w:sz w:val="20"/>
          <w:lang w:eastAsia="en-GB"/>
        </w:rPr>
        <w:t>.</w:t>
      </w:r>
    </w:p>
    <w:p w:rsidR="000F1635" w:rsidRDefault="000F1635" w:rsidP="000F1635">
      <w:pPr>
        <w:spacing w:after="0"/>
        <w:jc w:val="both"/>
        <w:rPr>
          <w:rFonts w:ascii="Arial" w:eastAsia="Times New Roman" w:hAnsi="Arial" w:cs="Arial"/>
          <w:sz w:val="20"/>
          <w:lang w:eastAsia="en-GB"/>
        </w:rPr>
      </w:pPr>
    </w:p>
    <w:p w:rsidR="006E2405" w:rsidRPr="009A5D5C" w:rsidRDefault="000F1635" w:rsidP="000F1635">
      <w:pPr>
        <w:spacing w:after="0"/>
        <w:jc w:val="both"/>
        <w:rPr>
          <w:rFonts w:ascii="Arial" w:eastAsia="Times New Roman" w:hAnsi="Arial" w:cs="Arial"/>
          <w:sz w:val="20"/>
          <w:lang w:eastAsia="en-GB"/>
        </w:rPr>
      </w:pPr>
      <w:r>
        <w:rPr>
          <w:rFonts w:ascii="Arial" w:eastAsia="Times New Roman" w:hAnsi="Arial" w:cs="Arial"/>
          <w:sz w:val="20"/>
          <w:lang w:eastAsia="en-GB"/>
        </w:rPr>
        <w:t xml:space="preserve">The </w:t>
      </w:r>
      <w:r w:rsidRPr="000F1635">
        <w:rPr>
          <w:rFonts w:ascii="Arial" w:eastAsia="Times New Roman" w:hAnsi="Arial" w:cs="Arial"/>
          <w:sz w:val="20"/>
          <w:lang w:eastAsia="en-GB"/>
        </w:rPr>
        <w:t>number of people affected by glaucoma is due to rise, in line with population growth and this will have a significant impact on the number of annual glaucoma related hospital eye service (HES) outpatient appointments.</w:t>
      </w:r>
    </w:p>
    <w:p w:rsidR="00281AA8" w:rsidRPr="009A5D5C" w:rsidRDefault="00281AA8" w:rsidP="0090593A">
      <w:pPr>
        <w:spacing w:after="0"/>
        <w:jc w:val="both"/>
        <w:rPr>
          <w:rFonts w:ascii="Arial" w:eastAsia="Times New Roman" w:hAnsi="Arial" w:cs="Arial"/>
          <w:sz w:val="20"/>
          <w:lang w:eastAsia="en-GB"/>
        </w:rPr>
      </w:pPr>
    </w:p>
    <w:p w:rsidR="000F1635" w:rsidRDefault="000F1635" w:rsidP="0090593A">
      <w:pPr>
        <w:spacing w:after="0"/>
        <w:jc w:val="both"/>
        <w:rPr>
          <w:rFonts w:ascii="Arial" w:eastAsia="Times New Roman" w:hAnsi="Arial" w:cs="Arial"/>
          <w:sz w:val="20"/>
          <w:lang w:eastAsia="en-GB"/>
        </w:rPr>
      </w:pPr>
      <w:r>
        <w:rPr>
          <w:rFonts w:ascii="Arial" w:eastAsia="Times New Roman" w:hAnsi="Arial" w:cs="Arial"/>
          <w:sz w:val="20"/>
          <w:lang w:eastAsia="en-GB"/>
        </w:rPr>
        <w:t xml:space="preserve">Individuals </w:t>
      </w:r>
      <w:r w:rsidRPr="000F1635">
        <w:rPr>
          <w:rFonts w:ascii="Arial" w:eastAsia="Times New Roman" w:hAnsi="Arial" w:cs="Arial"/>
          <w:sz w:val="20"/>
          <w:lang w:eastAsia="en-GB"/>
        </w:rPr>
        <w:t>with early-to-moderate chronic glaucoma are mostly asymptomatic and unaware of any irrecoverable damage to their field of vision so early detection is key in avoiding blindness.  Once diagnosed, individuals require lifelong monitoring to control the disease and to detect any possible progression of visual damage</w:t>
      </w:r>
    </w:p>
    <w:p w:rsidR="000F1635" w:rsidRDefault="000F1635" w:rsidP="0090593A">
      <w:pPr>
        <w:spacing w:after="0"/>
        <w:jc w:val="both"/>
        <w:rPr>
          <w:rFonts w:ascii="Arial" w:eastAsia="Times New Roman" w:hAnsi="Arial" w:cs="Arial"/>
          <w:sz w:val="20"/>
          <w:lang w:eastAsia="en-GB"/>
        </w:rPr>
      </w:pPr>
    </w:p>
    <w:p w:rsidR="000F1635" w:rsidRDefault="00DC6AA4" w:rsidP="0090593A">
      <w:pPr>
        <w:spacing w:after="0"/>
        <w:jc w:val="both"/>
        <w:rPr>
          <w:rFonts w:ascii="Arial" w:eastAsia="Times New Roman" w:hAnsi="Arial" w:cs="Arial"/>
          <w:sz w:val="20"/>
          <w:lang w:eastAsia="en-GB"/>
        </w:rPr>
      </w:pPr>
      <w:r>
        <w:rPr>
          <w:rFonts w:ascii="Arial" w:eastAsia="Times New Roman" w:hAnsi="Arial" w:cs="Arial"/>
          <w:sz w:val="20"/>
          <w:lang w:eastAsia="en-GB"/>
        </w:rPr>
        <w:t xml:space="preserve">In line with this guidance, </w:t>
      </w:r>
      <w:r w:rsidR="000F1635" w:rsidRPr="000F1635">
        <w:rPr>
          <w:rFonts w:ascii="Arial" w:eastAsia="Times New Roman" w:hAnsi="Arial" w:cs="Arial"/>
          <w:sz w:val="20"/>
          <w:lang w:eastAsia="en-GB"/>
        </w:rPr>
        <w:t xml:space="preserve">NHS Doncaster CCG want to commission a community based monitoring service to alleviate some of the issues currently facing the hospital Ophthalmology departments by transferring the monitoring of stable glaucoma patients to a community setting.  </w:t>
      </w:r>
      <w:r w:rsidR="000F1635" w:rsidRPr="009A5D5C">
        <w:rPr>
          <w:rFonts w:ascii="Arial" w:eastAsia="Times New Roman" w:hAnsi="Arial" w:cs="Arial"/>
          <w:sz w:val="20"/>
          <w:lang w:eastAsia="en-GB"/>
        </w:rPr>
        <w:t xml:space="preserve">This will be accomplished by discharging ‘stable’ glaucoma patients </w:t>
      </w:r>
      <w:r w:rsidR="000F1635" w:rsidRPr="00771B20">
        <w:rPr>
          <w:rFonts w:ascii="Arial" w:eastAsia="Times New Roman" w:hAnsi="Arial" w:cs="Arial"/>
          <w:sz w:val="20"/>
          <w:lang w:eastAsia="en-GB"/>
        </w:rPr>
        <w:t xml:space="preserve">from </w:t>
      </w:r>
      <w:r w:rsidR="00771B20" w:rsidRPr="00771B20">
        <w:rPr>
          <w:rFonts w:ascii="Arial" w:eastAsia="Times New Roman" w:hAnsi="Arial" w:cs="Arial"/>
          <w:sz w:val="20"/>
          <w:lang w:eastAsia="en-GB"/>
        </w:rPr>
        <w:t>Secondary Care</w:t>
      </w:r>
      <w:r w:rsidR="000F1635" w:rsidRPr="009A5D5C">
        <w:rPr>
          <w:rFonts w:ascii="Arial" w:eastAsia="Times New Roman" w:hAnsi="Arial" w:cs="Arial"/>
          <w:sz w:val="20"/>
          <w:lang w:eastAsia="en-GB"/>
        </w:rPr>
        <w:t xml:space="preserve"> into the care of an </w:t>
      </w:r>
      <w:r w:rsidR="00ED0844">
        <w:rPr>
          <w:rFonts w:ascii="Arial" w:eastAsia="Times New Roman" w:hAnsi="Arial" w:cs="Arial"/>
          <w:sz w:val="20"/>
          <w:lang w:eastAsia="en-GB"/>
        </w:rPr>
        <w:t>participating</w:t>
      </w:r>
      <w:r w:rsidR="000F1635" w:rsidRPr="009A5D5C">
        <w:rPr>
          <w:rFonts w:ascii="Arial" w:eastAsia="Times New Roman" w:hAnsi="Arial" w:cs="Arial"/>
          <w:sz w:val="20"/>
          <w:lang w:eastAsia="en-GB"/>
        </w:rPr>
        <w:t xml:space="preserve"> community monitoring provider</w:t>
      </w:r>
      <w:r w:rsidR="000F1635">
        <w:rPr>
          <w:rFonts w:ascii="Arial" w:eastAsia="Times New Roman" w:hAnsi="Arial" w:cs="Arial"/>
          <w:sz w:val="20"/>
          <w:lang w:eastAsia="en-GB"/>
        </w:rPr>
        <w:t>.</w:t>
      </w:r>
    </w:p>
    <w:p w:rsidR="000F1635" w:rsidRDefault="000F1635" w:rsidP="0090593A">
      <w:pPr>
        <w:spacing w:after="0"/>
        <w:jc w:val="both"/>
        <w:rPr>
          <w:rFonts w:ascii="Arial" w:eastAsia="Times New Roman" w:hAnsi="Arial" w:cs="Arial"/>
          <w:sz w:val="20"/>
          <w:lang w:eastAsia="en-GB"/>
        </w:rPr>
      </w:pPr>
    </w:p>
    <w:p w:rsidR="00281AA8" w:rsidRPr="009A5D5C" w:rsidRDefault="00281AA8" w:rsidP="0090593A">
      <w:pPr>
        <w:spacing w:after="0"/>
        <w:jc w:val="both"/>
        <w:rPr>
          <w:rFonts w:ascii="Arial" w:eastAsia="Times New Roman" w:hAnsi="Arial" w:cs="Arial"/>
          <w:sz w:val="20"/>
          <w:lang w:eastAsia="en-GB"/>
        </w:rPr>
      </w:pPr>
      <w:r w:rsidRPr="009A5D5C">
        <w:rPr>
          <w:rFonts w:ascii="Arial" w:eastAsia="Times New Roman" w:hAnsi="Arial" w:cs="Arial"/>
          <w:sz w:val="20"/>
          <w:lang w:eastAsia="en-GB"/>
        </w:rPr>
        <w:t xml:space="preserve">The proposed service will offer a choice of monitoring providers and care closer to home enabling greater choice for patients. </w:t>
      </w:r>
    </w:p>
    <w:p w:rsidR="00281AA8" w:rsidRPr="009A5D5C" w:rsidRDefault="00281AA8" w:rsidP="0090593A">
      <w:pPr>
        <w:spacing w:after="0"/>
        <w:jc w:val="both"/>
        <w:rPr>
          <w:rFonts w:ascii="Arial" w:eastAsia="Times New Roman" w:hAnsi="Arial" w:cs="Arial"/>
          <w:sz w:val="20"/>
          <w:lang w:val="en-GB" w:eastAsia="en-GB"/>
        </w:rPr>
      </w:pPr>
    </w:p>
    <w:p w:rsidR="006E2405" w:rsidRPr="009A5D5C" w:rsidRDefault="006E2405" w:rsidP="0090593A">
      <w:pPr>
        <w:spacing w:after="0"/>
        <w:jc w:val="both"/>
        <w:rPr>
          <w:rFonts w:ascii="Arial" w:eastAsia="Times New Roman" w:hAnsi="Arial" w:cs="Arial"/>
          <w:b/>
          <w:sz w:val="20"/>
          <w:lang w:val="en-GB" w:eastAsia="en-GB"/>
        </w:rPr>
      </w:pPr>
    </w:p>
    <w:p w:rsidR="00281AA8" w:rsidRPr="009A5D5C" w:rsidRDefault="00281AA8" w:rsidP="0090593A">
      <w:pPr>
        <w:spacing w:after="0"/>
        <w:jc w:val="both"/>
        <w:rPr>
          <w:rFonts w:ascii="Arial" w:eastAsia="Times New Roman" w:hAnsi="Arial" w:cs="Arial"/>
          <w:b/>
          <w:sz w:val="20"/>
          <w:lang w:val="en-GB" w:eastAsia="en-GB"/>
        </w:rPr>
      </w:pPr>
      <w:r w:rsidRPr="009A5D5C">
        <w:rPr>
          <w:rFonts w:ascii="Arial" w:eastAsia="Times New Roman" w:hAnsi="Arial" w:cs="Arial"/>
          <w:b/>
          <w:sz w:val="20"/>
          <w:lang w:val="en-GB" w:eastAsia="en-GB"/>
        </w:rPr>
        <w:t xml:space="preserve">Service Outline </w:t>
      </w:r>
    </w:p>
    <w:p w:rsidR="00281AA8" w:rsidRPr="009A5D5C" w:rsidRDefault="00281AA8" w:rsidP="0090593A">
      <w:pPr>
        <w:spacing w:after="0"/>
        <w:jc w:val="both"/>
        <w:rPr>
          <w:rFonts w:ascii="Arial" w:eastAsia="Times New Roman" w:hAnsi="Arial" w:cs="Arial"/>
          <w:b/>
          <w:sz w:val="20"/>
          <w:lang w:val="en-GB" w:eastAsia="en-GB"/>
        </w:rPr>
      </w:pPr>
    </w:p>
    <w:p w:rsidR="006E2405" w:rsidRPr="009A5D5C" w:rsidRDefault="00281AA8" w:rsidP="0090593A">
      <w:pPr>
        <w:pStyle w:val="ListParagraph"/>
        <w:numPr>
          <w:ilvl w:val="0"/>
          <w:numId w:val="16"/>
        </w:numPr>
        <w:spacing w:after="0"/>
        <w:jc w:val="both"/>
        <w:rPr>
          <w:rFonts w:ascii="Arial" w:eastAsia="Times New Roman" w:hAnsi="Arial" w:cs="Arial"/>
          <w:sz w:val="20"/>
          <w:lang w:val="en-GB" w:eastAsia="en-GB"/>
        </w:rPr>
      </w:pPr>
      <w:r w:rsidRPr="009A5D5C">
        <w:rPr>
          <w:rFonts w:ascii="Arial" w:eastAsia="Times New Roman" w:hAnsi="Arial" w:cs="Arial"/>
          <w:sz w:val="20"/>
          <w:lang w:val="en-GB" w:eastAsia="en-GB"/>
        </w:rPr>
        <w:t xml:space="preserve">The </w:t>
      </w:r>
      <w:r w:rsidR="006E2405" w:rsidRPr="009A5D5C">
        <w:rPr>
          <w:rFonts w:ascii="Arial" w:eastAsia="Times New Roman" w:hAnsi="Arial" w:cs="Arial"/>
          <w:sz w:val="20"/>
          <w:lang w:val="en-GB" w:eastAsia="en-GB"/>
        </w:rPr>
        <w:t>community based monitoring service</w:t>
      </w:r>
      <w:r w:rsidR="006E2405" w:rsidRPr="009A5D5C">
        <w:rPr>
          <w:rFonts w:ascii="Arial" w:hAnsi="Arial" w:cs="Arial"/>
          <w:sz w:val="20"/>
          <w:lang w:val="en-GB"/>
        </w:rPr>
        <w:t xml:space="preserve"> </w:t>
      </w:r>
      <w:r w:rsidRPr="009A5D5C">
        <w:rPr>
          <w:rFonts w:ascii="Arial" w:eastAsia="Times New Roman" w:hAnsi="Arial" w:cs="Arial"/>
          <w:sz w:val="20"/>
          <w:lang w:val="en-GB" w:eastAsia="en-GB"/>
        </w:rPr>
        <w:t xml:space="preserve">covers all glaucoma patients </w:t>
      </w:r>
      <w:r w:rsidR="00D61252" w:rsidRPr="009A5D5C">
        <w:rPr>
          <w:rFonts w:ascii="Arial" w:eastAsia="Times New Roman" w:hAnsi="Arial" w:cs="Arial"/>
          <w:sz w:val="20"/>
          <w:lang w:val="en-GB" w:eastAsia="en-GB"/>
        </w:rPr>
        <w:t>whose condition is defined</w:t>
      </w:r>
      <w:r w:rsidR="00E224B7" w:rsidRPr="009A5D5C">
        <w:rPr>
          <w:rFonts w:ascii="Arial" w:eastAsia="Times New Roman" w:hAnsi="Arial" w:cs="Arial"/>
          <w:sz w:val="20"/>
          <w:lang w:val="en-GB" w:eastAsia="en-GB"/>
        </w:rPr>
        <w:t xml:space="preserve"> as stable in accordance with</w:t>
      </w:r>
      <w:r w:rsidR="00D61252" w:rsidRPr="009A5D5C">
        <w:rPr>
          <w:rFonts w:ascii="Arial" w:eastAsia="Times New Roman" w:hAnsi="Arial" w:cs="Arial"/>
          <w:sz w:val="20"/>
          <w:lang w:val="en-GB" w:eastAsia="en-GB"/>
        </w:rPr>
        <w:t xml:space="preserve"> NICE Clinical Guidelines 8</w:t>
      </w:r>
      <w:r w:rsidR="006E2405" w:rsidRPr="009A5D5C">
        <w:rPr>
          <w:rFonts w:ascii="Arial" w:eastAsia="Times New Roman" w:hAnsi="Arial" w:cs="Arial"/>
          <w:sz w:val="20"/>
          <w:lang w:val="en-GB" w:eastAsia="en-GB"/>
        </w:rPr>
        <w:t>1</w:t>
      </w:r>
      <w:r w:rsidR="00E224B7" w:rsidRPr="009A5D5C">
        <w:rPr>
          <w:rFonts w:ascii="Arial" w:eastAsia="Times New Roman" w:hAnsi="Arial" w:cs="Arial"/>
          <w:sz w:val="20"/>
          <w:lang w:val="en-GB" w:eastAsia="en-GB"/>
        </w:rPr>
        <w:t xml:space="preserve"> (</w:t>
      </w:r>
      <w:hyperlink r:id="rId9" w:history="1">
        <w:r w:rsidR="00E224B7" w:rsidRPr="009A5D5C">
          <w:rPr>
            <w:rStyle w:val="Hyperlink"/>
            <w:rFonts w:ascii="Arial" w:eastAsia="Times New Roman" w:hAnsi="Arial" w:cs="Arial"/>
            <w:color w:val="auto"/>
            <w:sz w:val="20"/>
            <w:lang w:val="en-GB" w:eastAsia="en-GB"/>
          </w:rPr>
          <w:t>https://www.nice.org.uk/guidance/ng81</w:t>
        </w:r>
      </w:hyperlink>
      <w:r w:rsidR="00E224B7" w:rsidRPr="009A5D5C">
        <w:rPr>
          <w:rFonts w:ascii="Arial" w:eastAsia="Times New Roman" w:hAnsi="Arial" w:cs="Arial"/>
          <w:sz w:val="20"/>
          <w:lang w:val="en-GB" w:eastAsia="en-GB"/>
        </w:rPr>
        <w:t>)</w:t>
      </w:r>
      <w:r w:rsidR="006E2405" w:rsidRPr="009A5D5C">
        <w:rPr>
          <w:rFonts w:ascii="Arial" w:eastAsia="Times New Roman" w:hAnsi="Arial" w:cs="Arial"/>
          <w:sz w:val="20"/>
          <w:lang w:val="en-GB" w:eastAsia="en-GB"/>
        </w:rPr>
        <w:t xml:space="preserve"> as summarised below:</w:t>
      </w:r>
    </w:p>
    <w:p w:rsidR="006E2405" w:rsidRPr="009A5D5C" w:rsidRDefault="006E2405" w:rsidP="0090593A">
      <w:pPr>
        <w:spacing w:after="0"/>
        <w:jc w:val="both"/>
        <w:rPr>
          <w:rFonts w:ascii="Arial" w:eastAsia="Times New Roman" w:hAnsi="Arial" w:cs="Arial"/>
          <w:sz w:val="20"/>
          <w:lang w:val="en-GB" w:eastAsia="en-GB"/>
        </w:rPr>
      </w:pPr>
    </w:p>
    <w:p w:rsidR="006E2405" w:rsidRPr="009A5D5C" w:rsidRDefault="006E2405" w:rsidP="0090593A">
      <w:pPr>
        <w:numPr>
          <w:ilvl w:val="0"/>
          <w:numId w:val="11"/>
        </w:numPr>
        <w:spacing w:after="0"/>
        <w:jc w:val="both"/>
        <w:rPr>
          <w:rFonts w:ascii="Arial" w:hAnsi="Arial" w:cs="Arial"/>
          <w:sz w:val="20"/>
        </w:rPr>
      </w:pPr>
      <w:r w:rsidRPr="009A5D5C">
        <w:rPr>
          <w:rFonts w:ascii="Arial" w:hAnsi="Arial" w:cs="Arial"/>
          <w:sz w:val="20"/>
        </w:rPr>
        <w:t>Patient is stable on treatment; and</w:t>
      </w:r>
    </w:p>
    <w:p w:rsidR="006E2405" w:rsidRPr="009A5D5C" w:rsidRDefault="006E2405" w:rsidP="0090593A">
      <w:pPr>
        <w:numPr>
          <w:ilvl w:val="0"/>
          <w:numId w:val="11"/>
        </w:numPr>
        <w:spacing w:after="0"/>
        <w:jc w:val="both"/>
        <w:rPr>
          <w:rFonts w:ascii="Arial" w:hAnsi="Arial" w:cs="Arial"/>
          <w:sz w:val="20"/>
        </w:rPr>
      </w:pPr>
      <w:r w:rsidRPr="009A5D5C">
        <w:rPr>
          <w:rFonts w:ascii="Arial" w:hAnsi="Arial" w:cs="Arial"/>
          <w:sz w:val="20"/>
        </w:rPr>
        <w:t xml:space="preserve">Does not show progression; and </w:t>
      </w:r>
    </w:p>
    <w:p w:rsidR="006E2405" w:rsidRPr="009A5D5C" w:rsidRDefault="006E2405" w:rsidP="0090593A">
      <w:pPr>
        <w:numPr>
          <w:ilvl w:val="0"/>
          <w:numId w:val="11"/>
        </w:numPr>
        <w:spacing w:after="0"/>
        <w:jc w:val="both"/>
        <w:rPr>
          <w:rFonts w:ascii="Arial" w:hAnsi="Arial" w:cs="Arial"/>
          <w:sz w:val="20"/>
        </w:rPr>
      </w:pPr>
      <w:r w:rsidRPr="009A5D5C">
        <w:rPr>
          <w:rFonts w:ascii="Arial" w:hAnsi="Arial" w:cs="Arial"/>
          <w:sz w:val="20"/>
        </w:rPr>
        <w:t xml:space="preserve">Is at low clinical risk </w:t>
      </w:r>
    </w:p>
    <w:p w:rsidR="006E2405" w:rsidRPr="009A5D5C" w:rsidRDefault="006E2405" w:rsidP="0090593A">
      <w:pPr>
        <w:spacing w:after="0"/>
        <w:jc w:val="both"/>
        <w:rPr>
          <w:rFonts w:ascii="Arial" w:hAnsi="Arial" w:cs="Arial"/>
          <w:sz w:val="20"/>
        </w:rPr>
      </w:pPr>
    </w:p>
    <w:p w:rsidR="00281AA8" w:rsidRPr="009A5D5C" w:rsidRDefault="006E2405" w:rsidP="0090593A">
      <w:pPr>
        <w:spacing w:after="0"/>
        <w:ind w:left="720"/>
        <w:jc w:val="both"/>
        <w:rPr>
          <w:rFonts w:ascii="Arial" w:eastAsia="Times New Roman" w:hAnsi="Arial" w:cs="Arial"/>
          <w:sz w:val="20"/>
          <w:lang w:val="en-GB" w:eastAsia="en-GB"/>
        </w:rPr>
      </w:pPr>
      <w:r w:rsidRPr="009A5D5C">
        <w:rPr>
          <w:rFonts w:ascii="Arial" w:hAnsi="Arial" w:cs="Arial"/>
          <w:sz w:val="20"/>
        </w:rPr>
        <w:t>These patients can be</w:t>
      </w:r>
      <w:r w:rsidRPr="009A5D5C">
        <w:rPr>
          <w:rFonts w:ascii="Arial" w:hAnsi="Arial" w:cs="Arial"/>
          <w:b/>
          <w:sz w:val="20"/>
        </w:rPr>
        <w:t xml:space="preserve"> </w:t>
      </w:r>
      <w:r w:rsidRPr="009A5D5C">
        <w:rPr>
          <w:rFonts w:ascii="Arial" w:hAnsi="Arial" w:cs="Arial"/>
          <w:sz w:val="20"/>
        </w:rPr>
        <w:t xml:space="preserve">safely discharged to a </w:t>
      </w:r>
      <w:r w:rsidR="00DF59E9">
        <w:rPr>
          <w:rFonts w:ascii="Arial" w:hAnsi="Arial" w:cs="Arial"/>
          <w:b/>
          <w:sz w:val="20"/>
        </w:rPr>
        <w:t xml:space="preserve">participating </w:t>
      </w:r>
      <w:r w:rsidRPr="009A5D5C">
        <w:rPr>
          <w:rFonts w:ascii="Arial" w:hAnsi="Arial" w:cs="Arial"/>
          <w:b/>
          <w:sz w:val="20"/>
        </w:rPr>
        <w:t>optometrist</w:t>
      </w:r>
      <w:r w:rsidRPr="009A5D5C">
        <w:rPr>
          <w:rFonts w:ascii="Arial" w:hAnsi="Arial" w:cs="Arial"/>
          <w:sz w:val="20"/>
        </w:rPr>
        <w:t xml:space="preserve"> of the patient’s choice for glaucoma monitoring re-assessment every 12-18 months (NICE Guideline 81).  </w:t>
      </w:r>
      <w:r w:rsidR="00D61252" w:rsidRPr="009A5D5C">
        <w:rPr>
          <w:rFonts w:ascii="Arial" w:eastAsia="Times New Roman" w:hAnsi="Arial" w:cs="Arial"/>
          <w:sz w:val="20"/>
          <w:lang w:val="en-GB" w:eastAsia="en-GB"/>
        </w:rPr>
        <w:t xml:space="preserve"> </w:t>
      </w:r>
    </w:p>
    <w:p w:rsidR="00E224B7" w:rsidRDefault="00E224B7" w:rsidP="0090593A">
      <w:pPr>
        <w:spacing w:after="0"/>
        <w:jc w:val="both"/>
        <w:rPr>
          <w:rFonts w:ascii="Arial" w:eastAsia="Times New Roman" w:hAnsi="Arial" w:cs="Arial"/>
          <w:sz w:val="20"/>
          <w:lang w:val="en-GB" w:eastAsia="en-GB"/>
        </w:rPr>
      </w:pPr>
    </w:p>
    <w:p w:rsidR="00420A2A" w:rsidRDefault="00420A2A" w:rsidP="00420A2A">
      <w:pPr>
        <w:spacing w:after="0"/>
        <w:ind w:left="720"/>
        <w:jc w:val="both"/>
        <w:rPr>
          <w:rFonts w:ascii="Arial" w:hAnsi="Arial" w:cs="Arial"/>
          <w:sz w:val="20"/>
        </w:rPr>
      </w:pPr>
      <w:r>
        <w:rPr>
          <w:rFonts w:ascii="Arial" w:hAnsi="Arial" w:cs="Arial"/>
          <w:sz w:val="20"/>
        </w:rPr>
        <w:t>The Hospital Eye Service will provide these patients with:</w:t>
      </w:r>
    </w:p>
    <w:p w:rsidR="00420A2A" w:rsidRDefault="00420A2A" w:rsidP="00420A2A">
      <w:pPr>
        <w:spacing w:after="0"/>
        <w:ind w:left="720"/>
        <w:jc w:val="both"/>
        <w:rPr>
          <w:rFonts w:ascii="Arial" w:hAnsi="Arial" w:cs="Arial"/>
          <w:sz w:val="20"/>
        </w:rPr>
      </w:pPr>
    </w:p>
    <w:p w:rsidR="00420A2A" w:rsidRDefault="00420A2A" w:rsidP="00444E27">
      <w:pPr>
        <w:numPr>
          <w:ilvl w:val="0"/>
          <w:numId w:val="11"/>
        </w:numPr>
        <w:spacing w:after="0"/>
        <w:jc w:val="both"/>
        <w:rPr>
          <w:rFonts w:ascii="Arial" w:hAnsi="Arial" w:cs="Arial"/>
          <w:sz w:val="20"/>
        </w:rPr>
      </w:pPr>
      <w:r w:rsidRPr="00420A2A">
        <w:rPr>
          <w:rFonts w:ascii="Arial" w:hAnsi="Arial" w:cs="Arial"/>
          <w:sz w:val="20"/>
        </w:rPr>
        <w:t xml:space="preserve">an up-to-date list of all community </w:t>
      </w:r>
      <w:r w:rsidRPr="00444E27">
        <w:rPr>
          <w:rFonts w:ascii="Arial" w:hAnsi="Arial" w:cs="Arial"/>
          <w:b/>
          <w:sz w:val="20"/>
        </w:rPr>
        <w:t>participating optometrists</w:t>
      </w:r>
      <w:r w:rsidRPr="00420A2A">
        <w:rPr>
          <w:rFonts w:ascii="Arial" w:hAnsi="Arial" w:cs="Arial"/>
          <w:sz w:val="20"/>
        </w:rPr>
        <w:t xml:space="preserve"> from which </w:t>
      </w:r>
      <w:r>
        <w:rPr>
          <w:rFonts w:ascii="Arial" w:hAnsi="Arial" w:cs="Arial"/>
          <w:sz w:val="20"/>
        </w:rPr>
        <w:t>they can</w:t>
      </w:r>
      <w:r w:rsidRPr="00420A2A">
        <w:rPr>
          <w:rFonts w:ascii="Arial" w:hAnsi="Arial" w:cs="Arial"/>
          <w:sz w:val="20"/>
        </w:rPr>
        <w:t xml:space="preserve"> choose a provider of their choice</w:t>
      </w:r>
      <w:r>
        <w:rPr>
          <w:rFonts w:ascii="Arial" w:hAnsi="Arial" w:cs="Arial"/>
          <w:sz w:val="20"/>
        </w:rPr>
        <w:t>;</w:t>
      </w:r>
      <w:r w:rsidRPr="00420A2A">
        <w:rPr>
          <w:rFonts w:ascii="Arial" w:hAnsi="Arial" w:cs="Arial"/>
          <w:sz w:val="20"/>
        </w:rPr>
        <w:t xml:space="preserve"> and</w:t>
      </w:r>
    </w:p>
    <w:p w:rsidR="00420A2A" w:rsidRPr="00420A2A" w:rsidRDefault="00420A2A" w:rsidP="00444E27">
      <w:pPr>
        <w:numPr>
          <w:ilvl w:val="0"/>
          <w:numId w:val="11"/>
        </w:numPr>
        <w:spacing w:after="0"/>
        <w:jc w:val="both"/>
        <w:rPr>
          <w:rFonts w:ascii="Arial" w:hAnsi="Arial" w:cs="Arial"/>
          <w:sz w:val="20"/>
        </w:rPr>
      </w:pPr>
      <w:r w:rsidRPr="00420A2A">
        <w:rPr>
          <w:rFonts w:ascii="Arial" w:hAnsi="Arial" w:cs="Arial"/>
          <w:sz w:val="20"/>
        </w:rPr>
        <w:t>a leaflet explaining next steps regarding community monitoring.</w:t>
      </w:r>
    </w:p>
    <w:p w:rsidR="00420A2A" w:rsidRPr="009A5D5C" w:rsidRDefault="00420A2A" w:rsidP="00444E27">
      <w:pPr>
        <w:spacing w:after="0"/>
        <w:ind w:left="1134"/>
        <w:jc w:val="both"/>
        <w:rPr>
          <w:rFonts w:ascii="Arial" w:eastAsia="Times New Roman" w:hAnsi="Arial" w:cs="Arial"/>
          <w:sz w:val="20"/>
          <w:lang w:val="en-GB" w:eastAsia="en-GB"/>
        </w:rPr>
      </w:pPr>
    </w:p>
    <w:p w:rsidR="00A260CB" w:rsidRPr="009A5D5C" w:rsidRDefault="00A260CB" w:rsidP="0090593A">
      <w:pPr>
        <w:pStyle w:val="ListParagraph"/>
        <w:numPr>
          <w:ilvl w:val="0"/>
          <w:numId w:val="16"/>
        </w:numPr>
        <w:spacing w:after="0"/>
        <w:jc w:val="both"/>
        <w:rPr>
          <w:rFonts w:ascii="Arial" w:hAnsi="Arial" w:cs="Arial"/>
          <w:sz w:val="20"/>
        </w:rPr>
      </w:pPr>
      <w:r w:rsidRPr="009A5D5C">
        <w:rPr>
          <w:rFonts w:ascii="Arial" w:hAnsi="Arial" w:cs="Arial"/>
          <w:sz w:val="20"/>
        </w:rPr>
        <w:t xml:space="preserve">The </w:t>
      </w:r>
      <w:r w:rsidR="00771B20">
        <w:rPr>
          <w:rFonts w:ascii="Arial" w:eastAsia="Times New Roman" w:hAnsi="Arial" w:cs="Arial"/>
          <w:b/>
          <w:sz w:val="20"/>
          <w:lang w:val="en-GB" w:eastAsia="en-GB"/>
        </w:rPr>
        <w:t>Secondary Care</w:t>
      </w:r>
      <w:r w:rsidRPr="009A5D5C">
        <w:rPr>
          <w:rFonts w:ascii="Arial" w:hAnsi="Arial" w:cs="Arial"/>
          <w:b/>
          <w:sz w:val="20"/>
        </w:rPr>
        <w:t xml:space="preserve"> provider</w:t>
      </w:r>
      <w:r w:rsidRPr="009A5D5C">
        <w:rPr>
          <w:rFonts w:ascii="Arial" w:hAnsi="Arial" w:cs="Arial"/>
          <w:sz w:val="20"/>
        </w:rPr>
        <w:t xml:space="preserve"> will send to the </w:t>
      </w:r>
      <w:r w:rsidR="00DF59E9">
        <w:rPr>
          <w:rFonts w:ascii="Arial" w:hAnsi="Arial" w:cs="Arial"/>
          <w:b/>
          <w:sz w:val="20"/>
        </w:rPr>
        <w:t xml:space="preserve">participating </w:t>
      </w:r>
      <w:r w:rsidR="00603776">
        <w:rPr>
          <w:rFonts w:ascii="Arial" w:hAnsi="Arial" w:cs="Arial"/>
          <w:b/>
          <w:sz w:val="20"/>
        </w:rPr>
        <w:t>optometrist</w:t>
      </w:r>
      <w:r w:rsidRPr="009A5D5C">
        <w:rPr>
          <w:rFonts w:ascii="Arial" w:hAnsi="Arial" w:cs="Arial"/>
          <w:sz w:val="20"/>
        </w:rPr>
        <w:t>:</w:t>
      </w:r>
    </w:p>
    <w:p w:rsidR="00973C27" w:rsidRPr="009A5D5C" w:rsidRDefault="00973C27" w:rsidP="0090593A">
      <w:pPr>
        <w:pStyle w:val="ListParagraph"/>
        <w:spacing w:after="0"/>
        <w:jc w:val="both"/>
        <w:rPr>
          <w:rFonts w:ascii="Arial" w:hAnsi="Arial" w:cs="Arial"/>
          <w:sz w:val="20"/>
        </w:rPr>
      </w:pPr>
    </w:p>
    <w:p w:rsidR="00E224B7" w:rsidRPr="009A5D5C" w:rsidRDefault="00E224B7" w:rsidP="0090593A">
      <w:pPr>
        <w:numPr>
          <w:ilvl w:val="0"/>
          <w:numId w:val="11"/>
        </w:numPr>
        <w:spacing w:after="0"/>
        <w:jc w:val="both"/>
        <w:rPr>
          <w:rFonts w:ascii="Arial" w:hAnsi="Arial" w:cs="Arial"/>
          <w:sz w:val="20"/>
        </w:rPr>
      </w:pPr>
      <w:r w:rsidRPr="009A5D5C">
        <w:rPr>
          <w:rFonts w:ascii="Arial" w:hAnsi="Arial" w:cs="Arial"/>
          <w:sz w:val="20"/>
        </w:rPr>
        <w:t xml:space="preserve">A </w:t>
      </w:r>
      <w:r w:rsidR="00281AA8" w:rsidRPr="009A5D5C">
        <w:rPr>
          <w:rFonts w:ascii="Arial" w:hAnsi="Arial" w:cs="Arial"/>
          <w:sz w:val="20"/>
        </w:rPr>
        <w:t>discharge summary</w:t>
      </w:r>
      <w:r w:rsidRPr="009A5D5C">
        <w:rPr>
          <w:rFonts w:ascii="Arial" w:hAnsi="Arial" w:cs="Arial"/>
          <w:sz w:val="20"/>
        </w:rPr>
        <w:t xml:space="preserve"> </w:t>
      </w:r>
      <w:r w:rsidR="00281AA8" w:rsidRPr="009A5D5C">
        <w:rPr>
          <w:rFonts w:ascii="Arial" w:hAnsi="Arial" w:cs="Arial"/>
          <w:sz w:val="20"/>
        </w:rPr>
        <w:t>/</w:t>
      </w:r>
      <w:r w:rsidRPr="009A5D5C">
        <w:rPr>
          <w:rFonts w:ascii="Arial" w:hAnsi="Arial" w:cs="Arial"/>
          <w:sz w:val="20"/>
        </w:rPr>
        <w:t xml:space="preserve"> </w:t>
      </w:r>
      <w:r w:rsidR="00281AA8" w:rsidRPr="009A5D5C">
        <w:rPr>
          <w:rFonts w:ascii="Arial" w:hAnsi="Arial" w:cs="Arial"/>
          <w:sz w:val="20"/>
        </w:rPr>
        <w:t xml:space="preserve">letter detailing </w:t>
      </w:r>
      <w:r w:rsidRPr="009A5D5C">
        <w:rPr>
          <w:rFonts w:ascii="Arial" w:hAnsi="Arial" w:cs="Arial"/>
          <w:sz w:val="20"/>
        </w:rPr>
        <w:t xml:space="preserve">the </w:t>
      </w:r>
      <w:r w:rsidR="00281AA8" w:rsidRPr="009A5D5C">
        <w:rPr>
          <w:rFonts w:ascii="Arial" w:hAnsi="Arial" w:cs="Arial"/>
          <w:sz w:val="20"/>
        </w:rPr>
        <w:t>patient’s demographics</w:t>
      </w:r>
      <w:r w:rsidR="00366194">
        <w:rPr>
          <w:rFonts w:ascii="Arial" w:hAnsi="Arial" w:cs="Arial"/>
          <w:sz w:val="20"/>
        </w:rPr>
        <w:t>;</w:t>
      </w:r>
      <w:r w:rsidR="00281AA8" w:rsidRPr="009A5D5C">
        <w:rPr>
          <w:rFonts w:ascii="Arial" w:hAnsi="Arial" w:cs="Arial"/>
          <w:sz w:val="20"/>
        </w:rPr>
        <w:t xml:space="preserve"> </w:t>
      </w:r>
    </w:p>
    <w:p w:rsidR="00E224B7" w:rsidRPr="009A5D5C" w:rsidRDefault="00E224B7" w:rsidP="0090593A">
      <w:pPr>
        <w:numPr>
          <w:ilvl w:val="0"/>
          <w:numId w:val="11"/>
        </w:numPr>
        <w:spacing w:after="0"/>
        <w:jc w:val="both"/>
        <w:rPr>
          <w:rFonts w:ascii="Arial" w:hAnsi="Arial" w:cs="Arial"/>
          <w:sz w:val="20"/>
        </w:rPr>
      </w:pPr>
      <w:r w:rsidRPr="009A5D5C">
        <w:rPr>
          <w:rFonts w:ascii="Arial" w:hAnsi="Arial" w:cs="Arial"/>
          <w:sz w:val="20"/>
        </w:rPr>
        <w:t xml:space="preserve">The patient’s </w:t>
      </w:r>
      <w:r w:rsidR="00281AA8" w:rsidRPr="009A5D5C">
        <w:rPr>
          <w:rFonts w:ascii="Arial" w:hAnsi="Arial" w:cs="Arial"/>
          <w:sz w:val="20"/>
        </w:rPr>
        <w:t>registered GP details</w:t>
      </w:r>
      <w:r w:rsidR="00366194">
        <w:rPr>
          <w:rFonts w:ascii="Arial" w:hAnsi="Arial" w:cs="Arial"/>
          <w:sz w:val="20"/>
        </w:rPr>
        <w:t>;</w:t>
      </w:r>
    </w:p>
    <w:p w:rsidR="00E224B7" w:rsidRPr="009A5D5C" w:rsidRDefault="00E224B7" w:rsidP="0090593A">
      <w:pPr>
        <w:numPr>
          <w:ilvl w:val="0"/>
          <w:numId w:val="11"/>
        </w:numPr>
        <w:spacing w:after="0"/>
        <w:jc w:val="both"/>
        <w:rPr>
          <w:rFonts w:ascii="Arial" w:hAnsi="Arial" w:cs="Arial"/>
          <w:sz w:val="20"/>
        </w:rPr>
      </w:pPr>
      <w:r w:rsidRPr="009A5D5C">
        <w:rPr>
          <w:rFonts w:ascii="Arial" w:hAnsi="Arial" w:cs="Arial"/>
          <w:sz w:val="20"/>
        </w:rPr>
        <w:t>The patient’s</w:t>
      </w:r>
      <w:r w:rsidR="00A260CB" w:rsidRPr="009A5D5C">
        <w:rPr>
          <w:rFonts w:ascii="Arial" w:hAnsi="Arial" w:cs="Arial"/>
          <w:sz w:val="20"/>
        </w:rPr>
        <w:t xml:space="preserve"> clinical history,</w:t>
      </w:r>
      <w:r w:rsidRPr="009A5D5C">
        <w:rPr>
          <w:rFonts w:ascii="Arial" w:hAnsi="Arial" w:cs="Arial"/>
          <w:sz w:val="20"/>
        </w:rPr>
        <w:t xml:space="preserve"> </w:t>
      </w:r>
      <w:r w:rsidR="00281AA8" w:rsidRPr="009A5D5C">
        <w:rPr>
          <w:rFonts w:ascii="Arial" w:hAnsi="Arial" w:cs="Arial"/>
          <w:sz w:val="20"/>
        </w:rPr>
        <w:t>current eye status</w:t>
      </w:r>
      <w:r w:rsidRPr="009A5D5C">
        <w:rPr>
          <w:rFonts w:ascii="Arial" w:hAnsi="Arial" w:cs="Arial"/>
          <w:sz w:val="20"/>
        </w:rPr>
        <w:t xml:space="preserve"> </w:t>
      </w:r>
      <w:r w:rsidR="00281AA8" w:rsidRPr="009A5D5C">
        <w:rPr>
          <w:rFonts w:ascii="Arial" w:hAnsi="Arial" w:cs="Arial"/>
          <w:sz w:val="20"/>
        </w:rPr>
        <w:t>/</w:t>
      </w:r>
      <w:r w:rsidRPr="009A5D5C">
        <w:rPr>
          <w:rFonts w:ascii="Arial" w:hAnsi="Arial" w:cs="Arial"/>
          <w:sz w:val="20"/>
        </w:rPr>
        <w:t xml:space="preserve"> condition</w:t>
      </w:r>
      <w:r w:rsidR="00366194">
        <w:rPr>
          <w:rFonts w:ascii="Arial" w:hAnsi="Arial" w:cs="Arial"/>
          <w:sz w:val="20"/>
        </w:rPr>
        <w:t>;</w:t>
      </w:r>
    </w:p>
    <w:p w:rsidR="00E224B7" w:rsidRPr="009A5D5C" w:rsidRDefault="00E224B7" w:rsidP="0090593A">
      <w:pPr>
        <w:numPr>
          <w:ilvl w:val="0"/>
          <w:numId w:val="11"/>
        </w:numPr>
        <w:spacing w:after="0"/>
        <w:jc w:val="both"/>
        <w:rPr>
          <w:rFonts w:ascii="Arial" w:hAnsi="Arial" w:cs="Arial"/>
          <w:sz w:val="20"/>
        </w:rPr>
      </w:pPr>
      <w:r w:rsidRPr="009A5D5C">
        <w:rPr>
          <w:rFonts w:ascii="Arial" w:hAnsi="Arial" w:cs="Arial"/>
          <w:sz w:val="20"/>
        </w:rPr>
        <w:t xml:space="preserve">A </w:t>
      </w:r>
      <w:r w:rsidR="00281AA8" w:rsidRPr="009A5D5C">
        <w:rPr>
          <w:rFonts w:ascii="Arial" w:hAnsi="Arial" w:cs="Arial"/>
          <w:sz w:val="20"/>
        </w:rPr>
        <w:t>recommended monitoring schedule</w:t>
      </w:r>
      <w:r w:rsidRPr="009A5D5C">
        <w:rPr>
          <w:rFonts w:ascii="Arial" w:hAnsi="Arial" w:cs="Arial"/>
          <w:sz w:val="20"/>
        </w:rPr>
        <w:t xml:space="preserve">; </w:t>
      </w:r>
      <w:r w:rsidR="00281AA8" w:rsidRPr="009A5D5C">
        <w:rPr>
          <w:rFonts w:ascii="Arial" w:hAnsi="Arial" w:cs="Arial"/>
          <w:sz w:val="20"/>
        </w:rPr>
        <w:t xml:space="preserve">plus </w:t>
      </w:r>
      <w:r w:rsidRPr="009A5D5C">
        <w:rPr>
          <w:rFonts w:ascii="Arial" w:hAnsi="Arial" w:cs="Arial"/>
          <w:sz w:val="20"/>
        </w:rPr>
        <w:t xml:space="preserve">a </w:t>
      </w:r>
    </w:p>
    <w:p w:rsidR="00281AA8" w:rsidRPr="009A5D5C" w:rsidRDefault="00E224B7" w:rsidP="0090593A">
      <w:pPr>
        <w:numPr>
          <w:ilvl w:val="0"/>
          <w:numId w:val="11"/>
        </w:numPr>
        <w:spacing w:after="0"/>
        <w:jc w:val="both"/>
        <w:rPr>
          <w:rFonts w:ascii="Arial" w:eastAsia="Times New Roman" w:hAnsi="Arial" w:cs="Arial"/>
          <w:sz w:val="20"/>
          <w:lang w:val="en-GB" w:eastAsia="en-GB"/>
        </w:rPr>
      </w:pPr>
      <w:r w:rsidRPr="009A5D5C">
        <w:rPr>
          <w:rFonts w:ascii="Arial" w:hAnsi="Arial" w:cs="Arial"/>
          <w:sz w:val="20"/>
        </w:rPr>
        <w:t>Hospital</w:t>
      </w:r>
      <w:r w:rsidRPr="009A5D5C">
        <w:rPr>
          <w:rFonts w:ascii="Arial" w:eastAsia="Times New Roman" w:hAnsi="Arial" w:cs="Arial"/>
          <w:sz w:val="20"/>
          <w:lang w:val="en-GB" w:eastAsia="en-GB"/>
        </w:rPr>
        <w:t xml:space="preserve"> </w:t>
      </w:r>
      <w:r w:rsidR="00281AA8" w:rsidRPr="009A5D5C">
        <w:rPr>
          <w:rFonts w:ascii="Arial" w:eastAsia="Times New Roman" w:hAnsi="Arial" w:cs="Arial"/>
          <w:sz w:val="20"/>
          <w:lang w:val="en-GB" w:eastAsia="en-GB"/>
        </w:rPr>
        <w:t>E</w:t>
      </w:r>
      <w:r w:rsidRPr="009A5D5C">
        <w:rPr>
          <w:rFonts w:ascii="Arial" w:eastAsia="Times New Roman" w:hAnsi="Arial" w:cs="Arial"/>
          <w:sz w:val="20"/>
          <w:lang w:val="en-GB" w:eastAsia="en-GB"/>
        </w:rPr>
        <w:t xml:space="preserve">ye </w:t>
      </w:r>
      <w:r w:rsidR="00281AA8" w:rsidRPr="009A5D5C">
        <w:rPr>
          <w:rFonts w:ascii="Arial" w:eastAsia="Times New Roman" w:hAnsi="Arial" w:cs="Arial"/>
          <w:sz w:val="20"/>
          <w:lang w:val="en-GB" w:eastAsia="en-GB"/>
        </w:rPr>
        <w:t>S</w:t>
      </w:r>
      <w:r w:rsidRPr="009A5D5C">
        <w:rPr>
          <w:rFonts w:ascii="Arial" w:eastAsia="Times New Roman" w:hAnsi="Arial" w:cs="Arial"/>
          <w:sz w:val="20"/>
          <w:lang w:val="en-GB" w:eastAsia="en-GB"/>
        </w:rPr>
        <w:t>ervice</w:t>
      </w:r>
      <w:r w:rsidR="00281AA8" w:rsidRPr="009A5D5C">
        <w:rPr>
          <w:rFonts w:ascii="Arial" w:eastAsia="Times New Roman" w:hAnsi="Arial" w:cs="Arial"/>
          <w:sz w:val="20"/>
          <w:lang w:val="en-GB" w:eastAsia="en-GB"/>
        </w:rPr>
        <w:t xml:space="preserve"> </w:t>
      </w:r>
      <w:r w:rsidR="00973C27" w:rsidRPr="009A5D5C">
        <w:rPr>
          <w:rFonts w:ascii="Arial" w:eastAsia="Times New Roman" w:hAnsi="Arial" w:cs="Arial"/>
          <w:sz w:val="20"/>
          <w:lang w:val="en-GB" w:eastAsia="en-GB"/>
        </w:rPr>
        <w:t xml:space="preserve">(HES) </w:t>
      </w:r>
      <w:r w:rsidR="00281AA8" w:rsidRPr="009A5D5C">
        <w:rPr>
          <w:rFonts w:ascii="Arial" w:eastAsia="Times New Roman" w:hAnsi="Arial" w:cs="Arial"/>
          <w:sz w:val="20"/>
          <w:lang w:val="en-GB" w:eastAsia="en-GB"/>
        </w:rPr>
        <w:t>review date</w:t>
      </w:r>
      <w:r w:rsidR="00A260CB" w:rsidRPr="009A5D5C">
        <w:rPr>
          <w:rFonts w:ascii="Arial" w:eastAsia="Times New Roman" w:hAnsi="Arial" w:cs="Arial"/>
          <w:sz w:val="20"/>
          <w:lang w:val="en-GB" w:eastAsia="en-GB"/>
        </w:rPr>
        <w:t xml:space="preserve"> for two years’ time</w:t>
      </w:r>
      <w:r w:rsidR="00281AA8" w:rsidRPr="009A5D5C">
        <w:rPr>
          <w:rFonts w:ascii="Arial" w:eastAsia="Times New Roman" w:hAnsi="Arial" w:cs="Arial"/>
          <w:sz w:val="20"/>
          <w:lang w:val="en-GB" w:eastAsia="en-GB"/>
        </w:rPr>
        <w:t xml:space="preserve">. </w:t>
      </w:r>
    </w:p>
    <w:p w:rsidR="00D61252" w:rsidRPr="009A5D5C" w:rsidRDefault="00D61252" w:rsidP="0090593A">
      <w:pPr>
        <w:spacing w:after="0"/>
        <w:jc w:val="both"/>
        <w:rPr>
          <w:rFonts w:ascii="Arial" w:eastAsia="Times New Roman" w:hAnsi="Arial" w:cs="Arial"/>
          <w:sz w:val="20"/>
          <w:lang w:val="en-GB" w:eastAsia="en-GB"/>
        </w:rPr>
      </w:pPr>
    </w:p>
    <w:p w:rsidR="00A260CB" w:rsidRPr="00DC6AA4" w:rsidRDefault="00A260CB" w:rsidP="0090593A">
      <w:pPr>
        <w:spacing w:after="0"/>
        <w:ind w:left="720"/>
        <w:jc w:val="both"/>
        <w:rPr>
          <w:rFonts w:ascii="Arial" w:hAnsi="Arial" w:cs="Arial"/>
          <w:sz w:val="20"/>
        </w:rPr>
      </w:pPr>
      <w:r w:rsidRPr="009A5D5C">
        <w:rPr>
          <w:rFonts w:ascii="Arial" w:hAnsi="Arial" w:cs="Arial"/>
          <w:sz w:val="20"/>
        </w:rPr>
        <w:t xml:space="preserve">A </w:t>
      </w:r>
      <w:r w:rsidRPr="00DC6AA4">
        <w:rPr>
          <w:rFonts w:ascii="Arial" w:hAnsi="Arial" w:cs="Arial"/>
          <w:sz w:val="20"/>
        </w:rPr>
        <w:t xml:space="preserve">copy of the discharge summary will be sent to the patient’s registered GP to inform them of the change </w:t>
      </w:r>
      <w:r w:rsidR="00DC6AA4" w:rsidRPr="00DC6AA4">
        <w:rPr>
          <w:rFonts w:ascii="Arial" w:hAnsi="Arial" w:cs="Arial"/>
          <w:sz w:val="20"/>
        </w:rPr>
        <w:t>in provider.</w:t>
      </w:r>
    </w:p>
    <w:p w:rsidR="00A260CB" w:rsidRPr="009A5D5C" w:rsidRDefault="00A260CB" w:rsidP="0090593A">
      <w:pPr>
        <w:spacing w:after="0"/>
        <w:jc w:val="both"/>
        <w:rPr>
          <w:rFonts w:ascii="Arial" w:eastAsia="Times New Roman" w:hAnsi="Arial" w:cs="Arial"/>
          <w:color w:val="7030A0"/>
          <w:sz w:val="20"/>
          <w:lang w:val="en-GB" w:eastAsia="en-GB"/>
        </w:rPr>
      </w:pPr>
    </w:p>
    <w:p w:rsidR="00A260CB" w:rsidRPr="009A5D5C" w:rsidRDefault="00A260CB" w:rsidP="0090593A">
      <w:pPr>
        <w:pStyle w:val="ListParagraph"/>
        <w:numPr>
          <w:ilvl w:val="0"/>
          <w:numId w:val="16"/>
        </w:numPr>
        <w:spacing w:after="0"/>
        <w:jc w:val="both"/>
        <w:rPr>
          <w:rFonts w:ascii="Arial" w:hAnsi="Arial" w:cs="Arial"/>
          <w:sz w:val="20"/>
        </w:rPr>
      </w:pPr>
      <w:r w:rsidRPr="009A5D5C">
        <w:rPr>
          <w:rFonts w:ascii="Arial" w:hAnsi="Arial" w:cs="Arial"/>
          <w:sz w:val="20"/>
        </w:rPr>
        <w:t xml:space="preserve">The chosen </w:t>
      </w:r>
      <w:r w:rsidR="00366194">
        <w:rPr>
          <w:rFonts w:ascii="Arial" w:hAnsi="Arial" w:cs="Arial"/>
          <w:b/>
          <w:sz w:val="20"/>
        </w:rPr>
        <w:t>participating provider</w:t>
      </w:r>
      <w:r w:rsidR="00366194" w:rsidRPr="009A5D5C">
        <w:rPr>
          <w:rFonts w:ascii="Arial" w:hAnsi="Arial" w:cs="Arial"/>
          <w:sz w:val="20"/>
        </w:rPr>
        <w:t xml:space="preserve"> </w:t>
      </w:r>
      <w:r w:rsidRPr="009A5D5C">
        <w:rPr>
          <w:rFonts w:ascii="Arial" w:hAnsi="Arial" w:cs="Arial"/>
          <w:sz w:val="20"/>
        </w:rPr>
        <w:t xml:space="preserve">will contact the patient within </w:t>
      </w:r>
      <w:r w:rsidR="00881D32">
        <w:rPr>
          <w:rFonts w:ascii="Arial" w:hAnsi="Arial" w:cs="Arial"/>
          <w:sz w:val="20"/>
        </w:rPr>
        <w:t>5</w:t>
      </w:r>
      <w:r w:rsidRPr="009A5D5C">
        <w:rPr>
          <w:rFonts w:ascii="Arial" w:hAnsi="Arial" w:cs="Arial"/>
          <w:sz w:val="20"/>
        </w:rPr>
        <w:t xml:space="preserve"> working days to:</w:t>
      </w:r>
    </w:p>
    <w:p w:rsidR="00A260CB" w:rsidRPr="009A5D5C" w:rsidRDefault="00A260CB" w:rsidP="0090593A">
      <w:pPr>
        <w:spacing w:after="0"/>
        <w:jc w:val="both"/>
        <w:rPr>
          <w:rFonts w:ascii="Arial" w:hAnsi="Arial" w:cs="Arial"/>
          <w:sz w:val="20"/>
        </w:rPr>
      </w:pPr>
    </w:p>
    <w:p w:rsidR="00A260CB" w:rsidRPr="009A5D5C" w:rsidRDefault="00A260CB" w:rsidP="0090593A">
      <w:pPr>
        <w:numPr>
          <w:ilvl w:val="0"/>
          <w:numId w:val="11"/>
        </w:numPr>
        <w:spacing w:after="0"/>
        <w:jc w:val="both"/>
        <w:rPr>
          <w:rFonts w:ascii="Arial" w:hAnsi="Arial" w:cs="Arial"/>
          <w:sz w:val="20"/>
        </w:rPr>
      </w:pPr>
      <w:r w:rsidRPr="009A5D5C">
        <w:rPr>
          <w:rFonts w:ascii="Arial" w:hAnsi="Arial" w:cs="Arial"/>
          <w:sz w:val="20"/>
        </w:rPr>
        <w:t xml:space="preserve">confirm receipt of the referral; and </w:t>
      </w:r>
    </w:p>
    <w:p w:rsidR="00563B2D" w:rsidRDefault="00A260CB" w:rsidP="00563B2D">
      <w:pPr>
        <w:numPr>
          <w:ilvl w:val="0"/>
          <w:numId w:val="11"/>
        </w:numPr>
        <w:spacing w:after="0"/>
        <w:jc w:val="both"/>
        <w:rPr>
          <w:rFonts w:ascii="Arial" w:hAnsi="Arial" w:cs="Arial"/>
          <w:sz w:val="20"/>
        </w:rPr>
      </w:pPr>
      <w:r w:rsidRPr="00563B2D">
        <w:rPr>
          <w:rFonts w:ascii="Arial" w:hAnsi="Arial" w:cs="Arial"/>
          <w:sz w:val="20"/>
        </w:rPr>
        <w:t xml:space="preserve">to </w:t>
      </w:r>
      <w:r w:rsidR="00881D32" w:rsidRPr="00563B2D">
        <w:rPr>
          <w:rFonts w:ascii="Arial" w:hAnsi="Arial" w:cs="Arial"/>
          <w:sz w:val="20"/>
        </w:rPr>
        <w:t>confirm that</w:t>
      </w:r>
      <w:r w:rsidRPr="00563B2D">
        <w:rPr>
          <w:rFonts w:ascii="Arial" w:hAnsi="Arial" w:cs="Arial"/>
          <w:sz w:val="20"/>
        </w:rPr>
        <w:t xml:space="preserve"> a monitoring appointment </w:t>
      </w:r>
      <w:r w:rsidR="00563B2D" w:rsidRPr="00563B2D">
        <w:rPr>
          <w:rFonts w:ascii="Arial" w:hAnsi="Arial" w:cs="Arial"/>
          <w:sz w:val="20"/>
        </w:rPr>
        <w:t>(due in approximately 12-18 months’ time</w:t>
      </w:r>
      <w:r w:rsidR="00563B2D">
        <w:rPr>
          <w:rFonts w:ascii="Arial" w:hAnsi="Arial" w:cs="Arial"/>
          <w:sz w:val="20"/>
        </w:rPr>
        <w:t xml:space="preserve"> </w:t>
      </w:r>
      <w:r w:rsidR="00563B2D" w:rsidRPr="00563B2D">
        <w:rPr>
          <w:rFonts w:ascii="Arial" w:hAnsi="Arial" w:cs="Arial"/>
          <w:sz w:val="20"/>
        </w:rPr>
        <w:t>in line with their recomme</w:t>
      </w:r>
      <w:r w:rsidR="00563B2D">
        <w:rPr>
          <w:rFonts w:ascii="Arial" w:hAnsi="Arial" w:cs="Arial"/>
          <w:sz w:val="20"/>
        </w:rPr>
        <w:t>nded individual monitoring plan)</w:t>
      </w:r>
      <w:r w:rsidR="00563B2D" w:rsidRPr="00563B2D">
        <w:rPr>
          <w:rFonts w:ascii="Arial" w:hAnsi="Arial" w:cs="Arial"/>
          <w:sz w:val="20"/>
        </w:rPr>
        <w:t xml:space="preserve"> will be made in due course</w:t>
      </w:r>
      <w:r w:rsidR="00563B2D">
        <w:rPr>
          <w:rFonts w:ascii="Arial" w:hAnsi="Arial" w:cs="Arial"/>
          <w:sz w:val="20"/>
        </w:rPr>
        <w:t>.</w:t>
      </w:r>
      <w:r w:rsidR="00563B2D" w:rsidRPr="00563B2D">
        <w:rPr>
          <w:rFonts w:ascii="Arial" w:hAnsi="Arial" w:cs="Arial"/>
          <w:sz w:val="20"/>
        </w:rPr>
        <w:t xml:space="preserve"> </w:t>
      </w:r>
    </w:p>
    <w:p w:rsidR="00420A2A" w:rsidRPr="00563B2D" w:rsidRDefault="00420A2A" w:rsidP="00420A2A">
      <w:pPr>
        <w:spacing w:after="0"/>
        <w:ind w:left="1080"/>
        <w:jc w:val="both"/>
        <w:rPr>
          <w:rFonts w:ascii="Arial" w:hAnsi="Arial" w:cs="Arial"/>
          <w:sz w:val="20"/>
        </w:rPr>
      </w:pPr>
    </w:p>
    <w:p w:rsidR="00A260CB" w:rsidRPr="00563B2D" w:rsidRDefault="00A260CB" w:rsidP="0090593A">
      <w:pPr>
        <w:numPr>
          <w:ilvl w:val="0"/>
          <w:numId w:val="16"/>
        </w:numPr>
        <w:spacing w:after="0"/>
        <w:jc w:val="both"/>
        <w:rPr>
          <w:rFonts w:ascii="Arial" w:hAnsi="Arial" w:cs="Arial"/>
          <w:sz w:val="20"/>
        </w:rPr>
      </w:pPr>
      <w:r w:rsidRPr="00563B2D">
        <w:rPr>
          <w:rFonts w:ascii="Arial" w:hAnsi="Arial" w:cs="Arial"/>
          <w:sz w:val="20"/>
        </w:rPr>
        <w:t xml:space="preserve">The </w:t>
      </w:r>
      <w:r w:rsidR="00DF59E9" w:rsidRPr="00563B2D">
        <w:rPr>
          <w:rFonts w:ascii="Arial" w:hAnsi="Arial" w:cs="Arial"/>
          <w:b/>
          <w:sz w:val="20"/>
        </w:rPr>
        <w:t>participating</w:t>
      </w:r>
      <w:r w:rsidRPr="00563B2D">
        <w:rPr>
          <w:rFonts w:ascii="Arial" w:hAnsi="Arial" w:cs="Arial"/>
          <w:b/>
          <w:sz w:val="20"/>
        </w:rPr>
        <w:t xml:space="preserve"> </w:t>
      </w:r>
      <w:r w:rsidR="00366194" w:rsidRPr="00563B2D">
        <w:rPr>
          <w:rFonts w:ascii="Arial" w:hAnsi="Arial" w:cs="Arial"/>
          <w:b/>
          <w:sz w:val="20"/>
        </w:rPr>
        <w:t>provider</w:t>
      </w:r>
      <w:r w:rsidR="00366194" w:rsidRPr="00563B2D">
        <w:rPr>
          <w:rFonts w:ascii="Arial" w:hAnsi="Arial" w:cs="Arial"/>
          <w:sz w:val="20"/>
        </w:rPr>
        <w:t xml:space="preserve"> </w:t>
      </w:r>
      <w:r w:rsidRPr="00563B2D">
        <w:rPr>
          <w:rFonts w:ascii="Arial" w:hAnsi="Arial" w:cs="Arial"/>
          <w:sz w:val="20"/>
        </w:rPr>
        <w:t xml:space="preserve">will undertake </w:t>
      </w:r>
      <w:r w:rsidR="00603776">
        <w:rPr>
          <w:rFonts w:ascii="Arial" w:hAnsi="Arial" w:cs="Arial"/>
          <w:sz w:val="20"/>
        </w:rPr>
        <w:t>a</w:t>
      </w:r>
      <w:r w:rsidRPr="00563B2D">
        <w:rPr>
          <w:rFonts w:ascii="Arial" w:hAnsi="Arial" w:cs="Arial"/>
          <w:sz w:val="20"/>
        </w:rPr>
        <w:t xml:space="preserve"> monitoring appointment</w:t>
      </w:r>
      <w:r w:rsidR="00603776">
        <w:rPr>
          <w:rFonts w:ascii="Arial" w:hAnsi="Arial" w:cs="Arial"/>
          <w:sz w:val="20"/>
        </w:rPr>
        <w:t xml:space="preserve"> within the 12-18 month timeframe</w:t>
      </w:r>
      <w:r w:rsidRPr="00563B2D">
        <w:rPr>
          <w:rFonts w:ascii="Arial" w:hAnsi="Arial" w:cs="Arial"/>
          <w:sz w:val="20"/>
        </w:rPr>
        <w:t xml:space="preserve"> </w:t>
      </w:r>
      <w:r w:rsidR="00881D32" w:rsidRPr="00563B2D">
        <w:rPr>
          <w:rFonts w:ascii="Arial" w:hAnsi="Arial" w:cs="Arial"/>
          <w:sz w:val="20"/>
        </w:rPr>
        <w:t>as dire</w:t>
      </w:r>
      <w:r w:rsidR="00603776">
        <w:rPr>
          <w:rFonts w:ascii="Arial" w:hAnsi="Arial" w:cs="Arial"/>
          <w:sz w:val="20"/>
        </w:rPr>
        <w:t xml:space="preserve">cted by the glaucoma consultant.  </w:t>
      </w:r>
      <w:r w:rsidRPr="00563B2D">
        <w:rPr>
          <w:rFonts w:ascii="Arial" w:hAnsi="Arial" w:cs="Arial"/>
          <w:sz w:val="20"/>
        </w:rPr>
        <w:t>Monitoring tests include:</w:t>
      </w:r>
    </w:p>
    <w:p w:rsidR="00A260CB" w:rsidRPr="00881D32" w:rsidRDefault="00A260CB" w:rsidP="0090593A">
      <w:pPr>
        <w:spacing w:after="0"/>
        <w:jc w:val="both"/>
        <w:rPr>
          <w:rFonts w:ascii="Arial" w:hAnsi="Arial" w:cs="Arial"/>
          <w:sz w:val="20"/>
        </w:rPr>
      </w:pPr>
    </w:p>
    <w:p w:rsidR="00A260CB" w:rsidRPr="00881D32" w:rsidRDefault="00A260CB" w:rsidP="0090593A">
      <w:pPr>
        <w:numPr>
          <w:ilvl w:val="0"/>
          <w:numId w:val="11"/>
        </w:numPr>
        <w:spacing w:after="0"/>
        <w:jc w:val="both"/>
        <w:rPr>
          <w:rFonts w:ascii="Arial" w:hAnsi="Arial" w:cs="Arial"/>
          <w:sz w:val="20"/>
        </w:rPr>
      </w:pPr>
      <w:r w:rsidRPr="00881D32">
        <w:rPr>
          <w:rFonts w:ascii="Arial" w:hAnsi="Arial" w:cs="Arial"/>
          <w:sz w:val="20"/>
        </w:rPr>
        <w:t>Visual acuity (VA)</w:t>
      </w:r>
    </w:p>
    <w:p w:rsidR="00A260CB" w:rsidRPr="00881D32" w:rsidRDefault="00A260CB" w:rsidP="0090593A">
      <w:pPr>
        <w:numPr>
          <w:ilvl w:val="0"/>
          <w:numId w:val="11"/>
        </w:numPr>
        <w:spacing w:after="0"/>
        <w:jc w:val="both"/>
        <w:rPr>
          <w:rFonts w:ascii="Arial" w:hAnsi="Arial" w:cs="Arial"/>
          <w:sz w:val="20"/>
        </w:rPr>
      </w:pPr>
      <w:r w:rsidRPr="00881D32">
        <w:rPr>
          <w:rFonts w:ascii="Arial" w:hAnsi="Arial" w:cs="Arial"/>
          <w:sz w:val="20"/>
        </w:rPr>
        <w:t>Intraocular pressures (IOP)</w:t>
      </w:r>
      <w:r w:rsidR="00881D32" w:rsidRPr="00881D32">
        <w:rPr>
          <w:rFonts w:ascii="Arial" w:hAnsi="Arial" w:cs="Arial"/>
          <w:sz w:val="20"/>
        </w:rPr>
        <w:t xml:space="preserve"> using Goldmann type applanation tonometer</w:t>
      </w:r>
    </w:p>
    <w:p w:rsidR="00A260CB" w:rsidRPr="00881D32" w:rsidRDefault="00881D32" w:rsidP="0090593A">
      <w:pPr>
        <w:numPr>
          <w:ilvl w:val="0"/>
          <w:numId w:val="11"/>
        </w:numPr>
        <w:spacing w:after="0"/>
        <w:jc w:val="both"/>
        <w:rPr>
          <w:rFonts w:ascii="Arial" w:hAnsi="Arial" w:cs="Arial"/>
          <w:sz w:val="20"/>
        </w:rPr>
      </w:pPr>
      <w:r w:rsidRPr="00881D32">
        <w:rPr>
          <w:rFonts w:ascii="Arial" w:hAnsi="Arial" w:cs="Arial"/>
          <w:sz w:val="20"/>
        </w:rPr>
        <w:t xml:space="preserve">Assessment of the health of the optic </w:t>
      </w:r>
      <w:r w:rsidR="006650AB">
        <w:rPr>
          <w:rFonts w:ascii="Arial" w:hAnsi="Arial" w:cs="Arial"/>
          <w:sz w:val="20"/>
        </w:rPr>
        <w:t>nerve head</w:t>
      </w:r>
    </w:p>
    <w:p w:rsidR="00AC0CC3" w:rsidRDefault="00A260CB" w:rsidP="0090593A">
      <w:pPr>
        <w:numPr>
          <w:ilvl w:val="0"/>
          <w:numId w:val="11"/>
        </w:numPr>
        <w:spacing w:after="0"/>
        <w:jc w:val="both"/>
        <w:rPr>
          <w:rFonts w:ascii="Arial" w:hAnsi="Arial" w:cs="Arial"/>
          <w:sz w:val="20"/>
        </w:rPr>
      </w:pPr>
      <w:r w:rsidRPr="00AC0CC3">
        <w:rPr>
          <w:rFonts w:ascii="Arial" w:hAnsi="Arial" w:cs="Arial"/>
          <w:sz w:val="20"/>
        </w:rPr>
        <w:t>Visual Field test results</w:t>
      </w:r>
      <w:r w:rsidR="00AC0CC3" w:rsidRPr="00AC0CC3">
        <w:rPr>
          <w:rFonts w:ascii="Arial" w:hAnsi="Arial" w:cs="Arial"/>
          <w:sz w:val="20"/>
        </w:rPr>
        <w:t xml:space="preserve"> using</w:t>
      </w:r>
      <w:r w:rsidR="00AC0CC3">
        <w:rPr>
          <w:rFonts w:ascii="Arial" w:hAnsi="Arial" w:cs="Arial"/>
          <w:sz w:val="20"/>
        </w:rPr>
        <w:t xml:space="preserve"> the Heidelberg Spectralis OCT machine (the same equipment used by DBTH for a more accurate and reliable comparison)</w:t>
      </w:r>
    </w:p>
    <w:p w:rsidR="00A260CB" w:rsidRPr="00881D32" w:rsidRDefault="00A260CB" w:rsidP="0090593A">
      <w:pPr>
        <w:numPr>
          <w:ilvl w:val="0"/>
          <w:numId w:val="11"/>
        </w:numPr>
        <w:spacing w:after="0"/>
        <w:jc w:val="both"/>
        <w:rPr>
          <w:rFonts w:ascii="Arial" w:hAnsi="Arial" w:cs="Arial"/>
          <w:sz w:val="20"/>
        </w:rPr>
      </w:pPr>
      <w:r w:rsidRPr="00881D32">
        <w:rPr>
          <w:rFonts w:ascii="Arial" w:hAnsi="Arial" w:cs="Arial"/>
          <w:sz w:val="20"/>
        </w:rPr>
        <w:t>Comparison of Disc Photos (if any are available)</w:t>
      </w:r>
    </w:p>
    <w:p w:rsidR="00A260CB" w:rsidRPr="009A5D5C" w:rsidRDefault="00A260CB" w:rsidP="0090593A">
      <w:pPr>
        <w:spacing w:after="0"/>
        <w:jc w:val="both"/>
        <w:rPr>
          <w:rFonts w:ascii="Arial" w:eastAsia="Times New Roman" w:hAnsi="Arial" w:cs="Arial"/>
          <w:color w:val="7030A0"/>
          <w:sz w:val="20"/>
          <w:lang w:val="en-GB" w:eastAsia="en-GB"/>
        </w:rPr>
      </w:pPr>
    </w:p>
    <w:p w:rsidR="00882848" w:rsidRPr="009A5D5C" w:rsidRDefault="00973C27" w:rsidP="0090593A">
      <w:pPr>
        <w:spacing w:after="0"/>
        <w:jc w:val="both"/>
        <w:rPr>
          <w:rFonts w:ascii="Arial" w:hAnsi="Arial" w:cs="Arial"/>
          <w:sz w:val="20"/>
        </w:rPr>
      </w:pPr>
      <w:r w:rsidRPr="009A5D5C">
        <w:rPr>
          <w:rFonts w:ascii="Arial" w:hAnsi="Arial" w:cs="Arial"/>
          <w:sz w:val="20"/>
        </w:rPr>
        <w:tab/>
      </w:r>
      <w:r w:rsidR="00882848" w:rsidRPr="009A5D5C">
        <w:rPr>
          <w:rFonts w:ascii="Arial" w:hAnsi="Arial" w:cs="Arial"/>
          <w:sz w:val="20"/>
        </w:rPr>
        <w:t>The patient is safe to remain in the community whilst:</w:t>
      </w:r>
    </w:p>
    <w:p w:rsidR="00882848" w:rsidRPr="00881D32" w:rsidRDefault="00882848" w:rsidP="0090593A">
      <w:pPr>
        <w:spacing w:after="0"/>
        <w:jc w:val="both"/>
        <w:rPr>
          <w:rFonts w:ascii="Arial" w:hAnsi="Arial" w:cs="Arial"/>
          <w:sz w:val="20"/>
        </w:rPr>
      </w:pPr>
    </w:p>
    <w:p w:rsidR="00882848" w:rsidRPr="00881D32" w:rsidRDefault="00882848" w:rsidP="00882848">
      <w:pPr>
        <w:numPr>
          <w:ilvl w:val="0"/>
          <w:numId w:val="11"/>
        </w:numPr>
        <w:spacing w:after="0"/>
        <w:jc w:val="both"/>
        <w:rPr>
          <w:rFonts w:ascii="Arial" w:hAnsi="Arial" w:cs="Arial"/>
          <w:sz w:val="20"/>
        </w:rPr>
      </w:pPr>
      <w:r w:rsidRPr="00881D32">
        <w:rPr>
          <w:rFonts w:ascii="Arial" w:eastAsia="Times New Roman" w:hAnsi="Arial" w:cs="Arial"/>
          <w:sz w:val="20"/>
          <w:lang w:val="en-GB" w:eastAsia="en-GB"/>
        </w:rPr>
        <w:t xml:space="preserve">There are no </w:t>
      </w:r>
      <w:r w:rsidRPr="00881D32">
        <w:rPr>
          <w:rFonts w:ascii="Arial" w:hAnsi="Arial" w:cs="Arial"/>
          <w:sz w:val="20"/>
        </w:rPr>
        <w:t>changes in the management of the condition</w:t>
      </w:r>
      <w:r w:rsidR="00881D32">
        <w:rPr>
          <w:rFonts w:ascii="Arial" w:hAnsi="Arial" w:cs="Arial"/>
          <w:sz w:val="20"/>
        </w:rPr>
        <w:t>;</w:t>
      </w:r>
    </w:p>
    <w:p w:rsidR="00882848" w:rsidRPr="00881D32" w:rsidRDefault="00882848" w:rsidP="00882848">
      <w:pPr>
        <w:numPr>
          <w:ilvl w:val="0"/>
          <w:numId w:val="11"/>
        </w:numPr>
        <w:spacing w:after="0"/>
        <w:jc w:val="both"/>
        <w:rPr>
          <w:rFonts w:ascii="Arial" w:hAnsi="Arial" w:cs="Arial"/>
          <w:sz w:val="20"/>
        </w:rPr>
      </w:pPr>
      <w:r w:rsidRPr="00881D32">
        <w:rPr>
          <w:rFonts w:ascii="Arial" w:eastAsia="Times New Roman" w:hAnsi="Arial" w:cs="Arial"/>
          <w:sz w:val="20"/>
          <w:lang w:val="en-GB" w:eastAsia="en-GB"/>
        </w:rPr>
        <w:t xml:space="preserve">There are no </w:t>
      </w:r>
      <w:r w:rsidRPr="00881D32">
        <w:rPr>
          <w:rFonts w:ascii="Arial" w:hAnsi="Arial" w:cs="Arial"/>
          <w:sz w:val="20"/>
        </w:rPr>
        <w:t xml:space="preserve">changes in </w:t>
      </w:r>
      <w:r w:rsidR="00881D32">
        <w:rPr>
          <w:rFonts w:ascii="Arial" w:hAnsi="Arial" w:cs="Arial"/>
          <w:sz w:val="20"/>
        </w:rPr>
        <w:t>v</w:t>
      </w:r>
      <w:r w:rsidRPr="00881D32">
        <w:rPr>
          <w:rFonts w:ascii="Arial" w:hAnsi="Arial" w:cs="Arial"/>
          <w:sz w:val="20"/>
        </w:rPr>
        <w:t>isual field</w:t>
      </w:r>
      <w:r w:rsidR="00881D32">
        <w:rPr>
          <w:rFonts w:ascii="Arial" w:hAnsi="Arial" w:cs="Arial"/>
          <w:sz w:val="20"/>
        </w:rPr>
        <w:t>;</w:t>
      </w:r>
    </w:p>
    <w:p w:rsidR="00882848" w:rsidRPr="00881D32" w:rsidRDefault="00882848" w:rsidP="00882848">
      <w:pPr>
        <w:numPr>
          <w:ilvl w:val="0"/>
          <w:numId w:val="11"/>
        </w:numPr>
        <w:spacing w:after="0"/>
        <w:jc w:val="both"/>
        <w:rPr>
          <w:rFonts w:ascii="Arial" w:hAnsi="Arial" w:cs="Arial"/>
          <w:sz w:val="20"/>
        </w:rPr>
      </w:pPr>
      <w:r w:rsidRPr="00881D32">
        <w:rPr>
          <w:rFonts w:ascii="Arial" w:eastAsia="Times New Roman" w:hAnsi="Arial" w:cs="Arial"/>
          <w:sz w:val="20"/>
          <w:lang w:val="en-GB" w:eastAsia="en-GB"/>
        </w:rPr>
        <w:t xml:space="preserve">There are no </w:t>
      </w:r>
      <w:r w:rsidRPr="00881D32">
        <w:rPr>
          <w:rFonts w:ascii="Arial" w:hAnsi="Arial" w:cs="Arial"/>
          <w:sz w:val="20"/>
        </w:rPr>
        <w:t>changes in optic nerve head appearance</w:t>
      </w:r>
      <w:r w:rsidR="00881D32">
        <w:rPr>
          <w:rFonts w:ascii="Arial" w:hAnsi="Arial" w:cs="Arial"/>
          <w:sz w:val="20"/>
        </w:rPr>
        <w:t>;</w:t>
      </w:r>
    </w:p>
    <w:p w:rsidR="00882848" w:rsidRPr="00881D32" w:rsidRDefault="00882848" w:rsidP="00882848">
      <w:pPr>
        <w:numPr>
          <w:ilvl w:val="0"/>
          <w:numId w:val="11"/>
        </w:numPr>
        <w:spacing w:after="0"/>
        <w:jc w:val="both"/>
        <w:rPr>
          <w:rFonts w:ascii="Arial" w:hAnsi="Arial" w:cs="Arial"/>
          <w:sz w:val="20"/>
        </w:rPr>
      </w:pPr>
      <w:r w:rsidRPr="00881D32">
        <w:rPr>
          <w:rFonts w:ascii="Arial" w:hAnsi="Arial" w:cs="Arial"/>
          <w:sz w:val="20"/>
        </w:rPr>
        <w:t>The IOP remains within target</w:t>
      </w:r>
      <w:r w:rsidR="00881D32">
        <w:rPr>
          <w:rFonts w:ascii="Arial" w:hAnsi="Arial" w:cs="Arial"/>
          <w:sz w:val="20"/>
        </w:rPr>
        <w:t>; and</w:t>
      </w:r>
    </w:p>
    <w:p w:rsidR="00882848" w:rsidRPr="009A5D5C" w:rsidRDefault="00882848" w:rsidP="00882848">
      <w:pPr>
        <w:numPr>
          <w:ilvl w:val="0"/>
          <w:numId w:val="11"/>
        </w:numPr>
        <w:spacing w:after="0"/>
        <w:jc w:val="both"/>
        <w:rPr>
          <w:rFonts w:ascii="Arial" w:eastAsia="Times New Roman" w:hAnsi="Arial" w:cs="Arial"/>
          <w:sz w:val="20"/>
          <w:lang w:val="en-GB" w:eastAsia="en-GB"/>
        </w:rPr>
      </w:pPr>
      <w:r w:rsidRPr="00881D32">
        <w:rPr>
          <w:rFonts w:ascii="Arial" w:eastAsia="Times New Roman" w:hAnsi="Arial" w:cs="Arial"/>
          <w:sz w:val="20"/>
          <w:lang w:val="en-GB" w:eastAsia="en-GB"/>
        </w:rPr>
        <w:t xml:space="preserve">There are no </w:t>
      </w:r>
      <w:r w:rsidRPr="00881D32">
        <w:rPr>
          <w:rFonts w:ascii="Arial" w:hAnsi="Arial" w:cs="Arial"/>
          <w:sz w:val="20"/>
        </w:rPr>
        <w:t>new symptoms</w:t>
      </w:r>
      <w:r w:rsidRPr="00881D32">
        <w:rPr>
          <w:rFonts w:ascii="Arial" w:eastAsia="Times New Roman" w:hAnsi="Arial" w:cs="Arial"/>
          <w:sz w:val="20"/>
          <w:lang w:val="en-GB" w:eastAsia="en-GB"/>
        </w:rPr>
        <w:t xml:space="preserve"> attributed to progressive visual </w:t>
      </w:r>
      <w:r w:rsidRPr="009A5D5C">
        <w:rPr>
          <w:rFonts w:ascii="Arial" w:eastAsia="Times New Roman" w:hAnsi="Arial" w:cs="Arial"/>
          <w:sz w:val="20"/>
          <w:lang w:val="en-GB" w:eastAsia="en-GB"/>
        </w:rPr>
        <w:t>field deterioration</w:t>
      </w:r>
    </w:p>
    <w:p w:rsidR="00882848" w:rsidRPr="009A5D5C" w:rsidRDefault="00882848" w:rsidP="0090593A">
      <w:pPr>
        <w:spacing w:after="0"/>
        <w:jc w:val="both"/>
        <w:rPr>
          <w:rFonts w:ascii="Arial" w:hAnsi="Arial" w:cs="Arial"/>
          <w:sz w:val="20"/>
        </w:rPr>
      </w:pPr>
    </w:p>
    <w:p w:rsidR="00A260CB" w:rsidRPr="009A5D5C" w:rsidRDefault="007E3C4D" w:rsidP="00DF59E9">
      <w:pPr>
        <w:spacing w:after="0"/>
        <w:ind w:left="709"/>
        <w:jc w:val="both"/>
        <w:rPr>
          <w:rFonts w:ascii="Arial" w:eastAsia="Times New Roman" w:hAnsi="Arial" w:cs="Arial"/>
          <w:sz w:val="20"/>
          <w:lang w:val="en-GB" w:eastAsia="en-GB"/>
        </w:rPr>
      </w:pPr>
      <w:r w:rsidRPr="009A5D5C">
        <w:rPr>
          <w:rFonts w:ascii="Arial" w:hAnsi="Arial" w:cs="Arial"/>
          <w:sz w:val="20"/>
        </w:rPr>
        <w:t>Otherwise t</w:t>
      </w:r>
      <w:r w:rsidR="00A260CB" w:rsidRPr="009A5D5C">
        <w:rPr>
          <w:rFonts w:ascii="Arial" w:hAnsi="Arial" w:cs="Arial"/>
          <w:sz w:val="20"/>
        </w:rPr>
        <w:t xml:space="preserve">he </w:t>
      </w:r>
      <w:r w:rsidR="00DF59E9">
        <w:rPr>
          <w:rFonts w:ascii="Arial" w:hAnsi="Arial" w:cs="Arial"/>
          <w:b/>
          <w:sz w:val="20"/>
        </w:rPr>
        <w:t xml:space="preserve">participating </w:t>
      </w:r>
      <w:r w:rsidR="00A260CB" w:rsidRPr="009A5D5C">
        <w:rPr>
          <w:rFonts w:ascii="Arial" w:hAnsi="Arial" w:cs="Arial"/>
          <w:b/>
          <w:sz w:val="20"/>
        </w:rPr>
        <w:t>optometrist</w:t>
      </w:r>
      <w:r w:rsidR="00A260CB" w:rsidRPr="009A5D5C">
        <w:rPr>
          <w:rFonts w:ascii="Arial" w:hAnsi="Arial" w:cs="Arial"/>
          <w:sz w:val="20"/>
        </w:rPr>
        <w:t xml:space="preserve"> must refer the patient back to </w:t>
      </w:r>
      <w:r w:rsidR="00771B20">
        <w:rPr>
          <w:rFonts w:ascii="Arial" w:hAnsi="Arial" w:cs="Arial"/>
          <w:sz w:val="20"/>
        </w:rPr>
        <w:t>Secondary Care</w:t>
      </w:r>
      <w:r w:rsidR="00A260CB" w:rsidRPr="009A5D5C">
        <w:rPr>
          <w:rFonts w:ascii="Arial" w:hAnsi="Arial" w:cs="Arial"/>
          <w:sz w:val="20"/>
        </w:rPr>
        <w:t>.</w:t>
      </w:r>
      <w:r w:rsidRPr="009A5D5C">
        <w:rPr>
          <w:rFonts w:ascii="Arial" w:hAnsi="Arial" w:cs="Arial"/>
          <w:sz w:val="20"/>
        </w:rPr>
        <w:t xml:space="preserve">  T</w:t>
      </w:r>
      <w:r w:rsidRPr="009A5D5C">
        <w:rPr>
          <w:rFonts w:ascii="Arial" w:eastAsia="Times New Roman" w:hAnsi="Arial" w:cs="Arial"/>
          <w:sz w:val="20"/>
          <w:lang w:val="en-GB" w:eastAsia="en-GB"/>
        </w:rPr>
        <w:t xml:space="preserve">he </w:t>
      </w:r>
      <w:r w:rsidR="00881D32">
        <w:rPr>
          <w:rFonts w:ascii="Arial" w:hAnsi="Arial" w:cs="Arial"/>
          <w:b/>
          <w:sz w:val="20"/>
        </w:rPr>
        <w:t>participating</w:t>
      </w:r>
      <w:r w:rsidRPr="009A5D5C">
        <w:rPr>
          <w:rFonts w:ascii="Arial" w:hAnsi="Arial" w:cs="Arial"/>
          <w:b/>
          <w:sz w:val="20"/>
        </w:rPr>
        <w:t xml:space="preserve"> optometrist</w:t>
      </w:r>
      <w:r w:rsidRPr="009A5D5C">
        <w:rPr>
          <w:rFonts w:ascii="Arial" w:hAnsi="Arial" w:cs="Arial"/>
          <w:sz w:val="20"/>
        </w:rPr>
        <w:t xml:space="preserve"> </w:t>
      </w:r>
      <w:r w:rsidRPr="009A5D5C">
        <w:rPr>
          <w:rFonts w:ascii="Arial" w:eastAsia="Times New Roman" w:hAnsi="Arial" w:cs="Arial"/>
          <w:sz w:val="20"/>
          <w:lang w:val="en-GB" w:eastAsia="en-GB"/>
        </w:rPr>
        <w:t xml:space="preserve">will collate all community clinical findings, full demographic details and ensure the patient understands they have a choice of </w:t>
      </w:r>
      <w:r w:rsidR="00771B20">
        <w:rPr>
          <w:rFonts w:ascii="Arial" w:eastAsia="Times New Roman" w:hAnsi="Arial" w:cs="Arial"/>
          <w:sz w:val="20"/>
          <w:lang w:val="en-GB" w:eastAsia="en-GB"/>
        </w:rPr>
        <w:t>Secondary Care</w:t>
      </w:r>
      <w:r w:rsidRPr="009A5D5C">
        <w:rPr>
          <w:rFonts w:ascii="Arial" w:eastAsia="Times New Roman" w:hAnsi="Arial" w:cs="Arial"/>
          <w:sz w:val="20"/>
          <w:lang w:val="en-GB" w:eastAsia="en-GB"/>
        </w:rPr>
        <w:t xml:space="preserve"> provider that they can be referred back to.</w:t>
      </w:r>
    </w:p>
    <w:p w:rsidR="007E3C4D" w:rsidRPr="009A5D5C" w:rsidRDefault="007E3C4D" w:rsidP="007E3C4D">
      <w:pPr>
        <w:tabs>
          <w:tab w:val="num" w:pos="2874"/>
        </w:tabs>
        <w:spacing w:after="0"/>
        <w:jc w:val="both"/>
        <w:outlineLvl w:val="2"/>
        <w:rPr>
          <w:rFonts w:ascii="Arial" w:eastAsia="Times New Roman" w:hAnsi="Arial" w:cs="Arial"/>
          <w:sz w:val="20"/>
          <w:lang w:val="en-GB" w:eastAsia="en-GB"/>
        </w:rPr>
      </w:pPr>
    </w:p>
    <w:p w:rsidR="007E3C4D" w:rsidRPr="009A5D5C" w:rsidRDefault="007E3C4D" w:rsidP="007E3C4D">
      <w:pPr>
        <w:spacing w:after="0"/>
        <w:ind w:left="720"/>
        <w:jc w:val="both"/>
        <w:outlineLvl w:val="2"/>
        <w:rPr>
          <w:rFonts w:ascii="Arial" w:eastAsia="Times New Roman" w:hAnsi="Arial" w:cs="Arial"/>
          <w:bCs/>
          <w:sz w:val="20"/>
          <w:lang w:val="en-GB" w:eastAsia="en-US"/>
        </w:rPr>
      </w:pPr>
      <w:r w:rsidRPr="009A5D5C">
        <w:rPr>
          <w:rFonts w:ascii="Arial" w:eastAsia="Times New Roman" w:hAnsi="Arial" w:cs="Arial"/>
          <w:bCs/>
          <w:sz w:val="20"/>
          <w:lang w:val="en-GB" w:eastAsia="en-US"/>
        </w:rPr>
        <w:t>For urgent cases, DBTH will provide ongoing telephone support for community providers via the eye clinic during office hours.  For out-of-hours and weekends via the on-call Middle Grade Clinician, access is via the DBTH Switchboard on 01302 566666.</w:t>
      </w:r>
    </w:p>
    <w:p w:rsidR="007E3C4D" w:rsidRPr="009A5D5C" w:rsidRDefault="007E3C4D" w:rsidP="00882848">
      <w:pPr>
        <w:spacing w:after="0"/>
        <w:jc w:val="both"/>
        <w:rPr>
          <w:rFonts w:ascii="Arial" w:hAnsi="Arial" w:cs="Arial"/>
          <w:sz w:val="20"/>
        </w:rPr>
      </w:pPr>
    </w:p>
    <w:p w:rsidR="00973C27" w:rsidRDefault="00A260CB" w:rsidP="00881D32">
      <w:pPr>
        <w:pStyle w:val="ListParagraph"/>
        <w:numPr>
          <w:ilvl w:val="0"/>
          <w:numId w:val="16"/>
        </w:numPr>
        <w:spacing w:after="0"/>
        <w:jc w:val="both"/>
        <w:rPr>
          <w:rFonts w:ascii="Arial" w:hAnsi="Arial" w:cs="Arial"/>
          <w:sz w:val="20"/>
        </w:rPr>
      </w:pPr>
      <w:r w:rsidRPr="009A5D5C">
        <w:rPr>
          <w:rFonts w:ascii="Arial" w:hAnsi="Arial" w:cs="Arial"/>
          <w:sz w:val="20"/>
        </w:rPr>
        <w:t xml:space="preserve">In any case, after the patient has been in the community for two years and their </w:t>
      </w:r>
      <w:r w:rsidR="00973C27" w:rsidRPr="009A5D5C">
        <w:rPr>
          <w:rFonts w:ascii="Arial" w:eastAsia="Times New Roman" w:hAnsi="Arial" w:cs="Arial"/>
          <w:sz w:val="20"/>
          <w:lang w:val="en-GB" w:eastAsia="en-GB"/>
        </w:rPr>
        <w:t xml:space="preserve">Hospital Eye Service review date is due, </w:t>
      </w:r>
      <w:r w:rsidR="00973C27" w:rsidRPr="009A5D5C">
        <w:rPr>
          <w:rFonts w:ascii="Arial" w:hAnsi="Arial" w:cs="Arial"/>
          <w:sz w:val="20"/>
        </w:rPr>
        <w:t xml:space="preserve">patients are to be </w:t>
      </w:r>
      <w:r w:rsidR="00973C27" w:rsidRPr="00771B20">
        <w:rPr>
          <w:rFonts w:ascii="Arial" w:hAnsi="Arial" w:cs="Arial"/>
          <w:sz w:val="20"/>
        </w:rPr>
        <w:t>referred</w:t>
      </w:r>
      <w:r w:rsidR="006D0A28">
        <w:rPr>
          <w:rFonts w:ascii="Arial" w:hAnsi="Arial" w:cs="Arial"/>
          <w:b/>
          <w:sz w:val="20"/>
        </w:rPr>
        <w:t xml:space="preserve"> </w:t>
      </w:r>
      <w:r w:rsidR="006D0A28" w:rsidRPr="006D0A28">
        <w:rPr>
          <w:rFonts w:ascii="Arial" w:hAnsi="Arial" w:cs="Arial"/>
          <w:sz w:val="20"/>
        </w:rPr>
        <w:t>by</w:t>
      </w:r>
      <w:r w:rsidR="006D0A28">
        <w:rPr>
          <w:rFonts w:ascii="Arial" w:hAnsi="Arial" w:cs="Arial"/>
          <w:b/>
          <w:sz w:val="20"/>
        </w:rPr>
        <w:t xml:space="preserve"> </w:t>
      </w:r>
      <w:r w:rsidR="006D0A28">
        <w:rPr>
          <w:rFonts w:ascii="Arial" w:hAnsi="Arial" w:cs="Arial"/>
          <w:sz w:val="20"/>
        </w:rPr>
        <w:t xml:space="preserve">the </w:t>
      </w:r>
      <w:r w:rsidR="006D0A28">
        <w:rPr>
          <w:rFonts w:ascii="Arial" w:hAnsi="Arial" w:cs="Arial"/>
          <w:b/>
          <w:sz w:val="20"/>
        </w:rPr>
        <w:t xml:space="preserve">participating </w:t>
      </w:r>
      <w:r w:rsidR="006D0A28" w:rsidRPr="009A5D5C">
        <w:rPr>
          <w:rFonts w:ascii="Arial" w:hAnsi="Arial" w:cs="Arial"/>
          <w:b/>
          <w:sz w:val="20"/>
        </w:rPr>
        <w:t>optometrist</w:t>
      </w:r>
      <w:r w:rsidR="00973C27" w:rsidRPr="009A5D5C">
        <w:rPr>
          <w:rFonts w:ascii="Arial" w:hAnsi="Arial" w:cs="Arial"/>
          <w:b/>
          <w:sz w:val="20"/>
        </w:rPr>
        <w:t xml:space="preserve"> back to </w:t>
      </w:r>
      <w:r w:rsidR="00771B20">
        <w:rPr>
          <w:rFonts w:ascii="Arial" w:hAnsi="Arial" w:cs="Arial"/>
          <w:b/>
          <w:sz w:val="20"/>
        </w:rPr>
        <w:t>Secondary Care</w:t>
      </w:r>
      <w:r w:rsidR="00973C27" w:rsidRPr="009A5D5C">
        <w:rPr>
          <w:rFonts w:ascii="Arial" w:hAnsi="Arial" w:cs="Arial"/>
          <w:b/>
          <w:sz w:val="20"/>
        </w:rPr>
        <w:t xml:space="preserve"> </w:t>
      </w:r>
      <w:r w:rsidR="00973C27" w:rsidRPr="009A5D5C">
        <w:rPr>
          <w:rFonts w:ascii="Arial" w:hAnsi="Arial" w:cs="Arial"/>
          <w:sz w:val="20"/>
        </w:rPr>
        <w:t xml:space="preserve">(as new patients) to undergo a full HES assessment.  </w:t>
      </w:r>
    </w:p>
    <w:p w:rsidR="00881D32" w:rsidRPr="009A5D5C" w:rsidRDefault="00881D32" w:rsidP="00881D32">
      <w:pPr>
        <w:pStyle w:val="ListParagraph"/>
        <w:spacing w:after="0"/>
        <w:jc w:val="both"/>
        <w:rPr>
          <w:rFonts w:ascii="Arial" w:hAnsi="Arial" w:cs="Arial"/>
          <w:sz w:val="20"/>
        </w:rPr>
      </w:pPr>
    </w:p>
    <w:p w:rsidR="00973C27" w:rsidRDefault="00881D32" w:rsidP="0090593A">
      <w:pPr>
        <w:spacing w:after="0"/>
        <w:ind w:left="720"/>
        <w:jc w:val="both"/>
        <w:rPr>
          <w:rFonts w:ascii="Arial" w:hAnsi="Arial" w:cs="Arial"/>
          <w:sz w:val="20"/>
        </w:rPr>
      </w:pPr>
      <w:r>
        <w:rPr>
          <w:rFonts w:ascii="Arial" w:hAnsi="Arial" w:cs="Arial"/>
          <w:sz w:val="20"/>
        </w:rPr>
        <w:t>The</w:t>
      </w:r>
      <w:r w:rsidR="00973C27" w:rsidRPr="009A5D5C">
        <w:rPr>
          <w:rFonts w:ascii="Arial" w:hAnsi="Arial" w:cs="Arial"/>
          <w:sz w:val="20"/>
        </w:rPr>
        <w:t xml:space="preserve"> data </w:t>
      </w:r>
      <w:r>
        <w:rPr>
          <w:rFonts w:ascii="Arial" w:hAnsi="Arial" w:cs="Arial"/>
          <w:sz w:val="20"/>
        </w:rPr>
        <w:t xml:space="preserve">collected </w:t>
      </w:r>
      <w:r w:rsidR="00973C27" w:rsidRPr="009A5D5C">
        <w:rPr>
          <w:rFonts w:ascii="Arial" w:hAnsi="Arial" w:cs="Arial"/>
          <w:sz w:val="20"/>
        </w:rPr>
        <w:t xml:space="preserve">will be compared to all previous assessments undertaken over a full 4 year period.  This will include those assessments undertaken by the </w:t>
      </w:r>
      <w:r w:rsidR="00DF59E9">
        <w:rPr>
          <w:rFonts w:ascii="Arial" w:hAnsi="Arial" w:cs="Arial"/>
          <w:b/>
          <w:sz w:val="20"/>
        </w:rPr>
        <w:t xml:space="preserve">participating </w:t>
      </w:r>
      <w:r w:rsidR="00973C27" w:rsidRPr="009A5D5C">
        <w:rPr>
          <w:rFonts w:ascii="Arial" w:hAnsi="Arial" w:cs="Arial"/>
          <w:b/>
          <w:sz w:val="20"/>
        </w:rPr>
        <w:t>optometrist</w:t>
      </w:r>
      <w:r w:rsidR="00973C27" w:rsidRPr="009A5D5C">
        <w:rPr>
          <w:rFonts w:ascii="Arial" w:hAnsi="Arial" w:cs="Arial"/>
          <w:sz w:val="20"/>
        </w:rPr>
        <w:t xml:space="preserve"> in the community in the previous 2 years, plus those made at the point of initial discharge and any previous to that undertaken by </w:t>
      </w:r>
      <w:r w:rsidR="00771B20">
        <w:rPr>
          <w:rFonts w:ascii="Arial" w:hAnsi="Arial" w:cs="Arial"/>
          <w:sz w:val="20"/>
        </w:rPr>
        <w:t>Secondary Care</w:t>
      </w:r>
      <w:r w:rsidR="00973C27" w:rsidRPr="009A5D5C">
        <w:rPr>
          <w:rFonts w:ascii="Arial" w:hAnsi="Arial" w:cs="Arial"/>
          <w:sz w:val="20"/>
        </w:rPr>
        <w:t xml:space="preserve"> that occurred within the 4 year period.</w:t>
      </w:r>
    </w:p>
    <w:p w:rsidR="00A260CB" w:rsidRPr="009A5D5C" w:rsidRDefault="00A260CB" w:rsidP="0090593A">
      <w:pPr>
        <w:spacing w:after="0"/>
        <w:jc w:val="both"/>
        <w:rPr>
          <w:rFonts w:ascii="Arial" w:hAnsi="Arial" w:cs="Arial"/>
          <w:sz w:val="20"/>
        </w:rPr>
      </w:pPr>
    </w:p>
    <w:p w:rsidR="00A53B29" w:rsidRPr="009A5D5C" w:rsidRDefault="00A53B29" w:rsidP="00A53B29">
      <w:pPr>
        <w:spacing w:after="0"/>
        <w:jc w:val="both"/>
        <w:rPr>
          <w:rFonts w:ascii="Arial" w:eastAsia="Times New Roman" w:hAnsi="Arial" w:cs="Arial"/>
          <w:b/>
          <w:sz w:val="20"/>
          <w:lang w:val="en-GB" w:eastAsia="en-GB"/>
        </w:rPr>
      </w:pPr>
    </w:p>
    <w:p w:rsidR="00A53B29" w:rsidRPr="009A5D5C" w:rsidRDefault="00A53B29" w:rsidP="00A53B29">
      <w:pPr>
        <w:spacing w:after="0"/>
        <w:jc w:val="both"/>
        <w:rPr>
          <w:rFonts w:ascii="Arial" w:eastAsia="Times New Roman" w:hAnsi="Arial" w:cs="Arial"/>
          <w:b/>
          <w:sz w:val="20"/>
          <w:lang w:val="en-GB" w:eastAsia="en-GB"/>
        </w:rPr>
      </w:pPr>
      <w:r w:rsidRPr="009A5D5C">
        <w:rPr>
          <w:rFonts w:ascii="Arial" w:eastAsia="Times New Roman" w:hAnsi="Arial" w:cs="Arial"/>
          <w:b/>
          <w:sz w:val="20"/>
          <w:lang w:val="en-GB" w:eastAsia="en-GB"/>
        </w:rPr>
        <w:t>Exceptions from the Scheme</w:t>
      </w:r>
    </w:p>
    <w:p w:rsidR="00A53B29" w:rsidRPr="009A5D5C" w:rsidRDefault="00A53B29" w:rsidP="00A53B29">
      <w:pPr>
        <w:spacing w:after="0"/>
        <w:jc w:val="both"/>
        <w:rPr>
          <w:rFonts w:ascii="Arial" w:eastAsia="Times New Roman" w:hAnsi="Arial" w:cs="Arial"/>
          <w:b/>
          <w:sz w:val="20"/>
          <w:lang w:val="en-GB" w:eastAsia="en-GB"/>
        </w:rPr>
      </w:pPr>
    </w:p>
    <w:p w:rsidR="00A53B29" w:rsidRPr="009A5D5C" w:rsidRDefault="00A53B29" w:rsidP="00A53B29">
      <w:pPr>
        <w:spacing w:after="0"/>
        <w:jc w:val="both"/>
        <w:rPr>
          <w:rFonts w:ascii="Arial" w:eastAsia="Times New Roman" w:hAnsi="Arial" w:cs="Arial"/>
          <w:sz w:val="20"/>
          <w:lang w:val="en-GB" w:eastAsia="en-GB"/>
        </w:rPr>
      </w:pPr>
      <w:r w:rsidRPr="009A5D5C">
        <w:rPr>
          <w:rFonts w:ascii="Arial" w:eastAsia="Times New Roman" w:hAnsi="Arial" w:cs="Arial"/>
          <w:sz w:val="20"/>
          <w:lang w:val="en-GB" w:eastAsia="en-GB"/>
        </w:rPr>
        <w:t>Acute glaucoma (angle-closure or rubeotic) is a referral emergency and should be referred via the accepted urgent referral route.</w:t>
      </w:r>
    </w:p>
    <w:p w:rsidR="00A53B29" w:rsidRPr="009A5D5C" w:rsidRDefault="00A53B29" w:rsidP="0090593A">
      <w:pPr>
        <w:spacing w:after="0"/>
        <w:jc w:val="both"/>
        <w:rPr>
          <w:rFonts w:ascii="Arial" w:hAnsi="Arial" w:cs="Arial"/>
          <w:sz w:val="20"/>
        </w:rPr>
      </w:pPr>
    </w:p>
    <w:p w:rsidR="007E3C4D" w:rsidRPr="009A5D5C" w:rsidRDefault="007E3C4D" w:rsidP="00882848">
      <w:pPr>
        <w:spacing w:after="0"/>
        <w:jc w:val="both"/>
        <w:rPr>
          <w:rFonts w:ascii="Arial" w:hAnsi="Arial" w:cs="Arial"/>
          <w:b/>
          <w:sz w:val="20"/>
        </w:rPr>
      </w:pPr>
    </w:p>
    <w:p w:rsidR="00A53B29" w:rsidRPr="009A5D5C" w:rsidRDefault="00A53B29" w:rsidP="0090593A">
      <w:pPr>
        <w:spacing w:after="0"/>
        <w:jc w:val="both"/>
        <w:rPr>
          <w:rFonts w:ascii="Arial" w:eastAsia="Times New Roman" w:hAnsi="Arial" w:cs="Arial"/>
          <w:color w:val="FF0000"/>
          <w:sz w:val="20"/>
          <w:lang w:val="en-GB" w:eastAsia="en-GB"/>
        </w:rPr>
      </w:pPr>
    </w:p>
    <w:p w:rsidR="00281AA8" w:rsidRPr="009A5D5C" w:rsidRDefault="00281AA8" w:rsidP="0090593A">
      <w:pPr>
        <w:spacing w:after="0"/>
        <w:jc w:val="both"/>
        <w:rPr>
          <w:rFonts w:ascii="Arial" w:eastAsia="Times New Roman" w:hAnsi="Arial" w:cs="Arial"/>
          <w:color w:val="FF0000"/>
          <w:sz w:val="20"/>
          <w:lang w:val="en-GB" w:eastAsia="en-GB"/>
        </w:rPr>
      </w:pPr>
    </w:p>
    <w:p w:rsidR="00E224B7" w:rsidRPr="009A5D5C" w:rsidRDefault="00E224B7" w:rsidP="0090593A">
      <w:pPr>
        <w:spacing w:after="0"/>
        <w:jc w:val="both"/>
        <w:rPr>
          <w:rFonts w:ascii="Arial" w:eastAsia="Times New Roman" w:hAnsi="Arial" w:cs="Arial"/>
          <w:b/>
          <w:color w:val="7030A0"/>
          <w:sz w:val="20"/>
          <w:lang w:val="en-GB" w:eastAsia="en-GB"/>
        </w:rPr>
      </w:pPr>
      <w:r w:rsidRPr="009A5D5C">
        <w:rPr>
          <w:rFonts w:ascii="Arial" w:eastAsia="Times New Roman" w:hAnsi="Arial" w:cs="Arial"/>
          <w:b/>
          <w:color w:val="7030A0"/>
          <w:sz w:val="20"/>
          <w:lang w:val="en-GB" w:eastAsia="en-GB"/>
        </w:rPr>
        <w:br w:type="page"/>
      </w:r>
    </w:p>
    <w:p w:rsidR="00CC1928" w:rsidRPr="009A5D5C" w:rsidRDefault="00CC1928" w:rsidP="0090593A">
      <w:pPr>
        <w:spacing w:after="0"/>
        <w:jc w:val="both"/>
        <w:rPr>
          <w:rFonts w:ascii="Arial" w:hAnsi="Arial" w:cs="Arial"/>
          <w:b/>
          <w:sz w:val="20"/>
          <w:u w:val="single"/>
        </w:rPr>
      </w:pPr>
      <w:r w:rsidRPr="009A5D5C">
        <w:rPr>
          <w:rFonts w:ascii="Arial" w:hAnsi="Arial" w:cs="Arial"/>
          <w:b/>
          <w:sz w:val="20"/>
          <w:u w:val="single"/>
        </w:rPr>
        <w:lastRenderedPageBreak/>
        <w:t>Service Pathway for Community Monitoring of Stable Glaucoma</w:t>
      </w:r>
    </w:p>
    <w:p w:rsidR="009E7F77" w:rsidRDefault="009E7F77" w:rsidP="0090593A">
      <w:pPr>
        <w:spacing w:after="0"/>
        <w:jc w:val="both"/>
        <w:rPr>
          <w:rFonts w:ascii="Arial" w:hAnsi="Arial" w:cs="Arial"/>
          <w:sz w:val="20"/>
        </w:rPr>
      </w:pPr>
    </w:p>
    <w:p w:rsidR="00CC1928" w:rsidRPr="009A5D5C" w:rsidRDefault="006650AB" w:rsidP="0090593A">
      <w:pPr>
        <w:spacing w:after="0"/>
        <w:jc w:val="both"/>
        <w:rPr>
          <w:rFonts w:ascii="Arial" w:hAnsi="Arial" w:cs="Arial"/>
          <w:sz w:val="20"/>
        </w:rPr>
      </w:pPr>
      <w:r>
        <w:rPr>
          <w:rFonts w:ascii="Arial" w:hAnsi="Arial" w:cs="Arial"/>
          <w:noProof/>
          <w:sz w:val="20"/>
          <w:lang w:val="en-GB" w:eastAsia="en-GB"/>
        </w:rPr>
        <mc:AlternateContent>
          <mc:Choice Requires="wpg">
            <w:drawing>
              <wp:anchor distT="0" distB="0" distL="114300" distR="114300" simplePos="0" relativeHeight="251668480" behindDoc="0" locked="0" layoutInCell="1" allowOverlap="1" wp14:anchorId="108B3668" wp14:editId="47B2E35C">
                <wp:simplePos x="0" y="0"/>
                <wp:positionH relativeFrom="column">
                  <wp:posOffset>-236220</wp:posOffset>
                </wp:positionH>
                <wp:positionV relativeFrom="paragraph">
                  <wp:posOffset>62230</wp:posOffset>
                </wp:positionV>
                <wp:extent cx="6324600" cy="8549640"/>
                <wp:effectExtent l="0" t="0" r="19050" b="22860"/>
                <wp:wrapNone/>
                <wp:docPr id="5" name="Group 5"/>
                <wp:cNvGraphicFramePr/>
                <a:graphic xmlns:a="http://schemas.openxmlformats.org/drawingml/2006/main">
                  <a:graphicData uri="http://schemas.microsoft.com/office/word/2010/wordprocessingGroup">
                    <wpg:wgp>
                      <wpg:cNvGrpSpPr/>
                      <wpg:grpSpPr>
                        <a:xfrm>
                          <a:off x="0" y="0"/>
                          <a:ext cx="6324600" cy="8549640"/>
                          <a:chOff x="347133" y="0"/>
                          <a:chExt cx="6324600" cy="8549649"/>
                        </a:xfrm>
                      </wpg:grpSpPr>
                      <wpg:grpSp>
                        <wpg:cNvPr id="4" name="Group 4"/>
                        <wpg:cNvGrpSpPr/>
                        <wpg:grpSpPr>
                          <a:xfrm>
                            <a:off x="347133" y="0"/>
                            <a:ext cx="6324600" cy="6933866"/>
                            <a:chOff x="301413" y="0"/>
                            <a:chExt cx="6324600" cy="6933866"/>
                          </a:xfrm>
                        </wpg:grpSpPr>
                        <wps:wsp>
                          <wps:cNvPr id="23" name="Text Box 23"/>
                          <wps:cNvSpPr txBox="1">
                            <a:spLocks noChangeArrowheads="1"/>
                          </wps:cNvSpPr>
                          <wps:spPr bwMode="auto">
                            <a:xfrm>
                              <a:off x="301413" y="0"/>
                              <a:ext cx="6324600" cy="1593850"/>
                            </a:xfrm>
                            <a:prstGeom prst="rect">
                              <a:avLst/>
                            </a:prstGeom>
                            <a:solidFill>
                              <a:srgbClr val="FFFFFF"/>
                            </a:solidFill>
                            <a:ln w="3175">
                              <a:solidFill>
                                <a:srgbClr val="000000"/>
                              </a:solidFill>
                              <a:miter lim="800000"/>
                              <a:headEnd/>
                              <a:tailEnd/>
                            </a:ln>
                          </wps:spPr>
                          <wps:txbx>
                            <w:txbxContent>
                              <w:p w:rsidR="0096502C" w:rsidRPr="00CC1928" w:rsidRDefault="0096502C" w:rsidP="00CC1928">
                                <w:pPr>
                                  <w:jc w:val="both"/>
                                  <w:rPr>
                                    <w:rFonts w:ascii="Arial" w:hAnsi="Arial" w:cs="Arial"/>
                                    <w:sz w:val="20"/>
                                  </w:rPr>
                                </w:pPr>
                                <w:r w:rsidRPr="00CC1928">
                                  <w:rPr>
                                    <w:rFonts w:ascii="Arial" w:hAnsi="Arial" w:cs="Arial"/>
                                    <w:b/>
                                    <w:sz w:val="20"/>
                                  </w:rPr>
                                  <w:t xml:space="preserve">DBTH NHS FT </w:t>
                                </w:r>
                                <w:r w:rsidRPr="00CC1928">
                                  <w:rPr>
                                    <w:rFonts w:ascii="Arial" w:hAnsi="Arial" w:cs="Arial"/>
                                    <w:sz w:val="20"/>
                                  </w:rPr>
                                  <w:t xml:space="preserve">deems that their patient fulfils the following criteria: </w:t>
                                </w:r>
                              </w:p>
                              <w:p w:rsidR="0096502C" w:rsidRPr="00CC1928" w:rsidRDefault="0096502C" w:rsidP="00CC1928">
                                <w:pPr>
                                  <w:numPr>
                                    <w:ilvl w:val="0"/>
                                    <w:numId w:val="11"/>
                                  </w:numPr>
                                  <w:spacing w:after="0"/>
                                  <w:jc w:val="both"/>
                                  <w:rPr>
                                    <w:rFonts w:ascii="Arial" w:hAnsi="Arial" w:cs="Arial"/>
                                    <w:sz w:val="20"/>
                                  </w:rPr>
                                </w:pPr>
                                <w:r w:rsidRPr="00CC1928">
                                  <w:rPr>
                                    <w:rFonts w:ascii="Arial" w:hAnsi="Arial" w:cs="Arial"/>
                                    <w:sz w:val="20"/>
                                  </w:rPr>
                                  <w:t>Is stable on treatment; and</w:t>
                                </w:r>
                              </w:p>
                              <w:p w:rsidR="0096502C" w:rsidRPr="00CC1928" w:rsidRDefault="0096502C" w:rsidP="00CC1928">
                                <w:pPr>
                                  <w:numPr>
                                    <w:ilvl w:val="0"/>
                                    <w:numId w:val="11"/>
                                  </w:numPr>
                                  <w:spacing w:after="0"/>
                                  <w:jc w:val="both"/>
                                  <w:rPr>
                                    <w:rFonts w:ascii="Arial" w:hAnsi="Arial" w:cs="Arial"/>
                                    <w:sz w:val="20"/>
                                  </w:rPr>
                                </w:pPr>
                                <w:r w:rsidRPr="00CC1928">
                                  <w:rPr>
                                    <w:rFonts w:ascii="Arial" w:hAnsi="Arial" w:cs="Arial"/>
                                    <w:sz w:val="20"/>
                                  </w:rPr>
                                  <w:t xml:space="preserve">Does not show progression; and </w:t>
                                </w:r>
                              </w:p>
                              <w:p w:rsidR="0096502C" w:rsidRPr="00CC1928" w:rsidRDefault="0096502C" w:rsidP="006650AB">
                                <w:pPr>
                                  <w:numPr>
                                    <w:ilvl w:val="0"/>
                                    <w:numId w:val="11"/>
                                  </w:numPr>
                                  <w:spacing w:after="0"/>
                                  <w:rPr>
                                    <w:rFonts w:ascii="Arial" w:hAnsi="Arial" w:cs="Arial"/>
                                    <w:sz w:val="20"/>
                                  </w:rPr>
                                </w:pPr>
                                <w:r w:rsidRPr="00CC1928">
                                  <w:rPr>
                                    <w:rFonts w:ascii="Arial" w:hAnsi="Arial" w:cs="Arial"/>
                                    <w:sz w:val="20"/>
                                  </w:rPr>
                                  <w:t>Is at low clinical risk</w:t>
                                </w:r>
                              </w:p>
                              <w:p w:rsidR="0096502C" w:rsidRPr="00CC1928" w:rsidRDefault="0096502C" w:rsidP="00CC1928">
                                <w:pPr>
                                  <w:spacing w:after="0"/>
                                  <w:jc w:val="both"/>
                                  <w:rPr>
                                    <w:rFonts w:ascii="Arial" w:hAnsi="Arial" w:cs="Arial"/>
                                    <w:sz w:val="20"/>
                                  </w:rPr>
                                </w:pPr>
                              </w:p>
                              <w:p w:rsidR="0096502C" w:rsidRPr="00CC1928" w:rsidRDefault="0096502C" w:rsidP="00CC1928">
                                <w:pPr>
                                  <w:jc w:val="both"/>
                                  <w:rPr>
                                    <w:rFonts w:ascii="Arial" w:hAnsi="Arial" w:cs="Arial"/>
                                    <w:sz w:val="20"/>
                                  </w:rPr>
                                </w:pPr>
                                <w:r w:rsidRPr="00CC1928">
                                  <w:rPr>
                                    <w:rFonts w:ascii="Arial" w:hAnsi="Arial" w:cs="Arial"/>
                                    <w:sz w:val="20"/>
                                  </w:rPr>
                                  <w:t>And can be</w:t>
                                </w:r>
                                <w:r w:rsidRPr="00CC1928">
                                  <w:rPr>
                                    <w:rFonts w:ascii="Arial" w:hAnsi="Arial" w:cs="Arial"/>
                                    <w:b/>
                                    <w:sz w:val="20"/>
                                  </w:rPr>
                                  <w:t xml:space="preserve"> </w:t>
                                </w:r>
                                <w:r>
                                  <w:rPr>
                                    <w:rFonts w:ascii="Arial" w:hAnsi="Arial" w:cs="Arial"/>
                                    <w:sz w:val="20"/>
                                  </w:rPr>
                                  <w:t>safely discharged to a</w:t>
                                </w:r>
                                <w:r w:rsidRPr="00CC1928">
                                  <w:rPr>
                                    <w:rFonts w:ascii="Arial" w:hAnsi="Arial" w:cs="Arial"/>
                                    <w:sz w:val="20"/>
                                  </w:rPr>
                                  <w:t xml:space="preserve"> community </w:t>
                                </w:r>
                                <w:r>
                                  <w:rPr>
                                    <w:rFonts w:ascii="Arial" w:hAnsi="Arial" w:cs="Arial"/>
                                    <w:b/>
                                    <w:sz w:val="20"/>
                                  </w:rPr>
                                  <w:t xml:space="preserve">participating </w:t>
                                </w:r>
                                <w:r w:rsidRPr="00CC1928">
                                  <w:rPr>
                                    <w:rFonts w:ascii="Arial" w:hAnsi="Arial" w:cs="Arial"/>
                                    <w:b/>
                                    <w:sz w:val="20"/>
                                  </w:rPr>
                                  <w:t>optometrist</w:t>
                                </w:r>
                                <w:r w:rsidRPr="00CC1928">
                                  <w:rPr>
                                    <w:rFonts w:ascii="Arial" w:hAnsi="Arial" w:cs="Arial"/>
                                    <w:sz w:val="20"/>
                                  </w:rPr>
                                  <w:t xml:space="preserve"> of patient’s choice for glaucoma monitoring re-assessment every 12-18 months (NICE Guideline 81).  </w:t>
                                </w:r>
                                <w:r w:rsidRPr="00CC1928">
                                  <w:rPr>
                                    <w:rFonts w:ascii="Arial" w:hAnsi="Arial" w:cs="Arial"/>
                                    <w:b/>
                                    <w:sz w:val="20"/>
                                  </w:rPr>
                                  <w:t xml:space="preserve">DBTH NHS FT </w:t>
                                </w:r>
                                <w:r w:rsidRPr="00CC1928">
                                  <w:rPr>
                                    <w:rFonts w:ascii="Arial" w:hAnsi="Arial" w:cs="Arial"/>
                                    <w:sz w:val="20"/>
                                  </w:rPr>
                                  <w:t xml:space="preserve">will send a discharge letter with the clinical history and recommended individual monitoring plan to the </w:t>
                                </w:r>
                                <w:r>
                                  <w:rPr>
                                    <w:rFonts w:ascii="Arial" w:hAnsi="Arial" w:cs="Arial"/>
                                    <w:b/>
                                    <w:sz w:val="20"/>
                                  </w:rPr>
                                  <w:t xml:space="preserve">participating </w:t>
                                </w:r>
                                <w:r w:rsidRPr="00CC1928">
                                  <w:rPr>
                                    <w:rFonts w:ascii="Arial" w:hAnsi="Arial" w:cs="Arial"/>
                                    <w:b/>
                                    <w:sz w:val="20"/>
                                  </w:rPr>
                                  <w:t>optometrist</w:t>
                                </w:r>
                                <w:r w:rsidRPr="00CC1928">
                                  <w:rPr>
                                    <w:rFonts w:ascii="Arial" w:hAnsi="Arial" w:cs="Arial"/>
                                    <w:sz w:val="20"/>
                                  </w:rPr>
                                  <w:t xml:space="preserve"> and a copy to the patient’s registered GP informing them of the change. </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301413" y="1975914"/>
                              <a:ext cx="5575512" cy="881589"/>
                            </a:xfrm>
                            <a:prstGeom prst="rect">
                              <a:avLst/>
                            </a:prstGeom>
                            <a:noFill/>
                            <a:ln w="9525">
                              <a:solidFill>
                                <a:srgbClr val="000000"/>
                              </a:solidFill>
                              <a:miter lim="800000"/>
                              <a:headEnd/>
                              <a:tailEnd/>
                            </a:ln>
                          </wps:spPr>
                          <wps:txbx>
                            <w:txbxContent>
                              <w:p w:rsidR="0096502C" w:rsidRDefault="0096502C" w:rsidP="00CC1928">
                                <w:pPr>
                                  <w:spacing w:after="0"/>
                                  <w:jc w:val="both"/>
                                  <w:rPr>
                                    <w:rFonts w:ascii="Arial" w:hAnsi="Arial" w:cs="Arial"/>
                                    <w:sz w:val="20"/>
                                  </w:rPr>
                                </w:pPr>
                                <w:r w:rsidRPr="00CC1928">
                                  <w:rPr>
                                    <w:rFonts w:ascii="Arial" w:hAnsi="Arial" w:cs="Arial"/>
                                    <w:sz w:val="20"/>
                                  </w:rPr>
                                  <w:t xml:space="preserve">The chosen </w:t>
                                </w:r>
                                <w:r>
                                  <w:rPr>
                                    <w:rFonts w:ascii="Arial" w:hAnsi="Arial" w:cs="Arial"/>
                                    <w:b/>
                                    <w:sz w:val="20"/>
                                  </w:rPr>
                                  <w:t>participating</w:t>
                                </w:r>
                                <w:r w:rsidRPr="00CC1928">
                                  <w:rPr>
                                    <w:rFonts w:ascii="Arial" w:hAnsi="Arial" w:cs="Arial"/>
                                    <w:b/>
                                    <w:sz w:val="20"/>
                                  </w:rPr>
                                  <w:t xml:space="preserve"> optometrist</w:t>
                                </w:r>
                                <w:r w:rsidRPr="00CC1928">
                                  <w:rPr>
                                    <w:rFonts w:ascii="Arial" w:hAnsi="Arial" w:cs="Arial"/>
                                    <w:sz w:val="20"/>
                                  </w:rPr>
                                  <w:t xml:space="preserve"> w</w:t>
                                </w:r>
                                <w:r>
                                  <w:rPr>
                                    <w:rFonts w:ascii="Arial" w:hAnsi="Arial" w:cs="Arial"/>
                                    <w:sz w:val="20"/>
                                  </w:rPr>
                                  <w:t>ill contact the patient within 5</w:t>
                                </w:r>
                                <w:r w:rsidRPr="00CC1928">
                                  <w:rPr>
                                    <w:rFonts w:ascii="Arial" w:hAnsi="Arial" w:cs="Arial"/>
                                    <w:sz w:val="20"/>
                                  </w:rPr>
                                  <w:t xml:space="preserve"> working days to</w:t>
                                </w:r>
                                <w:r>
                                  <w:rPr>
                                    <w:rFonts w:ascii="Arial" w:hAnsi="Arial" w:cs="Arial"/>
                                    <w:sz w:val="20"/>
                                  </w:rPr>
                                  <w:t xml:space="preserve"> confirm</w:t>
                                </w:r>
                                <w:r w:rsidRPr="00CC1928">
                                  <w:rPr>
                                    <w:rFonts w:ascii="Arial" w:hAnsi="Arial" w:cs="Arial"/>
                                    <w:sz w:val="20"/>
                                  </w:rPr>
                                  <w:t>:</w:t>
                                </w:r>
                              </w:p>
                              <w:p w:rsidR="0096502C" w:rsidRPr="00CC1928" w:rsidRDefault="0096502C" w:rsidP="00CC1928">
                                <w:pPr>
                                  <w:spacing w:after="0"/>
                                  <w:jc w:val="both"/>
                                  <w:rPr>
                                    <w:rFonts w:ascii="Arial" w:hAnsi="Arial" w:cs="Arial"/>
                                    <w:sz w:val="20"/>
                                  </w:rPr>
                                </w:pPr>
                              </w:p>
                              <w:p w:rsidR="0096502C" w:rsidRPr="00CC1928" w:rsidRDefault="0096502C" w:rsidP="00CC1928">
                                <w:pPr>
                                  <w:numPr>
                                    <w:ilvl w:val="0"/>
                                    <w:numId w:val="12"/>
                                  </w:numPr>
                                  <w:spacing w:after="0"/>
                                  <w:jc w:val="both"/>
                                  <w:rPr>
                                    <w:rFonts w:ascii="Arial" w:hAnsi="Arial" w:cs="Arial"/>
                                    <w:sz w:val="20"/>
                                  </w:rPr>
                                </w:pPr>
                                <w:r w:rsidRPr="00CC1928">
                                  <w:rPr>
                                    <w:rFonts w:ascii="Arial" w:hAnsi="Arial" w:cs="Arial"/>
                                    <w:sz w:val="20"/>
                                  </w:rPr>
                                  <w:t xml:space="preserve">receipt of the referral; and </w:t>
                                </w:r>
                              </w:p>
                              <w:p w:rsidR="0096502C" w:rsidRDefault="0096502C" w:rsidP="00563B2D">
                                <w:pPr>
                                  <w:numPr>
                                    <w:ilvl w:val="0"/>
                                    <w:numId w:val="12"/>
                                  </w:numPr>
                                  <w:spacing w:after="0"/>
                                  <w:jc w:val="both"/>
                                  <w:rPr>
                                    <w:rFonts w:ascii="Arial" w:hAnsi="Arial" w:cs="Arial"/>
                                    <w:sz w:val="20"/>
                                  </w:rPr>
                                </w:pPr>
                                <w:r>
                                  <w:rPr>
                                    <w:rFonts w:ascii="Arial" w:hAnsi="Arial" w:cs="Arial"/>
                                    <w:sz w:val="20"/>
                                  </w:rPr>
                                  <w:t>that</w:t>
                                </w:r>
                                <w:r w:rsidRPr="009A5D5C">
                                  <w:rPr>
                                    <w:rFonts w:ascii="Arial" w:hAnsi="Arial" w:cs="Arial"/>
                                    <w:sz w:val="20"/>
                                  </w:rPr>
                                  <w:t xml:space="preserve"> a monitoring appointment </w:t>
                                </w:r>
                                <w:r>
                                  <w:rPr>
                                    <w:rFonts w:ascii="Arial" w:hAnsi="Arial" w:cs="Arial"/>
                                    <w:sz w:val="20"/>
                                  </w:rPr>
                                  <w:t>(due in approximately 12-18 months’ time) will be made in due course</w:t>
                                </w:r>
                              </w:p>
                              <w:p w:rsidR="0096502C" w:rsidRPr="00CC1928" w:rsidRDefault="0096502C" w:rsidP="006D0A28">
                                <w:pPr>
                                  <w:spacing w:after="0"/>
                                  <w:ind w:left="360"/>
                                  <w:jc w:val="both"/>
                                  <w:rPr>
                                    <w:rFonts w:ascii="Arial" w:hAnsi="Arial" w:cs="Arial"/>
                                    <w:sz w:val="20"/>
                                  </w:rPr>
                                </w:pPr>
                              </w:p>
                            </w:txbxContent>
                          </wps:txbx>
                          <wps:bodyPr rot="0" vert="horz" wrap="square" lIns="91440" tIns="45720" rIns="91440" bIns="45720" anchor="t" anchorCtr="0" upright="1">
                            <a:noAutofit/>
                          </wps:bodyPr>
                        </wps:wsp>
                        <wps:wsp>
                          <wps:cNvPr id="22" name="Straight Connector 22"/>
                          <wps:cNvCnPr>
                            <a:cxnSpLocks noChangeShapeType="1"/>
                          </wps:cNvCnPr>
                          <wps:spPr bwMode="auto">
                            <a:xfrm flipV="1">
                              <a:off x="6324600" y="1600039"/>
                              <a:ext cx="0" cy="5333827"/>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Straight Connector 21"/>
                          <wps:cNvCnPr>
                            <a:cxnSpLocks noChangeShapeType="1"/>
                          </wps:cNvCnPr>
                          <wps:spPr bwMode="auto">
                            <a:xfrm>
                              <a:off x="3086100" y="1591731"/>
                              <a:ext cx="1" cy="372955"/>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4" name="Text Box 14"/>
                        <wps:cNvSpPr txBox="1">
                          <a:spLocks noChangeArrowheads="1"/>
                        </wps:cNvSpPr>
                        <wps:spPr bwMode="auto">
                          <a:xfrm>
                            <a:off x="347133" y="3238036"/>
                            <a:ext cx="5575512" cy="1634026"/>
                          </a:xfrm>
                          <a:prstGeom prst="rect">
                            <a:avLst/>
                          </a:prstGeom>
                          <a:noFill/>
                          <a:ln w="9525">
                            <a:solidFill>
                              <a:srgbClr val="000000"/>
                            </a:solidFill>
                            <a:miter lim="800000"/>
                            <a:headEnd/>
                            <a:tailEnd/>
                          </a:ln>
                        </wps:spPr>
                        <wps:txbx>
                          <w:txbxContent>
                            <w:p w:rsidR="0096502C" w:rsidRPr="006650AB" w:rsidRDefault="0096502C" w:rsidP="00CC1928">
                              <w:pPr>
                                <w:spacing w:after="0"/>
                                <w:jc w:val="both"/>
                                <w:rPr>
                                  <w:rFonts w:ascii="Arial" w:hAnsi="Arial" w:cs="Arial"/>
                                  <w:sz w:val="20"/>
                                </w:rPr>
                              </w:pPr>
                              <w:r w:rsidRPr="00CC1928">
                                <w:rPr>
                                  <w:rFonts w:ascii="Arial" w:hAnsi="Arial" w:cs="Arial"/>
                                  <w:sz w:val="20"/>
                                </w:rPr>
                                <w:t xml:space="preserve">The </w:t>
                              </w:r>
                              <w:r w:rsidR="00ED0844">
                                <w:rPr>
                                  <w:rFonts w:ascii="Arial" w:hAnsi="Arial" w:cs="Arial"/>
                                  <w:b/>
                                  <w:sz w:val="20"/>
                                </w:rPr>
                                <w:t>participating</w:t>
                              </w:r>
                              <w:r w:rsidRPr="006650AB">
                                <w:rPr>
                                  <w:rFonts w:ascii="Arial" w:hAnsi="Arial" w:cs="Arial"/>
                                  <w:b/>
                                  <w:sz w:val="20"/>
                                </w:rPr>
                                <w:t xml:space="preserve"> optometrist</w:t>
                              </w:r>
                              <w:r w:rsidRPr="006650AB">
                                <w:rPr>
                                  <w:rFonts w:ascii="Arial" w:hAnsi="Arial" w:cs="Arial"/>
                                  <w:sz w:val="20"/>
                                </w:rPr>
                                <w:t xml:space="preserve"> will undertake </w:t>
                              </w:r>
                              <w:r w:rsidR="00603776">
                                <w:rPr>
                                  <w:rFonts w:ascii="Arial" w:hAnsi="Arial" w:cs="Arial"/>
                                  <w:sz w:val="20"/>
                                </w:rPr>
                                <w:t>a</w:t>
                              </w:r>
                              <w:r w:rsidRPr="006650AB">
                                <w:rPr>
                                  <w:rFonts w:ascii="Arial" w:hAnsi="Arial" w:cs="Arial"/>
                                  <w:sz w:val="20"/>
                                </w:rPr>
                                <w:t xml:space="preserve"> monitoring appointment</w:t>
                              </w:r>
                              <w:r w:rsidR="00603776">
                                <w:rPr>
                                  <w:rFonts w:ascii="Arial" w:hAnsi="Arial" w:cs="Arial"/>
                                  <w:sz w:val="20"/>
                                </w:rPr>
                                <w:t xml:space="preserve"> within the 12-18 month timeframe.  </w:t>
                              </w:r>
                              <w:r w:rsidRPr="006650AB">
                                <w:rPr>
                                  <w:rFonts w:ascii="Arial" w:hAnsi="Arial" w:cs="Arial"/>
                                  <w:sz w:val="20"/>
                                </w:rPr>
                                <w:t>Monitoring tests include:</w:t>
                              </w:r>
                            </w:p>
                            <w:p w:rsidR="0096502C" w:rsidRPr="006650AB" w:rsidRDefault="0096502C" w:rsidP="00CC1928">
                              <w:pPr>
                                <w:spacing w:after="0"/>
                                <w:jc w:val="both"/>
                                <w:rPr>
                                  <w:rFonts w:ascii="Arial" w:hAnsi="Arial" w:cs="Arial"/>
                                  <w:sz w:val="20"/>
                                </w:rPr>
                              </w:pPr>
                            </w:p>
                            <w:p w:rsidR="0096502C" w:rsidRPr="004C04D2" w:rsidRDefault="0096502C" w:rsidP="006650AB">
                              <w:pPr>
                                <w:numPr>
                                  <w:ilvl w:val="0"/>
                                  <w:numId w:val="9"/>
                                </w:numPr>
                                <w:spacing w:after="0"/>
                                <w:jc w:val="both"/>
                                <w:rPr>
                                  <w:rFonts w:ascii="Arial" w:hAnsi="Arial" w:cs="Arial"/>
                                  <w:sz w:val="20"/>
                                </w:rPr>
                              </w:pPr>
                              <w:r w:rsidRPr="004C04D2">
                                <w:rPr>
                                  <w:rFonts w:ascii="Arial" w:hAnsi="Arial" w:cs="Arial"/>
                                  <w:sz w:val="20"/>
                                </w:rPr>
                                <w:t>Visual acuity (VA)</w:t>
                              </w:r>
                            </w:p>
                            <w:p w:rsidR="0096502C" w:rsidRPr="004C04D2" w:rsidRDefault="0096502C" w:rsidP="006650AB">
                              <w:pPr>
                                <w:numPr>
                                  <w:ilvl w:val="0"/>
                                  <w:numId w:val="9"/>
                                </w:numPr>
                                <w:spacing w:after="0"/>
                                <w:jc w:val="both"/>
                                <w:rPr>
                                  <w:rFonts w:ascii="Arial" w:hAnsi="Arial" w:cs="Arial"/>
                                  <w:sz w:val="20"/>
                                </w:rPr>
                              </w:pPr>
                              <w:r w:rsidRPr="004C04D2">
                                <w:rPr>
                                  <w:rFonts w:ascii="Arial" w:hAnsi="Arial" w:cs="Arial"/>
                                  <w:sz w:val="20"/>
                                </w:rPr>
                                <w:t>Intraocular pressures (IOP) using Goldmann type applanation tonometer</w:t>
                              </w:r>
                            </w:p>
                            <w:p w:rsidR="0096502C" w:rsidRPr="004C04D2" w:rsidRDefault="0096502C" w:rsidP="006650AB">
                              <w:pPr>
                                <w:numPr>
                                  <w:ilvl w:val="0"/>
                                  <w:numId w:val="9"/>
                                </w:numPr>
                                <w:spacing w:after="0"/>
                                <w:jc w:val="both"/>
                                <w:rPr>
                                  <w:rFonts w:ascii="Arial" w:hAnsi="Arial" w:cs="Arial"/>
                                  <w:sz w:val="20"/>
                                </w:rPr>
                              </w:pPr>
                              <w:r w:rsidRPr="004C04D2">
                                <w:rPr>
                                  <w:rFonts w:ascii="Arial" w:hAnsi="Arial" w:cs="Arial"/>
                                  <w:sz w:val="20"/>
                                </w:rPr>
                                <w:t>Assessment of the health of the optic nerve head</w:t>
                              </w:r>
                            </w:p>
                            <w:p w:rsidR="0096502C" w:rsidRPr="004C04D2" w:rsidRDefault="0096502C" w:rsidP="006650AB">
                              <w:pPr>
                                <w:numPr>
                                  <w:ilvl w:val="0"/>
                                  <w:numId w:val="9"/>
                                </w:numPr>
                                <w:spacing w:after="0"/>
                                <w:jc w:val="both"/>
                                <w:rPr>
                                  <w:rFonts w:ascii="Arial" w:hAnsi="Arial" w:cs="Arial"/>
                                  <w:sz w:val="20"/>
                                </w:rPr>
                              </w:pPr>
                              <w:r w:rsidRPr="004C04D2">
                                <w:rPr>
                                  <w:rFonts w:ascii="Arial" w:hAnsi="Arial" w:cs="Arial"/>
                                  <w:sz w:val="20"/>
                                </w:rPr>
                                <w:t xml:space="preserve">Visual Field test results </w:t>
                              </w:r>
                              <w:r w:rsidR="00AC0CC3" w:rsidRPr="004C04D2">
                                <w:rPr>
                                  <w:rFonts w:ascii="Arial" w:hAnsi="Arial" w:cs="Arial"/>
                                  <w:sz w:val="20"/>
                                </w:rPr>
                                <w:t>using the Heidelberg Spectralis OCT machine (the same equipment used by DBTH for a more accurate and reliable comparison)</w:t>
                              </w:r>
                            </w:p>
                            <w:p w:rsidR="0096502C" w:rsidRDefault="0096502C" w:rsidP="006650AB">
                              <w:pPr>
                                <w:numPr>
                                  <w:ilvl w:val="0"/>
                                  <w:numId w:val="9"/>
                                </w:numPr>
                                <w:spacing w:after="0"/>
                                <w:jc w:val="both"/>
                                <w:rPr>
                                  <w:rFonts w:ascii="Arial" w:hAnsi="Arial" w:cs="Arial"/>
                                  <w:sz w:val="20"/>
                                </w:rPr>
                              </w:pPr>
                              <w:r w:rsidRPr="006650AB">
                                <w:rPr>
                                  <w:rFonts w:ascii="Arial" w:hAnsi="Arial" w:cs="Arial"/>
                                  <w:sz w:val="20"/>
                                </w:rPr>
                                <w:t>Comparison of Disc Photos (if any are available)</w:t>
                              </w:r>
                            </w:p>
                            <w:p w:rsidR="00603776" w:rsidRPr="006650AB" w:rsidRDefault="00603776" w:rsidP="00603776">
                              <w:pPr>
                                <w:spacing w:after="0"/>
                                <w:jc w:val="both"/>
                                <w:rPr>
                                  <w:rFonts w:ascii="Arial" w:hAnsi="Arial" w:cs="Arial"/>
                                  <w:sz w:val="20"/>
                                </w:rPr>
                              </w:pP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347133" y="6934276"/>
                            <a:ext cx="6324600" cy="1615373"/>
                          </a:xfrm>
                          <a:prstGeom prst="rect">
                            <a:avLst/>
                          </a:prstGeom>
                          <a:solidFill>
                            <a:srgbClr val="FFFFFF"/>
                          </a:solidFill>
                          <a:ln w="9525">
                            <a:solidFill>
                              <a:srgbClr val="000000"/>
                            </a:solidFill>
                            <a:miter lim="800000"/>
                            <a:headEnd/>
                            <a:tailEnd/>
                          </a:ln>
                        </wps:spPr>
                        <wps:txbx>
                          <w:txbxContent>
                            <w:p w:rsidR="0096502C" w:rsidRDefault="0096502C" w:rsidP="00CC1928">
                              <w:pPr>
                                <w:spacing w:after="0"/>
                                <w:jc w:val="both"/>
                                <w:rPr>
                                  <w:rFonts w:ascii="Arial" w:hAnsi="Arial" w:cs="Arial"/>
                                  <w:sz w:val="20"/>
                                </w:rPr>
                              </w:pPr>
                              <w:r w:rsidRPr="00CC1928">
                                <w:rPr>
                                  <w:rFonts w:ascii="Arial" w:hAnsi="Arial" w:cs="Arial"/>
                                  <w:sz w:val="20"/>
                                </w:rPr>
                                <w:t xml:space="preserve">At 2 years after initial discharge all patients are to be </w:t>
                              </w:r>
                              <w:r w:rsidRPr="00CC1928">
                                <w:rPr>
                                  <w:rFonts w:ascii="Arial" w:hAnsi="Arial" w:cs="Arial"/>
                                  <w:b/>
                                  <w:sz w:val="20"/>
                                </w:rPr>
                                <w:t xml:space="preserve">referred back to secondary care </w:t>
                              </w:r>
                              <w:r w:rsidRPr="00CC1928">
                                <w:rPr>
                                  <w:rFonts w:ascii="Arial" w:hAnsi="Arial" w:cs="Arial"/>
                                  <w:sz w:val="20"/>
                                </w:rPr>
                                <w:t>as new patients to undergo a full HES assessment.  The assessment will look at the following parameters:</w:t>
                              </w:r>
                            </w:p>
                            <w:p w:rsidR="0096502C" w:rsidRDefault="0096502C" w:rsidP="00881D32">
                              <w:pPr>
                                <w:spacing w:after="0"/>
                                <w:jc w:val="both"/>
                                <w:rPr>
                                  <w:rFonts w:ascii="Arial" w:hAnsi="Arial" w:cs="Arial"/>
                                  <w:sz w:val="20"/>
                                </w:rPr>
                              </w:pPr>
                            </w:p>
                            <w:p w:rsidR="0096502C" w:rsidRPr="009A5D5C" w:rsidRDefault="0096502C" w:rsidP="00881D32">
                              <w:pPr>
                                <w:spacing w:after="0"/>
                                <w:jc w:val="both"/>
                                <w:rPr>
                                  <w:rFonts w:ascii="Arial" w:hAnsi="Arial" w:cs="Arial"/>
                                  <w:sz w:val="20"/>
                                </w:rPr>
                              </w:pPr>
                              <w:r>
                                <w:rPr>
                                  <w:rFonts w:ascii="Arial" w:hAnsi="Arial" w:cs="Arial"/>
                                  <w:sz w:val="20"/>
                                </w:rPr>
                                <w:t>The</w:t>
                              </w:r>
                              <w:r w:rsidRPr="009A5D5C">
                                <w:rPr>
                                  <w:rFonts w:ascii="Arial" w:hAnsi="Arial" w:cs="Arial"/>
                                  <w:sz w:val="20"/>
                                </w:rPr>
                                <w:t xml:space="preserve"> data </w:t>
                              </w:r>
                              <w:r>
                                <w:rPr>
                                  <w:rFonts w:ascii="Arial" w:hAnsi="Arial" w:cs="Arial"/>
                                  <w:sz w:val="20"/>
                                </w:rPr>
                                <w:t xml:space="preserve">collected </w:t>
                              </w:r>
                              <w:r w:rsidRPr="009A5D5C">
                                <w:rPr>
                                  <w:rFonts w:ascii="Arial" w:hAnsi="Arial" w:cs="Arial"/>
                                  <w:sz w:val="20"/>
                                </w:rPr>
                                <w:t xml:space="preserve">will be compared to all previous assessments undertaken over a full 4 year period.  This will include those assessments undertaken by the </w:t>
                              </w:r>
                              <w:r>
                                <w:rPr>
                                  <w:rFonts w:ascii="Arial" w:hAnsi="Arial" w:cs="Arial"/>
                                  <w:b/>
                                  <w:sz w:val="20"/>
                                </w:rPr>
                                <w:t xml:space="preserve">participating </w:t>
                              </w:r>
                              <w:r w:rsidRPr="009A5D5C">
                                <w:rPr>
                                  <w:rFonts w:ascii="Arial" w:hAnsi="Arial" w:cs="Arial"/>
                                  <w:b/>
                                  <w:sz w:val="20"/>
                                </w:rPr>
                                <w:t>optometrist</w:t>
                              </w:r>
                              <w:r w:rsidRPr="009A5D5C">
                                <w:rPr>
                                  <w:rFonts w:ascii="Arial" w:hAnsi="Arial" w:cs="Arial"/>
                                  <w:sz w:val="20"/>
                                </w:rPr>
                                <w:t xml:space="preserve"> in the community in the previous 2 years, plus those made at the point of initial discharge and any previous to that undertaken by secondary care that occurred within the 4 year period.</w:t>
                              </w:r>
                            </w:p>
                            <w:p w:rsidR="0096502C" w:rsidRDefault="0096502C" w:rsidP="00CC1928">
                              <w:pPr>
                                <w:spacing w:after="0"/>
                                <w:jc w:val="both"/>
                                <w:rPr>
                                  <w:rFonts w:ascii="Arial" w:hAnsi="Arial" w:cs="Arial"/>
                                  <w:sz w:val="20"/>
                                </w:rPr>
                              </w:pPr>
                            </w:p>
                            <w:p w:rsidR="00262887" w:rsidRPr="00CC1928" w:rsidRDefault="00262887" w:rsidP="00CC1928">
                              <w:pPr>
                                <w:spacing w:after="0"/>
                                <w:jc w:val="both"/>
                                <w:rPr>
                                  <w:rFonts w:ascii="Arial" w:hAnsi="Arial" w:cs="Arial"/>
                                  <w:sz w:val="20"/>
                                </w:rPr>
                              </w:pPr>
                              <w:r>
                                <w:rPr>
                                  <w:rFonts w:ascii="Arial" w:hAnsi="Arial" w:cs="Arial"/>
                                  <w:sz w:val="20"/>
                                </w:rPr>
                                <w:t xml:space="preserve">Note that patients can be discharged to a </w:t>
                              </w:r>
                              <w:r w:rsidRPr="00262887">
                                <w:rPr>
                                  <w:rFonts w:ascii="Arial" w:hAnsi="Arial" w:cs="Arial"/>
                                  <w:b/>
                                  <w:sz w:val="20"/>
                                </w:rPr>
                                <w:t>participating optometrist</w:t>
                              </w:r>
                              <w:r>
                                <w:rPr>
                                  <w:rFonts w:ascii="Arial" w:hAnsi="Arial" w:cs="Arial"/>
                                  <w:sz w:val="20"/>
                                </w:rPr>
                                <w:t xml:space="preserve"> at this point again if they continue to meet the criteria for ‘stable glaucoma’.</w:t>
                              </w:r>
                            </w:p>
                          </w:txbxContent>
                        </wps:txbx>
                        <wps:bodyPr rot="0" vert="horz" wrap="square" lIns="91440" tIns="45720" rIns="91440" bIns="45720" anchor="t" anchorCtr="0" upright="1">
                          <a:noAutofit/>
                        </wps:bodyPr>
                      </wps:wsp>
                      <wps:wsp>
                        <wps:cNvPr id="16" name="Straight Connector 16"/>
                        <wps:cNvCnPr>
                          <a:cxnSpLocks noChangeShapeType="1"/>
                        </wps:cNvCnPr>
                        <wps:spPr bwMode="auto">
                          <a:xfrm>
                            <a:off x="689186" y="4874394"/>
                            <a:ext cx="0" cy="2059813"/>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960120" y="5257826"/>
                            <a:ext cx="4962525" cy="1432541"/>
                          </a:xfrm>
                          <a:prstGeom prst="rect">
                            <a:avLst/>
                          </a:prstGeom>
                          <a:noFill/>
                          <a:ln w="9525">
                            <a:solidFill>
                              <a:srgbClr val="000000"/>
                            </a:solidFill>
                            <a:miter lim="800000"/>
                            <a:headEnd/>
                            <a:tailEnd/>
                          </a:ln>
                        </wps:spPr>
                        <wps:txbx>
                          <w:txbxContent>
                            <w:p w:rsidR="0096502C" w:rsidRPr="00693DDE" w:rsidRDefault="0096502C" w:rsidP="00CC1928">
                              <w:pPr>
                                <w:jc w:val="both"/>
                                <w:rPr>
                                  <w:rFonts w:ascii="Arial" w:hAnsi="Arial" w:cs="Arial"/>
                                  <w:b/>
                                  <w:i/>
                                  <w:sz w:val="20"/>
                                </w:rPr>
                              </w:pPr>
                              <w:r w:rsidRPr="00CC1928">
                                <w:rPr>
                                  <w:rFonts w:ascii="Arial" w:hAnsi="Arial" w:cs="Arial"/>
                                  <w:b/>
                                  <w:sz w:val="20"/>
                                </w:rPr>
                                <w:t xml:space="preserve">If </w:t>
                              </w:r>
                              <w:r w:rsidRPr="00693DDE">
                                <w:rPr>
                                  <w:rFonts w:ascii="Arial" w:hAnsi="Arial" w:cs="Arial"/>
                                  <w:b/>
                                  <w:sz w:val="20"/>
                                </w:rPr>
                                <w:t xml:space="preserve">monitoring findings include:  </w:t>
                              </w:r>
                            </w:p>
                            <w:p w:rsidR="0096502C" w:rsidRPr="00693DDE" w:rsidRDefault="0096502C" w:rsidP="00CC1928">
                              <w:pPr>
                                <w:numPr>
                                  <w:ilvl w:val="0"/>
                                  <w:numId w:val="9"/>
                                </w:numPr>
                                <w:spacing w:after="0"/>
                                <w:jc w:val="both"/>
                                <w:rPr>
                                  <w:rFonts w:ascii="Arial" w:hAnsi="Arial" w:cs="Arial"/>
                                  <w:b/>
                                  <w:i/>
                                  <w:sz w:val="20"/>
                                </w:rPr>
                              </w:pPr>
                              <w:r w:rsidRPr="00693DDE">
                                <w:rPr>
                                  <w:rFonts w:ascii="Arial" w:hAnsi="Arial" w:cs="Arial"/>
                                  <w:sz w:val="20"/>
                                </w:rPr>
                                <w:t xml:space="preserve">Intraocular pressure levels outside of the parameters set by the consultant </w:t>
                              </w:r>
                            </w:p>
                            <w:p w:rsidR="0096502C" w:rsidRPr="00693DDE" w:rsidRDefault="0096502C" w:rsidP="00CC1928">
                              <w:pPr>
                                <w:numPr>
                                  <w:ilvl w:val="0"/>
                                  <w:numId w:val="9"/>
                                </w:numPr>
                                <w:spacing w:after="0"/>
                                <w:jc w:val="both"/>
                                <w:rPr>
                                  <w:rFonts w:ascii="Arial" w:hAnsi="Arial" w:cs="Arial"/>
                                  <w:sz w:val="20"/>
                                </w:rPr>
                              </w:pPr>
                              <w:r w:rsidRPr="00693DDE">
                                <w:rPr>
                                  <w:rFonts w:ascii="Arial" w:hAnsi="Arial" w:cs="Arial"/>
                                  <w:sz w:val="20"/>
                                </w:rPr>
                                <w:t>Visual Field damage</w:t>
                              </w:r>
                              <w:r w:rsidRPr="00693DDE">
                                <w:rPr>
                                  <w:rFonts w:ascii="Arial" w:hAnsi="Arial" w:cs="Arial"/>
                                  <w:sz w:val="20"/>
                                </w:rPr>
                                <w:tab/>
                              </w:r>
                              <w:r w:rsidRPr="00693DDE">
                                <w:rPr>
                                  <w:rFonts w:ascii="Arial" w:hAnsi="Arial" w:cs="Arial"/>
                                  <w:sz w:val="20"/>
                                </w:rPr>
                                <w:tab/>
                                <w:t xml:space="preserve"> </w:t>
                              </w:r>
                            </w:p>
                            <w:p w:rsidR="0096502C" w:rsidRPr="00CC1928" w:rsidRDefault="0096502C" w:rsidP="00CC1928">
                              <w:pPr>
                                <w:numPr>
                                  <w:ilvl w:val="0"/>
                                  <w:numId w:val="9"/>
                                </w:numPr>
                                <w:spacing w:after="0"/>
                                <w:jc w:val="both"/>
                                <w:rPr>
                                  <w:rFonts w:ascii="Arial" w:hAnsi="Arial" w:cs="Arial"/>
                                  <w:b/>
                                  <w:i/>
                                  <w:sz w:val="20"/>
                                </w:rPr>
                              </w:pPr>
                              <w:r w:rsidRPr="00693DDE">
                                <w:rPr>
                                  <w:rFonts w:ascii="Arial" w:hAnsi="Arial" w:cs="Arial"/>
                                  <w:sz w:val="20"/>
                                </w:rPr>
                                <w:t>Optic Nerve</w:t>
                              </w:r>
                              <w:r w:rsidRPr="00CC1928">
                                <w:rPr>
                                  <w:rFonts w:ascii="Arial" w:hAnsi="Arial" w:cs="Arial"/>
                                  <w:sz w:val="20"/>
                                </w:rPr>
                                <w:t xml:space="preserve"> Head damage               </w:t>
                              </w:r>
                            </w:p>
                            <w:p w:rsidR="0096502C" w:rsidRDefault="0096502C" w:rsidP="00973C27">
                              <w:pPr>
                                <w:spacing w:after="0"/>
                                <w:jc w:val="both"/>
                                <w:rPr>
                                  <w:rFonts w:ascii="Arial" w:hAnsi="Arial" w:cs="Arial"/>
                                  <w:b/>
                                  <w:i/>
                                  <w:sz w:val="20"/>
                                </w:rPr>
                              </w:pPr>
                            </w:p>
                            <w:p w:rsidR="0096502C" w:rsidRPr="00444E27" w:rsidRDefault="0096502C" w:rsidP="00CC1928">
                              <w:pPr>
                                <w:jc w:val="both"/>
                                <w:rPr>
                                  <w:rFonts w:ascii="Arial" w:hAnsi="Arial" w:cs="Arial"/>
                                  <w:b/>
                                  <w:i/>
                                  <w:sz w:val="20"/>
                                </w:rPr>
                              </w:pPr>
                              <w:r w:rsidRPr="00CC1928">
                                <w:rPr>
                                  <w:rFonts w:ascii="Arial" w:hAnsi="Arial" w:cs="Arial"/>
                                  <w:b/>
                                  <w:i/>
                                  <w:sz w:val="20"/>
                                </w:rPr>
                                <w:t>REFERRAL MUST BE MADE BACK TO SECONDARY CARE: Telephone access for Emergencies is available through the eye clinic or on-call via switchboard</w:t>
                              </w:r>
                              <w:r w:rsidR="00444E27">
                                <w:rPr>
                                  <w:rFonts w:ascii="Arial" w:hAnsi="Arial" w:cs="Arial"/>
                                  <w:b/>
                                  <w:i/>
                                  <w:sz w:val="20"/>
                                </w:rPr>
                                <w:t xml:space="preserve"> </w:t>
                              </w:r>
                              <w:r w:rsidR="00444E27" w:rsidRPr="00444E27">
                                <w:rPr>
                                  <w:rFonts w:ascii="Arial" w:hAnsi="Arial" w:cs="Arial"/>
                                  <w:b/>
                                  <w:i/>
                                  <w:sz w:val="20"/>
                                </w:rPr>
                                <w:t>01302 566666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18.6pt;margin-top:4.9pt;width:498pt;height:673.2pt;z-index:251668480;mso-width-relative:margin;mso-height-relative:margin" coordorigin="3471" coordsize="63246,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">
                <v:group id="Group 4" o:spid="_x0000_s1027" style="position:absolute;left:3471;width:63246;height:69338" coordorigin="3014" coordsize="63246,69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23" o:spid="_x0000_s1028" type="#_x0000_t202" style="position:absolute;left:3014;width:63246;height:15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EqX8IA&#10;AADbAAAADwAAAGRycy9kb3ducmV2LnhtbESPUWvCQBCE3wv+h2MFX4peTKGV6CkiVPrSQrQ/YMmt&#10;STC7F+6uSfrve4VCH4eZ+YbZHSbu1EA+tE4MrFcZKJLK2VZqA5/X1+UGVIgoFjsnZOCbAhz2s4cd&#10;FtaNUtJwibVKEAkFGmhi7AutQ9UQY1i5niR5N+cZY5K+1tbjmODc6TzLnjVjK2mhwZ5ODVX3yxcb&#10;eEfBibk8PrrIHzzm9/PLNTNmMZ+OW1CRpvgf/mu/WQP5E/x+ST9A7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SpfwgAAANsAAAAPAAAAAAAAAAAAAAAAAJgCAABkcnMvZG93&#10;bnJldi54bWxQSwUGAAAAAAQABAD1AAAAhwMAAAAA&#10;" strokeweight=".25pt">
                    <v:textbox>
                      <w:txbxContent>
                        <w:p w:rsidR="0096502C" w:rsidRPr="00CC1928" w:rsidRDefault="0096502C" w:rsidP="00CC1928">
                          <w:pPr>
                            <w:jc w:val="both"/>
                            <w:rPr>
                              <w:rFonts w:ascii="Arial" w:hAnsi="Arial" w:cs="Arial"/>
                              <w:sz w:val="20"/>
                            </w:rPr>
                          </w:pPr>
                          <w:r w:rsidRPr="00CC1928">
                            <w:rPr>
                              <w:rFonts w:ascii="Arial" w:hAnsi="Arial" w:cs="Arial"/>
                              <w:b/>
                              <w:sz w:val="20"/>
                            </w:rPr>
                            <w:t xml:space="preserve">DBTH NHS FT </w:t>
                          </w:r>
                          <w:r w:rsidRPr="00CC1928">
                            <w:rPr>
                              <w:rFonts w:ascii="Arial" w:hAnsi="Arial" w:cs="Arial"/>
                              <w:sz w:val="20"/>
                            </w:rPr>
                            <w:t xml:space="preserve">deems that their patient fulfils the following criteria: </w:t>
                          </w:r>
                        </w:p>
                        <w:p w:rsidR="0096502C" w:rsidRPr="00CC1928" w:rsidRDefault="0096502C" w:rsidP="00CC1928">
                          <w:pPr>
                            <w:numPr>
                              <w:ilvl w:val="0"/>
                              <w:numId w:val="11"/>
                            </w:numPr>
                            <w:spacing w:after="0"/>
                            <w:jc w:val="both"/>
                            <w:rPr>
                              <w:rFonts w:ascii="Arial" w:hAnsi="Arial" w:cs="Arial"/>
                              <w:sz w:val="20"/>
                            </w:rPr>
                          </w:pPr>
                          <w:r w:rsidRPr="00CC1928">
                            <w:rPr>
                              <w:rFonts w:ascii="Arial" w:hAnsi="Arial" w:cs="Arial"/>
                              <w:sz w:val="20"/>
                            </w:rPr>
                            <w:t>Is stable on treatment; and</w:t>
                          </w:r>
                        </w:p>
                        <w:p w:rsidR="0096502C" w:rsidRPr="00CC1928" w:rsidRDefault="0096502C" w:rsidP="00CC1928">
                          <w:pPr>
                            <w:numPr>
                              <w:ilvl w:val="0"/>
                              <w:numId w:val="11"/>
                            </w:numPr>
                            <w:spacing w:after="0"/>
                            <w:jc w:val="both"/>
                            <w:rPr>
                              <w:rFonts w:ascii="Arial" w:hAnsi="Arial" w:cs="Arial"/>
                              <w:sz w:val="20"/>
                            </w:rPr>
                          </w:pPr>
                          <w:r w:rsidRPr="00CC1928">
                            <w:rPr>
                              <w:rFonts w:ascii="Arial" w:hAnsi="Arial" w:cs="Arial"/>
                              <w:sz w:val="20"/>
                            </w:rPr>
                            <w:t xml:space="preserve">Does not show progression; and </w:t>
                          </w:r>
                        </w:p>
                        <w:p w:rsidR="0096502C" w:rsidRPr="00CC1928" w:rsidRDefault="0096502C" w:rsidP="006650AB">
                          <w:pPr>
                            <w:numPr>
                              <w:ilvl w:val="0"/>
                              <w:numId w:val="11"/>
                            </w:numPr>
                            <w:spacing w:after="0"/>
                            <w:rPr>
                              <w:rFonts w:ascii="Arial" w:hAnsi="Arial" w:cs="Arial"/>
                              <w:sz w:val="20"/>
                            </w:rPr>
                          </w:pPr>
                          <w:r w:rsidRPr="00CC1928">
                            <w:rPr>
                              <w:rFonts w:ascii="Arial" w:hAnsi="Arial" w:cs="Arial"/>
                              <w:sz w:val="20"/>
                            </w:rPr>
                            <w:t>Is at low clinical risk</w:t>
                          </w:r>
                        </w:p>
                        <w:p w:rsidR="0096502C" w:rsidRPr="00CC1928" w:rsidRDefault="0096502C" w:rsidP="00CC1928">
                          <w:pPr>
                            <w:spacing w:after="0"/>
                            <w:jc w:val="both"/>
                            <w:rPr>
                              <w:rFonts w:ascii="Arial" w:hAnsi="Arial" w:cs="Arial"/>
                              <w:sz w:val="20"/>
                            </w:rPr>
                          </w:pPr>
                        </w:p>
                        <w:p w:rsidR="0096502C" w:rsidRPr="00CC1928" w:rsidRDefault="0096502C" w:rsidP="00CC1928">
                          <w:pPr>
                            <w:jc w:val="both"/>
                            <w:rPr>
                              <w:rFonts w:ascii="Arial" w:hAnsi="Arial" w:cs="Arial"/>
                              <w:sz w:val="20"/>
                            </w:rPr>
                          </w:pPr>
                          <w:r w:rsidRPr="00CC1928">
                            <w:rPr>
                              <w:rFonts w:ascii="Arial" w:hAnsi="Arial" w:cs="Arial"/>
                              <w:sz w:val="20"/>
                            </w:rPr>
                            <w:t>And can be</w:t>
                          </w:r>
                          <w:r w:rsidRPr="00CC1928">
                            <w:rPr>
                              <w:rFonts w:ascii="Arial" w:hAnsi="Arial" w:cs="Arial"/>
                              <w:b/>
                              <w:sz w:val="20"/>
                            </w:rPr>
                            <w:t xml:space="preserve"> </w:t>
                          </w:r>
                          <w:r>
                            <w:rPr>
                              <w:rFonts w:ascii="Arial" w:hAnsi="Arial" w:cs="Arial"/>
                              <w:sz w:val="20"/>
                            </w:rPr>
                            <w:t>safely discharged to a</w:t>
                          </w:r>
                          <w:r w:rsidRPr="00CC1928">
                            <w:rPr>
                              <w:rFonts w:ascii="Arial" w:hAnsi="Arial" w:cs="Arial"/>
                              <w:sz w:val="20"/>
                            </w:rPr>
                            <w:t xml:space="preserve"> community </w:t>
                          </w:r>
                          <w:r>
                            <w:rPr>
                              <w:rFonts w:ascii="Arial" w:hAnsi="Arial" w:cs="Arial"/>
                              <w:b/>
                              <w:sz w:val="20"/>
                            </w:rPr>
                            <w:t xml:space="preserve">participating </w:t>
                          </w:r>
                          <w:r w:rsidRPr="00CC1928">
                            <w:rPr>
                              <w:rFonts w:ascii="Arial" w:hAnsi="Arial" w:cs="Arial"/>
                              <w:b/>
                              <w:sz w:val="20"/>
                            </w:rPr>
                            <w:t>optometrist</w:t>
                          </w:r>
                          <w:r w:rsidRPr="00CC1928">
                            <w:rPr>
                              <w:rFonts w:ascii="Arial" w:hAnsi="Arial" w:cs="Arial"/>
                              <w:sz w:val="20"/>
                            </w:rPr>
                            <w:t xml:space="preserve"> of patient’s choice for glaucoma monitoring re-assessment every 12-18 months (NICE Guideline 81).  </w:t>
                          </w:r>
                          <w:r w:rsidRPr="00CC1928">
                            <w:rPr>
                              <w:rFonts w:ascii="Arial" w:hAnsi="Arial" w:cs="Arial"/>
                              <w:b/>
                              <w:sz w:val="20"/>
                            </w:rPr>
                            <w:t xml:space="preserve">DBTH NHS FT </w:t>
                          </w:r>
                          <w:r w:rsidRPr="00CC1928">
                            <w:rPr>
                              <w:rFonts w:ascii="Arial" w:hAnsi="Arial" w:cs="Arial"/>
                              <w:sz w:val="20"/>
                            </w:rPr>
                            <w:t xml:space="preserve">will send a discharge letter with the clinical history and recommended individual monitoring plan to the </w:t>
                          </w:r>
                          <w:r>
                            <w:rPr>
                              <w:rFonts w:ascii="Arial" w:hAnsi="Arial" w:cs="Arial"/>
                              <w:b/>
                              <w:sz w:val="20"/>
                            </w:rPr>
                            <w:t xml:space="preserve">participating </w:t>
                          </w:r>
                          <w:r w:rsidRPr="00CC1928">
                            <w:rPr>
                              <w:rFonts w:ascii="Arial" w:hAnsi="Arial" w:cs="Arial"/>
                              <w:b/>
                              <w:sz w:val="20"/>
                            </w:rPr>
                            <w:t>optometrist</w:t>
                          </w:r>
                          <w:r w:rsidRPr="00CC1928">
                            <w:rPr>
                              <w:rFonts w:ascii="Arial" w:hAnsi="Arial" w:cs="Arial"/>
                              <w:sz w:val="20"/>
                            </w:rPr>
                            <w:t xml:space="preserve"> and a copy to the patient’s registered GP informing them of the change. </w:t>
                          </w:r>
                        </w:p>
                      </w:txbxContent>
                    </v:textbox>
                  </v:shape>
                  <v:shape id="Text Box 20" o:spid="_x0000_s1029" type="#_x0000_t202" style="position:absolute;left:3014;top:19759;width:55755;height:8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0h8QA&#10;AADbAAAADwAAAGRycy9kb3ducmV2LnhtbESPwW7CMAyG70i8Q2QkbpCuSGPrCAgBk3ZkHduuXmPa&#10;ao1TNRkUnh4fJnG0fv+fPy9WvWvUibpQezbwME1AERfe1lwaOHy8Tp5AhYhssfFMBi4UYLUcDhaY&#10;WX/mdzrlsVQC4ZChgSrGNtM6FBU5DFPfEkt29J3DKGNXatvhWeCu0WmSPGqHNcuFClvaVFT85n9O&#10;NNLvw2y7z2k+x5/Zdnf9fD5+NcaMR/36BVSkPt6X/9tv1kAq9vKLAE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cNIfEAAAA2wAAAA8AAAAAAAAAAAAAAAAAmAIAAGRycy9k&#10;b3ducmV2LnhtbFBLBQYAAAAABAAEAPUAAACJAwAAAAA=&#10;" filled="f">
                    <v:textbox>
                      <w:txbxContent>
                        <w:p w:rsidR="0096502C" w:rsidRDefault="0096502C" w:rsidP="00CC1928">
                          <w:pPr>
                            <w:spacing w:after="0"/>
                            <w:jc w:val="both"/>
                            <w:rPr>
                              <w:rFonts w:ascii="Arial" w:hAnsi="Arial" w:cs="Arial"/>
                              <w:sz w:val="20"/>
                            </w:rPr>
                          </w:pPr>
                          <w:r w:rsidRPr="00CC1928">
                            <w:rPr>
                              <w:rFonts w:ascii="Arial" w:hAnsi="Arial" w:cs="Arial"/>
                              <w:sz w:val="20"/>
                            </w:rPr>
                            <w:t xml:space="preserve">The chosen </w:t>
                          </w:r>
                          <w:r>
                            <w:rPr>
                              <w:rFonts w:ascii="Arial" w:hAnsi="Arial" w:cs="Arial"/>
                              <w:b/>
                              <w:sz w:val="20"/>
                            </w:rPr>
                            <w:t>participating</w:t>
                          </w:r>
                          <w:r w:rsidRPr="00CC1928">
                            <w:rPr>
                              <w:rFonts w:ascii="Arial" w:hAnsi="Arial" w:cs="Arial"/>
                              <w:b/>
                              <w:sz w:val="20"/>
                            </w:rPr>
                            <w:t xml:space="preserve"> optometrist</w:t>
                          </w:r>
                          <w:r w:rsidRPr="00CC1928">
                            <w:rPr>
                              <w:rFonts w:ascii="Arial" w:hAnsi="Arial" w:cs="Arial"/>
                              <w:sz w:val="20"/>
                            </w:rPr>
                            <w:t xml:space="preserve"> w</w:t>
                          </w:r>
                          <w:r>
                            <w:rPr>
                              <w:rFonts w:ascii="Arial" w:hAnsi="Arial" w:cs="Arial"/>
                              <w:sz w:val="20"/>
                            </w:rPr>
                            <w:t>ill contact the patient within 5</w:t>
                          </w:r>
                          <w:r w:rsidRPr="00CC1928">
                            <w:rPr>
                              <w:rFonts w:ascii="Arial" w:hAnsi="Arial" w:cs="Arial"/>
                              <w:sz w:val="20"/>
                            </w:rPr>
                            <w:t xml:space="preserve"> working days to</w:t>
                          </w:r>
                          <w:r>
                            <w:rPr>
                              <w:rFonts w:ascii="Arial" w:hAnsi="Arial" w:cs="Arial"/>
                              <w:sz w:val="20"/>
                            </w:rPr>
                            <w:t xml:space="preserve"> confirm</w:t>
                          </w:r>
                          <w:r w:rsidRPr="00CC1928">
                            <w:rPr>
                              <w:rFonts w:ascii="Arial" w:hAnsi="Arial" w:cs="Arial"/>
                              <w:sz w:val="20"/>
                            </w:rPr>
                            <w:t>:</w:t>
                          </w:r>
                        </w:p>
                        <w:p w:rsidR="0096502C" w:rsidRPr="00CC1928" w:rsidRDefault="0096502C" w:rsidP="00CC1928">
                          <w:pPr>
                            <w:spacing w:after="0"/>
                            <w:jc w:val="both"/>
                            <w:rPr>
                              <w:rFonts w:ascii="Arial" w:hAnsi="Arial" w:cs="Arial"/>
                              <w:sz w:val="20"/>
                            </w:rPr>
                          </w:pPr>
                        </w:p>
                        <w:p w:rsidR="0096502C" w:rsidRPr="00CC1928" w:rsidRDefault="0096502C" w:rsidP="00CC1928">
                          <w:pPr>
                            <w:numPr>
                              <w:ilvl w:val="0"/>
                              <w:numId w:val="12"/>
                            </w:numPr>
                            <w:spacing w:after="0"/>
                            <w:jc w:val="both"/>
                            <w:rPr>
                              <w:rFonts w:ascii="Arial" w:hAnsi="Arial" w:cs="Arial"/>
                              <w:sz w:val="20"/>
                            </w:rPr>
                          </w:pPr>
                          <w:r w:rsidRPr="00CC1928">
                            <w:rPr>
                              <w:rFonts w:ascii="Arial" w:hAnsi="Arial" w:cs="Arial"/>
                              <w:sz w:val="20"/>
                            </w:rPr>
                            <w:t xml:space="preserve">receipt of the referral; and </w:t>
                          </w:r>
                        </w:p>
                        <w:p w:rsidR="0096502C" w:rsidRDefault="0096502C" w:rsidP="00563B2D">
                          <w:pPr>
                            <w:numPr>
                              <w:ilvl w:val="0"/>
                              <w:numId w:val="12"/>
                            </w:numPr>
                            <w:spacing w:after="0"/>
                            <w:jc w:val="both"/>
                            <w:rPr>
                              <w:rFonts w:ascii="Arial" w:hAnsi="Arial" w:cs="Arial"/>
                              <w:sz w:val="20"/>
                            </w:rPr>
                          </w:pPr>
                          <w:r>
                            <w:rPr>
                              <w:rFonts w:ascii="Arial" w:hAnsi="Arial" w:cs="Arial"/>
                              <w:sz w:val="20"/>
                            </w:rPr>
                            <w:t>that</w:t>
                          </w:r>
                          <w:r w:rsidRPr="009A5D5C">
                            <w:rPr>
                              <w:rFonts w:ascii="Arial" w:hAnsi="Arial" w:cs="Arial"/>
                              <w:sz w:val="20"/>
                            </w:rPr>
                            <w:t xml:space="preserve"> a monitoring appointment </w:t>
                          </w:r>
                          <w:r>
                            <w:rPr>
                              <w:rFonts w:ascii="Arial" w:hAnsi="Arial" w:cs="Arial"/>
                              <w:sz w:val="20"/>
                            </w:rPr>
                            <w:t>(due in approximately 12-18 months’ time) will be made in due course</w:t>
                          </w:r>
                        </w:p>
                        <w:p w:rsidR="0096502C" w:rsidRPr="00CC1928" w:rsidRDefault="0096502C" w:rsidP="006D0A28">
                          <w:pPr>
                            <w:spacing w:after="0"/>
                            <w:ind w:left="360"/>
                            <w:jc w:val="both"/>
                            <w:rPr>
                              <w:rFonts w:ascii="Arial" w:hAnsi="Arial" w:cs="Arial"/>
                              <w:sz w:val="20"/>
                            </w:rPr>
                          </w:pPr>
                        </w:p>
                      </w:txbxContent>
                    </v:textbox>
                  </v:shape>
                  <v:line id="Straight Connector 22" o:spid="_x0000_s1030" style="position:absolute;flip:y;visibility:visible;mso-wrap-style:square" from="63246,16000" to="63246,69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bQEL0AAADbAAAADwAAAGRycy9kb3ducmV2LnhtbESPzQrCMBCE74LvEFbwpqmFilajiCB4&#10;tXrQ29KsbbHZlCZq9emNIHgcvvlhluvO1OJBrassK5iMIxDEudUVFwpOx91oBsJ5ZI21ZVLwIgfr&#10;Vb+3xFTbJx/okflChBJ2KSoovW9SKV1ekkE3tg1xYFfbGvRBtoXULT5DuallHEVTabDisFBiQ9uS&#10;8lt2NwqyyzYx7/f87G9ZADRLuvqYKDUcdJsFCE+d/5t/6b1WEMfw/RJ+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CW0BC9AAAA2wAAAA8AAAAAAAAAAAAAAAAAoQIA&#10;AGRycy9kb3ducmV2LnhtbFBLBQYAAAAABAAEAPkAAACLAwAAAAA=&#10;" strokeweight="5pt">
                    <v:stroke endarrow="block"/>
                  </v:line>
                  <v:line id="Straight Connector 21" o:spid="_x0000_s1031" style="position:absolute;visibility:visible;mso-wrap-style:square" from="30861,15917" to="30861,19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qm7cEAAADbAAAADwAAAGRycy9kb3ducmV2LnhtbESPwarCMBRE9w/8h3AFd89UFyLVKCo8&#10;nkutfsBtc22rzU1tYq1+vREEl8PMnGHmy85UoqXGlZYVjIYRCOLM6pJzBcfD3+8UhPPIGivLpOBB&#10;DpaL3s8cY23vvKc28bkIEHYxKii8r2MpXVaQQTe0NXHwTrYx6INscqkbvAe4qeQ4iibSYMlhocCa&#10;NgVll+RmFNTHbHdtk6SS2/TZ6vT0NOv/s1KDfreagfDU+W/4095qBeMRvL+EH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6qbtwQAAANsAAAAPAAAAAAAAAAAAAAAA&#10;AKECAABkcnMvZG93bnJldi54bWxQSwUGAAAAAAQABAD5AAAAjwMAAAAA&#10;" strokeweight="5pt">
                    <v:stroke endarrow="block"/>
                  </v:line>
                </v:group>
                <v:shape id="Text Box 14" o:spid="_x0000_s1032" type="#_x0000_t202" style="position:absolute;left:3471;top:32380;width:55755;height:16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4OcUA&#10;AADbAAAADwAAAGRycy9kb3ducmV2LnhtbESPzW7CMBCE70i8g7WVuBGngKAEHFSVVuoRUlquS7z5&#10;EfE6ig2EPn1dqVJvu5r5ZmfXm9404kqdqy0reIxiEMS51TWXCg4fb+MnEM4ja2wsk4I7Odikw8Ea&#10;E21vvKdr5ksRQtglqKDyvk2kdHlFBl1kW+KgFbYz6MPalVJ3eAvhppGTOJ5LgzWHCxW29FJRfs4u&#10;JtSYHA/T7S6jxQJP0+3r9+ey+GqUGj30zysQnnr/b/6j33XgZvD7Sx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g5xQAAANsAAAAPAAAAAAAAAAAAAAAAAJgCAABkcnMv&#10;ZG93bnJldi54bWxQSwUGAAAAAAQABAD1AAAAigMAAAAA&#10;" filled="f">
                  <v:textbox>
                    <w:txbxContent>
                      <w:p w:rsidR="0096502C" w:rsidRPr="006650AB" w:rsidRDefault="0096502C" w:rsidP="00CC1928">
                        <w:pPr>
                          <w:spacing w:after="0"/>
                          <w:jc w:val="both"/>
                          <w:rPr>
                            <w:rFonts w:ascii="Arial" w:hAnsi="Arial" w:cs="Arial"/>
                            <w:sz w:val="20"/>
                          </w:rPr>
                        </w:pPr>
                        <w:r w:rsidRPr="00CC1928">
                          <w:rPr>
                            <w:rFonts w:ascii="Arial" w:hAnsi="Arial" w:cs="Arial"/>
                            <w:sz w:val="20"/>
                          </w:rPr>
                          <w:t xml:space="preserve">The </w:t>
                        </w:r>
                        <w:r w:rsidR="00ED0844">
                          <w:rPr>
                            <w:rFonts w:ascii="Arial" w:hAnsi="Arial" w:cs="Arial"/>
                            <w:b/>
                            <w:sz w:val="20"/>
                          </w:rPr>
                          <w:t>participating</w:t>
                        </w:r>
                        <w:r w:rsidRPr="006650AB">
                          <w:rPr>
                            <w:rFonts w:ascii="Arial" w:hAnsi="Arial" w:cs="Arial"/>
                            <w:b/>
                            <w:sz w:val="20"/>
                          </w:rPr>
                          <w:t xml:space="preserve"> optometrist</w:t>
                        </w:r>
                        <w:r w:rsidRPr="006650AB">
                          <w:rPr>
                            <w:rFonts w:ascii="Arial" w:hAnsi="Arial" w:cs="Arial"/>
                            <w:sz w:val="20"/>
                          </w:rPr>
                          <w:t xml:space="preserve"> will undertake </w:t>
                        </w:r>
                        <w:r w:rsidR="00603776">
                          <w:rPr>
                            <w:rFonts w:ascii="Arial" w:hAnsi="Arial" w:cs="Arial"/>
                            <w:sz w:val="20"/>
                          </w:rPr>
                          <w:t>a</w:t>
                        </w:r>
                        <w:r w:rsidRPr="006650AB">
                          <w:rPr>
                            <w:rFonts w:ascii="Arial" w:hAnsi="Arial" w:cs="Arial"/>
                            <w:sz w:val="20"/>
                          </w:rPr>
                          <w:t xml:space="preserve"> monitoring appointment</w:t>
                        </w:r>
                        <w:r w:rsidR="00603776">
                          <w:rPr>
                            <w:rFonts w:ascii="Arial" w:hAnsi="Arial" w:cs="Arial"/>
                            <w:sz w:val="20"/>
                          </w:rPr>
                          <w:t xml:space="preserve"> within the 12-18 month timeframe.  </w:t>
                        </w:r>
                        <w:r w:rsidRPr="006650AB">
                          <w:rPr>
                            <w:rFonts w:ascii="Arial" w:hAnsi="Arial" w:cs="Arial"/>
                            <w:sz w:val="20"/>
                          </w:rPr>
                          <w:t>Monitoring tests include:</w:t>
                        </w:r>
                      </w:p>
                      <w:p w:rsidR="0096502C" w:rsidRPr="006650AB" w:rsidRDefault="0096502C" w:rsidP="00CC1928">
                        <w:pPr>
                          <w:spacing w:after="0"/>
                          <w:jc w:val="both"/>
                          <w:rPr>
                            <w:rFonts w:ascii="Arial" w:hAnsi="Arial" w:cs="Arial"/>
                            <w:sz w:val="20"/>
                          </w:rPr>
                        </w:pPr>
                      </w:p>
                      <w:p w:rsidR="0096502C" w:rsidRPr="004C04D2" w:rsidRDefault="0096502C" w:rsidP="006650AB">
                        <w:pPr>
                          <w:numPr>
                            <w:ilvl w:val="0"/>
                            <w:numId w:val="9"/>
                          </w:numPr>
                          <w:spacing w:after="0"/>
                          <w:jc w:val="both"/>
                          <w:rPr>
                            <w:rFonts w:ascii="Arial" w:hAnsi="Arial" w:cs="Arial"/>
                            <w:sz w:val="20"/>
                          </w:rPr>
                        </w:pPr>
                        <w:r w:rsidRPr="004C04D2">
                          <w:rPr>
                            <w:rFonts w:ascii="Arial" w:hAnsi="Arial" w:cs="Arial"/>
                            <w:sz w:val="20"/>
                          </w:rPr>
                          <w:t>Visual acuity (VA)</w:t>
                        </w:r>
                      </w:p>
                      <w:p w:rsidR="0096502C" w:rsidRPr="004C04D2" w:rsidRDefault="0096502C" w:rsidP="006650AB">
                        <w:pPr>
                          <w:numPr>
                            <w:ilvl w:val="0"/>
                            <w:numId w:val="9"/>
                          </w:numPr>
                          <w:spacing w:after="0"/>
                          <w:jc w:val="both"/>
                          <w:rPr>
                            <w:rFonts w:ascii="Arial" w:hAnsi="Arial" w:cs="Arial"/>
                            <w:sz w:val="20"/>
                          </w:rPr>
                        </w:pPr>
                        <w:r w:rsidRPr="004C04D2">
                          <w:rPr>
                            <w:rFonts w:ascii="Arial" w:hAnsi="Arial" w:cs="Arial"/>
                            <w:sz w:val="20"/>
                          </w:rPr>
                          <w:t xml:space="preserve">Intraocular pressures (IOP) using </w:t>
                        </w:r>
                        <w:proofErr w:type="spellStart"/>
                        <w:r w:rsidRPr="004C04D2">
                          <w:rPr>
                            <w:rFonts w:ascii="Arial" w:hAnsi="Arial" w:cs="Arial"/>
                            <w:sz w:val="20"/>
                          </w:rPr>
                          <w:t>Goldmann</w:t>
                        </w:r>
                        <w:proofErr w:type="spellEnd"/>
                        <w:r w:rsidRPr="004C04D2">
                          <w:rPr>
                            <w:rFonts w:ascii="Arial" w:hAnsi="Arial" w:cs="Arial"/>
                            <w:sz w:val="20"/>
                          </w:rPr>
                          <w:t xml:space="preserve"> type applanation tonometer</w:t>
                        </w:r>
                      </w:p>
                      <w:p w:rsidR="0096502C" w:rsidRPr="004C04D2" w:rsidRDefault="0096502C" w:rsidP="006650AB">
                        <w:pPr>
                          <w:numPr>
                            <w:ilvl w:val="0"/>
                            <w:numId w:val="9"/>
                          </w:numPr>
                          <w:spacing w:after="0"/>
                          <w:jc w:val="both"/>
                          <w:rPr>
                            <w:rFonts w:ascii="Arial" w:hAnsi="Arial" w:cs="Arial"/>
                            <w:sz w:val="20"/>
                          </w:rPr>
                        </w:pPr>
                        <w:r w:rsidRPr="004C04D2">
                          <w:rPr>
                            <w:rFonts w:ascii="Arial" w:hAnsi="Arial" w:cs="Arial"/>
                            <w:sz w:val="20"/>
                          </w:rPr>
                          <w:t xml:space="preserve">Assessment of the health </w:t>
                        </w:r>
                        <w:bookmarkStart w:id="1" w:name="_GoBack"/>
                        <w:bookmarkEnd w:id="1"/>
                        <w:r w:rsidRPr="004C04D2">
                          <w:rPr>
                            <w:rFonts w:ascii="Arial" w:hAnsi="Arial" w:cs="Arial"/>
                            <w:sz w:val="20"/>
                          </w:rPr>
                          <w:t>of the optic nerve head</w:t>
                        </w:r>
                      </w:p>
                      <w:p w:rsidR="0096502C" w:rsidRPr="004C04D2" w:rsidRDefault="0096502C" w:rsidP="006650AB">
                        <w:pPr>
                          <w:numPr>
                            <w:ilvl w:val="0"/>
                            <w:numId w:val="9"/>
                          </w:numPr>
                          <w:spacing w:after="0"/>
                          <w:jc w:val="both"/>
                          <w:rPr>
                            <w:rFonts w:ascii="Arial" w:hAnsi="Arial" w:cs="Arial"/>
                            <w:sz w:val="20"/>
                          </w:rPr>
                        </w:pPr>
                        <w:r w:rsidRPr="004C04D2">
                          <w:rPr>
                            <w:rFonts w:ascii="Arial" w:hAnsi="Arial" w:cs="Arial"/>
                            <w:sz w:val="20"/>
                          </w:rPr>
                          <w:t xml:space="preserve">Visual Field test results </w:t>
                        </w:r>
                        <w:r w:rsidR="00AC0CC3" w:rsidRPr="004C04D2">
                          <w:rPr>
                            <w:rFonts w:ascii="Arial" w:hAnsi="Arial" w:cs="Arial"/>
                            <w:sz w:val="20"/>
                          </w:rPr>
                          <w:t xml:space="preserve">using the Heidelberg </w:t>
                        </w:r>
                        <w:proofErr w:type="spellStart"/>
                        <w:r w:rsidR="00AC0CC3" w:rsidRPr="004C04D2">
                          <w:rPr>
                            <w:rFonts w:ascii="Arial" w:hAnsi="Arial" w:cs="Arial"/>
                            <w:sz w:val="20"/>
                          </w:rPr>
                          <w:t>Spectralis</w:t>
                        </w:r>
                        <w:proofErr w:type="spellEnd"/>
                        <w:r w:rsidR="00AC0CC3" w:rsidRPr="004C04D2">
                          <w:rPr>
                            <w:rFonts w:ascii="Arial" w:hAnsi="Arial" w:cs="Arial"/>
                            <w:sz w:val="20"/>
                          </w:rPr>
                          <w:t xml:space="preserve"> OCT machine (the same equipment used by DBTH for a more accurate and reliable comparison)</w:t>
                        </w:r>
                      </w:p>
                      <w:p w:rsidR="0096502C" w:rsidRDefault="0096502C" w:rsidP="006650AB">
                        <w:pPr>
                          <w:numPr>
                            <w:ilvl w:val="0"/>
                            <w:numId w:val="9"/>
                          </w:numPr>
                          <w:spacing w:after="0"/>
                          <w:jc w:val="both"/>
                          <w:rPr>
                            <w:rFonts w:ascii="Arial" w:hAnsi="Arial" w:cs="Arial"/>
                            <w:sz w:val="20"/>
                          </w:rPr>
                        </w:pPr>
                        <w:r w:rsidRPr="006650AB">
                          <w:rPr>
                            <w:rFonts w:ascii="Arial" w:hAnsi="Arial" w:cs="Arial"/>
                            <w:sz w:val="20"/>
                          </w:rPr>
                          <w:t>Comparison of Disc Photos (if any are available)</w:t>
                        </w:r>
                      </w:p>
                      <w:p w:rsidR="00603776" w:rsidRPr="006650AB" w:rsidRDefault="00603776" w:rsidP="00603776">
                        <w:pPr>
                          <w:spacing w:after="0"/>
                          <w:jc w:val="both"/>
                          <w:rPr>
                            <w:rFonts w:ascii="Arial" w:hAnsi="Arial" w:cs="Arial"/>
                            <w:sz w:val="20"/>
                          </w:rPr>
                        </w:pPr>
                      </w:p>
                    </w:txbxContent>
                  </v:textbox>
                </v:shape>
                <v:shape id="Text Box 18" o:spid="_x0000_s1033" type="#_x0000_t202" style="position:absolute;left:3471;top:69342;width:63246;height:16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96502C" w:rsidRDefault="0096502C" w:rsidP="00CC1928">
                        <w:pPr>
                          <w:spacing w:after="0"/>
                          <w:jc w:val="both"/>
                          <w:rPr>
                            <w:rFonts w:ascii="Arial" w:hAnsi="Arial" w:cs="Arial"/>
                            <w:sz w:val="20"/>
                          </w:rPr>
                        </w:pPr>
                        <w:r w:rsidRPr="00CC1928">
                          <w:rPr>
                            <w:rFonts w:ascii="Arial" w:hAnsi="Arial" w:cs="Arial"/>
                            <w:sz w:val="20"/>
                          </w:rPr>
                          <w:t xml:space="preserve">At 2 years after initial discharge all patients are to be </w:t>
                        </w:r>
                        <w:r w:rsidRPr="00CC1928">
                          <w:rPr>
                            <w:rFonts w:ascii="Arial" w:hAnsi="Arial" w:cs="Arial"/>
                            <w:b/>
                            <w:sz w:val="20"/>
                          </w:rPr>
                          <w:t xml:space="preserve">referred back to secondary care </w:t>
                        </w:r>
                        <w:r w:rsidRPr="00CC1928">
                          <w:rPr>
                            <w:rFonts w:ascii="Arial" w:hAnsi="Arial" w:cs="Arial"/>
                            <w:sz w:val="20"/>
                          </w:rPr>
                          <w:t>as new patients to undergo a full HES assessment.  The assessment will look at the following parameters:</w:t>
                        </w:r>
                      </w:p>
                      <w:p w:rsidR="0096502C" w:rsidRDefault="0096502C" w:rsidP="00881D32">
                        <w:pPr>
                          <w:spacing w:after="0"/>
                          <w:jc w:val="both"/>
                          <w:rPr>
                            <w:rFonts w:ascii="Arial" w:hAnsi="Arial" w:cs="Arial"/>
                            <w:sz w:val="20"/>
                          </w:rPr>
                        </w:pPr>
                      </w:p>
                      <w:p w:rsidR="0096502C" w:rsidRPr="009A5D5C" w:rsidRDefault="0096502C" w:rsidP="00881D32">
                        <w:pPr>
                          <w:spacing w:after="0"/>
                          <w:jc w:val="both"/>
                          <w:rPr>
                            <w:rFonts w:ascii="Arial" w:hAnsi="Arial" w:cs="Arial"/>
                            <w:sz w:val="20"/>
                          </w:rPr>
                        </w:pPr>
                        <w:r>
                          <w:rPr>
                            <w:rFonts w:ascii="Arial" w:hAnsi="Arial" w:cs="Arial"/>
                            <w:sz w:val="20"/>
                          </w:rPr>
                          <w:t>The</w:t>
                        </w:r>
                        <w:r w:rsidRPr="009A5D5C">
                          <w:rPr>
                            <w:rFonts w:ascii="Arial" w:hAnsi="Arial" w:cs="Arial"/>
                            <w:sz w:val="20"/>
                          </w:rPr>
                          <w:t xml:space="preserve"> data </w:t>
                        </w:r>
                        <w:r>
                          <w:rPr>
                            <w:rFonts w:ascii="Arial" w:hAnsi="Arial" w:cs="Arial"/>
                            <w:sz w:val="20"/>
                          </w:rPr>
                          <w:t xml:space="preserve">collected </w:t>
                        </w:r>
                        <w:r w:rsidRPr="009A5D5C">
                          <w:rPr>
                            <w:rFonts w:ascii="Arial" w:hAnsi="Arial" w:cs="Arial"/>
                            <w:sz w:val="20"/>
                          </w:rPr>
                          <w:t xml:space="preserve">will be compared to all previous assessments undertaken over a full 4 year period.  This will include those assessments undertaken by the </w:t>
                        </w:r>
                        <w:r>
                          <w:rPr>
                            <w:rFonts w:ascii="Arial" w:hAnsi="Arial" w:cs="Arial"/>
                            <w:b/>
                            <w:sz w:val="20"/>
                          </w:rPr>
                          <w:t xml:space="preserve">participating </w:t>
                        </w:r>
                        <w:r w:rsidRPr="009A5D5C">
                          <w:rPr>
                            <w:rFonts w:ascii="Arial" w:hAnsi="Arial" w:cs="Arial"/>
                            <w:b/>
                            <w:sz w:val="20"/>
                          </w:rPr>
                          <w:t>optometrist</w:t>
                        </w:r>
                        <w:r w:rsidRPr="009A5D5C">
                          <w:rPr>
                            <w:rFonts w:ascii="Arial" w:hAnsi="Arial" w:cs="Arial"/>
                            <w:sz w:val="20"/>
                          </w:rPr>
                          <w:t xml:space="preserve"> in the community in the previous 2 years, plus those made at the point of initial discharge and any previous to that undertaken by secondary care that occurred within the 4 year period.</w:t>
                        </w:r>
                      </w:p>
                      <w:p w:rsidR="0096502C" w:rsidRDefault="0096502C" w:rsidP="00CC1928">
                        <w:pPr>
                          <w:spacing w:after="0"/>
                          <w:jc w:val="both"/>
                          <w:rPr>
                            <w:rFonts w:ascii="Arial" w:hAnsi="Arial" w:cs="Arial"/>
                            <w:sz w:val="20"/>
                          </w:rPr>
                        </w:pPr>
                      </w:p>
                      <w:p w:rsidR="00262887" w:rsidRPr="00CC1928" w:rsidRDefault="00262887" w:rsidP="00CC1928">
                        <w:pPr>
                          <w:spacing w:after="0"/>
                          <w:jc w:val="both"/>
                          <w:rPr>
                            <w:rFonts w:ascii="Arial" w:hAnsi="Arial" w:cs="Arial"/>
                            <w:sz w:val="20"/>
                          </w:rPr>
                        </w:pPr>
                        <w:r>
                          <w:rPr>
                            <w:rFonts w:ascii="Arial" w:hAnsi="Arial" w:cs="Arial"/>
                            <w:sz w:val="20"/>
                          </w:rPr>
                          <w:t xml:space="preserve">Note that patients can be discharged to a </w:t>
                        </w:r>
                        <w:r w:rsidRPr="00262887">
                          <w:rPr>
                            <w:rFonts w:ascii="Arial" w:hAnsi="Arial" w:cs="Arial"/>
                            <w:b/>
                            <w:sz w:val="20"/>
                          </w:rPr>
                          <w:t>participating optometrist</w:t>
                        </w:r>
                        <w:r>
                          <w:rPr>
                            <w:rFonts w:ascii="Arial" w:hAnsi="Arial" w:cs="Arial"/>
                            <w:sz w:val="20"/>
                          </w:rPr>
                          <w:t xml:space="preserve"> at this point again if they continue to meet the criteria for ‘stable glaucoma’.</w:t>
                        </w:r>
                      </w:p>
                    </w:txbxContent>
                  </v:textbox>
                </v:shape>
                <v:line id="Straight Connector 16" o:spid="_x0000_s1034" style="position:absolute;visibility:visible;mso-wrap-style:square" from="6891,48743" to="6891,69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0JL4AAADbAAAADwAAAGRycy9kb3ducmV2LnhtbERPzYrCMBC+C75DGMGbpnoQqUbZXRA9&#10;avUBps3Y1m0mtYm1+vRGELzNx/c7y3VnKtFS40rLCibjCARxZnXJuYLTcTOag3AeWWNlmRQ8yMF6&#10;1e8tMdb2zgdqE5+LEMIuRgWF93UspcsKMujGtiYO3Nk2Bn2ATS51g/cQbio5jaKZNFhyaCiwpr+C&#10;sv/kZhTUp2x/bZOkkrv02er0/DS/24tSw0H3swDhqfNf8ce902H+DN6/hAPk6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b/QkvgAAANsAAAAPAAAAAAAAAAAAAAAAAKEC&#10;AABkcnMvZG93bnJldi54bWxQSwUGAAAAAAQABAD5AAAAjAMAAAAA&#10;" strokeweight="5pt">
                  <v:stroke endarrow="block"/>
                </v:line>
                <v:shape id="Text Box 17" o:spid="_x0000_s1035" type="#_x0000_t202" style="position:absolute;left:9601;top:52578;width:49625;height: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lmTsQA&#10;AADbAAAADwAAAGRycy9kb3ducmV2LnhtbESPT2vCQBDF74LfYRnBW92o0NjoRqRW8GhTba/T7OQP&#10;ZmdDdtXUT98tFLzN8N7vzZvVujeNuFLnassKppMIBHFudc2lguPH7mkBwnlkjY1lUvBDDtbpcLDC&#10;RNsbv9M186UIIewSVFB53yZSurwig25iW+KgFbYz6MPalVJ3eAvhppGzKHqWBmsOFyps6bWi/Jxd&#10;TKgx+zrOt4eM4hi/59u3++ml+GyUGo/6zRKEp94/zP/0Xgcuhr9fwgA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Zk7EAAAA2wAAAA8AAAAAAAAAAAAAAAAAmAIAAGRycy9k&#10;b3ducmV2LnhtbFBLBQYAAAAABAAEAPUAAACJAwAAAAA=&#10;" filled="f">
                  <v:textbox>
                    <w:txbxContent>
                      <w:p w:rsidR="0096502C" w:rsidRPr="00693DDE" w:rsidRDefault="0096502C" w:rsidP="00CC1928">
                        <w:pPr>
                          <w:jc w:val="both"/>
                          <w:rPr>
                            <w:rFonts w:ascii="Arial" w:hAnsi="Arial" w:cs="Arial"/>
                            <w:b/>
                            <w:i/>
                            <w:sz w:val="20"/>
                          </w:rPr>
                        </w:pPr>
                        <w:r w:rsidRPr="00CC1928">
                          <w:rPr>
                            <w:rFonts w:ascii="Arial" w:hAnsi="Arial" w:cs="Arial"/>
                            <w:b/>
                            <w:sz w:val="20"/>
                          </w:rPr>
                          <w:t xml:space="preserve">If </w:t>
                        </w:r>
                        <w:r w:rsidRPr="00693DDE">
                          <w:rPr>
                            <w:rFonts w:ascii="Arial" w:hAnsi="Arial" w:cs="Arial"/>
                            <w:b/>
                            <w:sz w:val="20"/>
                          </w:rPr>
                          <w:t xml:space="preserve">monitoring findings include:  </w:t>
                        </w:r>
                      </w:p>
                      <w:p w:rsidR="0096502C" w:rsidRPr="00693DDE" w:rsidRDefault="0096502C" w:rsidP="00CC1928">
                        <w:pPr>
                          <w:numPr>
                            <w:ilvl w:val="0"/>
                            <w:numId w:val="9"/>
                          </w:numPr>
                          <w:spacing w:after="0"/>
                          <w:jc w:val="both"/>
                          <w:rPr>
                            <w:rFonts w:ascii="Arial" w:hAnsi="Arial" w:cs="Arial"/>
                            <w:b/>
                            <w:i/>
                            <w:sz w:val="20"/>
                          </w:rPr>
                        </w:pPr>
                        <w:r w:rsidRPr="00693DDE">
                          <w:rPr>
                            <w:rFonts w:ascii="Arial" w:hAnsi="Arial" w:cs="Arial"/>
                            <w:sz w:val="20"/>
                          </w:rPr>
                          <w:t xml:space="preserve">Intraocular pressure levels outside of the parameters set by the consultant </w:t>
                        </w:r>
                      </w:p>
                      <w:p w:rsidR="0096502C" w:rsidRPr="00693DDE" w:rsidRDefault="0096502C" w:rsidP="00CC1928">
                        <w:pPr>
                          <w:numPr>
                            <w:ilvl w:val="0"/>
                            <w:numId w:val="9"/>
                          </w:numPr>
                          <w:spacing w:after="0"/>
                          <w:jc w:val="both"/>
                          <w:rPr>
                            <w:rFonts w:ascii="Arial" w:hAnsi="Arial" w:cs="Arial"/>
                            <w:sz w:val="20"/>
                          </w:rPr>
                        </w:pPr>
                        <w:r w:rsidRPr="00693DDE">
                          <w:rPr>
                            <w:rFonts w:ascii="Arial" w:hAnsi="Arial" w:cs="Arial"/>
                            <w:sz w:val="20"/>
                          </w:rPr>
                          <w:t>Visual Field damage</w:t>
                        </w:r>
                        <w:r w:rsidRPr="00693DDE">
                          <w:rPr>
                            <w:rFonts w:ascii="Arial" w:hAnsi="Arial" w:cs="Arial"/>
                            <w:sz w:val="20"/>
                          </w:rPr>
                          <w:tab/>
                        </w:r>
                        <w:r w:rsidRPr="00693DDE">
                          <w:rPr>
                            <w:rFonts w:ascii="Arial" w:hAnsi="Arial" w:cs="Arial"/>
                            <w:sz w:val="20"/>
                          </w:rPr>
                          <w:tab/>
                          <w:t xml:space="preserve"> </w:t>
                        </w:r>
                      </w:p>
                      <w:p w:rsidR="0096502C" w:rsidRPr="00CC1928" w:rsidRDefault="0096502C" w:rsidP="00CC1928">
                        <w:pPr>
                          <w:numPr>
                            <w:ilvl w:val="0"/>
                            <w:numId w:val="9"/>
                          </w:numPr>
                          <w:spacing w:after="0"/>
                          <w:jc w:val="both"/>
                          <w:rPr>
                            <w:rFonts w:ascii="Arial" w:hAnsi="Arial" w:cs="Arial"/>
                            <w:b/>
                            <w:i/>
                            <w:sz w:val="20"/>
                          </w:rPr>
                        </w:pPr>
                        <w:r w:rsidRPr="00693DDE">
                          <w:rPr>
                            <w:rFonts w:ascii="Arial" w:hAnsi="Arial" w:cs="Arial"/>
                            <w:sz w:val="20"/>
                          </w:rPr>
                          <w:t>Optic Nerve</w:t>
                        </w:r>
                        <w:r w:rsidRPr="00CC1928">
                          <w:rPr>
                            <w:rFonts w:ascii="Arial" w:hAnsi="Arial" w:cs="Arial"/>
                            <w:sz w:val="20"/>
                          </w:rPr>
                          <w:t xml:space="preserve"> Head damage               </w:t>
                        </w:r>
                      </w:p>
                      <w:p w:rsidR="0096502C" w:rsidRDefault="0096502C" w:rsidP="00973C27">
                        <w:pPr>
                          <w:spacing w:after="0"/>
                          <w:jc w:val="both"/>
                          <w:rPr>
                            <w:rFonts w:ascii="Arial" w:hAnsi="Arial" w:cs="Arial"/>
                            <w:b/>
                            <w:i/>
                            <w:sz w:val="20"/>
                          </w:rPr>
                        </w:pPr>
                      </w:p>
                      <w:p w:rsidR="0096502C" w:rsidRPr="00444E27" w:rsidRDefault="0096502C" w:rsidP="00CC1928">
                        <w:pPr>
                          <w:jc w:val="both"/>
                          <w:rPr>
                            <w:rFonts w:ascii="Arial" w:hAnsi="Arial" w:cs="Arial"/>
                            <w:b/>
                            <w:i/>
                            <w:sz w:val="20"/>
                          </w:rPr>
                        </w:pPr>
                        <w:r w:rsidRPr="00CC1928">
                          <w:rPr>
                            <w:rFonts w:ascii="Arial" w:hAnsi="Arial" w:cs="Arial"/>
                            <w:b/>
                            <w:i/>
                            <w:sz w:val="20"/>
                          </w:rPr>
                          <w:t>REFERRAL MUST BE MADE BACK TO SECONDARY CARE: Telephone access for Emergencies is available through the eye clinic or on-call via switchboard</w:t>
                        </w:r>
                        <w:r w:rsidR="00444E27">
                          <w:rPr>
                            <w:rFonts w:ascii="Arial" w:hAnsi="Arial" w:cs="Arial"/>
                            <w:b/>
                            <w:i/>
                            <w:sz w:val="20"/>
                          </w:rPr>
                          <w:t xml:space="preserve"> </w:t>
                        </w:r>
                        <w:r w:rsidR="00444E27" w:rsidRPr="00444E27">
                          <w:rPr>
                            <w:rFonts w:ascii="Arial" w:hAnsi="Arial" w:cs="Arial"/>
                            <w:b/>
                            <w:i/>
                            <w:sz w:val="20"/>
                          </w:rPr>
                          <w:t>01302 566666</w:t>
                        </w:r>
                      </w:p>
                    </w:txbxContent>
                  </v:textbox>
                </v:shape>
              </v:group>
            </w:pict>
          </mc:Fallback>
        </mc:AlternateContent>
      </w: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spacing w:after="0"/>
        <w:jc w:val="both"/>
        <w:rPr>
          <w:rFonts w:ascii="Arial" w:hAnsi="Arial" w:cs="Arial"/>
          <w:sz w:val="20"/>
        </w:rPr>
      </w:pPr>
    </w:p>
    <w:p w:rsidR="00CC1928" w:rsidRPr="009A5D5C" w:rsidRDefault="00CC1928" w:rsidP="0090593A">
      <w:pPr>
        <w:tabs>
          <w:tab w:val="left" w:pos="1365"/>
        </w:tabs>
        <w:spacing w:after="0"/>
        <w:jc w:val="both"/>
        <w:rPr>
          <w:rFonts w:ascii="Arial" w:hAnsi="Arial" w:cs="Arial"/>
          <w:sz w:val="20"/>
        </w:rPr>
      </w:pPr>
      <w:r w:rsidRPr="009A5D5C">
        <w:rPr>
          <w:rFonts w:ascii="Arial" w:hAnsi="Arial" w:cs="Arial"/>
          <w:sz w:val="20"/>
        </w:rPr>
        <w:tab/>
      </w:r>
    </w:p>
    <w:p w:rsidR="00CC1928" w:rsidRPr="009A5D5C" w:rsidRDefault="00CC1928" w:rsidP="0090593A">
      <w:pPr>
        <w:tabs>
          <w:tab w:val="left" w:pos="1365"/>
        </w:tabs>
        <w:spacing w:after="0"/>
        <w:jc w:val="both"/>
        <w:rPr>
          <w:rFonts w:ascii="Arial" w:hAnsi="Arial" w:cs="Arial"/>
          <w:sz w:val="20"/>
        </w:rPr>
      </w:pPr>
    </w:p>
    <w:p w:rsidR="00CC1928" w:rsidRPr="009A5D5C" w:rsidRDefault="00CC1928" w:rsidP="0090593A">
      <w:pPr>
        <w:tabs>
          <w:tab w:val="left" w:pos="1365"/>
        </w:tabs>
        <w:spacing w:after="0"/>
        <w:jc w:val="both"/>
        <w:rPr>
          <w:rFonts w:ascii="Arial" w:hAnsi="Arial" w:cs="Arial"/>
          <w:sz w:val="20"/>
        </w:rPr>
      </w:pPr>
    </w:p>
    <w:p w:rsidR="00CC1928" w:rsidRPr="009A5D5C" w:rsidRDefault="00CC1928" w:rsidP="0090593A">
      <w:pPr>
        <w:tabs>
          <w:tab w:val="left" w:pos="1365"/>
        </w:tabs>
        <w:spacing w:after="0"/>
        <w:jc w:val="both"/>
        <w:rPr>
          <w:rFonts w:ascii="Arial" w:hAnsi="Arial" w:cs="Arial"/>
          <w:sz w:val="20"/>
        </w:rPr>
      </w:pPr>
    </w:p>
    <w:p w:rsidR="00CC1928" w:rsidRPr="009A5D5C" w:rsidRDefault="00CC1928" w:rsidP="0090593A">
      <w:pPr>
        <w:tabs>
          <w:tab w:val="left" w:pos="1365"/>
        </w:tabs>
        <w:spacing w:after="0"/>
        <w:jc w:val="both"/>
        <w:rPr>
          <w:rFonts w:ascii="Arial" w:hAnsi="Arial" w:cs="Arial"/>
          <w:sz w:val="20"/>
        </w:rPr>
      </w:pPr>
    </w:p>
    <w:p w:rsidR="00CC1928" w:rsidRDefault="00CC1928"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r>
        <w:rPr>
          <w:noProof/>
          <w:lang w:val="en-GB" w:eastAsia="en-GB"/>
        </w:rPr>
        <mc:AlternateContent>
          <mc:Choice Requires="wps">
            <w:drawing>
              <wp:anchor distT="0" distB="0" distL="114300" distR="114300" simplePos="0" relativeHeight="251670528" behindDoc="0" locked="0" layoutInCell="1" allowOverlap="1" wp14:anchorId="680315F4" wp14:editId="596E31D7">
                <wp:simplePos x="0" y="0"/>
                <wp:positionH relativeFrom="column">
                  <wp:posOffset>2613025</wp:posOffset>
                </wp:positionH>
                <wp:positionV relativeFrom="paragraph">
                  <wp:posOffset>6985</wp:posOffset>
                </wp:positionV>
                <wp:extent cx="0" cy="372745"/>
                <wp:effectExtent l="114300" t="0" r="95250" b="654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05.75pt,.55pt" to="205.7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" strokeweight="5pt">
                <v:stroke endarrow="block"/>
              </v:line>
            </w:pict>
          </mc:Fallback>
        </mc:AlternateContent>
      </w: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r>
        <w:rPr>
          <w:noProof/>
          <w:lang w:val="en-GB" w:eastAsia="en-GB"/>
        </w:rPr>
        <mc:AlternateContent>
          <mc:Choice Requires="wps">
            <w:drawing>
              <wp:anchor distT="0" distB="0" distL="114300" distR="114300" simplePos="0" relativeHeight="251672576" behindDoc="0" locked="0" layoutInCell="1" allowOverlap="1" wp14:anchorId="77CD7BD6" wp14:editId="2114BA0E">
                <wp:simplePos x="0" y="0"/>
                <wp:positionH relativeFrom="column">
                  <wp:posOffset>2665730</wp:posOffset>
                </wp:positionH>
                <wp:positionV relativeFrom="paragraph">
                  <wp:posOffset>112395</wp:posOffset>
                </wp:positionV>
                <wp:extent cx="0" cy="372745"/>
                <wp:effectExtent l="114300" t="0" r="95250" b="654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09.9pt,8.85pt" to="209.9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" strokeweight="5pt">
                <v:stroke endarrow="block"/>
              </v:line>
            </w:pict>
          </mc:Fallback>
        </mc:AlternateContent>
      </w: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262887">
      <w:pPr>
        <w:tabs>
          <w:tab w:val="left" w:pos="1365"/>
        </w:tabs>
        <w:spacing w:after="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262887" w:rsidRDefault="00262887" w:rsidP="0090593A">
      <w:pPr>
        <w:tabs>
          <w:tab w:val="left" w:pos="1365"/>
        </w:tabs>
        <w:spacing w:after="0"/>
        <w:ind w:left="-1260"/>
        <w:jc w:val="both"/>
        <w:rPr>
          <w:rFonts w:ascii="Arial" w:hAnsi="Arial" w:cs="Arial"/>
          <w:sz w:val="20"/>
        </w:rPr>
      </w:pPr>
    </w:p>
    <w:p w:rsidR="00802E01" w:rsidRPr="009A5D5C" w:rsidRDefault="00CC1928" w:rsidP="00802E01">
      <w:pPr>
        <w:spacing w:after="0"/>
        <w:jc w:val="both"/>
        <w:rPr>
          <w:rFonts w:ascii="Arial" w:hAnsi="Arial" w:cs="Arial"/>
          <w:b/>
          <w:sz w:val="20"/>
        </w:rPr>
      </w:pPr>
      <w:r w:rsidRPr="009A5D5C">
        <w:rPr>
          <w:rFonts w:ascii="Arial" w:eastAsia="Times New Roman" w:hAnsi="Arial" w:cs="Arial"/>
          <w:b/>
          <w:color w:val="7030A0"/>
          <w:sz w:val="20"/>
          <w:lang w:val="en-GB" w:eastAsia="en-GB"/>
        </w:rPr>
        <w:br w:type="page"/>
      </w:r>
      <w:r w:rsidR="00802E01" w:rsidRPr="009A5D5C">
        <w:rPr>
          <w:rFonts w:ascii="Arial" w:hAnsi="Arial" w:cs="Arial"/>
          <w:b/>
          <w:sz w:val="20"/>
        </w:rPr>
        <w:lastRenderedPageBreak/>
        <w:t>Equipment</w:t>
      </w:r>
    </w:p>
    <w:p w:rsidR="00802E01" w:rsidRPr="009A5D5C" w:rsidRDefault="00802E01" w:rsidP="00802E01">
      <w:pPr>
        <w:spacing w:after="0"/>
        <w:jc w:val="both"/>
        <w:rPr>
          <w:rFonts w:ascii="Arial" w:hAnsi="Arial" w:cs="Arial"/>
          <w:sz w:val="20"/>
        </w:rPr>
      </w:pPr>
    </w:p>
    <w:p w:rsidR="00802E01" w:rsidRPr="009A5D5C" w:rsidRDefault="00802E01" w:rsidP="00802E01">
      <w:pPr>
        <w:spacing w:after="0"/>
        <w:jc w:val="both"/>
        <w:rPr>
          <w:rFonts w:ascii="Arial" w:eastAsia="Times New Roman" w:hAnsi="Arial" w:cs="Arial"/>
          <w:sz w:val="20"/>
          <w:lang w:val="en-GB" w:eastAsia="en-GB"/>
        </w:rPr>
      </w:pPr>
      <w:bookmarkStart w:id="1" w:name="Text19"/>
      <w:r w:rsidRPr="009A5D5C">
        <w:rPr>
          <w:rFonts w:ascii="Arial" w:eastAsia="Times New Roman" w:hAnsi="Arial" w:cs="Arial"/>
          <w:sz w:val="20"/>
          <w:lang w:val="en-GB" w:eastAsia="en-GB"/>
        </w:rPr>
        <w:t xml:space="preserve">In line with NICE Guideline 81 and in order to capture any optical changes at each monitoring episode the </w:t>
      </w:r>
      <w:r w:rsidR="00771B20">
        <w:rPr>
          <w:rFonts w:ascii="Arial" w:hAnsi="Arial" w:cs="Arial"/>
          <w:b/>
          <w:sz w:val="20"/>
        </w:rPr>
        <w:t>participating</w:t>
      </w:r>
      <w:r w:rsidRPr="009A5D5C">
        <w:rPr>
          <w:rFonts w:ascii="Arial" w:hAnsi="Arial" w:cs="Arial"/>
          <w:b/>
          <w:sz w:val="20"/>
        </w:rPr>
        <w:t xml:space="preserve"> optometrist</w:t>
      </w:r>
      <w:r w:rsidRPr="009A5D5C">
        <w:rPr>
          <w:rFonts w:ascii="Arial" w:hAnsi="Arial" w:cs="Arial"/>
          <w:sz w:val="20"/>
        </w:rPr>
        <w:t xml:space="preserve"> will undertake the following assessments on the patient</w:t>
      </w:r>
      <w:r w:rsidRPr="009A5D5C">
        <w:rPr>
          <w:rFonts w:ascii="Arial" w:eastAsia="Times New Roman" w:hAnsi="Arial" w:cs="Arial"/>
          <w:sz w:val="20"/>
          <w:lang w:val="en-GB" w:eastAsia="en-GB"/>
        </w:rPr>
        <w:t>:</w:t>
      </w:r>
    </w:p>
    <w:p w:rsidR="00802E01" w:rsidRPr="009A5D5C" w:rsidRDefault="00802E01" w:rsidP="00802E01">
      <w:pPr>
        <w:spacing w:after="0"/>
        <w:jc w:val="both"/>
        <w:rPr>
          <w:rFonts w:ascii="Arial" w:eastAsia="Times New Roman" w:hAnsi="Arial" w:cs="Arial"/>
          <w:sz w:val="20"/>
          <w:lang w:val="en-GB" w:eastAsia="en-GB"/>
        </w:rPr>
      </w:pPr>
    </w:p>
    <w:bookmarkEnd w:id="1"/>
    <w:p w:rsidR="00802E01" w:rsidRPr="009A5D5C" w:rsidRDefault="00802E01" w:rsidP="00802E01">
      <w:pPr>
        <w:numPr>
          <w:ilvl w:val="0"/>
          <w:numId w:val="11"/>
        </w:numPr>
        <w:spacing w:after="0"/>
        <w:jc w:val="both"/>
        <w:rPr>
          <w:rFonts w:ascii="Arial" w:hAnsi="Arial" w:cs="Arial"/>
          <w:sz w:val="20"/>
        </w:rPr>
      </w:pPr>
      <w:r w:rsidRPr="009A5D5C">
        <w:rPr>
          <w:rFonts w:ascii="Arial" w:hAnsi="Arial" w:cs="Arial"/>
          <w:sz w:val="20"/>
        </w:rPr>
        <w:t>visual field assessment using standard automated perimetry (central thresholding test)</w:t>
      </w:r>
    </w:p>
    <w:p w:rsidR="00802E01" w:rsidRPr="009A5D5C" w:rsidRDefault="00802E01" w:rsidP="00802E01">
      <w:pPr>
        <w:numPr>
          <w:ilvl w:val="0"/>
          <w:numId w:val="11"/>
        </w:numPr>
        <w:spacing w:after="0"/>
        <w:jc w:val="both"/>
        <w:rPr>
          <w:rFonts w:ascii="Arial" w:hAnsi="Arial" w:cs="Arial"/>
          <w:sz w:val="20"/>
        </w:rPr>
      </w:pPr>
      <w:r w:rsidRPr="009A5D5C">
        <w:rPr>
          <w:rFonts w:ascii="Arial" w:hAnsi="Arial" w:cs="Arial"/>
          <w:sz w:val="20"/>
        </w:rPr>
        <w:t xml:space="preserve">optic nerve assessment and fundus examination using stereoscopic slit lamp </w:t>
      </w:r>
      <w:r w:rsidR="006650AB">
        <w:rPr>
          <w:rFonts w:ascii="Arial" w:hAnsi="Arial" w:cs="Arial"/>
          <w:sz w:val="20"/>
        </w:rPr>
        <w:t>biomicroscopy, with pupil dila</w:t>
      </w:r>
      <w:r w:rsidRPr="009A5D5C">
        <w:rPr>
          <w:rFonts w:ascii="Arial" w:hAnsi="Arial" w:cs="Arial"/>
          <w:sz w:val="20"/>
        </w:rPr>
        <w:t xml:space="preserve">tion </w:t>
      </w:r>
    </w:p>
    <w:p w:rsidR="00802E01" w:rsidRPr="009A5D5C" w:rsidRDefault="00802E01" w:rsidP="00802E01">
      <w:pPr>
        <w:numPr>
          <w:ilvl w:val="0"/>
          <w:numId w:val="11"/>
        </w:numPr>
        <w:spacing w:after="0"/>
        <w:jc w:val="both"/>
        <w:rPr>
          <w:rFonts w:ascii="Arial" w:hAnsi="Arial" w:cs="Arial"/>
          <w:sz w:val="20"/>
        </w:rPr>
      </w:pPr>
      <w:r w:rsidRPr="009A5D5C">
        <w:rPr>
          <w:rFonts w:ascii="Arial" w:hAnsi="Arial" w:cs="Arial"/>
          <w:sz w:val="20"/>
        </w:rPr>
        <w:t>IOP measurement using Goldmann</w:t>
      </w:r>
      <w:r w:rsidR="006650AB">
        <w:rPr>
          <w:rFonts w:ascii="Arial" w:hAnsi="Arial" w:cs="Arial"/>
          <w:sz w:val="20"/>
        </w:rPr>
        <w:t>-type</w:t>
      </w:r>
      <w:r w:rsidRPr="009A5D5C">
        <w:rPr>
          <w:rFonts w:ascii="Arial" w:hAnsi="Arial" w:cs="Arial"/>
          <w:sz w:val="20"/>
        </w:rPr>
        <w:t xml:space="preserve"> applanation tonometry (slit lamp mounted) </w:t>
      </w:r>
    </w:p>
    <w:p w:rsidR="00802E01" w:rsidRPr="00950BC4" w:rsidRDefault="00802E01" w:rsidP="00802E01">
      <w:pPr>
        <w:numPr>
          <w:ilvl w:val="0"/>
          <w:numId w:val="11"/>
        </w:numPr>
        <w:spacing w:after="0"/>
        <w:jc w:val="both"/>
        <w:rPr>
          <w:rFonts w:ascii="Arial" w:hAnsi="Arial" w:cs="Arial"/>
          <w:sz w:val="20"/>
        </w:rPr>
      </w:pPr>
      <w:r w:rsidRPr="00950BC4">
        <w:rPr>
          <w:rFonts w:ascii="Arial" w:hAnsi="Arial" w:cs="Arial"/>
          <w:sz w:val="20"/>
        </w:rPr>
        <w:t xml:space="preserve">peripheral anterior chamber configuration and depth assessments </w:t>
      </w:r>
      <w:r w:rsidR="006650AB" w:rsidRPr="00950BC4">
        <w:rPr>
          <w:rFonts w:ascii="Arial" w:hAnsi="Arial" w:cs="Arial"/>
          <w:sz w:val="20"/>
        </w:rPr>
        <w:t>e.g. Van Herick technique</w:t>
      </w:r>
    </w:p>
    <w:p w:rsidR="00802E01" w:rsidRPr="00950BC4" w:rsidRDefault="00950BC4" w:rsidP="00802E01">
      <w:pPr>
        <w:numPr>
          <w:ilvl w:val="0"/>
          <w:numId w:val="11"/>
        </w:numPr>
        <w:autoSpaceDE w:val="0"/>
        <w:autoSpaceDN w:val="0"/>
        <w:adjustRightInd w:val="0"/>
        <w:spacing w:after="0"/>
        <w:jc w:val="both"/>
        <w:rPr>
          <w:rFonts w:ascii="Arial" w:eastAsia="Times New Roman" w:hAnsi="Arial" w:cs="Arial"/>
          <w:bCs/>
          <w:sz w:val="20"/>
          <w:lang w:val="en-GB" w:eastAsia="en-GB"/>
        </w:rPr>
      </w:pPr>
      <w:r w:rsidRPr="00950BC4">
        <w:rPr>
          <w:rFonts w:ascii="Arial" w:eastAsia="Times New Roman" w:hAnsi="Arial" w:cs="Arial"/>
          <w:bCs/>
          <w:sz w:val="20"/>
          <w:lang w:val="en-GB" w:eastAsia="en-GB"/>
        </w:rPr>
        <w:t>Electronic field analyser</w:t>
      </w:r>
    </w:p>
    <w:p w:rsidR="00802E01" w:rsidRPr="009A5D5C" w:rsidRDefault="00802E01" w:rsidP="00802E01">
      <w:pPr>
        <w:tabs>
          <w:tab w:val="num" w:pos="2874"/>
        </w:tabs>
        <w:spacing w:after="0"/>
        <w:jc w:val="both"/>
        <w:outlineLvl w:val="2"/>
        <w:rPr>
          <w:rFonts w:ascii="Arial" w:eastAsia="Times New Roman" w:hAnsi="Arial" w:cs="Arial"/>
          <w:bCs/>
          <w:color w:val="7030A0"/>
          <w:sz w:val="20"/>
          <w:lang w:val="en-GB" w:eastAsia="en-US"/>
        </w:rPr>
      </w:pPr>
    </w:p>
    <w:p w:rsidR="00802E01" w:rsidRPr="00DF59E9" w:rsidRDefault="00802E01" w:rsidP="00802E01">
      <w:pPr>
        <w:spacing w:after="0"/>
        <w:jc w:val="both"/>
        <w:rPr>
          <w:rFonts w:ascii="Arial" w:eastAsia="Times New Roman" w:hAnsi="Arial" w:cs="Arial"/>
          <w:sz w:val="20"/>
          <w:lang w:val="en-GB" w:eastAsia="en-GB"/>
        </w:rPr>
      </w:pPr>
    </w:p>
    <w:p w:rsidR="00802E01" w:rsidRPr="00DF59E9" w:rsidRDefault="00802E01" w:rsidP="00802E01">
      <w:pPr>
        <w:spacing w:after="0"/>
        <w:jc w:val="both"/>
        <w:rPr>
          <w:rFonts w:ascii="Arial" w:eastAsia="Times New Roman" w:hAnsi="Arial" w:cs="Arial"/>
          <w:b/>
          <w:sz w:val="20"/>
          <w:lang w:val="en-GB" w:eastAsia="en-GB"/>
        </w:rPr>
      </w:pPr>
      <w:r w:rsidRPr="00DF59E9">
        <w:rPr>
          <w:rFonts w:ascii="Arial" w:eastAsia="Times New Roman" w:hAnsi="Arial" w:cs="Arial"/>
          <w:b/>
          <w:sz w:val="20"/>
          <w:lang w:val="en-GB" w:eastAsia="en-GB"/>
        </w:rPr>
        <w:t>Accreditation</w:t>
      </w:r>
    </w:p>
    <w:p w:rsidR="00802E01" w:rsidRPr="00DF59E9" w:rsidRDefault="00802E01" w:rsidP="00802E01">
      <w:pPr>
        <w:spacing w:after="0"/>
        <w:jc w:val="both"/>
        <w:rPr>
          <w:rFonts w:ascii="Arial" w:eastAsia="Times New Roman" w:hAnsi="Arial" w:cs="Arial"/>
          <w:b/>
          <w:sz w:val="20"/>
          <w:lang w:val="en-GB" w:eastAsia="en-GB"/>
        </w:rPr>
      </w:pPr>
    </w:p>
    <w:p w:rsidR="00802E01" w:rsidRPr="00DF59E9" w:rsidRDefault="00892B7A" w:rsidP="00892B7A">
      <w:pPr>
        <w:spacing w:after="0"/>
        <w:jc w:val="both"/>
        <w:rPr>
          <w:rFonts w:ascii="Arial" w:eastAsia="Times New Roman" w:hAnsi="Arial" w:cs="Arial"/>
          <w:sz w:val="20"/>
          <w:lang w:val="en-GB" w:eastAsia="en-GB"/>
        </w:rPr>
      </w:pPr>
      <w:r>
        <w:rPr>
          <w:rFonts w:ascii="Arial" w:eastAsia="Times New Roman" w:hAnsi="Arial" w:cs="Arial"/>
          <w:sz w:val="20"/>
          <w:lang w:val="en-GB" w:eastAsia="en-GB"/>
        </w:rPr>
        <w:t>In addition to the a</w:t>
      </w:r>
      <w:r w:rsidR="00802E01" w:rsidRPr="00DF59E9">
        <w:rPr>
          <w:rFonts w:ascii="Arial" w:eastAsia="Times New Roman" w:hAnsi="Arial" w:cs="Arial"/>
          <w:sz w:val="20"/>
          <w:lang w:val="en-GB" w:eastAsia="en-GB"/>
        </w:rPr>
        <w:t xml:space="preserve">ccreditation </w:t>
      </w:r>
      <w:r>
        <w:rPr>
          <w:rFonts w:ascii="Arial" w:eastAsia="Times New Roman" w:hAnsi="Arial" w:cs="Arial"/>
          <w:sz w:val="20"/>
          <w:lang w:val="en-GB" w:eastAsia="en-GB"/>
        </w:rPr>
        <w:t xml:space="preserve">requirements contained within the overarching specification, </w:t>
      </w:r>
      <w:r w:rsidR="00950BC4">
        <w:rPr>
          <w:rFonts w:ascii="Arial" w:eastAsia="Times New Roman" w:hAnsi="Arial" w:cs="Arial"/>
          <w:sz w:val="20"/>
          <w:lang w:val="en-GB" w:eastAsia="en-GB"/>
        </w:rPr>
        <w:t>participating</w:t>
      </w:r>
      <w:r w:rsidR="00802E01" w:rsidRPr="00DF59E9">
        <w:rPr>
          <w:rFonts w:ascii="Arial" w:eastAsia="Times New Roman" w:hAnsi="Arial" w:cs="Arial"/>
          <w:sz w:val="20"/>
          <w:lang w:val="en-GB" w:eastAsia="en-GB"/>
        </w:rPr>
        <w:t xml:space="preserve"> optometrists </w:t>
      </w:r>
      <w:r>
        <w:rPr>
          <w:rFonts w:ascii="Arial" w:eastAsia="Times New Roman" w:hAnsi="Arial" w:cs="Arial"/>
          <w:sz w:val="20"/>
          <w:lang w:val="en-GB" w:eastAsia="en-GB"/>
        </w:rPr>
        <w:t>must:</w:t>
      </w:r>
    </w:p>
    <w:p w:rsidR="00802E01" w:rsidRPr="00DF59E9" w:rsidRDefault="00802E01" w:rsidP="00802E01">
      <w:pPr>
        <w:spacing w:after="0"/>
        <w:jc w:val="both"/>
        <w:rPr>
          <w:rFonts w:ascii="Arial" w:eastAsia="Times New Roman" w:hAnsi="Arial" w:cs="Arial"/>
          <w:sz w:val="20"/>
          <w:lang w:val="en-GB" w:eastAsia="en-GB"/>
        </w:rPr>
      </w:pPr>
    </w:p>
    <w:p w:rsidR="00802E01" w:rsidRPr="00892B7A" w:rsidRDefault="00892B7A" w:rsidP="00802E01">
      <w:pPr>
        <w:pStyle w:val="ListParagraph"/>
        <w:numPr>
          <w:ilvl w:val="0"/>
          <w:numId w:val="10"/>
        </w:numPr>
        <w:spacing w:after="0"/>
        <w:jc w:val="both"/>
        <w:rPr>
          <w:rFonts w:ascii="Arial" w:eastAsia="Times New Roman" w:hAnsi="Arial" w:cs="Arial"/>
          <w:sz w:val="20"/>
          <w:lang w:val="en-GB" w:eastAsia="en-GB"/>
        </w:rPr>
      </w:pPr>
      <w:r>
        <w:rPr>
          <w:rFonts w:ascii="Arial" w:eastAsia="Times New Roman" w:hAnsi="Arial" w:cs="Arial"/>
          <w:sz w:val="20"/>
          <w:lang w:val="en-GB" w:eastAsia="en-GB"/>
        </w:rPr>
        <w:t>B</w:t>
      </w:r>
      <w:r w:rsidR="00802E01" w:rsidRPr="00DF59E9">
        <w:rPr>
          <w:rFonts w:ascii="Arial" w:eastAsia="Times New Roman" w:hAnsi="Arial" w:cs="Arial"/>
          <w:sz w:val="20"/>
          <w:lang w:val="en-GB" w:eastAsia="en-GB"/>
        </w:rPr>
        <w:t xml:space="preserve">e registered with </w:t>
      </w:r>
      <w:r w:rsidR="00802E01" w:rsidRPr="00DF59E9">
        <w:rPr>
          <w:rFonts w:ascii="Arial" w:eastAsia="Times New Roman" w:hAnsi="Arial" w:cs="Arial"/>
          <w:sz w:val="20"/>
          <w:lang w:eastAsia="en-GB"/>
        </w:rPr>
        <w:t>General Optical Council</w:t>
      </w:r>
      <w:r w:rsidR="00950BC4">
        <w:rPr>
          <w:rFonts w:ascii="Arial" w:eastAsia="Times New Roman" w:hAnsi="Arial" w:cs="Arial"/>
          <w:sz w:val="20"/>
          <w:lang w:eastAsia="en-GB"/>
        </w:rPr>
        <w:t xml:space="preserve"> (or General Medical Council for Ophthalmic Medical Practitioners)</w:t>
      </w:r>
      <w:r w:rsidR="00802E01" w:rsidRPr="00DF59E9">
        <w:rPr>
          <w:rFonts w:ascii="Arial" w:eastAsia="Times New Roman" w:hAnsi="Arial" w:cs="Arial"/>
          <w:sz w:val="20"/>
          <w:lang w:eastAsia="en-GB"/>
        </w:rPr>
        <w:t>, and have been registered for a minimum of 2 years</w:t>
      </w:r>
    </w:p>
    <w:p w:rsidR="00802E01" w:rsidRPr="00892B7A" w:rsidRDefault="00892B7A" w:rsidP="00802E01">
      <w:pPr>
        <w:pStyle w:val="ListParagraph"/>
        <w:numPr>
          <w:ilvl w:val="0"/>
          <w:numId w:val="10"/>
        </w:numPr>
        <w:spacing w:after="0"/>
        <w:jc w:val="both"/>
        <w:rPr>
          <w:rFonts w:ascii="Arial" w:eastAsia="Times New Roman" w:hAnsi="Arial" w:cs="Arial"/>
          <w:sz w:val="20"/>
          <w:lang w:val="en-GB" w:eastAsia="en-GB"/>
        </w:rPr>
      </w:pPr>
      <w:r>
        <w:rPr>
          <w:rFonts w:ascii="Arial" w:eastAsia="Times New Roman" w:hAnsi="Arial" w:cs="Arial"/>
          <w:sz w:val="20"/>
          <w:lang w:val="en-GB" w:eastAsia="en-GB"/>
        </w:rPr>
        <w:t>B</w:t>
      </w:r>
      <w:r w:rsidRPr="00892B7A">
        <w:rPr>
          <w:rFonts w:ascii="Arial" w:eastAsia="Times New Roman" w:hAnsi="Arial" w:cs="Arial"/>
          <w:sz w:val="20"/>
          <w:lang w:val="en-GB" w:eastAsia="en-GB"/>
        </w:rPr>
        <w:t xml:space="preserve">e awarded by the completion and achievement (a pass) of the agreed training package as supplied and approved by LOCSU i.e. </w:t>
      </w:r>
      <w:r w:rsidR="00802E01" w:rsidRPr="00892B7A">
        <w:rPr>
          <w:rFonts w:ascii="Arial" w:eastAsia="Times New Roman" w:hAnsi="Arial" w:cs="Arial"/>
          <w:sz w:val="20"/>
          <w:lang w:val="en-GB" w:eastAsia="en-GB"/>
        </w:rPr>
        <w:t>the LOCSU / WOPEC training (level I and level II) or have passed a Diploma in Glaucoma Management and have been assessed as competent within the last 12 months</w:t>
      </w:r>
    </w:p>
    <w:p w:rsidR="00802E01" w:rsidRPr="00DF59E9" w:rsidRDefault="00802E01" w:rsidP="00802E01">
      <w:pPr>
        <w:pStyle w:val="ListParagraph"/>
        <w:numPr>
          <w:ilvl w:val="0"/>
          <w:numId w:val="10"/>
        </w:numPr>
        <w:spacing w:after="0"/>
        <w:jc w:val="both"/>
        <w:rPr>
          <w:rFonts w:ascii="Arial" w:eastAsia="Times New Roman" w:hAnsi="Arial" w:cs="Arial"/>
          <w:sz w:val="20"/>
          <w:lang w:val="en-GB" w:eastAsia="en-GB"/>
        </w:rPr>
      </w:pPr>
      <w:r w:rsidRPr="00DF59E9">
        <w:rPr>
          <w:rFonts w:ascii="Arial" w:eastAsia="Times New Roman" w:hAnsi="Arial" w:cs="Arial"/>
          <w:sz w:val="20"/>
          <w:lang w:val="en-GB" w:eastAsia="en-GB"/>
        </w:rPr>
        <w:t xml:space="preserve">On a 2 year basis, be able to demonstrate attendance at a NHSE/LOSCU approved monitoring update meeting for </w:t>
      </w:r>
      <w:r w:rsidR="00950BC4">
        <w:rPr>
          <w:rFonts w:ascii="Arial" w:eastAsia="Times New Roman" w:hAnsi="Arial" w:cs="Arial"/>
          <w:sz w:val="20"/>
          <w:lang w:val="en-GB" w:eastAsia="en-GB"/>
        </w:rPr>
        <w:t>continuing personal development</w:t>
      </w:r>
      <w:r w:rsidRPr="00DF59E9">
        <w:rPr>
          <w:rFonts w:ascii="Arial" w:eastAsia="Times New Roman" w:hAnsi="Arial" w:cs="Arial"/>
          <w:sz w:val="20"/>
          <w:lang w:val="en-GB" w:eastAsia="en-GB"/>
        </w:rPr>
        <w:t xml:space="preserve"> purposes</w:t>
      </w:r>
    </w:p>
    <w:p w:rsidR="00802E01" w:rsidRPr="00DF59E9" w:rsidRDefault="00892B7A" w:rsidP="00802E01">
      <w:pPr>
        <w:pStyle w:val="ListParagraph"/>
        <w:numPr>
          <w:ilvl w:val="0"/>
          <w:numId w:val="10"/>
        </w:numPr>
        <w:spacing w:after="0"/>
        <w:jc w:val="both"/>
        <w:rPr>
          <w:rFonts w:ascii="Arial" w:eastAsia="Times New Roman" w:hAnsi="Arial" w:cs="Arial"/>
          <w:sz w:val="20"/>
          <w:lang w:val="en-GB" w:eastAsia="en-GB"/>
        </w:rPr>
      </w:pPr>
      <w:r>
        <w:rPr>
          <w:rFonts w:ascii="Arial" w:eastAsia="Times New Roman" w:hAnsi="Arial" w:cs="Arial"/>
          <w:sz w:val="20"/>
          <w:lang w:val="en-GB" w:eastAsia="en-GB"/>
        </w:rPr>
        <w:t>B</w:t>
      </w:r>
      <w:r w:rsidR="00802E01" w:rsidRPr="00DF59E9">
        <w:rPr>
          <w:rFonts w:ascii="Arial" w:eastAsia="Times New Roman" w:hAnsi="Arial" w:cs="Arial"/>
          <w:sz w:val="20"/>
          <w:lang w:val="en-GB" w:eastAsia="en-GB"/>
        </w:rPr>
        <w:t xml:space="preserve">e under the ‘supervision’ of a Consultant Ophthalmologist specialising in glaucoma. </w:t>
      </w:r>
    </w:p>
    <w:p w:rsidR="00802E01" w:rsidRPr="00DF59E9" w:rsidRDefault="00802E01" w:rsidP="00802E01">
      <w:pPr>
        <w:spacing w:after="0"/>
        <w:ind w:left="1080"/>
        <w:jc w:val="both"/>
        <w:rPr>
          <w:rFonts w:ascii="Arial" w:eastAsia="Times New Roman" w:hAnsi="Arial" w:cs="Arial"/>
          <w:sz w:val="20"/>
          <w:lang w:val="en-GB" w:eastAsia="en-GB"/>
        </w:rPr>
      </w:pPr>
    </w:p>
    <w:p w:rsidR="00281AA8" w:rsidRPr="00444E27" w:rsidRDefault="00281AA8" w:rsidP="0090593A">
      <w:pPr>
        <w:spacing w:after="0"/>
        <w:jc w:val="both"/>
        <w:rPr>
          <w:rFonts w:ascii="Arial" w:eastAsia="Times New Roman" w:hAnsi="Arial" w:cs="Arial"/>
          <w:sz w:val="20"/>
          <w:lang w:val="en-GB" w:eastAsia="en-GB"/>
        </w:rPr>
      </w:pPr>
      <w:r w:rsidRPr="00444E27">
        <w:rPr>
          <w:rFonts w:ascii="Arial" w:eastAsia="Times New Roman" w:hAnsi="Arial" w:cs="Arial"/>
          <w:sz w:val="20"/>
          <w:lang w:val="en-GB" w:eastAsia="en-GB"/>
        </w:rPr>
        <w:t xml:space="preserve"> </w:t>
      </w:r>
    </w:p>
    <w:sectPr w:rsidR="00281AA8" w:rsidRPr="00444E27" w:rsidSect="00E224B7">
      <w:headerReference w:type="even" r:id="rId10"/>
      <w:headerReference w:type="default" r:id="rId11"/>
      <w:footerReference w:type="even" r:id="rId12"/>
      <w:footerReference w:type="default" r:id="rId13"/>
      <w:headerReference w:type="first" r:id="rId14"/>
      <w:footerReference w:type="first" r:id="rId15"/>
      <w:pgSz w:w="11906" w:h="16838" w:code="9"/>
      <w:pgMar w:top="1134" w:right="1440" w:bottom="1276" w:left="1440"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76" w:rsidRDefault="00F51376" w:rsidP="007F73F3">
      <w:pPr>
        <w:spacing w:after="0"/>
      </w:pPr>
      <w:r>
        <w:separator/>
      </w:r>
    </w:p>
  </w:endnote>
  <w:endnote w:type="continuationSeparator" w:id="0">
    <w:p w:rsidR="00F51376" w:rsidRDefault="00F51376" w:rsidP="007F73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D2" w:rsidRDefault="004C0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2C" w:rsidRDefault="0096502C">
    <w:pPr>
      <w:pStyle w:val="Footer"/>
    </w:pPr>
    <w:r w:rsidRPr="007F73F3">
      <w:rPr>
        <w:rFonts w:ascii="Arial" w:hAnsi="Arial" w:cs="Arial"/>
        <w:sz w:val="20"/>
      </w:rPr>
      <w:fldChar w:fldCharType="begin"/>
    </w:r>
    <w:r w:rsidRPr="007F73F3">
      <w:rPr>
        <w:rFonts w:ascii="Arial" w:hAnsi="Arial" w:cs="Arial"/>
        <w:sz w:val="20"/>
      </w:rPr>
      <w:instrText xml:space="preserve"> FILENAME   \* MERGEFORMAT </w:instrText>
    </w:r>
    <w:r w:rsidRPr="007F73F3">
      <w:rPr>
        <w:rFonts w:ascii="Arial" w:hAnsi="Arial" w:cs="Arial"/>
        <w:sz w:val="20"/>
      </w:rPr>
      <w:fldChar w:fldCharType="separate"/>
    </w:r>
    <w:r w:rsidRPr="007F73F3">
      <w:rPr>
        <w:rFonts w:ascii="Arial" w:hAnsi="Arial" w:cs="Arial"/>
        <w:noProof/>
        <w:sz w:val="20"/>
      </w:rPr>
      <w:t>Specification for Stable Glaucoma C</w:t>
    </w:r>
    <w:r>
      <w:rPr>
        <w:rFonts w:ascii="Arial" w:hAnsi="Arial" w:cs="Arial"/>
        <w:noProof/>
        <w:sz w:val="20"/>
      </w:rPr>
      <w:t>ommunity Monitoring Service</w:t>
    </w:r>
    <w:r w:rsidRPr="007F73F3">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2C" w:rsidRPr="00366194" w:rsidRDefault="0096502C">
    <w:pPr>
      <w:pStyle w:val="Footer"/>
      <w:rPr>
        <w:rFonts w:ascii="Arial" w:hAnsi="Arial" w:cs="Arial"/>
        <w:sz w:val="20"/>
      </w:rPr>
    </w:pPr>
    <w:r w:rsidRPr="00366194">
      <w:rPr>
        <w:rFonts w:ascii="Arial" w:hAnsi="Arial" w:cs="Arial"/>
        <w:sz w:val="20"/>
      </w:rPr>
      <w:t xml:space="preserve">Stable Glaucoma Community </w:t>
    </w:r>
    <w:r w:rsidR="009807B2">
      <w:rPr>
        <w:rFonts w:ascii="Arial" w:hAnsi="Arial" w:cs="Arial"/>
        <w:sz w:val="20"/>
      </w:rPr>
      <w:t>Monitoring Service Specification</w:t>
    </w:r>
    <w:r w:rsidRPr="00366194">
      <w:rPr>
        <w:rFonts w:ascii="Arial" w:hAnsi="Arial" w:cs="Arial"/>
        <w:sz w:val="20"/>
      </w:rPr>
      <w:tab/>
      <w:t xml:space="preserve">Page </w:t>
    </w:r>
    <w:r w:rsidRPr="00366194">
      <w:rPr>
        <w:rFonts w:ascii="Arial" w:hAnsi="Arial" w:cs="Arial"/>
        <w:sz w:val="20"/>
      </w:rPr>
      <w:fldChar w:fldCharType="begin"/>
    </w:r>
    <w:r w:rsidRPr="00366194">
      <w:rPr>
        <w:rFonts w:ascii="Arial" w:hAnsi="Arial" w:cs="Arial"/>
        <w:sz w:val="20"/>
      </w:rPr>
      <w:instrText xml:space="preserve"> PAGE  \* Arabic  \* MERGEFORMAT </w:instrText>
    </w:r>
    <w:r w:rsidRPr="00366194">
      <w:rPr>
        <w:rFonts w:ascii="Arial" w:hAnsi="Arial" w:cs="Arial"/>
        <w:sz w:val="20"/>
      </w:rPr>
      <w:fldChar w:fldCharType="separate"/>
    </w:r>
    <w:r w:rsidR="0046379C">
      <w:rPr>
        <w:rFonts w:ascii="Arial" w:hAnsi="Arial" w:cs="Arial"/>
        <w:noProof/>
        <w:sz w:val="20"/>
      </w:rPr>
      <w:t>1</w:t>
    </w:r>
    <w:r w:rsidRPr="00366194">
      <w:rPr>
        <w:rFonts w:ascii="Arial" w:hAnsi="Arial" w:cs="Arial"/>
        <w:sz w:val="20"/>
      </w:rPr>
      <w:fldChar w:fldCharType="end"/>
    </w:r>
    <w:r w:rsidRPr="00366194">
      <w:rPr>
        <w:rFonts w:ascii="Arial" w:hAnsi="Arial" w:cs="Arial"/>
        <w:sz w:val="20"/>
      </w:rPr>
      <w:t xml:space="preserve"> of </w:t>
    </w:r>
    <w:r w:rsidRPr="00366194">
      <w:rPr>
        <w:rFonts w:ascii="Arial" w:hAnsi="Arial" w:cs="Arial"/>
        <w:sz w:val="20"/>
      </w:rPr>
      <w:fldChar w:fldCharType="begin"/>
    </w:r>
    <w:r w:rsidRPr="00366194">
      <w:rPr>
        <w:rFonts w:ascii="Arial" w:hAnsi="Arial" w:cs="Arial"/>
        <w:sz w:val="20"/>
      </w:rPr>
      <w:instrText xml:space="preserve"> NUMPAGES  \* Arabic  \* MERGEFORMAT </w:instrText>
    </w:r>
    <w:r w:rsidRPr="00366194">
      <w:rPr>
        <w:rFonts w:ascii="Arial" w:hAnsi="Arial" w:cs="Arial"/>
        <w:sz w:val="20"/>
      </w:rPr>
      <w:fldChar w:fldCharType="separate"/>
    </w:r>
    <w:r w:rsidR="0046379C">
      <w:rPr>
        <w:rFonts w:ascii="Arial" w:hAnsi="Arial" w:cs="Arial"/>
        <w:noProof/>
        <w:sz w:val="20"/>
      </w:rPr>
      <w:t>4</w:t>
    </w:r>
    <w:r w:rsidRPr="00366194">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76" w:rsidRDefault="00F51376" w:rsidP="007F73F3">
      <w:pPr>
        <w:spacing w:after="0"/>
      </w:pPr>
      <w:r>
        <w:separator/>
      </w:r>
    </w:p>
  </w:footnote>
  <w:footnote w:type="continuationSeparator" w:id="0">
    <w:p w:rsidR="00F51376" w:rsidRDefault="00F51376" w:rsidP="007F73F3">
      <w:pPr>
        <w:spacing w:after="0"/>
      </w:pPr>
      <w:r>
        <w:continuationSeparator/>
      </w:r>
    </w:p>
  </w:footnote>
  <w:footnote w:id="1">
    <w:p w:rsidR="00B7039D" w:rsidRPr="00B7039D" w:rsidRDefault="00B7039D">
      <w:pPr>
        <w:pStyle w:val="FootnoteText"/>
        <w:rPr>
          <w:lang w:val="en-GB"/>
        </w:rPr>
      </w:pPr>
      <w:r>
        <w:rPr>
          <w:rStyle w:val="FootnoteReference"/>
        </w:rPr>
        <w:footnoteRef/>
      </w:r>
      <w:r>
        <w:t xml:space="preserve"> </w:t>
      </w:r>
      <w:r w:rsidRPr="00B7039D">
        <w:t>https://www.brightfocus.org/glaucoma/article/glaucoma-facts-figures</w:t>
      </w:r>
    </w:p>
  </w:footnote>
  <w:footnote w:id="2">
    <w:p w:rsidR="00B7039D" w:rsidRPr="00B7039D" w:rsidRDefault="00B7039D">
      <w:pPr>
        <w:pStyle w:val="FootnoteText"/>
        <w:rPr>
          <w:lang w:val="en-GB"/>
        </w:rPr>
      </w:pPr>
      <w:r>
        <w:rPr>
          <w:rStyle w:val="FootnoteReference"/>
        </w:rPr>
        <w:footnoteRef/>
      </w:r>
      <w:r>
        <w:t xml:space="preserve"> </w:t>
      </w:r>
      <w:r w:rsidRPr="00B7039D">
        <w:t>https://www.glaucoma.org/glaucoma/glaucoma-facts-and-stats.php</w:t>
      </w:r>
    </w:p>
  </w:footnote>
  <w:footnote w:id="3">
    <w:p w:rsidR="00771B20" w:rsidRPr="00771B20" w:rsidRDefault="00771B20">
      <w:pPr>
        <w:pStyle w:val="FootnoteText"/>
        <w:rPr>
          <w:lang w:val="en-GB"/>
        </w:rPr>
      </w:pPr>
      <w:r>
        <w:rPr>
          <w:rStyle w:val="FootnoteReference"/>
        </w:rPr>
        <w:footnoteRef/>
      </w:r>
      <w:r>
        <w:t xml:space="preserve"> </w:t>
      </w:r>
      <w:r w:rsidRPr="00771B20">
        <w:t>https://www.allaboutvision.com/conditions/primary-open-angle-glaucoma.htm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2C" w:rsidRDefault="004637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5253" o:spid="_x0000_s2050"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2C" w:rsidRDefault="004637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5254" o:spid="_x0000_s2051"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2C" w:rsidRDefault="004637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5252" o:spid="_x0000_s2049"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88D"/>
    <w:multiLevelType w:val="hybridMultilevel"/>
    <w:tmpl w:val="4C28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B36A43"/>
    <w:multiLevelType w:val="hybridMultilevel"/>
    <w:tmpl w:val="A9B89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5941EA9"/>
    <w:multiLevelType w:val="hybridMultilevel"/>
    <w:tmpl w:val="EDA0B90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nsid w:val="085F4BFA"/>
    <w:multiLevelType w:val="hybridMultilevel"/>
    <w:tmpl w:val="D4A8E420"/>
    <w:lvl w:ilvl="0" w:tplc="E9F29828">
      <w:start w:val="1"/>
      <w:numFmt w:val="bullet"/>
      <w:lvlText w:val=""/>
      <w:lvlJc w:val="left"/>
      <w:pPr>
        <w:tabs>
          <w:tab w:val="num" w:pos="1071"/>
        </w:tabs>
        <w:ind w:left="1071" w:hanging="357"/>
      </w:pPr>
      <w:rPr>
        <w:rFonts w:ascii="Symbol" w:hAnsi="Symbol" w:hint="default"/>
      </w:rPr>
    </w:lvl>
    <w:lvl w:ilvl="1" w:tplc="08090003">
      <w:start w:val="1"/>
      <w:numFmt w:val="bullet"/>
      <w:lvlText w:val="o"/>
      <w:lvlJc w:val="left"/>
      <w:pPr>
        <w:tabs>
          <w:tab w:val="num" w:pos="2154"/>
        </w:tabs>
        <w:ind w:left="2154" w:hanging="360"/>
      </w:pPr>
      <w:rPr>
        <w:rFonts w:ascii="Courier New" w:hAnsi="Courier New" w:cs="Courier New" w:hint="default"/>
      </w:rPr>
    </w:lvl>
    <w:lvl w:ilvl="2" w:tplc="08090005">
      <w:start w:val="1"/>
      <w:numFmt w:val="bullet"/>
      <w:lvlText w:val=""/>
      <w:lvlJc w:val="left"/>
      <w:pPr>
        <w:tabs>
          <w:tab w:val="num" w:pos="2874"/>
        </w:tabs>
        <w:ind w:left="2874" w:hanging="360"/>
      </w:pPr>
      <w:rPr>
        <w:rFonts w:ascii="Wingdings" w:hAnsi="Wingdings" w:hint="default"/>
      </w:rPr>
    </w:lvl>
    <w:lvl w:ilvl="3" w:tplc="08090001">
      <w:start w:val="1"/>
      <w:numFmt w:val="bullet"/>
      <w:lvlText w:val=""/>
      <w:lvlJc w:val="left"/>
      <w:pPr>
        <w:tabs>
          <w:tab w:val="num" w:pos="3594"/>
        </w:tabs>
        <w:ind w:left="3594" w:hanging="360"/>
      </w:pPr>
      <w:rPr>
        <w:rFonts w:ascii="Symbol" w:hAnsi="Symbol" w:hint="default"/>
      </w:rPr>
    </w:lvl>
    <w:lvl w:ilvl="4" w:tplc="08090003">
      <w:start w:val="1"/>
      <w:numFmt w:val="bullet"/>
      <w:lvlText w:val="o"/>
      <w:lvlJc w:val="left"/>
      <w:pPr>
        <w:tabs>
          <w:tab w:val="num" w:pos="4314"/>
        </w:tabs>
        <w:ind w:left="4314" w:hanging="360"/>
      </w:pPr>
      <w:rPr>
        <w:rFonts w:ascii="Courier New" w:hAnsi="Courier New" w:cs="Courier New" w:hint="default"/>
      </w:rPr>
    </w:lvl>
    <w:lvl w:ilvl="5" w:tplc="08090005">
      <w:start w:val="1"/>
      <w:numFmt w:val="bullet"/>
      <w:lvlText w:val=""/>
      <w:lvlJc w:val="left"/>
      <w:pPr>
        <w:tabs>
          <w:tab w:val="num" w:pos="5034"/>
        </w:tabs>
        <w:ind w:left="5034" w:hanging="360"/>
      </w:pPr>
      <w:rPr>
        <w:rFonts w:ascii="Wingdings" w:hAnsi="Wingdings" w:hint="default"/>
      </w:rPr>
    </w:lvl>
    <w:lvl w:ilvl="6" w:tplc="08090001">
      <w:start w:val="1"/>
      <w:numFmt w:val="bullet"/>
      <w:lvlText w:val=""/>
      <w:lvlJc w:val="left"/>
      <w:pPr>
        <w:tabs>
          <w:tab w:val="num" w:pos="5754"/>
        </w:tabs>
        <w:ind w:left="5754" w:hanging="360"/>
      </w:pPr>
      <w:rPr>
        <w:rFonts w:ascii="Symbol" w:hAnsi="Symbol" w:hint="default"/>
      </w:rPr>
    </w:lvl>
    <w:lvl w:ilvl="7" w:tplc="08090003">
      <w:start w:val="1"/>
      <w:numFmt w:val="bullet"/>
      <w:lvlText w:val="o"/>
      <w:lvlJc w:val="left"/>
      <w:pPr>
        <w:tabs>
          <w:tab w:val="num" w:pos="6474"/>
        </w:tabs>
        <w:ind w:left="6474" w:hanging="360"/>
      </w:pPr>
      <w:rPr>
        <w:rFonts w:ascii="Courier New" w:hAnsi="Courier New" w:cs="Courier New" w:hint="default"/>
      </w:rPr>
    </w:lvl>
    <w:lvl w:ilvl="8" w:tplc="08090005">
      <w:start w:val="1"/>
      <w:numFmt w:val="bullet"/>
      <w:lvlText w:val=""/>
      <w:lvlJc w:val="left"/>
      <w:pPr>
        <w:tabs>
          <w:tab w:val="num" w:pos="7194"/>
        </w:tabs>
        <w:ind w:left="7194" w:hanging="360"/>
      </w:pPr>
      <w:rPr>
        <w:rFonts w:ascii="Wingdings" w:hAnsi="Wingdings" w:hint="default"/>
      </w:rPr>
    </w:lvl>
  </w:abstractNum>
  <w:abstractNum w:abstractNumId="4">
    <w:nsid w:val="0A656858"/>
    <w:multiLevelType w:val="hybridMultilevel"/>
    <w:tmpl w:val="97DC4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A6E1E41"/>
    <w:multiLevelType w:val="hybridMultilevel"/>
    <w:tmpl w:val="B012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D34018"/>
    <w:multiLevelType w:val="hybridMultilevel"/>
    <w:tmpl w:val="4A12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123070"/>
    <w:multiLevelType w:val="hybridMultilevel"/>
    <w:tmpl w:val="FB98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06710B"/>
    <w:multiLevelType w:val="hybridMultilevel"/>
    <w:tmpl w:val="1476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434B66"/>
    <w:multiLevelType w:val="hybridMultilevel"/>
    <w:tmpl w:val="BD98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CC4CB2"/>
    <w:multiLevelType w:val="hybridMultilevel"/>
    <w:tmpl w:val="0576CF6E"/>
    <w:lvl w:ilvl="0" w:tplc="5022AA8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57223D"/>
    <w:multiLevelType w:val="hybridMultilevel"/>
    <w:tmpl w:val="65E0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5D628A"/>
    <w:multiLevelType w:val="hybridMultilevel"/>
    <w:tmpl w:val="22A20D7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60D7474"/>
    <w:multiLevelType w:val="hybridMultilevel"/>
    <w:tmpl w:val="931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733D90"/>
    <w:multiLevelType w:val="hybridMultilevel"/>
    <w:tmpl w:val="DF623F1E"/>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5">
    <w:nsid w:val="5EBB0331"/>
    <w:multiLevelType w:val="hybridMultilevel"/>
    <w:tmpl w:val="4152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991492"/>
    <w:multiLevelType w:val="hybridMultilevel"/>
    <w:tmpl w:val="DB34D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067ED5"/>
    <w:multiLevelType w:val="hybridMultilevel"/>
    <w:tmpl w:val="F31C3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0500D99"/>
    <w:multiLevelType w:val="hybridMultilevel"/>
    <w:tmpl w:val="B25E33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761436D7"/>
    <w:multiLevelType w:val="hybridMultilevel"/>
    <w:tmpl w:val="EF6E0EBE"/>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7BB22EFC"/>
    <w:multiLevelType w:val="hybridMultilevel"/>
    <w:tmpl w:val="7E7E4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9"/>
  </w:num>
  <w:num w:numId="4">
    <w:abstractNumId w:val="20"/>
  </w:num>
  <w:num w:numId="5">
    <w:abstractNumId w:val="16"/>
  </w:num>
  <w:num w:numId="6">
    <w:abstractNumId w:val="1"/>
  </w:num>
  <w:num w:numId="7">
    <w:abstractNumId w:val="15"/>
  </w:num>
  <w:num w:numId="8">
    <w:abstractNumId w:val="12"/>
  </w:num>
  <w:num w:numId="9">
    <w:abstractNumId w:val="8"/>
  </w:num>
  <w:num w:numId="10">
    <w:abstractNumId w:val="0"/>
  </w:num>
  <w:num w:numId="11">
    <w:abstractNumId w:val="17"/>
  </w:num>
  <w:num w:numId="12">
    <w:abstractNumId w:val="9"/>
  </w:num>
  <w:num w:numId="13">
    <w:abstractNumId w:val="6"/>
  </w:num>
  <w:num w:numId="14">
    <w:abstractNumId w:val="5"/>
  </w:num>
  <w:num w:numId="15">
    <w:abstractNumId w:val="13"/>
  </w:num>
  <w:num w:numId="16">
    <w:abstractNumId w:val="10"/>
  </w:num>
  <w:num w:numId="17">
    <w:abstractNumId w:val="11"/>
  </w:num>
  <w:num w:numId="18">
    <w:abstractNumId w:val="7"/>
  </w:num>
  <w:num w:numId="19">
    <w:abstractNumId w:val="2"/>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rawingGridVerticalSpacing w:val="299"/>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A8"/>
    <w:rsid w:val="000D1DDF"/>
    <w:rsid w:val="000F1635"/>
    <w:rsid w:val="00205F72"/>
    <w:rsid w:val="002473F1"/>
    <w:rsid w:val="00262887"/>
    <w:rsid w:val="00270B67"/>
    <w:rsid w:val="00281AA8"/>
    <w:rsid w:val="002A1BEA"/>
    <w:rsid w:val="002F543C"/>
    <w:rsid w:val="00317924"/>
    <w:rsid w:val="003553EC"/>
    <w:rsid w:val="00366194"/>
    <w:rsid w:val="003F15A6"/>
    <w:rsid w:val="00420A2A"/>
    <w:rsid w:val="00444E27"/>
    <w:rsid w:val="0046379C"/>
    <w:rsid w:val="004B75C6"/>
    <w:rsid w:val="004C04D2"/>
    <w:rsid w:val="005639BB"/>
    <w:rsid w:val="00563B2D"/>
    <w:rsid w:val="005C0C15"/>
    <w:rsid w:val="00603776"/>
    <w:rsid w:val="0063238D"/>
    <w:rsid w:val="006650AB"/>
    <w:rsid w:val="00693DDE"/>
    <w:rsid w:val="006B7BC0"/>
    <w:rsid w:val="006D0A28"/>
    <w:rsid w:val="006E2405"/>
    <w:rsid w:val="00732B1B"/>
    <w:rsid w:val="007345ED"/>
    <w:rsid w:val="00771B20"/>
    <w:rsid w:val="00773B3E"/>
    <w:rsid w:val="007E3C4D"/>
    <w:rsid w:val="007F73F3"/>
    <w:rsid w:val="00802E01"/>
    <w:rsid w:val="00822709"/>
    <w:rsid w:val="00881D32"/>
    <w:rsid w:val="00882848"/>
    <w:rsid w:val="00892B7A"/>
    <w:rsid w:val="0090593A"/>
    <w:rsid w:val="00950BC4"/>
    <w:rsid w:val="0096502C"/>
    <w:rsid w:val="00970157"/>
    <w:rsid w:val="00973C27"/>
    <w:rsid w:val="009807B2"/>
    <w:rsid w:val="009A5D5C"/>
    <w:rsid w:val="009C203A"/>
    <w:rsid w:val="009E7F77"/>
    <w:rsid w:val="00A260CB"/>
    <w:rsid w:val="00A47BD2"/>
    <w:rsid w:val="00A53B29"/>
    <w:rsid w:val="00A7089F"/>
    <w:rsid w:val="00A73DA9"/>
    <w:rsid w:val="00AB3FF3"/>
    <w:rsid w:val="00AC0CC3"/>
    <w:rsid w:val="00AC78A0"/>
    <w:rsid w:val="00B3647E"/>
    <w:rsid w:val="00B36F80"/>
    <w:rsid w:val="00B7039D"/>
    <w:rsid w:val="00C6547C"/>
    <w:rsid w:val="00CA23CE"/>
    <w:rsid w:val="00CC1928"/>
    <w:rsid w:val="00CC493D"/>
    <w:rsid w:val="00CE15C4"/>
    <w:rsid w:val="00D5216E"/>
    <w:rsid w:val="00D61252"/>
    <w:rsid w:val="00DB4AFB"/>
    <w:rsid w:val="00DC6AA4"/>
    <w:rsid w:val="00DF3889"/>
    <w:rsid w:val="00DF59E9"/>
    <w:rsid w:val="00E224B7"/>
    <w:rsid w:val="00E4430E"/>
    <w:rsid w:val="00EC32D8"/>
    <w:rsid w:val="00ED0844"/>
    <w:rsid w:val="00ED296D"/>
    <w:rsid w:val="00F51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A8"/>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24B7"/>
    <w:pPr>
      <w:ind w:left="720"/>
      <w:contextualSpacing/>
    </w:pPr>
  </w:style>
  <w:style w:type="character" w:styleId="Hyperlink">
    <w:name w:val="Hyperlink"/>
    <w:basedOn w:val="DefaultParagraphFont"/>
    <w:uiPriority w:val="99"/>
    <w:unhideWhenUsed/>
    <w:rsid w:val="00E224B7"/>
    <w:rPr>
      <w:color w:val="0000FF" w:themeColor="hyperlink"/>
      <w:u w:val="single"/>
    </w:rPr>
  </w:style>
  <w:style w:type="paragraph" w:styleId="BalloonText">
    <w:name w:val="Balloon Text"/>
    <w:basedOn w:val="Normal"/>
    <w:link w:val="BalloonTextChar"/>
    <w:uiPriority w:val="99"/>
    <w:semiHidden/>
    <w:unhideWhenUsed/>
    <w:rsid w:val="00E224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4B7"/>
    <w:rPr>
      <w:rFonts w:ascii="Tahoma" w:eastAsiaTheme="minorEastAsia" w:hAnsi="Tahoma" w:cs="Tahoma"/>
      <w:sz w:val="16"/>
      <w:szCs w:val="16"/>
      <w:lang w:val="en-US" w:eastAsia="ja-JP"/>
    </w:rPr>
  </w:style>
  <w:style w:type="table" w:styleId="TableGrid">
    <w:name w:val="Table Grid"/>
    <w:basedOn w:val="TableNormal"/>
    <w:uiPriority w:val="59"/>
    <w:rsid w:val="00AC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3F3"/>
    <w:pPr>
      <w:tabs>
        <w:tab w:val="center" w:pos="4513"/>
        <w:tab w:val="right" w:pos="9026"/>
      </w:tabs>
      <w:spacing w:after="0"/>
    </w:pPr>
  </w:style>
  <w:style w:type="character" w:customStyle="1" w:styleId="HeaderChar">
    <w:name w:val="Header Char"/>
    <w:basedOn w:val="DefaultParagraphFont"/>
    <w:link w:val="Header"/>
    <w:uiPriority w:val="99"/>
    <w:rsid w:val="007F73F3"/>
    <w:rPr>
      <w:rFonts w:eastAsiaTheme="minorEastAsia"/>
      <w:sz w:val="24"/>
      <w:szCs w:val="20"/>
      <w:lang w:val="en-US" w:eastAsia="ja-JP"/>
    </w:rPr>
  </w:style>
  <w:style w:type="paragraph" w:styleId="Footer">
    <w:name w:val="footer"/>
    <w:basedOn w:val="Normal"/>
    <w:link w:val="FooterChar"/>
    <w:uiPriority w:val="99"/>
    <w:unhideWhenUsed/>
    <w:rsid w:val="007F73F3"/>
    <w:pPr>
      <w:tabs>
        <w:tab w:val="center" w:pos="4513"/>
        <w:tab w:val="right" w:pos="9026"/>
      </w:tabs>
      <w:spacing w:after="0"/>
    </w:pPr>
  </w:style>
  <w:style w:type="character" w:customStyle="1" w:styleId="FooterChar">
    <w:name w:val="Footer Char"/>
    <w:basedOn w:val="DefaultParagraphFont"/>
    <w:link w:val="Footer"/>
    <w:uiPriority w:val="99"/>
    <w:rsid w:val="007F73F3"/>
    <w:rPr>
      <w:rFonts w:eastAsiaTheme="minorEastAsia"/>
      <w:sz w:val="24"/>
      <w:szCs w:val="20"/>
      <w:lang w:val="en-US" w:eastAsia="ja-JP"/>
    </w:rPr>
  </w:style>
  <w:style w:type="paragraph" w:styleId="FootnoteText">
    <w:name w:val="footnote text"/>
    <w:basedOn w:val="Normal"/>
    <w:link w:val="FootnoteTextChar"/>
    <w:uiPriority w:val="99"/>
    <w:semiHidden/>
    <w:unhideWhenUsed/>
    <w:rsid w:val="00B7039D"/>
    <w:pPr>
      <w:spacing w:after="0"/>
    </w:pPr>
    <w:rPr>
      <w:sz w:val="20"/>
    </w:rPr>
  </w:style>
  <w:style w:type="character" w:customStyle="1" w:styleId="FootnoteTextChar">
    <w:name w:val="Footnote Text Char"/>
    <w:basedOn w:val="DefaultParagraphFont"/>
    <w:link w:val="FootnoteText"/>
    <w:uiPriority w:val="99"/>
    <w:semiHidden/>
    <w:rsid w:val="00B7039D"/>
    <w:rPr>
      <w:rFonts w:eastAsiaTheme="minorEastAsia"/>
      <w:sz w:val="20"/>
      <w:szCs w:val="20"/>
      <w:lang w:val="en-US" w:eastAsia="ja-JP"/>
    </w:rPr>
  </w:style>
  <w:style w:type="character" w:styleId="FootnoteReference">
    <w:name w:val="footnote reference"/>
    <w:basedOn w:val="DefaultParagraphFont"/>
    <w:uiPriority w:val="99"/>
    <w:semiHidden/>
    <w:unhideWhenUsed/>
    <w:rsid w:val="00B703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A8"/>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24B7"/>
    <w:pPr>
      <w:ind w:left="720"/>
      <w:contextualSpacing/>
    </w:pPr>
  </w:style>
  <w:style w:type="character" w:styleId="Hyperlink">
    <w:name w:val="Hyperlink"/>
    <w:basedOn w:val="DefaultParagraphFont"/>
    <w:uiPriority w:val="99"/>
    <w:unhideWhenUsed/>
    <w:rsid w:val="00E224B7"/>
    <w:rPr>
      <w:color w:val="0000FF" w:themeColor="hyperlink"/>
      <w:u w:val="single"/>
    </w:rPr>
  </w:style>
  <w:style w:type="paragraph" w:styleId="BalloonText">
    <w:name w:val="Balloon Text"/>
    <w:basedOn w:val="Normal"/>
    <w:link w:val="BalloonTextChar"/>
    <w:uiPriority w:val="99"/>
    <w:semiHidden/>
    <w:unhideWhenUsed/>
    <w:rsid w:val="00E224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4B7"/>
    <w:rPr>
      <w:rFonts w:ascii="Tahoma" w:eastAsiaTheme="minorEastAsia" w:hAnsi="Tahoma" w:cs="Tahoma"/>
      <w:sz w:val="16"/>
      <w:szCs w:val="16"/>
      <w:lang w:val="en-US" w:eastAsia="ja-JP"/>
    </w:rPr>
  </w:style>
  <w:style w:type="table" w:styleId="TableGrid">
    <w:name w:val="Table Grid"/>
    <w:basedOn w:val="TableNormal"/>
    <w:uiPriority w:val="59"/>
    <w:rsid w:val="00AC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3F3"/>
    <w:pPr>
      <w:tabs>
        <w:tab w:val="center" w:pos="4513"/>
        <w:tab w:val="right" w:pos="9026"/>
      </w:tabs>
      <w:spacing w:after="0"/>
    </w:pPr>
  </w:style>
  <w:style w:type="character" w:customStyle="1" w:styleId="HeaderChar">
    <w:name w:val="Header Char"/>
    <w:basedOn w:val="DefaultParagraphFont"/>
    <w:link w:val="Header"/>
    <w:uiPriority w:val="99"/>
    <w:rsid w:val="007F73F3"/>
    <w:rPr>
      <w:rFonts w:eastAsiaTheme="minorEastAsia"/>
      <w:sz w:val="24"/>
      <w:szCs w:val="20"/>
      <w:lang w:val="en-US" w:eastAsia="ja-JP"/>
    </w:rPr>
  </w:style>
  <w:style w:type="paragraph" w:styleId="Footer">
    <w:name w:val="footer"/>
    <w:basedOn w:val="Normal"/>
    <w:link w:val="FooterChar"/>
    <w:uiPriority w:val="99"/>
    <w:unhideWhenUsed/>
    <w:rsid w:val="007F73F3"/>
    <w:pPr>
      <w:tabs>
        <w:tab w:val="center" w:pos="4513"/>
        <w:tab w:val="right" w:pos="9026"/>
      </w:tabs>
      <w:spacing w:after="0"/>
    </w:pPr>
  </w:style>
  <w:style w:type="character" w:customStyle="1" w:styleId="FooterChar">
    <w:name w:val="Footer Char"/>
    <w:basedOn w:val="DefaultParagraphFont"/>
    <w:link w:val="Footer"/>
    <w:uiPriority w:val="99"/>
    <w:rsid w:val="007F73F3"/>
    <w:rPr>
      <w:rFonts w:eastAsiaTheme="minorEastAsia"/>
      <w:sz w:val="24"/>
      <w:szCs w:val="20"/>
      <w:lang w:val="en-US" w:eastAsia="ja-JP"/>
    </w:rPr>
  </w:style>
  <w:style w:type="paragraph" w:styleId="FootnoteText">
    <w:name w:val="footnote text"/>
    <w:basedOn w:val="Normal"/>
    <w:link w:val="FootnoteTextChar"/>
    <w:uiPriority w:val="99"/>
    <w:semiHidden/>
    <w:unhideWhenUsed/>
    <w:rsid w:val="00B7039D"/>
    <w:pPr>
      <w:spacing w:after="0"/>
    </w:pPr>
    <w:rPr>
      <w:sz w:val="20"/>
    </w:rPr>
  </w:style>
  <w:style w:type="character" w:customStyle="1" w:styleId="FootnoteTextChar">
    <w:name w:val="Footnote Text Char"/>
    <w:basedOn w:val="DefaultParagraphFont"/>
    <w:link w:val="FootnoteText"/>
    <w:uiPriority w:val="99"/>
    <w:semiHidden/>
    <w:rsid w:val="00B7039D"/>
    <w:rPr>
      <w:rFonts w:eastAsiaTheme="minorEastAsia"/>
      <w:sz w:val="20"/>
      <w:szCs w:val="20"/>
      <w:lang w:val="en-US" w:eastAsia="ja-JP"/>
    </w:rPr>
  </w:style>
  <w:style w:type="character" w:styleId="FootnoteReference">
    <w:name w:val="footnote reference"/>
    <w:basedOn w:val="DefaultParagraphFont"/>
    <w:uiPriority w:val="99"/>
    <w:semiHidden/>
    <w:unhideWhenUsed/>
    <w:rsid w:val="00B70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ice.org.uk/guidance/ng8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DC297-9606-481D-8F67-C2DD0FD0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5908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Rotherham Doncaster &amp; South Humber NHS Trust</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Adele</dc:creator>
  <cp:lastModifiedBy>Burns, Claire</cp:lastModifiedBy>
  <cp:revision>2</cp:revision>
  <dcterms:created xsi:type="dcterms:W3CDTF">2019-01-07T08:49:00Z</dcterms:created>
  <dcterms:modified xsi:type="dcterms:W3CDTF">2019-01-07T08:49:00Z</dcterms:modified>
</cp:coreProperties>
</file>