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03503EB0" w14:textId="5FB0203E" w:rsidR="00B327EC" w:rsidRDefault="00D34978" w:rsidP="00B327EC">
      <w:pPr>
        <w:widowControl w:val="0"/>
        <w:tabs>
          <w:tab w:val="center" w:pos="4513"/>
        </w:tabs>
        <w:spacing w:before="120" w:after="120"/>
        <w:jc w:val="center"/>
        <w:rPr>
          <w:b/>
          <w:bCs/>
          <w:sz w:val="36"/>
          <w:szCs w:val="36"/>
        </w:rPr>
      </w:pPr>
      <w:r w:rsidRPr="00D34978">
        <w:rPr>
          <w:b/>
          <w:bCs/>
          <w:sz w:val="36"/>
          <w:szCs w:val="36"/>
        </w:rPr>
        <w:t>DEPARTMENT FOR BUSINESS, ENERGY &amp; INDUSTRIAL STRATEGY</w:t>
      </w:r>
    </w:p>
    <w:p w14:paraId="02D1E556" w14:textId="77777777" w:rsidR="00D34978" w:rsidRPr="002C519F" w:rsidRDefault="00D34978"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xml:space="preserve">- </w:t>
      </w:r>
      <w:proofErr w:type="gramStart"/>
      <w:r w:rsidRPr="002C519F">
        <w:rPr>
          <w:b/>
          <w:bCs/>
          <w:sz w:val="36"/>
          <w:szCs w:val="36"/>
        </w:rPr>
        <w:t>and</w:t>
      </w:r>
      <w:proofErr w:type="gramEnd"/>
      <w:r w:rsidRPr="002C519F">
        <w:rPr>
          <w:b/>
          <w:bCs/>
          <w:sz w:val="36"/>
          <w:szCs w:val="36"/>
        </w:rPr>
        <w:t xml:space="preserve">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0AC1DA6B" w14:textId="6C41E552" w:rsidR="00B327EC" w:rsidRPr="002C519F" w:rsidRDefault="00D34978" w:rsidP="00B327EC">
      <w:pPr>
        <w:widowControl w:val="0"/>
        <w:tabs>
          <w:tab w:val="center" w:pos="4513"/>
        </w:tabs>
        <w:spacing w:before="120" w:after="120"/>
        <w:jc w:val="center"/>
        <w:rPr>
          <w:b/>
          <w:bCs/>
          <w:sz w:val="36"/>
          <w:szCs w:val="36"/>
        </w:rPr>
      </w:pPr>
      <w:r w:rsidRPr="00D34978">
        <w:rPr>
          <w:b/>
          <w:bCs/>
          <w:sz w:val="36"/>
          <w:szCs w:val="36"/>
        </w:rPr>
        <w:t>SAXTON BAMPFYLDE</w:t>
      </w:r>
    </w:p>
    <w:p w14:paraId="186EC09E" w14:textId="77777777" w:rsidR="00D34978" w:rsidRDefault="00D34978" w:rsidP="00B327EC">
      <w:pPr>
        <w:widowControl w:val="0"/>
        <w:tabs>
          <w:tab w:val="center" w:pos="4513"/>
        </w:tabs>
        <w:spacing w:before="120" w:after="120"/>
        <w:jc w:val="center"/>
        <w:rPr>
          <w:b/>
          <w:bCs/>
          <w:sz w:val="36"/>
          <w:szCs w:val="36"/>
        </w:rPr>
      </w:pPr>
    </w:p>
    <w:p w14:paraId="49E4EEDF" w14:textId="21A8CFC7" w:rsidR="00B327EC" w:rsidRPr="002C519F" w:rsidRDefault="00D34978" w:rsidP="00B327EC">
      <w:pPr>
        <w:widowControl w:val="0"/>
        <w:tabs>
          <w:tab w:val="center" w:pos="4513"/>
        </w:tabs>
        <w:spacing w:before="120" w:after="120"/>
        <w:jc w:val="center"/>
        <w:rPr>
          <w:b/>
          <w:bCs/>
          <w:sz w:val="36"/>
          <w:szCs w:val="36"/>
        </w:rPr>
      </w:pPr>
      <w:r>
        <w:rPr>
          <w:b/>
          <w:bCs/>
          <w:sz w:val="36"/>
          <w:szCs w:val="36"/>
        </w:rPr>
        <w:t>TERMS AND CONDITIONS</w:t>
      </w:r>
    </w:p>
    <w:p w14:paraId="6EACBD19" w14:textId="77777777" w:rsidR="00B327EC" w:rsidRDefault="00B327EC" w:rsidP="00B327EC">
      <w:pPr>
        <w:widowControl w:val="0"/>
        <w:tabs>
          <w:tab w:val="left" w:pos="-720"/>
        </w:tabs>
        <w:spacing w:before="120" w:after="120"/>
        <w:jc w:val="center"/>
        <w:rPr>
          <w:b/>
          <w:bCs/>
          <w:sz w:val="36"/>
          <w:szCs w:val="36"/>
        </w:rPr>
      </w:pPr>
      <w:proofErr w:type="gramStart"/>
      <w:r w:rsidRPr="002C519F">
        <w:rPr>
          <w:b/>
          <w:bCs/>
          <w:sz w:val="36"/>
          <w:szCs w:val="36"/>
        </w:rPr>
        <w:t>relating</w:t>
      </w:r>
      <w:proofErr w:type="gramEnd"/>
      <w:r w:rsidRPr="002C519F">
        <w:rPr>
          <w:b/>
          <w:bCs/>
          <w:sz w:val="36"/>
          <w:szCs w:val="36"/>
        </w:rPr>
        <w:t xml:space="preserve">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73DF4AFC" w14:textId="2D710868" w:rsidR="00B327EC" w:rsidRPr="00D34978" w:rsidRDefault="00D34978" w:rsidP="00B327EC">
      <w:pPr>
        <w:widowControl w:val="0"/>
        <w:tabs>
          <w:tab w:val="center" w:pos="4513"/>
        </w:tabs>
        <w:spacing w:before="120" w:after="120"/>
        <w:jc w:val="center"/>
        <w:rPr>
          <w:b/>
          <w:bCs/>
          <w:sz w:val="36"/>
          <w:szCs w:val="36"/>
        </w:rPr>
      </w:pPr>
      <w:r w:rsidRPr="00D34978">
        <w:rPr>
          <w:b/>
          <w:bCs/>
          <w:sz w:val="36"/>
          <w:szCs w:val="36"/>
        </w:rPr>
        <w:t>THE PROVISION ON EXECUTIVE SEARCH SERVICES</w:t>
      </w:r>
    </w:p>
    <w:p w14:paraId="584C9CC2" w14:textId="3D8D9409" w:rsidR="00F42D71" w:rsidRPr="002C519F" w:rsidRDefault="00D34978" w:rsidP="00B327EC">
      <w:pPr>
        <w:widowControl w:val="0"/>
        <w:tabs>
          <w:tab w:val="center" w:pos="4513"/>
        </w:tabs>
        <w:spacing w:before="120" w:after="120"/>
        <w:jc w:val="center"/>
        <w:rPr>
          <w:b/>
          <w:bCs/>
          <w:sz w:val="36"/>
          <w:szCs w:val="36"/>
        </w:rPr>
      </w:pPr>
      <w:r w:rsidRPr="00D34978">
        <w:rPr>
          <w:b/>
          <w:bCs/>
          <w:sz w:val="36"/>
          <w:szCs w:val="36"/>
        </w:rPr>
        <w:t>CCHR19A40</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291E0898" w14:textId="6FDA759B" w:rsidR="00ED356E"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15990210" w:history="1">
        <w:r w:rsidR="00ED356E" w:rsidRPr="00E67D0A">
          <w:rPr>
            <w:rStyle w:val="Hyperlink"/>
            <w:rFonts w:eastAsia="Times New Roman"/>
            <w:b/>
            <w:noProof/>
            <w:lang w:eastAsia="en-US"/>
          </w:rPr>
          <w:t>ANNEX 1 – TERMS AND CONDITIONS</w:t>
        </w:r>
        <w:r w:rsidR="00ED356E">
          <w:rPr>
            <w:noProof/>
            <w:webHidden/>
          </w:rPr>
          <w:tab/>
        </w:r>
        <w:r w:rsidR="00ED356E">
          <w:rPr>
            <w:noProof/>
            <w:webHidden/>
          </w:rPr>
          <w:fldChar w:fldCharType="begin"/>
        </w:r>
        <w:r w:rsidR="00ED356E">
          <w:rPr>
            <w:noProof/>
            <w:webHidden/>
          </w:rPr>
          <w:instrText xml:space="preserve"> PAGEREF _Toc15990210 \h </w:instrText>
        </w:r>
        <w:r w:rsidR="00ED356E">
          <w:rPr>
            <w:noProof/>
            <w:webHidden/>
          </w:rPr>
        </w:r>
        <w:r w:rsidR="00ED356E">
          <w:rPr>
            <w:noProof/>
            <w:webHidden/>
          </w:rPr>
          <w:fldChar w:fldCharType="separate"/>
        </w:r>
        <w:r w:rsidR="00ED356E">
          <w:rPr>
            <w:noProof/>
            <w:webHidden/>
          </w:rPr>
          <w:t>4</w:t>
        </w:r>
        <w:r w:rsidR="00ED356E">
          <w:rPr>
            <w:noProof/>
            <w:webHidden/>
          </w:rPr>
          <w:fldChar w:fldCharType="end"/>
        </w:r>
      </w:hyperlink>
    </w:p>
    <w:p w14:paraId="003C792D" w14:textId="58A14E7E" w:rsidR="00ED356E" w:rsidRDefault="00EA604A">
      <w:pPr>
        <w:pStyle w:val="TOC1"/>
        <w:rPr>
          <w:rFonts w:asciiTheme="minorHAnsi" w:eastAsiaTheme="minorEastAsia" w:hAnsiTheme="minorHAnsi" w:cstheme="minorBidi"/>
          <w:caps w:val="0"/>
          <w:noProof/>
          <w:szCs w:val="22"/>
          <w:lang w:eastAsia="en-GB"/>
        </w:rPr>
      </w:pPr>
      <w:hyperlink w:anchor="_Toc15990211" w:history="1">
        <w:r w:rsidR="00ED356E" w:rsidRPr="00E67D0A">
          <w:rPr>
            <w:rStyle w:val="Hyperlink"/>
            <w:rFonts w:cs="Arial"/>
            <w:noProof/>
          </w:rPr>
          <w:t>1</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Interpretation</w:t>
        </w:r>
        <w:r w:rsidR="00ED356E">
          <w:rPr>
            <w:noProof/>
            <w:webHidden/>
          </w:rPr>
          <w:tab/>
        </w:r>
        <w:r w:rsidR="00ED356E">
          <w:rPr>
            <w:noProof/>
            <w:webHidden/>
          </w:rPr>
          <w:fldChar w:fldCharType="begin"/>
        </w:r>
        <w:r w:rsidR="00ED356E">
          <w:rPr>
            <w:noProof/>
            <w:webHidden/>
          </w:rPr>
          <w:instrText xml:space="preserve"> PAGEREF _Toc15990211 \h </w:instrText>
        </w:r>
        <w:r w:rsidR="00ED356E">
          <w:rPr>
            <w:noProof/>
            <w:webHidden/>
          </w:rPr>
        </w:r>
        <w:r w:rsidR="00ED356E">
          <w:rPr>
            <w:noProof/>
            <w:webHidden/>
          </w:rPr>
          <w:fldChar w:fldCharType="separate"/>
        </w:r>
        <w:r w:rsidR="00ED356E">
          <w:rPr>
            <w:noProof/>
            <w:webHidden/>
          </w:rPr>
          <w:t>4</w:t>
        </w:r>
        <w:r w:rsidR="00ED356E">
          <w:rPr>
            <w:noProof/>
            <w:webHidden/>
          </w:rPr>
          <w:fldChar w:fldCharType="end"/>
        </w:r>
      </w:hyperlink>
    </w:p>
    <w:p w14:paraId="2B01718A" w14:textId="6B61AA04" w:rsidR="00ED356E" w:rsidRDefault="00EA604A">
      <w:pPr>
        <w:pStyle w:val="TOC1"/>
        <w:rPr>
          <w:rFonts w:asciiTheme="minorHAnsi" w:eastAsiaTheme="minorEastAsia" w:hAnsiTheme="minorHAnsi" w:cstheme="minorBidi"/>
          <w:caps w:val="0"/>
          <w:noProof/>
          <w:szCs w:val="22"/>
          <w:lang w:eastAsia="en-GB"/>
        </w:rPr>
      </w:pPr>
      <w:hyperlink w:anchor="_Toc15990212" w:history="1">
        <w:r w:rsidR="00ED356E" w:rsidRPr="00E67D0A">
          <w:rPr>
            <w:rStyle w:val="Hyperlink"/>
            <w:rFonts w:cs="Arial"/>
            <w:noProof/>
          </w:rPr>
          <w:t>2</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Basis of Agreement</w:t>
        </w:r>
        <w:r w:rsidR="00ED356E">
          <w:rPr>
            <w:noProof/>
            <w:webHidden/>
          </w:rPr>
          <w:tab/>
        </w:r>
        <w:r w:rsidR="00ED356E">
          <w:rPr>
            <w:noProof/>
            <w:webHidden/>
          </w:rPr>
          <w:fldChar w:fldCharType="begin"/>
        </w:r>
        <w:r w:rsidR="00ED356E">
          <w:rPr>
            <w:noProof/>
            <w:webHidden/>
          </w:rPr>
          <w:instrText xml:space="preserve"> PAGEREF _Toc15990212 \h </w:instrText>
        </w:r>
        <w:r w:rsidR="00ED356E">
          <w:rPr>
            <w:noProof/>
            <w:webHidden/>
          </w:rPr>
        </w:r>
        <w:r w:rsidR="00ED356E">
          <w:rPr>
            <w:noProof/>
            <w:webHidden/>
          </w:rPr>
          <w:fldChar w:fldCharType="separate"/>
        </w:r>
        <w:r w:rsidR="00ED356E">
          <w:rPr>
            <w:noProof/>
            <w:webHidden/>
          </w:rPr>
          <w:t>5</w:t>
        </w:r>
        <w:r w:rsidR="00ED356E">
          <w:rPr>
            <w:noProof/>
            <w:webHidden/>
          </w:rPr>
          <w:fldChar w:fldCharType="end"/>
        </w:r>
      </w:hyperlink>
    </w:p>
    <w:p w14:paraId="716D8BD4" w14:textId="6FB19B54" w:rsidR="00ED356E" w:rsidRDefault="00EA604A">
      <w:pPr>
        <w:pStyle w:val="TOC1"/>
        <w:rPr>
          <w:rFonts w:asciiTheme="minorHAnsi" w:eastAsiaTheme="minorEastAsia" w:hAnsiTheme="minorHAnsi" w:cstheme="minorBidi"/>
          <w:caps w:val="0"/>
          <w:noProof/>
          <w:szCs w:val="22"/>
          <w:lang w:eastAsia="en-GB"/>
        </w:rPr>
      </w:pPr>
      <w:hyperlink w:anchor="_Toc15990213" w:history="1">
        <w:r w:rsidR="00ED356E" w:rsidRPr="00E67D0A">
          <w:rPr>
            <w:rStyle w:val="Hyperlink"/>
            <w:rFonts w:cs="Arial"/>
            <w:noProof/>
          </w:rPr>
          <w:t>3</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Supply of Services</w:t>
        </w:r>
        <w:r w:rsidR="00ED356E">
          <w:rPr>
            <w:noProof/>
            <w:webHidden/>
          </w:rPr>
          <w:tab/>
        </w:r>
        <w:r w:rsidR="00ED356E">
          <w:rPr>
            <w:noProof/>
            <w:webHidden/>
          </w:rPr>
          <w:fldChar w:fldCharType="begin"/>
        </w:r>
        <w:r w:rsidR="00ED356E">
          <w:rPr>
            <w:noProof/>
            <w:webHidden/>
          </w:rPr>
          <w:instrText xml:space="preserve"> PAGEREF _Toc15990213 \h </w:instrText>
        </w:r>
        <w:r w:rsidR="00ED356E">
          <w:rPr>
            <w:noProof/>
            <w:webHidden/>
          </w:rPr>
        </w:r>
        <w:r w:rsidR="00ED356E">
          <w:rPr>
            <w:noProof/>
            <w:webHidden/>
          </w:rPr>
          <w:fldChar w:fldCharType="separate"/>
        </w:r>
        <w:r w:rsidR="00ED356E">
          <w:rPr>
            <w:noProof/>
            <w:webHidden/>
          </w:rPr>
          <w:t>6</w:t>
        </w:r>
        <w:r w:rsidR="00ED356E">
          <w:rPr>
            <w:noProof/>
            <w:webHidden/>
          </w:rPr>
          <w:fldChar w:fldCharType="end"/>
        </w:r>
      </w:hyperlink>
    </w:p>
    <w:p w14:paraId="129A444C" w14:textId="58BD72EE" w:rsidR="00ED356E" w:rsidRDefault="00EA604A">
      <w:pPr>
        <w:pStyle w:val="TOC1"/>
        <w:rPr>
          <w:rFonts w:asciiTheme="minorHAnsi" w:eastAsiaTheme="minorEastAsia" w:hAnsiTheme="minorHAnsi" w:cstheme="minorBidi"/>
          <w:caps w:val="0"/>
          <w:noProof/>
          <w:szCs w:val="22"/>
          <w:lang w:eastAsia="en-GB"/>
        </w:rPr>
      </w:pPr>
      <w:hyperlink w:anchor="_Toc15990214" w:history="1">
        <w:r w:rsidR="00ED356E" w:rsidRPr="00E67D0A">
          <w:rPr>
            <w:rStyle w:val="Hyperlink"/>
            <w:rFonts w:cs="Arial"/>
            <w:noProof/>
          </w:rPr>
          <w:t>4</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Term</w:t>
        </w:r>
        <w:r w:rsidR="00ED356E">
          <w:rPr>
            <w:noProof/>
            <w:webHidden/>
          </w:rPr>
          <w:tab/>
        </w:r>
        <w:r w:rsidR="00ED356E">
          <w:rPr>
            <w:noProof/>
            <w:webHidden/>
          </w:rPr>
          <w:fldChar w:fldCharType="begin"/>
        </w:r>
        <w:r w:rsidR="00ED356E">
          <w:rPr>
            <w:noProof/>
            <w:webHidden/>
          </w:rPr>
          <w:instrText xml:space="preserve"> PAGEREF _Toc15990214 \h </w:instrText>
        </w:r>
        <w:r w:rsidR="00ED356E">
          <w:rPr>
            <w:noProof/>
            <w:webHidden/>
          </w:rPr>
        </w:r>
        <w:r w:rsidR="00ED356E">
          <w:rPr>
            <w:noProof/>
            <w:webHidden/>
          </w:rPr>
          <w:fldChar w:fldCharType="separate"/>
        </w:r>
        <w:r w:rsidR="00ED356E">
          <w:rPr>
            <w:noProof/>
            <w:webHidden/>
          </w:rPr>
          <w:t>6</w:t>
        </w:r>
        <w:r w:rsidR="00ED356E">
          <w:rPr>
            <w:noProof/>
            <w:webHidden/>
          </w:rPr>
          <w:fldChar w:fldCharType="end"/>
        </w:r>
      </w:hyperlink>
    </w:p>
    <w:p w14:paraId="433AC9E3" w14:textId="313FF061" w:rsidR="00ED356E" w:rsidRDefault="00EA604A">
      <w:pPr>
        <w:pStyle w:val="TOC1"/>
        <w:rPr>
          <w:rFonts w:asciiTheme="minorHAnsi" w:eastAsiaTheme="minorEastAsia" w:hAnsiTheme="minorHAnsi" w:cstheme="minorBidi"/>
          <w:caps w:val="0"/>
          <w:noProof/>
          <w:szCs w:val="22"/>
          <w:lang w:eastAsia="en-GB"/>
        </w:rPr>
      </w:pPr>
      <w:hyperlink w:anchor="_Toc15990215" w:history="1">
        <w:r w:rsidR="00ED356E" w:rsidRPr="00E67D0A">
          <w:rPr>
            <w:rStyle w:val="Hyperlink"/>
            <w:rFonts w:cs="Arial"/>
            <w:noProof/>
          </w:rPr>
          <w:t>5</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Charges, Payment and Recovery of Sums Due</w:t>
        </w:r>
        <w:r w:rsidR="00ED356E">
          <w:rPr>
            <w:noProof/>
            <w:webHidden/>
          </w:rPr>
          <w:tab/>
        </w:r>
        <w:r w:rsidR="00ED356E">
          <w:rPr>
            <w:noProof/>
            <w:webHidden/>
          </w:rPr>
          <w:fldChar w:fldCharType="begin"/>
        </w:r>
        <w:r w:rsidR="00ED356E">
          <w:rPr>
            <w:noProof/>
            <w:webHidden/>
          </w:rPr>
          <w:instrText xml:space="preserve"> PAGEREF _Toc15990215 \h </w:instrText>
        </w:r>
        <w:r w:rsidR="00ED356E">
          <w:rPr>
            <w:noProof/>
            <w:webHidden/>
          </w:rPr>
        </w:r>
        <w:r w:rsidR="00ED356E">
          <w:rPr>
            <w:noProof/>
            <w:webHidden/>
          </w:rPr>
          <w:fldChar w:fldCharType="separate"/>
        </w:r>
        <w:r w:rsidR="00ED356E">
          <w:rPr>
            <w:noProof/>
            <w:webHidden/>
          </w:rPr>
          <w:t>6</w:t>
        </w:r>
        <w:r w:rsidR="00ED356E">
          <w:rPr>
            <w:noProof/>
            <w:webHidden/>
          </w:rPr>
          <w:fldChar w:fldCharType="end"/>
        </w:r>
      </w:hyperlink>
    </w:p>
    <w:p w14:paraId="415FDEBC" w14:textId="04975D5D" w:rsidR="00ED356E" w:rsidRDefault="00EA604A">
      <w:pPr>
        <w:pStyle w:val="TOC1"/>
        <w:rPr>
          <w:rFonts w:asciiTheme="minorHAnsi" w:eastAsiaTheme="minorEastAsia" w:hAnsiTheme="minorHAnsi" w:cstheme="minorBidi"/>
          <w:caps w:val="0"/>
          <w:noProof/>
          <w:szCs w:val="22"/>
          <w:lang w:eastAsia="en-GB"/>
        </w:rPr>
      </w:pPr>
      <w:hyperlink w:anchor="_Toc15990216" w:history="1">
        <w:r w:rsidR="00ED356E" w:rsidRPr="00E67D0A">
          <w:rPr>
            <w:rStyle w:val="Hyperlink"/>
            <w:rFonts w:cs="Arial"/>
            <w:noProof/>
          </w:rPr>
          <w:t>6</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Premises and equipment</w:t>
        </w:r>
        <w:r w:rsidR="00ED356E">
          <w:rPr>
            <w:noProof/>
            <w:webHidden/>
          </w:rPr>
          <w:tab/>
        </w:r>
        <w:r w:rsidR="00ED356E">
          <w:rPr>
            <w:noProof/>
            <w:webHidden/>
          </w:rPr>
          <w:fldChar w:fldCharType="begin"/>
        </w:r>
        <w:r w:rsidR="00ED356E">
          <w:rPr>
            <w:noProof/>
            <w:webHidden/>
          </w:rPr>
          <w:instrText xml:space="preserve"> PAGEREF _Toc15990216 \h </w:instrText>
        </w:r>
        <w:r w:rsidR="00ED356E">
          <w:rPr>
            <w:noProof/>
            <w:webHidden/>
          </w:rPr>
        </w:r>
        <w:r w:rsidR="00ED356E">
          <w:rPr>
            <w:noProof/>
            <w:webHidden/>
          </w:rPr>
          <w:fldChar w:fldCharType="separate"/>
        </w:r>
        <w:r w:rsidR="00ED356E">
          <w:rPr>
            <w:noProof/>
            <w:webHidden/>
          </w:rPr>
          <w:t>7</w:t>
        </w:r>
        <w:r w:rsidR="00ED356E">
          <w:rPr>
            <w:noProof/>
            <w:webHidden/>
          </w:rPr>
          <w:fldChar w:fldCharType="end"/>
        </w:r>
      </w:hyperlink>
    </w:p>
    <w:p w14:paraId="15F0A0E6" w14:textId="45DC6DB6" w:rsidR="00ED356E" w:rsidRDefault="00EA604A">
      <w:pPr>
        <w:pStyle w:val="TOC1"/>
        <w:rPr>
          <w:rFonts w:asciiTheme="minorHAnsi" w:eastAsiaTheme="minorEastAsia" w:hAnsiTheme="minorHAnsi" w:cstheme="minorBidi"/>
          <w:caps w:val="0"/>
          <w:noProof/>
          <w:szCs w:val="22"/>
          <w:lang w:eastAsia="en-GB"/>
        </w:rPr>
      </w:pPr>
      <w:hyperlink w:anchor="_Toc15990217" w:history="1">
        <w:r w:rsidR="00ED356E" w:rsidRPr="00E67D0A">
          <w:rPr>
            <w:rStyle w:val="Hyperlink"/>
            <w:rFonts w:cs="Arial"/>
            <w:bCs/>
            <w:noProof/>
          </w:rPr>
          <w:t>7</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Staff and Key Personnel</w:t>
        </w:r>
        <w:r w:rsidR="00ED356E">
          <w:rPr>
            <w:noProof/>
            <w:webHidden/>
          </w:rPr>
          <w:tab/>
        </w:r>
        <w:r w:rsidR="00ED356E">
          <w:rPr>
            <w:noProof/>
            <w:webHidden/>
          </w:rPr>
          <w:fldChar w:fldCharType="begin"/>
        </w:r>
        <w:r w:rsidR="00ED356E">
          <w:rPr>
            <w:noProof/>
            <w:webHidden/>
          </w:rPr>
          <w:instrText xml:space="preserve"> PAGEREF _Toc15990217 \h </w:instrText>
        </w:r>
        <w:r w:rsidR="00ED356E">
          <w:rPr>
            <w:noProof/>
            <w:webHidden/>
          </w:rPr>
        </w:r>
        <w:r w:rsidR="00ED356E">
          <w:rPr>
            <w:noProof/>
            <w:webHidden/>
          </w:rPr>
          <w:fldChar w:fldCharType="separate"/>
        </w:r>
        <w:r w:rsidR="00ED356E">
          <w:rPr>
            <w:noProof/>
            <w:webHidden/>
          </w:rPr>
          <w:t>8</w:t>
        </w:r>
        <w:r w:rsidR="00ED356E">
          <w:rPr>
            <w:noProof/>
            <w:webHidden/>
          </w:rPr>
          <w:fldChar w:fldCharType="end"/>
        </w:r>
      </w:hyperlink>
    </w:p>
    <w:p w14:paraId="4B595FC9" w14:textId="6A5EADDB" w:rsidR="00ED356E" w:rsidRDefault="00EA604A">
      <w:pPr>
        <w:pStyle w:val="TOC1"/>
        <w:rPr>
          <w:rFonts w:asciiTheme="minorHAnsi" w:eastAsiaTheme="minorEastAsia" w:hAnsiTheme="minorHAnsi" w:cstheme="minorBidi"/>
          <w:caps w:val="0"/>
          <w:noProof/>
          <w:szCs w:val="22"/>
          <w:lang w:eastAsia="en-GB"/>
        </w:rPr>
      </w:pPr>
      <w:hyperlink w:anchor="_Toc15990218" w:history="1">
        <w:r w:rsidR="00ED356E" w:rsidRPr="00E67D0A">
          <w:rPr>
            <w:rStyle w:val="Hyperlink"/>
            <w:rFonts w:cs="Arial"/>
            <w:noProof/>
          </w:rPr>
          <w:t>8</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Assignment and sub-contracting</w:t>
        </w:r>
        <w:r w:rsidR="00ED356E">
          <w:rPr>
            <w:noProof/>
            <w:webHidden/>
          </w:rPr>
          <w:tab/>
        </w:r>
        <w:r w:rsidR="00ED356E">
          <w:rPr>
            <w:noProof/>
            <w:webHidden/>
          </w:rPr>
          <w:fldChar w:fldCharType="begin"/>
        </w:r>
        <w:r w:rsidR="00ED356E">
          <w:rPr>
            <w:noProof/>
            <w:webHidden/>
          </w:rPr>
          <w:instrText xml:space="preserve"> PAGEREF _Toc15990218 \h </w:instrText>
        </w:r>
        <w:r w:rsidR="00ED356E">
          <w:rPr>
            <w:noProof/>
            <w:webHidden/>
          </w:rPr>
        </w:r>
        <w:r w:rsidR="00ED356E">
          <w:rPr>
            <w:noProof/>
            <w:webHidden/>
          </w:rPr>
          <w:fldChar w:fldCharType="separate"/>
        </w:r>
        <w:r w:rsidR="00ED356E">
          <w:rPr>
            <w:noProof/>
            <w:webHidden/>
          </w:rPr>
          <w:t>9</w:t>
        </w:r>
        <w:r w:rsidR="00ED356E">
          <w:rPr>
            <w:noProof/>
            <w:webHidden/>
          </w:rPr>
          <w:fldChar w:fldCharType="end"/>
        </w:r>
      </w:hyperlink>
    </w:p>
    <w:p w14:paraId="3EBC7FC1" w14:textId="5BE865BB" w:rsidR="00ED356E" w:rsidRDefault="00EA604A">
      <w:pPr>
        <w:pStyle w:val="TOC1"/>
        <w:rPr>
          <w:rFonts w:asciiTheme="minorHAnsi" w:eastAsiaTheme="minorEastAsia" w:hAnsiTheme="minorHAnsi" w:cstheme="minorBidi"/>
          <w:caps w:val="0"/>
          <w:noProof/>
          <w:szCs w:val="22"/>
          <w:lang w:eastAsia="en-GB"/>
        </w:rPr>
      </w:pPr>
      <w:hyperlink w:anchor="_Toc15990219" w:history="1">
        <w:r w:rsidR="00ED356E" w:rsidRPr="00E67D0A">
          <w:rPr>
            <w:rStyle w:val="Hyperlink"/>
            <w:rFonts w:cs="Arial"/>
            <w:noProof/>
          </w:rPr>
          <w:t>9</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Intellectual Property Rights</w:t>
        </w:r>
        <w:r w:rsidR="00ED356E">
          <w:rPr>
            <w:noProof/>
            <w:webHidden/>
          </w:rPr>
          <w:tab/>
        </w:r>
        <w:r w:rsidR="00ED356E">
          <w:rPr>
            <w:noProof/>
            <w:webHidden/>
          </w:rPr>
          <w:fldChar w:fldCharType="begin"/>
        </w:r>
        <w:r w:rsidR="00ED356E">
          <w:rPr>
            <w:noProof/>
            <w:webHidden/>
          </w:rPr>
          <w:instrText xml:space="preserve"> PAGEREF _Toc15990219 \h </w:instrText>
        </w:r>
        <w:r w:rsidR="00ED356E">
          <w:rPr>
            <w:noProof/>
            <w:webHidden/>
          </w:rPr>
        </w:r>
        <w:r w:rsidR="00ED356E">
          <w:rPr>
            <w:noProof/>
            <w:webHidden/>
          </w:rPr>
          <w:fldChar w:fldCharType="separate"/>
        </w:r>
        <w:r w:rsidR="00ED356E">
          <w:rPr>
            <w:noProof/>
            <w:webHidden/>
          </w:rPr>
          <w:t>9</w:t>
        </w:r>
        <w:r w:rsidR="00ED356E">
          <w:rPr>
            <w:noProof/>
            <w:webHidden/>
          </w:rPr>
          <w:fldChar w:fldCharType="end"/>
        </w:r>
      </w:hyperlink>
    </w:p>
    <w:p w14:paraId="607DF1DE" w14:textId="17F7B921" w:rsidR="00ED356E" w:rsidRDefault="00EA604A">
      <w:pPr>
        <w:pStyle w:val="TOC1"/>
        <w:rPr>
          <w:rFonts w:asciiTheme="minorHAnsi" w:eastAsiaTheme="minorEastAsia" w:hAnsiTheme="minorHAnsi" w:cstheme="minorBidi"/>
          <w:caps w:val="0"/>
          <w:noProof/>
          <w:szCs w:val="22"/>
          <w:lang w:eastAsia="en-GB"/>
        </w:rPr>
      </w:pPr>
      <w:hyperlink w:anchor="_Toc15990220" w:history="1">
        <w:r w:rsidR="00ED356E" w:rsidRPr="00E67D0A">
          <w:rPr>
            <w:rStyle w:val="Hyperlink"/>
            <w:rFonts w:cs="Arial"/>
            <w:noProof/>
          </w:rPr>
          <w:t>10</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Governance and Records</w:t>
        </w:r>
        <w:r w:rsidR="00ED356E">
          <w:rPr>
            <w:noProof/>
            <w:webHidden/>
          </w:rPr>
          <w:tab/>
        </w:r>
        <w:r w:rsidR="00ED356E">
          <w:rPr>
            <w:noProof/>
            <w:webHidden/>
          </w:rPr>
          <w:fldChar w:fldCharType="begin"/>
        </w:r>
        <w:r w:rsidR="00ED356E">
          <w:rPr>
            <w:noProof/>
            <w:webHidden/>
          </w:rPr>
          <w:instrText xml:space="preserve"> PAGEREF _Toc15990220 \h </w:instrText>
        </w:r>
        <w:r w:rsidR="00ED356E">
          <w:rPr>
            <w:noProof/>
            <w:webHidden/>
          </w:rPr>
        </w:r>
        <w:r w:rsidR="00ED356E">
          <w:rPr>
            <w:noProof/>
            <w:webHidden/>
          </w:rPr>
          <w:fldChar w:fldCharType="separate"/>
        </w:r>
        <w:r w:rsidR="00ED356E">
          <w:rPr>
            <w:noProof/>
            <w:webHidden/>
          </w:rPr>
          <w:t>10</w:t>
        </w:r>
        <w:r w:rsidR="00ED356E">
          <w:rPr>
            <w:noProof/>
            <w:webHidden/>
          </w:rPr>
          <w:fldChar w:fldCharType="end"/>
        </w:r>
      </w:hyperlink>
    </w:p>
    <w:p w14:paraId="5AB4BAEC" w14:textId="23BEF4CA" w:rsidR="00ED356E" w:rsidRDefault="00EA604A">
      <w:pPr>
        <w:pStyle w:val="TOC1"/>
        <w:rPr>
          <w:rFonts w:asciiTheme="minorHAnsi" w:eastAsiaTheme="minorEastAsia" w:hAnsiTheme="minorHAnsi" w:cstheme="minorBidi"/>
          <w:caps w:val="0"/>
          <w:noProof/>
          <w:szCs w:val="22"/>
          <w:lang w:eastAsia="en-GB"/>
        </w:rPr>
      </w:pPr>
      <w:hyperlink w:anchor="_Toc15990221" w:history="1">
        <w:r w:rsidR="00ED356E" w:rsidRPr="00E67D0A">
          <w:rPr>
            <w:rStyle w:val="Hyperlink"/>
            <w:rFonts w:cs="Arial"/>
            <w:noProof/>
          </w:rPr>
          <w:t>11</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Confidentiality, Transparency and Publicity</w:t>
        </w:r>
        <w:r w:rsidR="00ED356E">
          <w:rPr>
            <w:noProof/>
            <w:webHidden/>
          </w:rPr>
          <w:tab/>
        </w:r>
        <w:r w:rsidR="00ED356E">
          <w:rPr>
            <w:noProof/>
            <w:webHidden/>
          </w:rPr>
          <w:fldChar w:fldCharType="begin"/>
        </w:r>
        <w:r w:rsidR="00ED356E">
          <w:rPr>
            <w:noProof/>
            <w:webHidden/>
          </w:rPr>
          <w:instrText xml:space="preserve"> PAGEREF _Toc15990221 \h </w:instrText>
        </w:r>
        <w:r w:rsidR="00ED356E">
          <w:rPr>
            <w:noProof/>
            <w:webHidden/>
          </w:rPr>
        </w:r>
        <w:r w:rsidR="00ED356E">
          <w:rPr>
            <w:noProof/>
            <w:webHidden/>
          </w:rPr>
          <w:fldChar w:fldCharType="separate"/>
        </w:r>
        <w:r w:rsidR="00ED356E">
          <w:rPr>
            <w:noProof/>
            <w:webHidden/>
          </w:rPr>
          <w:t>10</w:t>
        </w:r>
        <w:r w:rsidR="00ED356E">
          <w:rPr>
            <w:noProof/>
            <w:webHidden/>
          </w:rPr>
          <w:fldChar w:fldCharType="end"/>
        </w:r>
      </w:hyperlink>
    </w:p>
    <w:p w14:paraId="6273D170" w14:textId="7BCAAB23" w:rsidR="00ED356E" w:rsidRDefault="00EA604A">
      <w:pPr>
        <w:pStyle w:val="TOC1"/>
        <w:rPr>
          <w:rFonts w:asciiTheme="minorHAnsi" w:eastAsiaTheme="minorEastAsia" w:hAnsiTheme="minorHAnsi" w:cstheme="minorBidi"/>
          <w:caps w:val="0"/>
          <w:noProof/>
          <w:szCs w:val="22"/>
          <w:lang w:eastAsia="en-GB"/>
        </w:rPr>
      </w:pPr>
      <w:hyperlink w:anchor="_Toc15990222" w:history="1">
        <w:r w:rsidR="00ED356E" w:rsidRPr="00E67D0A">
          <w:rPr>
            <w:rStyle w:val="Hyperlink"/>
            <w:rFonts w:cs="Arial"/>
            <w:noProof/>
          </w:rPr>
          <w:t>12</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Freedom of Information</w:t>
        </w:r>
        <w:r w:rsidR="00ED356E">
          <w:rPr>
            <w:noProof/>
            <w:webHidden/>
          </w:rPr>
          <w:tab/>
        </w:r>
        <w:r w:rsidR="00ED356E">
          <w:rPr>
            <w:noProof/>
            <w:webHidden/>
          </w:rPr>
          <w:fldChar w:fldCharType="begin"/>
        </w:r>
        <w:r w:rsidR="00ED356E">
          <w:rPr>
            <w:noProof/>
            <w:webHidden/>
          </w:rPr>
          <w:instrText xml:space="preserve"> PAGEREF _Toc15990222 \h </w:instrText>
        </w:r>
        <w:r w:rsidR="00ED356E">
          <w:rPr>
            <w:noProof/>
            <w:webHidden/>
          </w:rPr>
        </w:r>
        <w:r w:rsidR="00ED356E">
          <w:rPr>
            <w:noProof/>
            <w:webHidden/>
          </w:rPr>
          <w:fldChar w:fldCharType="separate"/>
        </w:r>
        <w:r w:rsidR="00ED356E">
          <w:rPr>
            <w:noProof/>
            <w:webHidden/>
          </w:rPr>
          <w:t>11</w:t>
        </w:r>
        <w:r w:rsidR="00ED356E">
          <w:rPr>
            <w:noProof/>
            <w:webHidden/>
          </w:rPr>
          <w:fldChar w:fldCharType="end"/>
        </w:r>
      </w:hyperlink>
    </w:p>
    <w:p w14:paraId="1036B080" w14:textId="78A2AEE3" w:rsidR="00ED356E" w:rsidRDefault="00EA604A">
      <w:pPr>
        <w:pStyle w:val="TOC1"/>
        <w:rPr>
          <w:rFonts w:asciiTheme="minorHAnsi" w:eastAsiaTheme="minorEastAsia" w:hAnsiTheme="minorHAnsi" w:cstheme="minorBidi"/>
          <w:caps w:val="0"/>
          <w:noProof/>
          <w:szCs w:val="22"/>
          <w:lang w:eastAsia="en-GB"/>
        </w:rPr>
      </w:pPr>
      <w:hyperlink w:anchor="_Toc15990223" w:history="1">
        <w:r w:rsidR="00ED356E" w:rsidRPr="00E67D0A">
          <w:rPr>
            <w:rStyle w:val="Hyperlink"/>
            <w:rFonts w:cs="Arial"/>
            <w:noProof/>
          </w:rPr>
          <w:t>13</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Protection of Personal Data and Security of Data</w:t>
        </w:r>
        <w:r w:rsidR="00ED356E">
          <w:rPr>
            <w:noProof/>
            <w:webHidden/>
          </w:rPr>
          <w:tab/>
        </w:r>
        <w:r w:rsidR="00ED356E">
          <w:rPr>
            <w:noProof/>
            <w:webHidden/>
          </w:rPr>
          <w:fldChar w:fldCharType="begin"/>
        </w:r>
        <w:r w:rsidR="00ED356E">
          <w:rPr>
            <w:noProof/>
            <w:webHidden/>
          </w:rPr>
          <w:instrText xml:space="preserve"> PAGEREF _Toc15990223 \h </w:instrText>
        </w:r>
        <w:r w:rsidR="00ED356E">
          <w:rPr>
            <w:noProof/>
            <w:webHidden/>
          </w:rPr>
        </w:r>
        <w:r w:rsidR="00ED356E">
          <w:rPr>
            <w:noProof/>
            <w:webHidden/>
          </w:rPr>
          <w:fldChar w:fldCharType="separate"/>
        </w:r>
        <w:r w:rsidR="00ED356E">
          <w:rPr>
            <w:noProof/>
            <w:webHidden/>
          </w:rPr>
          <w:t>12</w:t>
        </w:r>
        <w:r w:rsidR="00ED356E">
          <w:rPr>
            <w:noProof/>
            <w:webHidden/>
          </w:rPr>
          <w:fldChar w:fldCharType="end"/>
        </w:r>
      </w:hyperlink>
    </w:p>
    <w:p w14:paraId="1D1DC6D0" w14:textId="413D2125" w:rsidR="00ED356E" w:rsidRDefault="00EA604A">
      <w:pPr>
        <w:pStyle w:val="TOC1"/>
        <w:rPr>
          <w:rFonts w:asciiTheme="minorHAnsi" w:eastAsiaTheme="minorEastAsia" w:hAnsiTheme="minorHAnsi" w:cstheme="minorBidi"/>
          <w:caps w:val="0"/>
          <w:noProof/>
          <w:szCs w:val="22"/>
          <w:lang w:eastAsia="en-GB"/>
        </w:rPr>
      </w:pPr>
      <w:hyperlink w:anchor="_Toc15990224" w:history="1">
        <w:r w:rsidR="00ED356E" w:rsidRPr="00E67D0A">
          <w:rPr>
            <w:rStyle w:val="Hyperlink"/>
            <w:rFonts w:cs="Arial"/>
            <w:noProof/>
          </w:rPr>
          <w:t>14</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Liability</w:t>
        </w:r>
        <w:r w:rsidR="00ED356E">
          <w:rPr>
            <w:noProof/>
            <w:webHidden/>
          </w:rPr>
          <w:tab/>
        </w:r>
        <w:r w:rsidR="00ED356E">
          <w:rPr>
            <w:noProof/>
            <w:webHidden/>
          </w:rPr>
          <w:fldChar w:fldCharType="begin"/>
        </w:r>
        <w:r w:rsidR="00ED356E">
          <w:rPr>
            <w:noProof/>
            <w:webHidden/>
          </w:rPr>
          <w:instrText xml:space="preserve"> PAGEREF _Toc15990224 \h </w:instrText>
        </w:r>
        <w:r w:rsidR="00ED356E">
          <w:rPr>
            <w:noProof/>
            <w:webHidden/>
          </w:rPr>
        </w:r>
        <w:r w:rsidR="00ED356E">
          <w:rPr>
            <w:noProof/>
            <w:webHidden/>
          </w:rPr>
          <w:fldChar w:fldCharType="separate"/>
        </w:r>
        <w:r w:rsidR="00ED356E">
          <w:rPr>
            <w:noProof/>
            <w:webHidden/>
          </w:rPr>
          <w:t>12</w:t>
        </w:r>
        <w:r w:rsidR="00ED356E">
          <w:rPr>
            <w:noProof/>
            <w:webHidden/>
          </w:rPr>
          <w:fldChar w:fldCharType="end"/>
        </w:r>
      </w:hyperlink>
    </w:p>
    <w:p w14:paraId="1A60E8C4" w14:textId="3D45E076" w:rsidR="00ED356E" w:rsidRDefault="00EA604A">
      <w:pPr>
        <w:pStyle w:val="TOC1"/>
        <w:rPr>
          <w:rFonts w:asciiTheme="minorHAnsi" w:eastAsiaTheme="minorEastAsia" w:hAnsiTheme="minorHAnsi" w:cstheme="minorBidi"/>
          <w:caps w:val="0"/>
          <w:noProof/>
          <w:szCs w:val="22"/>
          <w:lang w:eastAsia="en-GB"/>
        </w:rPr>
      </w:pPr>
      <w:hyperlink w:anchor="_Toc15990225" w:history="1">
        <w:r w:rsidR="00ED356E" w:rsidRPr="00E67D0A">
          <w:rPr>
            <w:rStyle w:val="Hyperlink"/>
            <w:rFonts w:cs="Arial"/>
            <w:noProof/>
          </w:rPr>
          <w:t>15</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Force Majeure</w:t>
        </w:r>
        <w:r w:rsidR="00ED356E">
          <w:rPr>
            <w:noProof/>
            <w:webHidden/>
          </w:rPr>
          <w:tab/>
        </w:r>
        <w:r w:rsidR="00ED356E">
          <w:rPr>
            <w:noProof/>
            <w:webHidden/>
          </w:rPr>
          <w:fldChar w:fldCharType="begin"/>
        </w:r>
        <w:r w:rsidR="00ED356E">
          <w:rPr>
            <w:noProof/>
            <w:webHidden/>
          </w:rPr>
          <w:instrText xml:space="preserve"> PAGEREF _Toc15990225 \h </w:instrText>
        </w:r>
        <w:r w:rsidR="00ED356E">
          <w:rPr>
            <w:noProof/>
            <w:webHidden/>
          </w:rPr>
        </w:r>
        <w:r w:rsidR="00ED356E">
          <w:rPr>
            <w:noProof/>
            <w:webHidden/>
          </w:rPr>
          <w:fldChar w:fldCharType="separate"/>
        </w:r>
        <w:r w:rsidR="00ED356E">
          <w:rPr>
            <w:noProof/>
            <w:webHidden/>
          </w:rPr>
          <w:t>13</w:t>
        </w:r>
        <w:r w:rsidR="00ED356E">
          <w:rPr>
            <w:noProof/>
            <w:webHidden/>
          </w:rPr>
          <w:fldChar w:fldCharType="end"/>
        </w:r>
      </w:hyperlink>
    </w:p>
    <w:p w14:paraId="12CE5A75" w14:textId="7A9B7733" w:rsidR="00ED356E" w:rsidRDefault="00EA604A">
      <w:pPr>
        <w:pStyle w:val="TOC1"/>
        <w:rPr>
          <w:rFonts w:asciiTheme="minorHAnsi" w:eastAsiaTheme="minorEastAsia" w:hAnsiTheme="minorHAnsi" w:cstheme="minorBidi"/>
          <w:caps w:val="0"/>
          <w:noProof/>
          <w:szCs w:val="22"/>
          <w:lang w:eastAsia="en-GB"/>
        </w:rPr>
      </w:pPr>
      <w:hyperlink w:anchor="_Toc15990226" w:history="1">
        <w:r w:rsidR="00ED356E" w:rsidRPr="00E67D0A">
          <w:rPr>
            <w:rStyle w:val="Hyperlink"/>
            <w:rFonts w:cs="Arial"/>
            <w:noProof/>
          </w:rPr>
          <w:t>16</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Termination</w:t>
        </w:r>
        <w:r w:rsidR="00ED356E">
          <w:rPr>
            <w:noProof/>
            <w:webHidden/>
          </w:rPr>
          <w:tab/>
        </w:r>
        <w:r w:rsidR="00ED356E">
          <w:rPr>
            <w:noProof/>
            <w:webHidden/>
          </w:rPr>
          <w:fldChar w:fldCharType="begin"/>
        </w:r>
        <w:r w:rsidR="00ED356E">
          <w:rPr>
            <w:noProof/>
            <w:webHidden/>
          </w:rPr>
          <w:instrText xml:space="preserve"> PAGEREF _Toc15990226 \h </w:instrText>
        </w:r>
        <w:r w:rsidR="00ED356E">
          <w:rPr>
            <w:noProof/>
            <w:webHidden/>
          </w:rPr>
        </w:r>
        <w:r w:rsidR="00ED356E">
          <w:rPr>
            <w:noProof/>
            <w:webHidden/>
          </w:rPr>
          <w:fldChar w:fldCharType="separate"/>
        </w:r>
        <w:r w:rsidR="00ED356E">
          <w:rPr>
            <w:noProof/>
            <w:webHidden/>
          </w:rPr>
          <w:t>13</w:t>
        </w:r>
        <w:r w:rsidR="00ED356E">
          <w:rPr>
            <w:noProof/>
            <w:webHidden/>
          </w:rPr>
          <w:fldChar w:fldCharType="end"/>
        </w:r>
      </w:hyperlink>
    </w:p>
    <w:p w14:paraId="1170F746" w14:textId="42D91E04" w:rsidR="00ED356E" w:rsidRDefault="00EA604A">
      <w:pPr>
        <w:pStyle w:val="TOC1"/>
        <w:rPr>
          <w:rFonts w:asciiTheme="minorHAnsi" w:eastAsiaTheme="minorEastAsia" w:hAnsiTheme="minorHAnsi" w:cstheme="minorBidi"/>
          <w:caps w:val="0"/>
          <w:noProof/>
          <w:szCs w:val="22"/>
          <w:lang w:eastAsia="en-GB"/>
        </w:rPr>
      </w:pPr>
      <w:hyperlink w:anchor="_Toc15990227" w:history="1">
        <w:r w:rsidR="00ED356E" w:rsidRPr="00E67D0A">
          <w:rPr>
            <w:rStyle w:val="Hyperlink"/>
            <w:rFonts w:cs="Arial"/>
            <w:noProof/>
          </w:rPr>
          <w:t>17</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Compliance</w:t>
        </w:r>
        <w:r w:rsidR="00ED356E">
          <w:rPr>
            <w:noProof/>
            <w:webHidden/>
          </w:rPr>
          <w:tab/>
        </w:r>
        <w:r w:rsidR="00ED356E">
          <w:rPr>
            <w:noProof/>
            <w:webHidden/>
          </w:rPr>
          <w:fldChar w:fldCharType="begin"/>
        </w:r>
        <w:r w:rsidR="00ED356E">
          <w:rPr>
            <w:noProof/>
            <w:webHidden/>
          </w:rPr>
          <w:instrText xml:space="preserve"> PAGEREF _Toc15990227 \h </w:instrText>
        </w:r>
        <w:r w:rsidR="00ED356E">
          <w:rPr>
            <w:noProof/>
            <w:webHidden/>
          </w:rPr>
        </w:r>
        <w:r w:rsidR="00ED356E">
          <w:rPr>
            <w:noProof/>
            <w:webHidden/>
          </w:rPr>
          <w:fldChar w:fldCharType="separate"/>
        </w:r>
        <w:r w:rsidR="00ED356E">
          <w:rPr>
            <w:noProof/>
            <w:webHidden/>
          </w:rPr>
          <w:t>14</w:t>
        </w:r>
        <w:r w:rsidR="00ED356E">
          <w:rPr>
            <w:noProof/>
            <w:webHidden/>
          </w:rPr>
          <w:fldChar w:fldCharType="end"/>
        </w:r>
      </w:hyperlink>
    </w:p>
    <w:p w14:paraId="35CAF7D2" w14:textId="146ED36D" w:rsidR="00ED356E" w:rsidRDefault="00EA604A">
      <w:pPr>
        <w:pStyle w:val="TOC1"/>
        <w:rPr>
          <w:rFonts w:asciiTheme="minorHAnsi" w:eastAsiaTheme="minorEastAsia" w:hAnsiTheme="minorHAnsi" w:cstheme="minorBidi"/>
          <w:caps w:val="0"/>
          <w:noProof/>
          <w:szCs w:val="22"/>
          <w:lang w:eastAsia="en-GB"/>
        </w:rPr>
      </w:pPr>
      <w:hyperlink w:anchor="_Toc15990228" w:history="1">
        <w:r w:rsidR="00ED356E" w:rsidRPr="00E67D0A">
          <w:rPr>
            <w:rStyle w:val="Hyperlink"/>
            <w:rFonts w:cs="Arial"/>
            <w:noProof/>
          </w:rPr>
          <w:t>18</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Prevention of Fraud and Corruption</w:t>
        </w:r>
        <w:r w:rsidR="00ED356E">
          <w:rPr>
            <w:noProof/>
            <w:webHidden/>
          </w:rPr>
          <w:tab/>
        </w:r>
        <w:r w:rsidR="00ED356E">
          <w:rPr>
            <w:noProof/>
            <w:webHidden/>
          </w:rPr>
          <w:fldChar w:fldCharType="begin"/>
        </w:r>
        <w:r w:rsidR="00ED356E">
          <w:rPr>
            <w:noProof/>
            <w:webHidden/>
          </w:rPr>
          <w:instrText xml:space="preserve"> PAGEREF _Toc15990228 \h </w:instrText>
        </w:r>
        <w:r w:rsidR="00ED356E">
          <w:rPr>
            <w:noProof/>
            <w:webHidden/>
          </w:rPr>
        </w:r>
        <w:r w:rsidR="00ED356E">
          <w:rPr>
            <w:noProof/>
            <w:webHidden/>
          </w:rPr>
          <w:fldChar w:fldCharType="separate"/>
        </w:r>
        <w:r w:rsidR="00ED356E">
          <w:rPr>
            <w:noProof/>
            <w:webHidden/>
          </w:rPr>
          <w:t>14</w:t>
        </w:r>
        <w:r w:rsidR="00ED356E">
          <w:rPr>
            <w:noProof/>
            <w:webHidden/>
          </w:rPr>
          <w:fldChar w:fldCharType="end"/>
        </w:r>
      </w:hyperlink>
    </w:p>
    <w:p w14:paraId="46920064" w14:textId="6209E14F" w:rsidR="00ED356E" w:rsidRDefault="00EA604A">
      <w:pPr>
        <w:pStyle w:val="TOC1"/>
        <w:rPr>
          <w:rFonts w:asciiTheme="minorHAnsi" w:eastAsiaTheme="minorEastAsia" w:hAnsiTheme="minorHAnsi" w:cstheme="minorBidi"/>
          <w:caps w:val="0"/>
          <w:noProof/>
          <w:szCs w:val="22"/>
          <w:lang w:eastAsia="en-GB"/>
        </w:rPr>
      </w:pPr>
      <w:hyperlink w:anchor="_Toc15990229" w:history="1">
        <w:r w:rsidR="00ED356E" w:rsidRPr="00E67D0A">
          <w:rPr>
            <w:rStyle w:val="Hyperlink"/>
            <w:rFonts w:cs="Arial"/>
            <w:noProof/>
          </w:rPr>
          <w:t>19</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Dispute Resolution</w:t>
        </w:r>
        <w:r w:rsidR="00ED356E">
          <w:rPr>
            <w:noProof/>
            <w:webHidden/>
          </w:rPr>
          <w:tab/>
        </w:r>
        <w:r w:rsidR="00ED356E">
          <w:rPr>
            <w:noProof/>
            <w:webHidden/>
          </w:rPr>
          <w:fldChar w:fldCharType="begin"/>
        </w:r>
        <w:r w:rsidR="00ED356E">
          <w:rPr>
            <w:noProof/>
            <w:webHidden/>
          </w:rPr>
          <w:instrText xml:space="preserve"> PAGEREF _Toc15990229 \h </w:instrText>
        </w:r>
        <w:r w:rsidR="00ED356E">
          <w:rPr>
            <w:noProof/>
            <w:webHidden/>
          </w:rPr>
        </w:r>
        <w:r w:rsidR="00ED356E">
          <w:rPr>
            <w:noProof/>
            <w:webHidden/>
          </w:rPr>
          <w:fldChar w:fldCharType="separate"/>
        </w:r>
        <w:r w:rsidR="00ED356E">
          <w:rPr>
            <w:noProof/>
            <w:webHidden/>
          </w:rPr>
          <w:t>15</w:t>
        </w:r>
        <w:r w:rsidR="00ED356E">
          <w:rPr>
            <w:noProof/>
            <w:webHidden/>
          </w:rPr>
          <w:fldChar w:fldCharType="end"/>
        </w:r>
      </w:hyperlink>
    </w:p>
    <w:p w14:paraId="6A25D2A5" w14:textId="16DD8827" w:rsidR="00ED356E" w:rsidRDefault="00EA604A">
      <w:pPr>
        <w:pStyle w:val="TOC1"/>
        <w:rPr>
          <w:rFonts w:asciiTheme="minorHAnsi" w:eastAsiaTheme="minorEastAsia" w:hAnsiTheme="minorHAnsi" w:cstheme="minorBidi"/>
          <w:caps w:val="0"/>
          <w:noProof/>
          <w:szCs w:val="22"/>
          <w:lang w:eastAsia="en-GB"/>
        </w:rPr>
      </w:pPr>
      <w:hyperlink w:anchor="_Toc15990230" w:history="1">
        <w:r w:rsidR="00ED356E" w:rsidRPr="00E67D0A">
          <w:rPr>
            <w:rStyle w:val="Hyperlink"/>
            <w:rFonts w:cs="Arial"/>
            <w:noProof/>
          </w:rPr>
          <w:t>20</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General</w:t>
        </w:r>
        <w:r w:rsidR="00ED356E">
          <w:rPr>
            <w:noProof/>
            <w:webHidden/>
          </w:rPr>
          <w:tab/>
        </w:r>
        <w:r w:rsidR="00ED356E">
          <w:rPr>
            <w:noProof/>
            <w:webHidden/>
          </w:rPr>
          <w:fldChar w:fldCharType="begin"/>
        </w:r>
        <w:r w:rsidR="00ED356E">
          <w:rPr>
            <w:noProof/>
            <w:webHidden/>
          </w:rPr>
          <w:instrText xml:space="preserve"> PAGEREF _Toc15990230 \h </w:instrText>
        </w:r>
        <w:r w:rsidR="00ED356E">
          <w:rPr>
            <w:noProof/>
            <w:webHidden/>
          </w:rPr>
        </w:r>
        <w:r w:rsidR="00ED356E">
          <w:rPr>
            <w:noProof/>
            <w:webHidden/>
          </w:rPr>
          <w:fldChar w:fldCharType="separate"/>
        </w:r>
        <w:r w:rsidR="00ED356E">
          <w:rPr>
            <w:noProof/>
            <w:webHidden/>
          </w:rPr>
          <w:t>15</w:t>
        </w:r>
        <w:r w:rsidR="00ED356E">
          <w:rPr>
            <w:noProof/>
            <w:webHidden/>
          </w:rPr>
          <w:fldChar w:fldCharType="end"/>
        </w:r>
      </w:hyperlink>
    </w:p>
    <w:p w14:paraId="480EE75F" w14:textId="5274531B" w:rsidR="00ED356E" w:rsidRDefault="00EA604A">
      <w:pPr>
        <w:pStyle w:val="TOC1"/>
        <w:rPr>
          <w:rFonts w:asciiTheme="minorHAnsi" w:eastAsiaTheme="minorEastAsia" w:hAnsiTheme="minorHAnsi" w:cstheme="minorBidi"/>
          <w:caps w:val="0"/>
          <w:noProof/>
          <w:szCs w:val="22"/>
          <w:lang w:eastAsia="en-GB"/>
        </w:rPr>
      </w:pPr>
      <w:hyperlink w:anchor="_Toc15990231" w:history="1">
        <w:r w:rsidR="00ED356E" w:rsidRPr="00E67D0A">
          <w:rPr>
            <w:rStyle w:val="Hyperlink"/>
            <w:rFonts w:cs="Arial"/>
            <w:noProof/>
          </w:rPr>
          <w:t>21</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Notices</w:t>
        </w:r>
        <w:r w:rsidR="00ED356E">
          <w:rPr>
            <w:noProof/>
            <w:webHidden/>
          </w:rPr>
          <w:tab/>
        </w:r>
        <w:r w:rsidR="00ED356E">
          <w:rPr>
            <w:noProof/>
            <w:webHidden/>
          </w:rPr>
          <w:fldChar w:fldCharType="begin"/>
        </w:r>
        <w:r w:rsidR="00ED356E">
          <w:rPr>
            <w:noProof/>
            <w:webHidden/>
          </w:rPr>
          <w:instrText xml:space="preserve"> PAGEREF _Toc15990231 \h </w:instrText>
        </w:r>
        <w:r w:rsidR="00ED356E">
          <w:rPr>
            <w:noProof/>
            <w:webHidden/>
          </w:rPr>
        </w:r>
        <w:r w:rsidR="00ED356E">
          <w:rPr>
            <w:noProof/>
            <w:webHidden/>
          </w:rPr>
          <w:fldChar w:fldCharType="separate"/>
        </w:r>
        <w:r w:rsidR="00ED356E">
          <w:rPr>
            <w:noProof/>
            <w:webHidden/>
          </w:rPr>
          <w:t>16</w:t>
        </w:r>
        <w:r w:rsidR="00ED356E">
          <w:rPr>
            <w:noProof/>
            <w:webHidden/>
          </w:rPr>
          <w:fldChar w:fldCharType="end"/>
        </w:r>
      </w:hyperlink>
    </w:p>
    <w:p w14:paraId="7ECF02C5" w14:textId="0C56D68C" w:rsidR="00ED356E" w:rsidRDefault="00EA604A">
      <w:pPr>
        <w:pStyle w:val="TOC1"/>
        <w:rPr>
          <w:rFonts w:asciiTheme="minorHAnsi" w:eastAsiaTheme="minorEastAsia" w:hAnsiTheme="minorHAnsi" w:cstheme="minorBidi"/>
          <w:caps w:val="0"/>
          <w:noProof/>
          <w:szCs w:val="22"/>
          <w:lang w:eastAsia="en-GB"/>
        </w:rPr>
      </w:pPr>
      <w:hyperlink w:anchor="_Toc15990232" w:history="1">
        <w:r w:rsidR="00ED356E" w:rsidRPr="00E67D0A">
          <w:rPr>
            <w:rStyle w:val="Hyperlink"/>
            <w:rFonts w:cs="Arial"/>
            <w:noProof/>
          </w:rPr>
          <w:t>22</w:t>
        </w:r>
        <w:r w:rsidR="00ED356E">
          <w:rPr>
            <w:rFonts w:asciiTheme="minorHAnsi" w:eastAsiaTheme="minorEastAsia" w:hAnsiTheme="minorHAnsi" w:cstheme="minorBidi"/>
            <w:caps w:val="0"/>
            <w:noProof/>
            <w:szCs w:val="22"/>
            <w:lang w:eastAsia="en-GB"/>
          </w:rPr>
          <w:tab/>
        </w:r>
        <w:r w:rsidR="00ED356E" w:rsidRPr="00E67D0A">
          <w:rPr>
            <w:rStyle w:val="Hyperlink"/>
            <w:rFonts w:cs="Arial"/>
            <w:noProof/>
          </w:rPr>
          <w:t>Governing Law and Jurisdiction</w:t>
        </w:r>
        <w:r w:rsidR="00ED356E">
          <w:rPr>
            <w:noProof/>
            <w:webHidden/>
          </w:rPr>
          <w:tab/>
        </w:r>
        <w:r w:rsidR="00ED356E">
          <w:rPr>
            <w:noProof/>
            <w:webHidden/>
          </w:rPr>
          <w:fldChar w:fldCharType="begin"/>
        </w:r>
        <w:r w:rsidR="00ED356E">
          <w:rPr>
            <w:noProof/>
            <w:webHidden/>
          </w:rPr>
          <w:instrText xml:space="preserve"> PAGEREF _Toc15990232 \h </w:instrText>
        </w:r>
        <w:r w:rsidR="00ED356E">
          <w:rPr>
            <w:noProof/>
            <w:webHidden/>
          </w:rPr>
        </w:r>
        <w:r w:rsidR="00ED356E">
          <w:rPr>
            <w:noProof/>
            <w:webHidden/>
          </w:rPr>
          <w:fldChar w:fldCharType="separate"/>
        </w:r>
        <w:r w:rsidR="00ED356E">
          <w:rPr>
            <w:noProof/>
            <w:webHidden/>
          </w:rPr>
          <w:t>16</w:t>
        </w:r>
        <w:r w:rsidR="00ED356E">
          <w:rPr>
            <w:noProof/>
            <w:webHidden/>
          </w:rPr>
          <w:fldChar w:fldCharType="end"/>
        </w:r>
      </w:hyperlink>
    </w:p>
    <w:p w14:paraId="66AA48E8" w14:textId="75F1A9A5" w:rsidR="00ED356E" w:rsidRDefault="00EA604A">
      <w:pPr>
        <w:pStyle w:val="TOC1"/>
        <w:rPr>
          <w:rFonts w:asciiTheme="minorHAnsi" w:eastAsiaTheme="minorEastAsia" w:hAnsiTheme="minorHAnsi" w:cstheme="minorBidi"/>
          <w:caps w:val="0"/>
          <w:noProof/>
          <w:szCs w:val="22"/>
          <w:lang w:eastAsia="en-GB"/>
        </w:rPr>
      </w:pPr>
      <w:hyperlink w:anchor="_Toc15990233" w:history="1">
        <w:r w:rsidR="00ED356E" w:rsidRPr="00E67D0A">
          <w:rPr>
            <w:rStyle w:val="Hyperlink"/>
            <w:rFonts w:eastAsia="Times New Roman"/>
            <w:b/>
            <w:noProof/>
            <w:lang w:eastAsia="en-US"/>
          </w:rPr>
          <w:t>ANNEX 2 – PRICE SCHEDULE</w:t>
        </w:r>
        <w:r w:rsidR="00ED356E">
          <w:rPr>
            <w:noProof/>
            <w:webHidden/>
          </w:rPr>
          <w:tab/>
        </w:r>
        <w:r w:rsidR="00ED356E">
          <w:rPr>
            <w:noProof/>
            <w:webHidden/>
          </w:rPr>
          <w:fldChar w:fldCharType="begin"/>
        </w:r>
        <w:r w:rsidR="00ED356E">
          <w:rPr>
            <w:noProof/>
            <w:webHidden/>
          </w:rPr>
          <w:instrText xml:space="preserve"> PAGEREF _Toc15990233 \h </w:instrText>
        </w:r>
        <w:r w:rsidR="00ED356E">
          <w:rPr>
            <w:noProof/>
            <w:webHidden/>
          </w:rPr>
        </w:r>
        <w:r w:rsidR="00ED356E">
          <w:rPr>
            <w:noProof/>
            <w:webHidden/>
          </w:rPr>
          <w:fldChar w:fldCharType="separate"/>
        </w:r>
        <w:r w:rsidR="00ED356E">
          <w:rPr>
            <w:noProof/>
            <w:webHidden/>
          </w:rPr>
          <w:t>17</w:t>
        </w:r>
        <w:r w:rsidR="00ED356E">
          <w:rPr>
            <w:noProof/>
            <w:webHidden/>
          </w:rPr>
          <w:fldChar w:fldCharType="end"/>
        </w:r>
      </w:hyperlink>
    </w:p>
    <w:p w14:paraId="573CC522" w14:textId="53054C45" w:rsidR="00ED356E" w:rsidRDefault="00EA604A" w:rsidP="00ED356E">
      <w:pPr>
        <w:pStyle w:val="TOC1"/>
        <w:rPr>
          <w:rFonts w:asciiTheme="minorHAnsi" w:eastAsiaTheme="minorEastAsia" w:hAnsiTheme="minorHAnsi" w:cstheme="minorBidi"/>
          <w:caps w:val="0"/>
          <w:noProof/>
          <w:szCs w:val="22"/>
          <w:lang w:eastAsia="en-GB"/>
        </w:rPr>
      </w:pPr>
      <w:hyperlink w:anchor="_Toc15990234" w:history="1">
        <w:r w:rsidR="00ED356E" w:rsidRPr="00E67D0A">
          <w:rPr>
            <w:rStyle w:val="Hyperlink"/>
            <w:rFonts w:eastAsia="Times New Roman"/>
            <w:b/>
            <w:noProof/>
            <w:lang w:eastAsia="en-US"/>
          </w:rPr>
          <w:t>ANNEX 3 – STATEMENT OF REQUIREMENTS</w:t>
        </w:r>
        <w:r w:rsidR="00ED356E">
          <w:rPr>
            <w:noProof/>
            <w:webHidden/>
          </w:rPr>
          <w:tab/>
        </w:r>
        <w:r w:rsidR="00ED356E">
          <w:rPr>
            <w:noProof/>
            <w:webHidden/>
          </w:rPr>
          <w:fldChar w:fldCharType="begin"/>
        </w:r>
        <w:r w:rsidR="00ED356E">
          <w:rPr>
            <w:noProof/>
            <w:webHidden/>
          </w:rPr>
          <w:instrText xml:space="preserve"> PAGEREF _Toc15990234 \h </w:instrText>
        </w:r>
        <w:r w:rsidR="00ED356E">
          <w:rPr>
            <w:noProof/>
            <w:webHidden/>
          </w:rPr>
        </w:r>
        <w:r w:rsidR="00ED356E">
          <w:rPr>
            <w:noProof/>
            <w:webHidden/>
          </w:rPr>
          <w:fldChar w:fldCharType="separate"/>
        </w:r>
        <w:r w:rsidR="00ED356E">
          <w:rPr>
            <w:noProof/>
            <w:webHidden/>
          </w:rPr>
          <w:t>19</w:t>
        </w:r>
        <w:r w:rsidR="00ED356E">
          <w:rPr>
            <w:noProof/>
            <w:webHidden/>
          </w:rPr>
          <w:fldChar w:fldCharType="end"/>
        </w:r>
      </w:hyperlink>
    </w:p>
    <w:p w14:paraId="067FB32E" w14:textId="2D63128B" w:rsidR="00ED356E" w:rsidRDefault="00EA604A" w:rsidP="00ED356E">
      <w:pPr>
        <w:pStyle w:val="TOC1"/>
        <w:rPr>
          <w:rFonts w:asciiTheme="minorHAnsi" w:eastAsiaTheme="minorEastAsia" w:hAnsiTheme="minorHAnsi" w:cstheme="minorBidi"/>
          <w:caps w:val="0"/>
          <w:noProof/>
          <w:szCs w:val="22"/>
          <w:lang w:eastAsia="en-GB"/>
        </w:rPr>
      </w:pPr>
      <w:hyperlink w:anchor="_Toc15990255" w:history="1">
        <w:r w:rsidR="00ED356E" w:rsidRPr="00E67D0A">
          <w:rPr>
            <w:rStyle w:val="Hyperlink"/>
            <w:rFonts w:eastAsia="Times New Roman"/>
            <w:b/>
            <w:noProof/>
            <w:lang w:eastAsia="en-US"/>
          </w:rPr>
          <w:t>ANNEX 4 – SUPPLIERS RESPONSE</w:t>
        </w:r>
        <w:r w:rsidR="00ED356E">
          <w:rPr>
            <w:noProof/>
            <w:webHidden/>
          </w:rPr>
          <w:tab/>
        </w:r>
        <w:r w:rsidR="00ED356E">
          <w:rPr>
            <w:noProof/>
            <w:webHidden/>
          </w:rPr>
          <w:fldChar w:fldCharType="begin"/>
        </w:r>
        <w:r w:rsidR="00ED356E">
          <w:rPr>
            <w:noProof/>
            <w:webHidden/>
          </w:rPr>
          <w:instrText xml:space="preserve"> PAGEREF _Toc15990255 \h </w:instrText>
        </w:r>
        <w:r w:rsidR="00ED356E">
          <w:rPr>
            <w:noProof/>
            <w:webHidden/>
          </w:rPr>
        </w:r>
        <w:r w:rsidR="00ED356E">
          <w:rPr>
            <w:noProof/>
            <w:webHidden/>
          </w:rPr>
          <w:fldChar w:fldCharType="separate"/>
        </w:r>
        <w:r w:rsidR="00ED356E">
          <w:rPr>
            <w:noProof/>
            <w:webHidden/>
          </w:rPr>
          <w:t>31</w:t>
        </w:r>
        <w:r w:rsidR="00ED356E">
          <w:rPr>
            <w:noProof/>
            <w:webHidden/>
          </w:rPr>
          <w:fldChar w:fldCharType="end"/>
        </w:r>
      </w:hyperlink>
    </w:p>
    <w:p w14:paraId="6C099884" w14:textId="64F9E3FC" w:rsidR="00ED356E" w:rsidRDefault="00EA604A">
      <w:pPr>
        <w:pStyle w:val="TOC1"/>
        <w:rPr>
          <w:rFonts w:asciiTheme="minorHAnsi" w:eastAsiaTheme="minorEastAsia" w:hAnsiTheme="minorHAnsi" w:cstheme="minorBidi"/>
          <w:caps w:val="0"/>
          <w:noProof/>
          <w:szCs w:val="22"/>
          <w:lang w:eastAsia="en-GB"/>
        </w:rPr>
      </w:pPr>
      <w:hyperlink w:anchor="_Toc15990265" w:history="1">
        <w:r w:rsidR="00ED356E" w:rsidRPr="00E67D0A">
          <w:rPr>
            <w:rStyle w:val="Hyperlink"/>
            <w:rFonts w:eastAsia="Times New Roman"/>
            <w:b/>
            <w:noProof/>
            <w:lang w:eastAsia="en-US"/>
          </w:rPr>
          <w:t>ANNEX 5 – CLARIFICATIONS</w:t>
        </w:r>
        <w:r w:rsidR="00ED356E">
          <w:rPr>
            <w:noProof/>
            <w:webHidden/>
          </w:rPr>
          <w:tab/>
        </w:r>
        <w:r w:rsidR="00ED356E">
          <w:rPr>
            <w:noProof/>
            <w:webHidden/>
          </w:rPr>
          <w:fldChar w:fldCharType="begin"/>
        </w:r>
        <w:r w:rsidR="00ED356E">
          <w:rPr>
            <w:noProof/>
            <w:webHidden/>
          </w:rPr>
          <w:instrText xml:space="preserve"> PAGEREF _Toc15990265 \h </w:instrText>
        </w:r>
        <w:r w:rsidR="00ED356E">
          <w:rPr>
            <w:noProof/>
            <w:webHidden/>
          </w:rPr>
        </w:r>
        <w:r w:rsidR="00ED356E">
          <w:rPr>
            <w:noProof/>
            <w:webHidden/>
          </w:rPr>
          <w:fldChar w:fldCharType="separate"/>
        </w:r>
        <w:r w:rsidR="00ED356E">
          <w:rPr>
            <w:noProof/>
            <w:webHidden/>
          </w:rPr>
          <w:t>43</w:t>
        </w:r>
        <w:r w:rsidR="00ED356E">
          <w:rPr>
            <w:noProof/>
            <w:webHidden/>
          </w:rPr>
          <w:fldChar w:fldCharType="end"/>
        </w:r>
      </w:hyperlink>
    </w:p>
    <w:p w14:paraId="472CF19F" w14:textId="462E912B" w:rsidR="00ED356E" w:rsidRDefault="00EA604A">
      <w:pPr>
        <w:pStyle w:val="TOC1"/>
        <w:rPr>
          <w:rFonts w:asciiTheme="minorHAnsi" w:eastAsiaTheme="minorEastAsia" w:hAnsiTheme="minorHAnsi" w:cstheme="minorBidi"/>
          <w:caps w:val="0"/>
          <w:noProof/>
          <w:szCs w:val="22"/>
          <w:lang w:eastAsia="en-GB"/>
        </w:rPr>
      </w:pPr>
      <w:hyperlink w:anchor="_Toc15990266" w:history="1">
        <w:r w:rsidR="00ED356E" w:rsidRPr="00E67D0A">
          <w:rPr>
            <w:rStyle w:val="Hyperlink"/>
            <w:rFonts w:eastAsia="Times New Roman"/>
            <w:b/>
            <w:noProof/>
            <w:lang w:eastAsia="en-US"/>
          </w:rPr>
          <w:t>ANNEX 6 – ADDITIONAL TERMS &amp; CONDITIONS</w:t>
        </w:r>
        <w:r w:rsidR="00ED356E">
          <w:rPr>
            <w:noProof/>
            <w:webHidden/>
          </w:rPr>
          <w:tab/>
        </w:r>
        <w:r w:rsidR="00ED356E">
          <w:rPr>
            <w:noProof/>
            <w:webHidden/>
          </w:rPr>
          <w:fldChar w:fldCharType="begin"/>
        </w:r>
        <w:r w:rsidR="00ED356E">
          <w:rPr>
            <w:noProof/>
            <w:webHidden/>
          </w:rPr>
          <w:instrText xml:space="preserve"> PAGEREF _Toc15990266 \h </w:instrText>
        </w:r>
        <w:r w:rsidR="00ED356E">
          <w:rPr>
            <w:noProof/>
            <w:webHidden/>
          </w:rPr>
        </w:r>
        <w:r w:rsidR="00ED356E">
          <w:rPr>
            <w:noProof/>
            <w:webHidden/>
          </w:rPr>
          <w:fldChar w:fldCharType="separate"/>
        </w:r>
        <w:r w:rsidR="00ED356E">
          <w:rPr>
            <w:noProof/>
            <w:webHidden/>
          </w:rPr>
          <w:t>44</w:t>
        </w:r>
        <w:r w:rsidR="00ED356E">
          <w:rPr>
            <w:noProof/>
            <w:webHidden/>
          </w:rPr>
          <w:fldChar w:fldCharType="end"/>
        </w:r>
      </w:hyperlink>
    </w:p>
    <w:p w14:paraId="223E295F" w14:textId="29512B74" w:rsidR="00ED356E" w:rsidRDefault="00EA604A">
      <w:pPr>
        <w:pStyle w:val="TOC1"/>
        <w:rPr>
          <w:rFonts w:asciiTheme="minorHAnsi" w:eastAsiaTheme="minorEastAsia" w:hAnsiTheme="minorHAnsi" w:cstheme="minorBidi"/>
          <w:caps w:val="0"/>
          <w:noProof/>
          <w:szCs w:val="22"/>
          <w:lang w:eastAsia="en-GB"/>
        </w:rPr>
      </w:pPr>
      <w:hyperlink w:anchor="_Toc15990267" w:history="1">
        <w:r w:rsidR="00ED356E" w:rsidRPr="00E67D0A">
          <w:rPr>
            <w:rStyle w:val="Hyperlink"/>
            <w:rFonts w:eastAsia="Times New Roman"/>
            <w:b/>
            <w:noProof/>
            <w:lang w:eastAsia="en-US"/>
          </w:rPr>
          <w:t>ANNEX 7 – CHANGE CONTROL FORMS</w:t>
        </w:r>
        <w:r w:rsidR="00ED356E">
          <w:rPr>
            <w:noProof/>
            <w:webHidden/>
          </w:rPr>
          <w:tab/>
        </w:r>
        <w:r w:rsidR="00ED356E">
          <w:rPr>
            <w:noProof/>
            <w:webHidden/>
          </w:rPr>
          <w:fldChar w:fldCharType="begin"/>
        </w:r>
        <w:r w:rsidR="00ED356E">
          <w:rPr>
            <w:noProof/>
            <w:webHidden/>
          </w:rPr>
          <w:instrText xml:space="preserve"> PAGEREF _Toc15990267 \h </w:instrText>
        </w:r>
        <w:r w:rsidR="00ED356E">
          <w:rPr>
            <w:noProof/>
            <w:webHidden/>
          </w:rPr>
        </w:r>
        <w:r w:rsidR="00ED356E">
          <w:rPr>
            <w:noProof/>
            <w:webHidden/>
          </w:rPr>
          <w:fldChar w:fldCharType="separate"/>
        </w:r>
        <w:r w:rsidR="00ED356E">
          <w:rPr>
            <w:noProof/>
            <w:webHidden/>
          </w:rPr>
          <w:t>53</w:t>
        </w:r>
        <w:r w:rsidR="00ED356E">
          <w:rPr>
            <w:noProof/>
            <w:webHidden/>
          </w:rPr>
          <w:fldChar w:fldCharType="end"/>
        </w:r>
      </w:hyperlink>
    </w:p>
    <w:p w14:paraId="75898883" w14:textId="508F6B8E"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15990210"/>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15990211"/>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15990212"/>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The offer comprised in the Award Letter shall be deemed to be accepted by the Supplier on receipt by the Customer, withi</w:t>
      </w:r>
      <w:r w:rsidRPr="00D34978">
        <w:rPr>
          <w:b w:val="0"/>
          <w:u w:val="none"/>
        </w:rPr>
        <w:t xml:space="preserve">n </w:t>
      </w:r>
      <w:r w:rsidR="00E33C8F" w:rsidRPr="00D34978">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15990213"/>
      <w:r w:rsidRPr="006E4A65">
        <w:rPr>
          <w:rFonts w:cs="Arial"/>
          <w:szCs w:val="22"/>
          <w:u w:val="none"/>
        </w:rPr>
        <w:lastRenderedPageBreak/>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15990214"/>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AF8E151"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E33C8F" w:rsidRPr="00D34978">
        <w:rPr>
          <w:rFonts w:cs="Arial"/>
          <w:b w:val="0"/>
          <w:u w:val="none"/>
        </w:rPr>
        <w:t>6</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15990215"/>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w:t>
      </w:r>
      <w:r w:rsidRPr="006E4A65">
        <w:rPr>
          <w:rFonts w:cs="Arial"/>
          <w:b w:val="0"/>
          <w:u w:val="none"/>
        </w:rPr>
        <w:lastRenderedPageBreak/>
        <w:t>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15990216"/>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15990217"/>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15990218"/>
      <w:r w:rsidRPr="006E4A65">
        <w:rPr>
          <w:rFonts w:cs="Arial"/>
          <w:szCs w:val="22"/>
          <w:u w:val="none"/>
        </w:rPr>
        <w:lastRenderedPageBreak/>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15990219"/>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 xml:space="preserve">The Supplier shall indemnify, and keep indemnified, the Customer in full against all costs, expenses, damages and losses (whether direct or indirect), including any interest, </w:t>
      </w:r>
      <w:r w:rsidRPr="006E4A65">
        <w:rPr>
          <w:rFonts w:cs="Arial"/>
          <w:b w:val="0"/>
          <w:u w:val="none"/>
        </w:rPr>
        <w:lastRenderedPageBreak/>
        <w:t>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15990220"/>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15990221"/>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15990222"/>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w:t>
      </w:r>
      <w:r w:rsidRPr="006E4A65">
        <w:rPr>
          <w:rFonts w:cs="Arial"/>
          <w:b w:val="0"/>
          <w:u w:val="none"/>
        </w:rPr>
        <w:lastRenderedPageBreak/>
        <w:t xml:space="preserve">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15990223"/>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15990224"/>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15990225"/>
      <w:r w:rsidRPr="006E4A65">
        <w:rPr>
          <w:rFonts w:cs="Arial"/>
          <w:szCs w:val="22"/>
          <w:u w:val="none"/>
        </w:rPr>
        <w:lastRenderedPageBreak/>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15990226"/>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lastRenderedPageBreak/>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15990227"/>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15990228"/>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lastRenderedPageBreak/>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15990229"/>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15990230"/>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provision of the Agreement is prohibited by law or judged by a court to be unlawful, </w:t>
      </w:r>
      <w:r w:rsidRPr="006E4A65">
        <w:rPr>
          <w:rFonts w:cs="Arial"/>
          <w:b w:val="0"/>
          <w:u w:val="none"/>
        </w:rPr>
        <w:lastRenderedPageBreak/>
        <w:t>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15990231"/>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15990232"/>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6458C2B4" w14:textId="77777777" w:rsidR="00D34978" w:rsidRDefault="00D34978" w:rsidP="006E4A65">
      <w:pPr>
        <w:pStyle w:val="Level2"/>
        <w:numPr>
          <w:ilvl w:val="0"/>
          <w:numId w:val="0"/>
        </w:numPr>
        <w:ind w:left="1368"/>
        <w:sectPr w:rsidR="00D34978"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67BC06D" w14:textId="77777777" w:rsidR="00D34978" w:rsidRDefault="00D34978" w:rsidP="00D34978">
      <w:pPr>
        <w:widowControl w:val="0"/>
        <w:tabs>
          <w:tab w:val="num" w:pos="540"/>
        </w:tabs>
        <w:spacing w:after="100" w:afterAutospacing="1"/>
        <w:ind w:left="851" w:hanging="851"/>
        <w:jc w:val="center"/>
        <w:outlineLvl w:val="0"/>
        <w:rPr>
          <w:rFonts w:eastAsia="Times New Roman"/>
          <w:b/>
          <w:szCs w:val="22"/>
          <w:lang w:eastAsia="en-US"/>
        </w:rPr>
      </w:pPr>
      <w:bookmarkStart w:id="107" w:name="_Toc15990233"/>
      <w:r w:rsidRPr="001167A3">
        <w:rPr>
          <w:rFonts w:eastAsia="Times New Roman"/>
          <w:b/>
          <w:szCs w:val="22"/>
          <w:lang w:eastAsia="en-US"/>
        </w:rPr>
        <w:lastRenderedPageBreak/>
        <w:t>ANNEX 2 – PRICE SCHEDULE</w:t>
      </w:r>
      <w:bookmarkEnd w:id="107"/>
    </w:p>
    <w:p w14:paraId="63D6FA21" w14:textId="31BD95B1" w:rsidR="00D34978" w:rsidRDefault="00EA604A" w:rsidP="00EA604A">
      <w:pPr>
        <w:pStyle w:val="ScheduleLevel1"/>
        <w:numPr>
          <w:ilvl w:val="0"/>
          <w:numId w:val="0"/>
        </w:numPr>
        <w:spacing w:after="120"/>
        <w:jc w:val="center"/>
        <w:rPr>
          <w:rFonts w:cs="Arial"/>
          <w:b/>
          <w:szCs w:val="22"/>
          <w:highlight w:val="yellow"/>
        </w:rPr>
      </w:pPr>
      <w:r>
        <w:rPr>
          <w:rFonts w:cs="Arial"/>
          <w:b/>
          <w:szCs w:val="22"/>
        </w:rPr>
        <w:t>REDACTED</w:t>
      </w:r>
    </w:p>
    <w:p w14:paraId="456C4115" w14:textId="6ED44288" w:rsidR="00D34978" w:rsidRDefault="00D34978" w:rsidP="00D34978">
      <w:pPr>
        <w:pStyle w:val="ScheduleLevel1"/>
        <w:numPr>
          <w:ilvl w:val="0"/>
          <w:numId w:val="0"/>
        </w:numPr>
        <w:spacing w:after="120"/>
        <w:jc w:val="left"/>
        <w:rPr>
          <w:rFonts w:cs="Arial"/>
          <w:b/>
          <w:szCs w:val="22"/>
          <w:highlight w:val="yellow"/>
        </w:rPr>
      </w:pPr>
    </w:p>
    <w:p w14:paraId="60094E6B" w14:textId="77777777" w:rsidR="00D34978" w:rsidRDefault="00D34978" w:rsidP="00D34978">
      <w:pPr>
        <w:pStyle w:val="ScheduleLevel1"/>
        <w:numPr>
          <w:ilvl w:val="0"/>
          <w:numId w:val="0"/>
        </w:numPr>
        <w:spacing w:after="120"/>
        <w:jc w:val="left"/>
        <w:rPr>
          <w:rFonts w:cs="Arial"/>
          <w:b/>
          <w:szCs w:val="22"/>
          <w:highlight w:val="yellow"/>
        </w:rPr>
      </w:pPr>
    </w:p>
    <w:p w14:paraId="521483E6" w14:textId="4AECFA6B" w:rsidR="00D34978" w:rsidRPr="00D34978" w:rsidRDefault="00D34978" w:rsidP="00D34978">
      <w:pPr>
        <w:pStyle w:val="ScheduleLevel1"/>
        <w:numPr>
          <w:ilvl w:val="0"/>
          <w:numId w:val="0"/>
        </w:numPr>
        <w:spacing w:after="120"/>
        <w:jc w:val="center"/>
        <w:rPr>
          <w:rFonts w:cs="Arial"/>
          <w:b/>
          <w:szCs w:val="22"/>
        </w:rPr>
        <w:sectPr w:rsidR="00D34978" w:rsidRPr="00D34978" w:rsidSect="00D34978">
          <w:endnotePr>
            <w:numFmt w:val="decimal"/>
          </w:endnotePr>
          <w:pgSz w:w="16834" w:h="11909" w:orient="landscape" w:code="9"/>
          <w:pgMar w:top="1440" w:right="1241" w:bottom="1440" w:left="1560" w:header="426" w:footer="433" w:gutter="0"/>
          <w:cols w:space="720"/>
          <w:noEndnote/>
          <w:docGrid w:linePitch="299"/>
        </w:sectPr>
      </w:pP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15990234"/>
      <w:r w:rsidRPr="001167A3">
        <w:rPr>
          <w:rFonts w:eastAsia="Times New Roman"/>
          <w:b/>
          <w:szCs w:val="22"/>
          <w:lang w:eastAsia="en-US"/>
        </w:rPr>
        <w:lastRenderedPageBreak/>
        <w:t>ANNEX 3 – STATEMENT OF REQUIREMENT</w:t>
      </w:r>
      <w:r w:rsidR="00E33C8F">
        <w:rPr>
          <w:rFonts w:eastAsia="Times New Roman"/>
          <w:b/>
          <w:szCs w:val="22"/>
          <w:lang w:eastAsia="en-US"/>
        </w:rPr>
        <w:t>S</w:t>
      </w:r>
      <w:bookmarkEnd w:id="108"/>
    </w:p>
    <w:p w14:paraId="14A2DB5B" w14:textId="77777777" w:rsidR="00AF307C" w:rsidRPr="001A45DF" w:rsidRDefault="00AF307C" w:rsidP="00AF307C">
      <w:pPr>
        <w:pStyle w:val="Heading1"/>
        <w:numPr>
          <w:ilvl w:val="0"/>
          <w:numId w:val="43"/>
        </w:numPr>
        <w:tabs>
          <w:tab w:val="clear" w:pos="720"/>
        </w:tabs>
        <w:overflowPunct w:val="0"/>
        <w:autoSpaceDE w:val="0"/>
        <w:autoSpaceDN w:val="0"/>
        <w:spacing w:after="120"/>
        <w:textAlignment w:val="baseline"/>
        <w:rPr>
          <w:sz w:val="32"/>
          <w:szCs w:val="32"/>
        </w:rPr>
      </w:pPr>
      <w:bookmarkStart w:id="109" w:name="_Toc368573027"/>
      <w:bookmarkStart w:id="110" w:name="_Toc8914672"/>
      <w:bookmarkStart w:id="111" w:name="_Toc15976654"/>
      <w:bookmarkStart w:id="112" w:name="_Toc15990235"/>
      <w:r w:rsidRPr="001A45DF">
        <w:rPr>
          <w:caps w:val="0"/>
          <w:sz w:val="32"/>
          <w:szCs w:val="32"/>
        </w:rPr>
        <w:t>PURPOSE</w:t>
      </w:r>
      <w:bookmarkEnd w:id="109"/>
      <w:bookmarkEnd w:id="110"/>
      <w:bookmarkEnd w:id="111"/>
      <w:bookmarkEnd w:id="112"/>
    </w:p>
    <w:p w14:paraId="46C5FFFC" w14:textId="77777777" w:rsidR="00AF307C" w:rsidRDefault="00AF307C" w:rsidP="00AF307C">
      <w:pPr>
        <w:pStyle w:val="Heading2"/>
        <w:tabs>
          <w:tab w:val="clear" w:pos="720"/>
          <w:tab w:val="num" w:pos="709"/>
        </w:tabs>
        <w:overflowPunct w:val="0"/>
        <w:autoSpaceDE w:val="0"/>
        <w:autoSpaceDN w:val="0"/>
        <w:spacing w:after="120"/>
        <w:ind w:left="709" w:hanging="709"/>
        <w:textAlignment w:val="baseline"/>
        <w:rPr>
          <w:sz w:val="24"/>
          <w:szCs w:val="24"/>
        </w:rPr>
      </w:pPr>
      <w:bookmarkStart w:id="113" w:name="_Toc296415791"/>
      <w:r>
        <w:rPr>
          <w:sz w:val="24"/>
          <w:szCs w:val="24"/>
        </w:rPr>
        <w:t>T</w:t>
      </w:r>
      <w:r w:rsidRPr="009C684C">
        <w:rPr>
          <w:sz w:val="24"/>
          <w:szCs w:val="24"/>
        </w:rPr>
        <w:t>he Department for Business, Energy and Industrial Strategy (BEIS)</w:t>
      </w:r>
      <w:r>
        <w:rPr>
          <w:sz w:val="24"/>
          <w:szCs w:val="24"/>
        </w:rPr>
        <w:t xml:space="preserve">, the “Authority”, </w:t>
      </w:r>
      <w:r w:rsidRPr="009C684C">
        <w:rPr>
          <w:sz w:val="24"/>
          <w:szCs w:val="24"/>
        </w:rPr>
        <w:t>is leading an exercise to appoint a non-executive Chair and potentially two further non-executive board members to the board of the Nuclear Decommissioning Authority (NDA</w:t>
      </w:r>
      <w:r>
        <w:rPr>
          <w:sz w:val="24"/>
          <w:szCs w:val="24"/>
        </w:rPr>
        <w:t>). UK Government Investments (UKGI) is acting as the “Agent” of BEIS in keeping with the division of responsibilities outlined in the BEIS-UKGI Memorandum of Understanding, and Framework Document for the NDA.</w:t>
      </w:r>
    </w:p>
    <w:p w14:paraId="34FA3CCA" w14:textId="77777777" w:rsidR="00AF307C" w:rsidRDefault="00AF307C" w:rsidP="00AF307C">
      <w:pPr>
        <w:pStyle w:val="Heading2"/>
        <w:tabs>
          <w:tab w:val="clear" w:pos="720"/>
          <w:tab w:val="num" w:pos="709"/>
        </w:tabs>
        <w:overflowPunct w:val="0"/>
        <w:autoSpaceDE w:val="0"/>
        <w:autoSpaceDN w:val="0"/>
        <w:spacing w:after="120"/>
        <w:ind w:left="709" w:hanging="709"/>
        <w:textAlignment w:val="baseline"/>
        <w:rPr>
          <w:sz w:val="24"/>
          <w:szCs w:val="24"/>
        </w:rPr>
      </w:pPr>
      <w:r w:rsidRPr="009C684C">
        <w:rPr>
          <w:sz w:val="24"/>
          <w:szCs w:val="24"/>
        </w:rPr>
        <w:t xml:space="preserve">The aim of this exercise is to procure a supplier with executive search, candidate profiling and selection capability to support these appointments (see below for further details). The successful supplier will manage the search from </w:t>
      </w:r>
      <w:r>
        <w:rPr>
          <w:sz w:val="24"/>
          <w:szCs w:val="24"/>
        </w:rPr>
        <w:t xml:space="preserve">promoting the role, liaising with and receiving applicants from </w:t>
      </w:r>
      <w:r w:rsidRPr="009C684C">
        <w:rPr>
          <w:sz w:val="24"/>
          <w:szCs w:val="24"/>
        </w:rPr>
        <w:t>candidates</w:t>
      </w:r>
      <w:r>
        <w:rPr>
          <w:sz w:val="24"/>
          <w:szCs w:val="24"/>
        </w:rPr>
        <w:t>,</w:t>
      </w:r>
      <w:r w:rsidRPr="009C684C">
        <w:rPr>
          <w:sz w:val="24"/>
          <w:szCs w:val="24"/>
        </w:rPr>
        <w:t xml:space="preserve"> assisting </w:t>
      </w:r>
      <w:r>
        <w:rPr>
          <w:sz w:val="24"/>
          <w:szCs w:val="24"/>
        </w:rPr>
        <w:t xml:space="preserve">the Authority </w:t>
      </w:r>
      <w:r w:rsidRPr="009C684C">
        <w:rPr>
          <w:sz w:val="24"/>
          <w:szCs w:val="24"/>
        </w:rPr>
        <w:t xml:space="preserve">with preparation for final interviews, carrying out pre-appointment checks and </w:t>
      </w:r>
      <w:r>
        <w:rPr>
          <w:sz w:val="24"/>
          <w:szCs w:val="24"/>
        </w:rPr>
        <w:t xml:space="preserve">otherwise supporting the successful </w:t>
      </w:r>
      <w:r w:rsidRPr="009C684C">
        <w:rPr>
          <w:sz w:val="24"/>
          <w:szCs w:val="24"/>
        </w:rPr>
        <w:t>appoint</w:t>
      </w:r>
      <w:r>
        <w:rPr>
          <w:sz w:val="24"/>
          <w:szCs w:val="24"/>
        </w:rPr>
        <w:t>ment</w:t>
      </w:r>
      <w:r w:rsidRPr="009C684C">
        <w:rPr>
          <w:sz w:val="24"/>
          <w:szCs w:val="24"/>
        </w:rPr>
        <w:t xml:space="preserve"> </w:t>
      </w:r>
      <w:r>
        <w:rPr>
          <w:sz w:val="24"/>
          <w:szCs w:val="24"/>
        </w:rPr>
        <w:t xml:space="preserve">of </w:t>
      </w:r>
      <w:r w:rsidRPr="009C684C">
        <w:rPr>
          <w:sz w:val="24"/>
          <w:szCs w:val="24"/>
        </w:rPr>
        <w:t>the successful candidate</w:t>
      </w:r>
      <w:r>
        <w:rPr>
          <w:sz w:val="24"/>
          <w:szCs w:val="24"/>
        </w:rPr>
        <w:t>(</w:t>
      </w:r>
      <w:r w:rsidRPr="009C684C">
        <w:rPr>
          <w:sz w:val="24"/>
          <w:szCs w:val="24"/>
        </w:rPr>
        <w:t>s</w:t>
      </w:r>
      <w:r>
        <w:rPr>
          <w:sz w:val="24"/>
          <w:szCs w:val="24"/>
        </w:rPr>
        <w:t>)</w:t>
      </w:r>
      <w:r w:rsidRPr="009C684C">
        <w:rPr>
          <w:sz w:val="24"/>
          <w:szCs w:val="24"/>
        </w:rPr>
        <w:t xml:space="preserve"> to the role</w:t>
      </w:r>
      <w:r>
        <w:rPr>
          <w:sz w:val="24"/>
          <w:szCs w:val="24"/>
        </w:rPr>
        <w:t>(</w:t>
      </w:r>
      <w:r w:rsidRPr="009C684C">
        <w:rPr>
          <w:sz w:val="24"/>
          <w:szCs w:val="24"/>
        </w:rPr>
        <w:t>s</w:t>
      </w:r>
      <w:r>
        <w:rPr>
          <w:sz w:val="24"/>
          <w:szCs w:val="24"/>
        </w:rPr>
        <w:t>)</w:t>
      </w:r>
      <w:r w:rsidRPr="009C684C">
        <w:rPr>
          <w:sz w:val="24"/>
          <w:szCs w:val="24"/>
        </w:rPr>
        <w:t>.</w:t>
      </w:r>
    </w:p>
    <w:p w14:paraId="7EFAEDD7" w14:textId="77777777" w:rsidR="00AF307C" w:rsidRPr="009C684C" w:rsidRDefault="00AF307C" w:rsidP="00AF307C">
      <w:pPr>
        <w:pStyle w:val="Heading2"/>
        <w:tabs>
          <w:tab w:val="clear" w:pos="720"/>
          <w:tab w:val="num" w:pos="709"/>
        </w:tabs>
        <w:overflowPunct w:val="0"/>
        <w:autoSpaceDE w:val="0"/>
        <w:autoSpaceDN w:val="0"/>
        <w:spacing w:after="120"/>
        <w:ind w:left="709" w:hanging="709"/>
        <w:textAlignment w:val="baseline"/>
        <w:rPr>
          <w:sz w:val="24"/>
          <w:szCs w:val="24"/>
        </w:rPr>
      </w:pPr>
      <w:r>
        <w:rPr>
          <w:sz w:val="24"/>
          <w:szCs w:val="24"/>
        </w:rPr>
        <w:t>BEIS are the Authority for the purposes of this procurement.</w:t>
      </w:r>
    </w:p>
    <w:p w14:paraId="7B8356D9" w14:textId="77777777" w:rsidR="00AF307C" w:rsidRPr="001A45DF" w:rsidRDefault="00AF307C" w:rsidP="00AF307C">
      <w:pPr>
        <w:pStyle w:val="Heading1"/>
        <w:tabs>
          <w:tab w:val="clear" w:pos="720"/>
        </w:tabs>
        <w:overflowPunct w:val="0"/>
        <w:autoSpaceDE w:val="0"/>
        <w:autoSpaceDN w:val="0"/>
        <w:spacing w:after="120"/>
        <w:textAlignment w:val="baseline"/>
        <w:rPr>
          <w:sz w:val="32"/>
          <w:szCs w:val="32"/>
        </w:rPr>
      </w:pPr>
      <w:bookmarkStart w:id="114" w:name="_Toc368573028"/>
      <w:bookmarkStart w:id="115" w:name="_Toc8914673"/>
      <w:bookmarkStart w:id="116" w:name="_Toc15976655"/>
      <w:bookmarkStart w:id="117" w:name="_Toc15990236"/>
      <w:bookmarkStart w:id="118" w:name="_Toc297554773"/>
      <w:bookmarkStart w:id="119" w:name="_Toc296415805"/>
      <w:bookmarkStart w:id="120" w:name="_Toc296415793"/>
      <w:bookmarkEnd w:id="113"/>
      <w:r w:rsidRPr="001A45DF">
        <w:rPr>
          <w:sz w:val="32"/>
          <w:szCs w:val="32"/>
        </w:rPr>
        <w:t>BACKGROUND TO THE CONTRACTING aUTHORITY</w:t>
      </w:r>
      <w:bookmarkEnd w:id="114"/>
      <w:bookmarkEnd w:id="115"/>
      <w:bookmarkEnd w:id="116"/>
      <w:bookmarkEnd w:id="117"/>
    </w:p>
    <w:p w14:paraId="78A7CBDF" w14:textId="77777777" w:rsidR="00AF307C" w:rsidRPr="00287A0D" w:rsidRDefault="00AF307C" w:rsidP="00AF307C">
      <w:pPr>
        <w:pStyle w:val="Heading2"/>
        <w:tabs>
          <w:tab w:val="clear" w:pos="720"/>
          <w:tab w:val="num" w:pos="709"/>
        </w:tabs>
        <w:spacing w:after="120"/>
        <w:ind w:left="709" w:hanging="709"/>
        <w:rPr>
          <w:sz w:val="24"/>
          <w:szCs w:val="24"/>
        </w:rPr>
      </w:pPr>
      <w:r>
        <w:rPr>
          <w:sz w:val="24"/>
          <w:szCs w:val="24"/>
        </w:rPr>
        <w:t>BEIS, “t</w:t>
      </w:r>
      <w:r w:rsidRPr="003A1005">
        <w:rPr>
          <w:sz w:val="24"/>
          <w:szCs w:val="24"/>
        </w:rPr>
        <w:t xml:space="preserve">he </w:t>
      </w:r>
      <w:r>
        <w:rPr>
          <w:sz w:val="24"/>
          <w:szCs w:val="24"/>
        </w:rPr>
        <w:t>Authority”</w:t>
      </w:r>
      <w:r w:rsidRPr="003A1005">
        <w:rPr>
          <w:sz w:val="24"/>
          <w:szCs w:val="24"/>
        </w:rPr>
        <w:t xml:space="preserve"> was created as a result of a merger between the Department of Energy and Climate Change (DECC) and the Department for Business, Innovation and Skills (BIS), as part of the Machinery of Government (</w:t>
      </w:r>
      <w:proofErr w:type="spellStart"/>
      <w:r w:rsidRPr="003A1005">
        <w:rPr>
          <w:sz w:val="24"/>
          <w:szCs w:val="24"/>
        </w:rPr>
        <w:t>MoG</w:t>
      </w:r>
      <w:proofErr w:type="spellEnd"/>
      <w:r w:rsidRPr="003A1005">
        <w:rPr>
          <w:sz w:val="24"/>
          <w:szCs w:val="24"/>
        </w:rPr>
        <w:t>) changes in July 2016</w:t>
      </w:r>
      <w:r>
        <w:rPr>
          <w:sz w:val="24"/>
          <w:szCs w:val="24"/>
        </w:rPr>
        <w:t xml:space="preserve">. </w:t>
      </w:r>
      <w:r w:rsidRPr="00287A0D">
        <w:rPr>
          <w:sz w:val="24"/>
          <w:szCs w:val="24"/>
        </w:rPr>
        <w:t>The Department is responsible for:</w:t>
      </w:r>
    </w:p>
    <w:p w14:paraId="584532C1" w14:textId="77777777" w:rsidR="00AF307C" w:rsidRPr="00287A0D" w:rsidRDefault="00AF307C" w:rsidP="00AF307C">
      <w:pPr>
        <w:pStyle w:val="Heading3"/>
        <w:numPr>
          <w:ilvl w:val="2"/>
          <w:numId w:val="44"/>
        </w:numPr>
        <w:tabs>
          <w:tab w:val="clear" w:pos="1800"/>
        </w:tabs>
        <w:spacing w:after="0"/>
        <w:ind w:left="1134" w:hanging="414"/>
        <w:rPr>
          <w:sz w:val="24"/>
          <w:szCs w:val="24"/>
        </w:rPr>
      </w:pPr>
      <w:proofErr w:type="gramStart"/>
      <w:r w:rsidRPr="00287A0D">
        <w:rPr>
          <w:sz w:val="24"/>
          <w:szCs w:val="24"/>
        </w:rPr>
        <w:t>developing</w:t>
      </w:r>
      <w:proofErr w:type="gramEnd"/>
      <w:r w:rsidRPr="00287A0D">
        <w:rPr>
          <w:sz w:val="24"/>
          <w:szCs w:val="24"/>
        </w:rPr>
        <w:t xml:space="preserve"> and delivering a comprehensive industrial strategy and leading the government’s relationship with business;</w:t>
      </w:r>
    </w:p>
    <w:p w14:paraId="71B902FB" w14:textId="77777777" w:rsidR="00AF307C" w:rsidRPr="00287A0D" w:rsidRDefault="00AF307C" w:rsidP="00AF307C">
      <w:pPr>
        <w:pStyle w:val="Heading3"/>
        <w:numPr>
          <w:ilvl w:val="2"/>
          <w:numId w:val="44"/>
        </w:numPr>
        <w:tabs>
          <w:tab w:val="clear" w:pos="1800"/>
        </w:tabs>
        <w:spacing w:after="0"/>
        <w:ind w:left="1134" w:hanging="414"/>
        <w:rPr>
          <w:sz w:val="24"/>
          <w:szCs w:val="24"/>
        </w:rPr>
      </w:pPr>
      <w:proofErr w:type="gramStart"/>
      <w:r w:rsidRPr="00287A0D">
        <w:rPr>
          <w:sz w:val="24"/>
          <w:szCs w:val="24"/>
        </w:rPr>
        <w:t>ensuring</w:t>
      </w:r>
      <w:proofErr w:type="gramEnd"/>
      <w:r w:rsidRPr="00287A0D">
        <w:rPr>
          <w:sz w:val="24"/>
          <w:szCs w:val="24"/>
        </w:rPr>
        <w:t xml:space="preserve"> that the country has secure energy supplies that are reliable, affordable and clean;</w:t>
      </w:r>
    </w:p>
    <w:p w14:paraId="61B45476" w14:textId="77777777" w:rsidR="00AF307C" w:rsidRPr="00287A0D" w:rsidRDefault="00AF307C" w:rsidP="00AF307C">
      <w:pPr>
        <w:pStyle w:val="Heading3"/>
        <w:numPr>
          <w:ilvl w:val="2"/>
          <w:numId w:val="44"/>
        </w:numPr>
        <w:tabs>
          <w:tab w:val="clear" w:pos="1800"/>
        </w:tabs>
        <w:spacing w:after="0"/>
        <w:ind w:left="1134" w:hanging="414"/>
        <w:rPr>
          <w:sz w:val="24"/>
          <w:szCs w:val="24"/>
        </w:rPr>
      </w:pPr>
      <w:proofErr w:type="gramStart"/>
      <w:r w:rsidRPr="00287A0D">
        <w:rPr>
          <w:sz w:val="24"/>
          <w:szCs w:val="24"/>
        </w:rPr>
        <w:t>ensuring</w:t>
      </w:r>
      <w:proofErr w:type="gramEnd"/>
      <w:r w:rsidRPr="00287A0D">
        <w:rPr>
          <w:sz w:val="24"/>
          <w:szCs w:val="24"/>
        </w:rPr>
        <w:t xml:space="preserve"> the UK remains at the leading edge of science, research and innovation; and</w:t>
      </w:r>
    </w:p>
    <w:p w14:paraId="5E1927AE" w14:textId="77777777" w:rsidR="00AF307C" w:rsidRPr="00287A0D" w:rsidRDefault="00AF307C" w:rsidP="00AF307C">
      <w:pPr>
        <w:pStyle w:val="Heading3"/>
        <w:numPr>
          <w:ilvl w:val="2"/>
          <w:numId w:val="44"/>
        </w:numPr>
        <w:tabs>
          <w:tab w:val="clear" w:pos="1800"/>
        </w:tabs>
        <w:ind w:left="1134" w:hanging="414"/>
        <w:rPr>
          <w:sz w:val="24"/>
          <w:szCs w:val="24"/>
        </w:rPr>
      </w:pPr>
      <w:proofErr w:type="gramStart"/>
      <w:r w:rsidRPr="00287A0D">
        <w:rPr>
          <w:sz w:val="24"/>
          <w:szCs w:val="24"/>
        </w:rPr>
        <w:t>tackling</w:t>
      </w:r>
      <w:proofErr w:type="gramEnd"/>
      <w:r w:rsidRPr="00287A0D">
        <w:rPr>
          <w:sz w:val="24"/>
          <w:szCs w:val="24"/>
        </w:rPr>
        <w:t xml:space="preserve"> climate change.</w:t>
      </w:r>
    </w:p>
    <w:p w14:paraId="06141EDF" w14:textId="77777777" w:rsidR="00AF307C" w:rsidRDefault="00AF307C" w:rsidP="00AF307C">
      <w:pPr>
        <w:pStyle w:val="Heading2"/>
        <w:tabs>
          <w:tab w:val="clear" w:pos="720"/>
          <w:tab w:val="num" w:pos="709"/>
        </w:tabs>
        <w:spacing w:after="120"/>
        <w:ind w:left="709" w:hanging="709"/>
        <w:rPr>
          <w:sz w:val="24"/>
          <w:szCs w:val="24"/>
        </w:rPr>
      </w:pPr>
      <w:r w:rsidRPr="009C684C">
        <w:rPr>
          <w:sz w:val="24"/>
          <w:szCs w:val="24"/>
        </w:rPr>
        <w:t>UKGI</w:t>
      </w:r>
      <w:r>
        <w:rPr>
          <w:sz w:val="24"/>
          <w:szCs w:val="24"/>
        </w:rPr>
        <w:t>, the “Agent”,</w:t>
      </w:r>
      <w:r w:rsidRPr="009C684C">
        <w:rPr>
          <w:sz w:val="24"/>
          <w:szCs w:val="24"/>
        </w:rPr>
        <w:t xml:space="preserve"> is the government’s centre of excellence in corporate finance and corporate governance. Its role is to manage Government’s shareholdings of businesses, often on behalf of Government departments and provide corporate finance expertise and advice within Government.</w:t>
      </w:r>
    </w:p>
    <w:p w14:paraId="4CF110A0" w14:textId="77777777" w:rsidR="00AF307C" w:rsidRDefault="00AF307C" w:rsidP="00AF307C">
      <w:pPr>
        <w:pStyle w:val="Heading2"/>
        <w:rPr>
          <w:sz w:val="24"/>
          <w:szCs w:val="24"/>
        </w:rPr>
      </w:pPr>
      <w:r w:rsidRPr="002415F5">
        <w:rPr>
          <w:sz w:val="24"/>
          <w:szCs w:val="24"/>
        </w:rPr>
        <w:t>UKGI performs the shareholder role for the NDA on behalf of BEIS, which includes an assessment of the capability of the NDA board to deliver its mission</w:t>
      </w:r>
      <w:r>
        <w:rPr>
          <w:sz w:val="24"/>
          <w:szCs w:val="24"/>
        </w:rPr>
        <w:t xml:space="preserve">. </w:t>
      </w:r>
    </w:p>
    <w:p w14:paraId="5717AC21" w14:textId="77777777" w:rsidR="00AF307C" w:rsidRPr="001A45DF" w:rsidRDefault="00AF307C" w:rsidP="00AF307C">
      <w:pPr>
        <w:pStyle w:val="Heading1"/>
        <w:tabs>
          <w:tab w:val="clear" w:pos="720"/>
        </w:tabs>
        <w:overflowPunct w:val="0"/>
        <w:autoSpaceDE w:val="0"/>
        <w:autoSpaceDN w:val="0"/>
        <w:spacing w:after="120"/>
        <w:textAlignment w:val="baseline"/>
        <w:rPr>
          <w:sz w:val="32"/>
          <w:szCs w:val="32"/>
        </w:rPr>
      </w:pPr>
      <w:bookmarkStart w:id="121" w:name="_Toc368573029"/>
      <w:bookmarkStart w:id="122" w:name="_Toc8914674"/>
      <w:bookmarkStart w:id="123" w:name="_Toc15976656"/>
      <w:bookmarkStart w:id="124" w:name="_Toc15990237"/>
      <w:r w:rsidRPr="001A45DF">
        <w:rPr>
          <w:sz w:val="32"/>
          <w:szCs w:val="32"/>
        </w:rPr>
        <w:t>Background to requirement/OVERVIEW</w:t>
      </w:r>
      <w:bookmarkEnd w:id="118"/>
      <w:r w:rsidRPr="001A45DF">
        <w:rPr>
          <w:sz w:val="32"/>
          <w:szCs w:val="32"/>
        </w:rPr>
        <w:t xml:space="preserve"> of requirement</w:t>
      </w:r>
      <w:bookmarkEnd w:id="121"/>
      <w:bookmarkEnd w:id="122"/>
      <w:bookmarkEnd w:id="123"/>
      <w:bookmarkEnd w:id="124"/>
    </w:p>
    <w:p w14:paraId="42335E4E" w14:textId="77777777" w:rsidR="00AF307C" w:rsidRDefault="00AF307C" w:rsidP="00AF307C">
      <w:pPr>
        <w:pStyle w:val="Heading2"/>
        <w:rPr>
          <w:sz w:val="24"/>
          <w:szCs w:val="24"/>
        </w:rPr>
      </w:pPr>
      <w:bookmarkStart w:id="125" w:name="_Toc297554774"/>
      <w:bookmarkEnd w:id="119"/>
      <w:r w:rsidRPr="007629FE">
        <w:rPr>
          <w:sz w:val="24"/>
          <w:szCs w:val="24"/>
        </w:rPr>
        <w:t xml:space="preserve">The Nuclear Decommissioning Authority is one of BEIS’s largest and most complex </w:t>
      </w:r>
      <w:r>
        <w:rPr>
          <w:sz w:val="24"/>
          <w:szCs w:val="24"/>
        </w:rPr>
        <w:t>non-departmental public bodies (</w:t>
      </w:r>
      <w:r w:rsidRPr="007629FE">
        <w:rPr>
          <w:sz w:val="24"/>
          <w:szCs w:val="24"/>
        </w:rPr>
        <w:t>NDPBs</w:t>
      </w:r>
      <w:r>
        <w:rPr>
          <w:sz w:val="24"/>
          <w:szCs w:val="24"/>
        </w:rPr>
        <w:t>)</w:t>
      </w:r>
      <w:r w:rsidRPr="007629FE">
        <w:rPr>
          <w:sz w:val="24"/>
          <w:szCs w:val="24"/>
        </w:rPr>
        <w:t xml:space="preserve"> responsible for cleaning up </w:t>
      </w:r>
      <w:r w:rsidRPr="007629FE">
        <w:rPr>
          <w:sz w:val="24"/>
          <w:szCs w:val="24"/>
        </w:rPr>
        <w:lastRenderedPageBreak/>
        <w:t>and decommissioning the country’s civil nuclear legacy. It carries Government’s largest liability (c. £130bn discounted) and its mission to discharge its responsibilities spans more than 100 years and involves significant technical and financial uncertainty.</w:t>
      </w:r>
    </w:p>
    <w:p w14:paraId="47B5BAE4" w14:textId="77777777" w:rsidR="00AF307C" w:rsidRDefault="00AF307C" w:rsidP="00AF307C">
      <w:pPr>
        <w:pStyle w:val="Heading2"/>
        <w:rPr>
          <w:sz w:val="24"/>
          <w:szCs w:val="24"/>
        </w:rPr>
      </w:pPr>
      <w:r>
        <w:rPr>
          <w:sz w:val="24"/>
          <w:szCs w:val="24"/>
        </w:rPr>
        <w:t>The role of the Board of the NDA, including of Non-Executive Board Members (NEDs) and the Chair, is set out in the Energy Act 2004. The term of the current Chair shall end in February 2020, and all four current NEDs are due to reach their advisory maximum term length of six years in 2021. The Secretary of State has therefore agreed to a Board strategy to find a new Chair for the NDA, and to commence a series of reappointments of current NEDs of varying lengths, two of which are likely to run until early 2020. The Authority is therefore seeking to use an Executive Search firm to find a Chair and up to two NEDs of the NDA. All appointments to the NDA Board are regulated by the Office of the Commissioner for Public Appointments (OCPA).</w:t>
      </w:r>
    </w:p>
    <w:p w14:paraId="21CF8D87" w14:textId="77777777" w:rsidR="00AF307C" w:rsidRPr="002B7DDD" w:rsidRDefault="00AF307C" w:rsidP="00AF307C">
      <w:pPr>
        <w:pStyle w:val="Heading2"/>
        <w:spacing w:after="120"/>
        <w:ind w:left="709" w:hanging="709"/>
        <w:rPr>
          <w:sz w:val="24"/>
          <w:szCs w:val="24"/>
        </w:rPr>
      </w:pPr>
      <w:r>
        <w:rPr>
          <w:sz w:val="24"/>
          <w:szCs w:val="24"/>
        </w:rPr>
        <w:t xml:space="preserve">Due to the high profile and challenging nature of the role(s), an Executive Search firm shall be required to assist the Authority in finding suitable candidates. </w:t>
      </w:r>
      <w:r w:rsidRPr="002B7DDD">
        <w:rPr>
          <w:sz w:val="24"/>
          <w:szCs w:val="24"/>
        </w:rPr>
        <w:t>Candidates will be drawn from a diverse range of backgrounds with a broad range of experience and skills applicable to the roles. See Annex</w:t>
      </w:r>
      <w:r>
        <w:rPr>
          <w:sz w:val="24"/>
          <w:szCs w:val="24"/>
        </w:rPr>
        <w:t xml:space="preserve">es 1 and 2 </w:t>
      </w:r>
      <w:r w:rsidRPr="002B7DDD">
        <w:rPr>
          <w:sz w:val="24"/>
          <w:szCs w:val="24"/>
        </w:rPr>
        <w:t xml:space="preserve">for </w:t>
      </w:r>
      <w:r>
        <w:rPr>
          <w:sz w:val="24"/>
          <w:szCs w:val="24"/>
        </w:rPr>
        <w:t xml:space="preserve">indicative </w:t>
      </w:r>
      <w:r w:rsidRPr="002B7DDD">
        <w:rPr>
          <w:sz w:val="24"/>
          <w:szCs w:val="24"/>
        </w:rPr>
        <w:t>role descriptions.</w:t>
      </w:r>
    </w:p>
    <w:p w14:paraId="32753F92" w14:textId="77777777" w:rsidR="00AF307C" w:rsidRPr="002B7DDD" w:rsidRDefault="00AF307C" w:rsidP="00AF307C">
      <w:pPr>
        <w:pStyle w:val="Heading2"/>
        <w:spacing w:after="120"/>
        <w:ind w:left="709" w:hanging="709"/>
        <w:rPr>
          <w:sz w:val="24"/>
          <w:szCs w:val="24"/>
        </w:rPr>
      </w:pPr>
      <w:r w:rsidRPr="002B7DDD">
        <w:rPr>
          <w:sz w:val="24"/>
          <w:szCs w:val="24"/>
        </w:rPr>
        <w:t xml:space="preserve">UKGI’s assessment of the skills needed to fulfil these roles is based on the importance of the non-executive board members being capable of rigorously holding the executive to account. </w:t>
      </w:r>
    </w:p>
    <w:p w14:paraId="5714A179" w14:textId="77777777" w:rsidR="00AF307C" w:rsidRPr="002B7DDD" w:rsidRDefault="00AF307C" w:rsidP="00AF307C">
      <w:pPr>
        <w:pStyle w:val="Heading2"/>
        <w:spacing w:after="120"/>
        <w:ind w:left="709" w:hanging="709"/>
        <w:rPr>
          <w:sz w:val="24"/>
          <w:szCs w:val="24"/>
        </w:rPr>
      </w:pPr>
      <w:r w:rsidRPr="002B7DDD">
        <w:rPr>
          <w:sz w:val="24"/>
          <w:szCs w:val="24"/>
        </w:rPr>
        <w:t xml:space="preserve">The diversity of prospective candidates will be an important factor in this exercise: the Authority values diversity of board membership and is keen to ensure that prospective candidates are sourced from the largest possible candidate pool in order to create a wealth of different views, backgrounds, values and </w:t>
      </w:r>
      <w:proofErr w:type="spellStart"/>
      <w:r w:rsidRPr="002B7DDD">
        <w:rPr>
          <w:sz w:val="24"/>
          <w:szCs w:val="24"/>
        </w:rPr>
        <w:t>mindsets</w:t>
      </w:r>
      <w:proofErr w:type="spellEnd"/>
      <w:r w:rsidRPr="002B7DDD">
        <w:rPr>
          <w:sz w:val="24"/>
          <w:szCs w:val="24"/>
        </w:rPr>
        <w:t xml:space="preserve">. </w:t>
      </w:r>
      <w:r>
        <w:rPr>
          <w:sz w:val="24"/>
          <w:szCs w:val="24"/>
        </w:rPr>
        <w:t>The Agent</w:t>
      </w:r>
      <w:r w:rsidRPr="002B7DDD">
        <w:rPr>
          <w:sz w:val="24"/>
          <w:szCs w:val="24"/>
        </w:rPr>
        <w:t xml:space="preserve"> will work closely with established networks within Whitehall to highlight the vacancies to groups with a particular focus on attracting those more diverse groups of candidates to apply.</w:t>
      </w:r>
    </w:p>
    <w:p w14:paraId="4D838C34" w14:textId="77777777" w:rsidR="00AF307C" w:rsidRPr="002B7DDD" w:rsidRDefault="00AF307C" w:rsidP="00AF307C">
      <w:pPr>
        <w:pStyle w:val="Heading2"/>
        <w:spacing w:after="120"/>
        <w:ind w:left="709" w:hanging="709"/>
        <w:rPr>
          <w:sz w:val="24"/>
          <w:szCs w:val="24"/>
        </w:rPr>
      </w:pPr>
      <w:r w:rsidRPr="002B7DDD">
        <w:rPr>
          <w:sz w:val="24"/>
          <w:szCs w:val="24"/>
        </w:rPr>
        <w:t xml:space="preserve">Further information on the NDA can be found at </w:t>
      </w:r>
      <w:hyperlink r:id="rId17" w:history="1">
        <w:r w:rsidRPr="002B7DDD">
          <w:rPr>
            <w:sz w:val="24"/>
            <w:szCs w:val="24"/>
          </w:rPr>
          <w:t>www.nda.gov.uk</w:t>
        </w:r>
      </w:hyperlink>
      <w:r w:rsidRPr="002B7DDD">
        <w:rPr>
          <w:sz w:val="24"/>
          <w:szCs w:val="24"/>
        </w:rPr>
        <w:t>.</w:t>
      </w:r>
    </w:p>
    <w:p w14:paraId="4AA67A49" w14:textId="77777777" w:rsidR="00AF307C" w:rsidRPr="001A45DF" w:rsidRDefault="00AF307C" w:rsidP="00AF307C">
      <w:pPr>
        <w:pStyle w:val="Heading1"/>
        <w:tabs>
          <w:tab w:val="clear" w:pos="720"/>
        </w:tabs>
        <w:overflowPunct w:val="0"/>
        <w:autoSpaceDE w:val="0"/>
        <w:autoSpaceDN w:val="0"/>
        <w:spacing w:after="120"/>
        <w:textAlignment w:val="baseline"/>
        <w:rPr>
          <w:sz w:val="32"/>
          <w:szCs w:val="32"/>
        </w:rPr>
      </w:pPr>
      <w:bookmarkStart w:id="126" w:name="_Toc8914675"/>
      <w:bookmarkStart w:id="127" w:name="_Toc15976657"/>
      <w:bookmarkStart w:id="128" w:name="_Toc15990238"/>
      <w:bookmarkStart w:id="129" w:name="_Toc368573030"/>
      <w:r w:rsidRPr="001A45DF">
        <w:rPr>
          <w:sz w:val="32"/>
          <w:szCs w:val="32"/>
        </w:rPr>
        <w:t>definitions</w:t>
      </w:r>
      <w:bookmarkEnd w:id="126"/>
      <w:bookmarkEnd w:id="127"/>
      <w:bookmarkEnd w:id="128"/>
      <w:r w:rsidRPr="001A45DF">
        <w:rPr>
          <w:sz w:val="32"/>
          <w:szCs w:val="32"/>
        </w:rPr>
        <w:t xml:space="preserve"> </w:t>
      </w:r>
    </w:p>
    <w:tbl>
      <w:tblPr>
        <w:tblStyle w:val="TableGrid"/>
        <w:tblW w:w="0" w:type="auto"/>
        <w:tblInd w:w="720" w:type="dxa"/>
        <w:tblLook w:val="04A0" w:firstRow="1" w:lastRow="0" w:firstColumn="1" w:lastColumn="0" w:noHBand="0" w:noVBand="1"/>
      </w:tblPr>
      <w:tblGrid>
        <w:gridCol w:w="2677"/>
        <w:gridCol w:w="5622"/>
      </w:tblGrid>
      <w:tr w:rsidR="00AF307C" w14:paraId="227DE5E4" w14:textId="77777777" w:rsidTr="00D575DC">
        <w:tc>
          <w:tcPr>
            <w:tcW w:w="2677" w:type="dxa"/>
            <w:shd w:val="clear" w:color="auto" w:fill="C6D9F1" w:themeFill="text2" w:themeFillTint="33"/>
          </w:tcPr>
          <w:p w14:paraId="6FAE22BA" w14:textId="77777777" w:rsidR="00AF307C" w:rsidRPr="001A45DF" w:rsidRDefault="00AF307C" w:rsidP="00D575DC">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5622" w:type="dxa"/>
            <w:shd w:val="clear" w:color="auto" w:fill="C6D9F1" w:themeFill="text2" w:themeFillTint="33"/>
          </w:tcPr>
          <w:p w14:paraId="06771C1B" w14:textId="77777777" w:rsidR="00AF307C" w:rsidRPr="001A45DF" w:rsidRDefault="00AF307C" w:rsidP="00D575DC">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AF307C" w14:paraId="4E284D6D" w14:textId="77777777" w:rsidTr="00D575DC">
        <w:tc>
          <w:tcPr>
            <w:tcW w:w="2677" w:type="dxa"/>
          </w:tcPr>
          <w:p w14:paraId="52E92A81" w14:textId="77777777" w:rsidR="00AF307C" w:rsidRPr="002B7DDD" w:rsidRDefault="00AF307C" w:rsidP="00D575DC">
            <w:pPr>
              <w:pStyle w:val="Heading2"/>
              <w:numPr>
                <w:ilvl w:val="0"/>
                <w:numId w:val="0"/>
              </w:numPr>
              <w:spacing w:after="120"/>
              <w:ind w:left="720" w:hanging="720"/>
              <w:outlineLvl w:val="1"/>
              <w:rPr>
                <w:sz w:val="24"/>
                <w:szCs w:val="24"/>
              </w:rPr>
            </w:pPr>
            <w:r w:rsidRPr="002B7DDD">
              <w:rPr>
                <w:sz w:val="24"/>
                <w:szCs w:val="24"/>
              </w:rPr>
              <w:t>BEIS</w:t>
            </w:r>
            <w:r>
              <w:rPr>
                <w:sz w:val="24"/>
                <w:szCs w:val="24"/>
              </w:rPr>
              <w:t xml:space="preserve"> or “the Authority”</w:t>
            </w:r>
          </w:p>
        </w:tc>
        <w:tc>
          <w:tcPr>
            <w:tcW w:w="5622" w:type="dxa"/>
          </w:tcPr>
          <w:p w14:paraId="56106610" w14:textId="77777777" w:rsidR="00AF307C" w:rsidRPr="002B7DDD" w:rsidRDefault="00AF307C" w:rsidP="00D575DC">
            <w:pPr>
              <w:pStyle w:val="Heading2"/>
              <w:numPr>
                <w:ilvl w:val="0"/>
                <w:numId w:val="0"/>
              </w:numPr>
              <w:spacing w:after="120"/>
              <w:outlineLvl w:val="1"/>
              <w:rPr>
                <w:sz w:val="24"/>
                <w:szCs w:val="24"/>
              </w:rPr>
            </w:pPr>
            <w:proofErr w:type="gramStart"/>
            <w:r>
              <w:rPr>
                <w:sz w:val="24"/>
                <w:szCs w:val="24"/>
              </w:rPr>
              <w:t>means</w:t>
            </w:r>
            <w:proofErr w:type="gramEnd"/>
            <w:r>
              <w:rPr>
                <w:sz w:val="24"/>
                <w:szCs w:val="24"/>
              </w:rPr>
              <w:t xml:space="preserve"> t</w:t>
            </w:r>
            <w:r w:rsidRPr="002B7DDD">
              <w:rPr>
                <w:sz w:val="24"/>
                <w:szCs w:val="24"/>
              </w:rPr>
              <w:t>he Department for Business, Energy &amp; Industrial Strategy</w:t>
            </w:r>
          </w:p>
        </w:tc>
      </w:tr>
      <w:tr w:rsidR="00AF307C" w14:paraId="24614768" w14:textId="77777777" w:rsidTr="00D575DC">
        <w:tc>
          <w:tcPr>
            <w:tcW w:w="2677" w:type="dxa"/>
          </w:tcPr>
          <w:p w14:paraId="7B2F31B9" w14:textId="77777777" w:rsidR="00AF307C" w:rsidRPr="002B7DDD" w:rsidRDefault="00AF307C" w:rsidP="00D575DC">
            <w:pPr>
              <w:pStyle w:val="Heading2"/>
              <w:numPr>
                <w:ilvl w:val="0"/>
                <w:numId w:val="0"/>
              </w:numPr>
              <w:spacing w:after="120"/>
              <w:ind w:left="720" w:hanging="720"/>
              <w:outlineLvl w:val="1"/>
              <w:rPr>
                <w:sz w:val="24"/>
                <w:szCs w:val="24"/>
              </w:rPr>
            </w:pPr>
            <w:r w:rsidRPr="002B7DDD">
              <w:rPr>
                <w:sz w:val="24"/>
                <w:szCs w:val="24"/>
              </w:rPr>
              <w:t>NDA</w:t>
            </w:r>
          </w:p>
        </w:tc>
        <w:tc>
          <w:tcPr>
            <w:tcW w:w="5622" w:type="dxa"/>
          </w:tcPr>
          <w:p w14:paraId="5C939252" w14:textId="77777777" w:rsidR="00AF307C" w:rsidRPr="002B7DDD" w:rsidRDefault="00AF307C" w:rsidP="00D575DC">
            <w:pPr>
              <w:pStyle w:val="Heading2"/>
              <w:numPr>
                <w:ilvl w:val="0"/>
                <w:numId w:val="0"/>
              </w:numPr>
              <w:spacing w:after="120"/>
              <w:ind w:left="720" w:hanging="720"/>
              <w:outlineLvl w:val="1"/>
              <w:rPr>
                <w:sz w:val="24"/>
                <w:szCs w:val="24"/>
              </w:rPr>
            </w:pPr>
            <w:proofErr w:type="gramStart"/>
            <w:r>
              <w:rPr>
                <w:sz w:val="24"/>
                <w:szCs w:val="24"/>
              </w:rPr>
              <w:t>means</w:t>
            </w:r>
            <w:proofErr w:type="gramEnd"/>
            <w:r>
              <w:rPr>
                <w:sz w:val="24"/>
                <w:szCs w:val="24"/>
              </w:rPr>
              <w:t xml:space="preserve"> t</w:t>
            </w:r>
            <w:r w:rsidRPr="002B7DDD">
              <w:rPr>
                <w:sz w:val="24"/>
                <w:szCs w:val="24"/>
              </w:rPr>
              <w:t>he Nuclear Decommissioning Authority</w:t>
            </w:r>
          </w:p>
        </w:tc>
      </w:tr>
      <w:tr w:rsidR="00AF307C" w14:paraId="0DF7AD80" w14:textId="77777777" w:rsidTr="00D575DC">
        <w:tc>
          <w:tcPr>
            <w:tcW w:w="2677" w:type="dxa"/>
          </w:tcPr>
          <w:p w14:paraId="42FD1EAC" w14:textId="77777777" w:rsidR="00AF307C" w:rsidRPr="002B7DDD" w:rsidRDefault="00AF307C" w:rsidP="00D575DC">
            <w:pPr>
              <w:pStyle w:val="Heading2"/>
              <w:numPr>
                <w:ilvl w:val="0"/>
                <w:numId w:val="0"/>
              </w:numPr>
              <w:spacing w:after="120"/>
              <w:ind w:left="720" w:hanging="720"/>
              <w:outlineLvl w:val="1"/>
              <w:rPr>
                <w:sz w:val="24"/>
                <w:szCs w:val="24"/>
              </w:rPr>
            </w:pPr>
            <w:r>
              <w:rPr>
                <w:sz w:val="24"/>
                <w:szCs w:val="24"/>
              </w:rPr>
              <w:t>NDPB</w:t>
            </w:r>
          </w:p>
        </w:tc>
        <w:tc>
          <w:tcPr>
            <w:tcW w:w="5622" w:type="dxa"/>
          </w:tcPr>
          <w:p w14:paraId="038E87AD" w14:textId="77777777" w:rsidR="00AF307C" w:rsidRDefault="00AF307C" w:rsidP="00D575DC">
            <w:pPr>
              <w:pStyle w:val="Heading2"/>
              <w:numPr>
                <w:ilvl w:val="0"/>
                <w:numId w:val="0"/>
              </w:numPr>
              <w:spacing w:after="120"/>
              <w:ind w:left="720" w:hanging="720"/>
              <w:outlineLvl w:val="1"/>
              <w:rPr>
                <w:sz w:val="24"/>
                <w:szCs w:val="24"/>
              </w:rPr>
            </w:pPr>
            <w:proofErr w:type="gramStart"/>
            <w:r>
              <w:rPr>
                <w:sz w:val="24"/>
                <w:szCs w:val="24"/>
              </w:rPr>
              <w:t>means</w:t>
            </w:r>
            <w:proofErr w:type="gramEnd"/>
            <w:r>
              <w:rPr>
                <w:sz w:val="24"/>
                <w:szCs w:val="24"/>
              </w:rPr>
              <w:t xml:space="preserve"> </w:t>
            </w:r>
            <w:r w:rsidRPr="00643B90">
              <w:rPr>
                <w:sz w:val="24"/>
                <w:szCs w:val="24"/>
              </w:rPr>
              <w:t>non-departmental public body</w:t>
            </w:r>
          </w:p>
        </w:tc>
      </w:tr>
      <w:tr w:rsidR="00AF307C" w14:paraId="12EA8241" w14:textId="77777777" w:rsidTr="00D575DC">
        <w:tc>
          <w:tcPr>
            <w:tcW w:w="2677" w:type="dxa"/>
          </w:tcPr>
          <w:p w14:paraId="71C7BD12" w14:textId="77777777" w:rsidR="00AF307C" w:rsidRPr="002B7DDD" w:rsidRDefault="00AF307C" w:rsidP="00D575DC">
            <w:pPr>
              <w:pStyle w:val="Heading2"/>
              <w:numPr>
                <w:ilvl w:val="0"/>
                <w:numId w:val="0"/>
              </w:numPr>
              <w:spacing w:after="120"/>
              <w:ind w:left="720" w:hanging="720"/>
              <w:jc w:val="left"/>
              <w:outlineLvl w:val="1"/>
              <w:rPr>
                <w:sz w:val="24"/>
                <w:szCs w:val="24"/>
              </w:rPr>
            </w:pPr>
            <w:r>
              <w:rPr>
                <w:sz w:val="24"/>
                <w:szCs w:val="24"/>
              </w:rPr>
              <w:t>OCPA</w:t>
            </w:r>
          </w:p>
        </w:tc>
        <w:tc>
          <w:tcPr>
            <w:tcW w:w="5622" w:type="dxa"/>
          </w:tcPr>
          <w:p w14:paraId="16AD56E0" w14:textId="77777777" w:rsidR="00AF307C" w:rsidRDefault="00AF307C" w:rsidP="00D575DC">
            <w:pPr>
              <w:pStyle w:val="Heading2"/>
              <w:numPr>
                <w:ilvl w:val="0"/>
                <w:numId w:val="0"/>
              </w:numPr>
              <w:spacing w:after="120"/>
              <w:outlineLvl w:val="1"/>
              <w:rPr>
                <w:sz w:val="24"/>
                <w:szCs w:val="24"/>
              </w:rPr>
            </w:pPr>
            <w:proofErr w:type="gramStart"/>
            <w:r>
              <w:rPr>
                <w:sz w:val="24"/>
                <w:szCs w:val="24"/>
              </w:rPr>
              <w:t>means</w:t>
            </w:r>
            <w:proofErr w:type="gramEnd"/>
            <w:r>
              <w:rPr>
                <w:sz w:val="24"/>
                <w:szCs w:val="24"/>
              </w:rPr>
              <w:t xml:space="preserve"> the Office of the Commissioner for Public Appointments</w:t>
            </w:r>
          </w:p>
        </w:tc>
      </w:tr>
      <w:tr w:rsidR="00AF307C" w14:paraId="6247983C" w14:textId="77777777" w:rsidTr="00D575DC">
        <w:tc>
          <w:tcPr>
            <w:tcW w:w="2677" w:type="dxa"/>
          </w:tcPr>
          <w:p w14:paraId="4993B7E7" w14:textId="77777777" w:rsidR="00AF307C" w:rsidRPr="002B7DDD" w:rsidRDefault="00AF307C" w:rsidP="00D575DC">
            <w:pPr>
              <w:pStyle w:val="Heading2"/>
              <w:numPr>
                <w:ilvl w:val="0"/>
                <w:numId w:val="0"/>
              </w:numPr>
              <w:spacing w:after="120"/>
              <w:ind w:left="720" w:hanging="720"/>
              <w:jc w:val="left"/>
              <w:outlineLvl w:val="1"/>
              <w:rPr>
                <w:sz w:val="24"/>
                <w:szCs w:val="24"/>
              </w:rPr>
            </w:pPr>
            <w:r w:rsidRPr="002B7DDD">
              <w:rPr>
                <w:sz w:val="24"/>
                <w:szCs w:val="24"/>
              </w:rPr>
              <w:t>UKGI</w:t>
            </w:r>
            <w:r>
              <w:rPr>
                <w:sz w:val="24"/>
                <w:szCs w:val="24"/>
              </w:rPr>
              <w:t xml:space="preserve"> “the Agent”</w:t>
            </w:r>
          </w:p>
        </w:tc>
        <w:tc>
          <w:tcPr>
            <w:tcW w:w="5622" w:type="dxa"/>
          </w:tcPr>
          <w:p w14:paraId="4302ECEA" w14:textId="77777777" w:rsidR="00AF307C" w:rsidRPr="002B7DDD" w:rsidRDefault="00AF307C" w:rsidP="00D575DC">
            <w:pPr>
              <w:pStyle w:val="Heading2"/>
              <w:numPr>
                <w:ilvl w:val="0"/>
                <w:numId w:val="0"/>
              </w:numPr>
              <w:spacing w:after="120"/>
              <w:outlineLvl w:val="1"/>
              <w:rPr>
                <w:sz w:val="24"/>
                <w:szCs w:val="24"/>
              </w:rPr>
            </w:pPr>
            <w:proofErr w:type="gramStart"/>
            <w:r>
              <w:rPr>
                <w:sz w:val="24"/>
                <w:szCs w:val="24"/>
              </w:rPr>
              <w:t>means</w:t>
            </w:r>
            <w:proofErr w:type="gramEnd"/>
            <w:r>
              <w:rPr>
                <w:sz w:val="24"/>
                <w:szCs w:val="24"/>
              </w:rPr>
              <w:t xml:space="preserve"> </w:t>
            </w:r>
            <w:r w:rsidRPr="002B7DDD">
              <w:rPr>
                <w:sz w:val="24"/>
                <w:szCs w:val="24"/>
              </w:rPr>
              <w:t>UK Government Investments Ltd</w:t>
            </w:r>
          </w:p>
        </w:tc>
      </w:tr>
    </w:tbl>
    <w:p w14:paraId="6FA81DB8" w14:textId="77777777" w:rsidR="00AF307C" w:rsidRPr="001A45DF" w:rsidRDefault="00AF307C" w:rsidP="00AF307C">
      <w:pPr>
        <w:pStyle w:val="Heading1"/>
        <w:tabs>
          <w:tab w:val="clear" w:pos="720"/>
        </w:tabs>
        <w:overflowPunct w:val="0"/>
        <w:autoSpaceDE w:val="0"/>
        <w:autoSpaceDN w:val="0"/>
        <w:spacing w:before="240" w:after="120"/>
        <w:textAlignment w:val="baseline"/>
        <w:rPr>
          <w:sz w:val="32"/>
          <w:szCs w:val="32"/>
        </w:rPr>
      </w:pPr>
      <w:bookmarkStart w:id="130" w:name="_Toc8914676"/>
      <w:bookmarkStart w:id="131" w:name="_Toc15976658"/>
      <w:bookmarkStart w:id="132" w:name="_Toc15990239"/>
      <w:r w:rsidRPr="001A45DF">
        <w:rPr>
          <w:sz w:val="32"/>
          <w:szCs w:val="32"/>
        </w:rPr>
        <w:lastRenderedPageBreak/>
        <w:t>scope of requirement</w:t>
      </w:r>
      <w:bookmarkEnd w:id="125"/>
      <w:bookmarkEnd w:id="129"/>
      <w:bookmarkEnd w:id="130"/>
      <w:bookmarkEnd w:id="131"/>
      <w:bookmarkEnd w:id="132"/>
      <w:r w:rsidRPr="001A45DF">
        <w:rPr>
          <w:sz w:val="32"/>
          <w:szCs w:val="32"/>
        </w:rPr>
        <w:t xml:space="preserve"> </w:t>
      </w:r>
    </w:p>
    <w:bookmarkEnd w:id="120"/>
    <w:p w14:paraId="1F891993" w14:textId="77777777" w:rsidR="00AF307C" w:rsidRPr="009C684C" w:rsidRDefault="00AF307C" w:rsidP="00AF307C">
      <w:pPr>
        <w:pStyle w:val="Heading2"/>
        <w:tabs>
          <w:tab w:val="clear" w:pos="720"/>
          <w:tab w:val="num" w:pos="709"/>
        </w:tabs>
        <w:spacing w:after="120"/>
        <w:ind w:left="709" w:hanging="709"/>
        <w:rPr>
          <w:sz w:val="24"/>
          <w:szCs w:val="24"/>
        </w:rPr>
      </w:pPr>
      <w:r w:rsidRPr="009C684C">
        <w:rPr>
          <w:sz w:val="24"/>
          <w:szCs w:val="24"/>
        </w:rPr>
        <w:t xml:space="preserve">The successful </w:t>
      </w:r>
      <w:r>
        <w:rPr>
          <w:sz w:val="24"/>
          <w:szCs w:val="24"/>
        </w:rPr>
        <w:t>S</w:t>
      </w:r>
      <w:r w:rsidRPr="009C684C">
        <w:rPr>
          <w:sz w:val="24"/>
          <w:szCs w:val="24"/>
        </w:rPr>
        <w:t xml:space="preserve">upplier is </w:t>
      </w:r>
      <w:r>
        <w:rPr>
          <w:sz w:val="24"/>
          <w:szCs w:val="24"/>
        </w:rPr>
        <w:t>required</w:t>
      </w:r>
      <w:r w:rsidRPr="009C684C">
        <w:rPr>
          <w:sz w:val="24"/>
          <w:szCs w:val="24"/>
        </w:rPr>
        <w:t xml:space="preserve"> to have the capacity to fully manage the executive search and selection activity in a public appointments context. Adhering to the role specifications, they will be expected to advise </w:t>
      </w:r>
      <w:r>
        <w:rPr>
          <w:sz w:val="24"/>
          <w:szCs w:val="24"/>
        </w:rPr>
        <w:t>the Authority and the Agent</w:t>
      </w:r>
      <w:r w:rsidRPr="009C684C">
        <w:rPr>
          <w:sz w:val="24"/>
          <w:szCs w:val="24"/>
        </w:rPr>
        <w:t xml:space="preserve"> on candidate targeting and source candidates through market research, providing a long list and then a short list of prospective candidates as well as providing feedback to candidates.</w:t>
      </w:r>
    </w:p>
    <w:p w14:paraId="69A6EE72" w14:textId="77777777" w:rsidR="00AF307C" w:rsidRDefault="00AF307C" w:rsidP="00AF307C">
      <w:pPr>
        <w:pStyle w:val="Heading2"/>
        <w:tabs>
          <w:tab w:val="clear" w:pos="720"/>
          <w:tab w:val="num" w:pos="862"/>
        </w:tabs>
        <w:overflowPunct w:val="0"/>
        <w:autoSpaceDE w:val="0"/>
        <w:autoSpaceDN w:val="0"/>
        <w:spacing w:after="120"/>
        <w:ind w:left="709" w:hanging="709"/>
        <w:textAlignment w:val="baseline"/>
        <w:rPr>
          <w:sz w:val="24"/>
          <w:szCs w:val="24"/>
        </w:rPr>
      </w:pPr>
      <w:r w:rsidRPr="009C684C">
        <w:rPr>
          <w:sz w:val="24"/>
          <w:szCs w:val="24"/>
        </w:rPr>
        <w:t xml:space="preserve">The successful </w:t>
      </w:r>
      <w:r>
        <w:rPr>
          <w:sz w:val="24"/>
          <w:szCs w:val="24"/>
        </w:rPr>
        <w:t>S</w:t>
      </w:r>
      <w:r w:rsidRPr="009C684C">
        <w:rPr>
          <w:sz w:val="24"/>
          <w:szCs w:val="24"/>
        </w:rPr>
        <w:t>upplier will also need to support the Authority’s team and the candidates throughout any interviews, undertake any necessary referencing and pre-appointment checks, and ahead of the Authority making any recommendations to the relevant BEIS Minister.</w:t>
      </w:r>
    </w:p>
    <w:p w14:paraId="441687A5" w14:textId="77777777" w:rsidR="00AF307C" w:rsidRPr="00DA7F0C" w:rsidRDefault="00AF307C" w:rsidP="00AF307C">
      <w:pPr>
        <w:pStyle w:val="Heading2"/>
        <w:tabs>
          <w:tab w:val="clear" w:pos="720"/>
          <w:tab w:val="num" w:pos="862"/>
        </w:tabs>
        <w:overflowPunct w:val="0"/>
        <w:autoSpaceDE w:val="0"/>
        <w:autoSpaceDN w:val="0"/>
        <w:spacing w:after="120"/>
        <w:ind w:left="709" w:hanging="709"/>
        <w:textAlignment w:val="baseline"/>
        <w:rPr>
          <w:sz w:val="24"/>
          <w:szCs w:val="24"/>
        </w:rPr>
      </w:pPr>
      <w:r w:rsidRPr="00DA7F0C">
        <w:rPr>
          <w:sz w:val="24"/>
          <w:szCs w:val="24"/>
        </w:rPr>
        <w:t>There will be no requirement for any psychometric testing of candidates.</w:t>
      </w:r>
    </w:p>
    <w:p w14:paraId="2F5EA4ED" w14:textId="77777777" w:rsidR="00AF307C" w:rsidRPr="001A45DF" w:rsidRDefault="00AF307C" w:rsidP="00AF307C">
      <w:pPr>
        <w:pStyle w:val="Heading1"/>
        <w:spacing w:after="120"/>
        <w:rPr>
          <w:sz w:val="32"/>
          <w:szCs w:val="32"/>
        </w:rPr>
      </w:pPr>
      <w:bookmarkStart w:id="133" w:name="_Toc368573031"/>
      <w:bookmarkStart w:id="134" w:name="_Toc8914677"/>
      <w:bookmarkStart w:id="135" w:name="_Toc15976659"/>
      <w:bookmarkStart w:id="136" w:name="_Toc15990240"/>
      <w:r w:rsidRPr="001A45DF">
        <w:rPr>
          <w:sz w:val="32"/>
          <w:szCs w:val="32"/>
        </w:rPr>
        <w:t>The requirement</w:t>
      </w:r>
      <w:bookmarkEnd w:id="133"/>
      <w:bookmarkEnd w:id="134"/>
      <w:bookmarkEnd w:id="135"/>
      <w:bookmarkEnd w:id="136"/>
    </w:p>
    <w:p w14:paraId="5CE9E5B9" w14:textId="77777777" w:rsidR="00AF307C" w:rsidRPr="00646B08" w:rsidRDefault="00AF307C" w:rsidP="00AF307C">
      <w:pPr>
        <w:pStyle w:val="Heading2"/>
        <w:tabs>
          <w:tab w:val="clear" w:pos="720"/>
          <w:tab w:val="num" w:pos="709"/>
        </w:tabs>
        <w:spacing w:after="120"/>
        <w:ind w:left="709" w:hanging="709"/>
        <w:rPr>
          <w:sz w:val="24"/>
          <w:szCs w:val="24"/>
        </w:rPr>
      </w:pPr>
      <w:r w:rsidRPr="00646B08">
        <w:rPr>
          <w:sz w:val="24"/>
          <w:szCs w:val="24"/>
        </w:rPr>
        <w:t>The Authority requires all of the following services to deliver the requirement:</w:t>
      </w:r>
    </w:p>
    <w:p w14:paraId="141ECAF1" w14:textId="77777777" w:rsidR="00AF307C" w:rsidRPr="00646B08" w:rsidRDefault="00AF307C" w:rsidP="00AF307C">
      <w:pPr>
        <w:pStyle w:val="Heading3"/>
        <w:spacing w:after="0"/>
        <w:ind w:left="1797" w:hanging="1077"/>
        <w:rPr>
          <w:sz w:val="24"/>
          <w:szCs w:val="24"/>
        </w:rPr>
      </w:pPr>
      <w:r w:rsidRPr="00646B08">
        <w:rPr>
          <w:sz w:val="24"/>
          <w:szCs w:val="24"/>
        </w:rPr>
        <w:t>Assistance in refining the search criteria and the design and placement of the appropriate adverts;</w:t>
      </w:r>
    </w:p>
    <w:p w14:paraId="7C5C4621" w14:textId="77777777" w:rsidR="00AF307C" w:rsidRPr="00646B08" w:rsidRDefault="00AF307C" w:rsidP="00AF307C">
      <w:pPr>
        <w:pStyle w:val="Heading3"/>
        <w:spacing w:after="0"/>
        <w:ind w:left="1797" w:hanging="1077"/>
        <w:rPr>
          <w:sz w:val="24"/>
          <w:szCs w:val="24"/>
        </w:rPr>
      </w:pPr>
      <w:r w:rsidRPr="00646B08">
        <w:rPr>
          <w:sz w:val="24"/>
          <w:szCs w:val="24"/>
        </w:rPr>
        <w:t>Extensive search, head hunting and management of the external advert, advising to the extent required and the development of mitigating actions or activities should the pool of candidates appear limited;</w:t>
      </w:r>
    </w:p>
    <w:p w14:paraId="7AFB643C" w14:textId="77777777" w:rsidR="00AF307C" w:rsidRPr="00646B08" w:rsidRDefault="00AF307C" w:rsidP="00AF307C">
      <w:pPr>
        <w:pStyle w:val="Heading3"/>
        <w:spacing w:after="0"/>
        <w:ind w:left="1797" w:hanging="1077"/>
        <w:rPr>
          <w:sz w:val="24"/>
          <w:szCs w:val="24"/>
        </w:rPr>
      </w:pPr>
      <w:r w:rsidRPr="00646B08">
        <w:rPr>
          <w:sz w:val="24"/>
          <w:szCs w:val="24"/>
        </w:rPr>
        <w:t xml:space="preserve">Weekly, or as </w:t>
      </w:r>
      <w:r>
        <w:rPr>
          <w:sz w:val="24"/>
          <w:szCs w:val="24"/>
        </w:rPr>
        <w:t xml:space="preserve">otherwise </w:t>
      </w:r>
      <w:r w:rsidRPr="00646B08">
        <w:rPr>
          <w:sz w:val="24"/>
          <w:szCs w:val="24"/>
        </w:rPr>
        <w:t>agreed, updates on progress;</w:t>
      </w:r>
    </w:p>
    <w:p w14:paraId="19414291" w14:textId="77777777" w:rsidR="00AF307C" w:rsidRPr="00646B08" w:rsidRDefault="00AF307C" w:rsidP="00AF307C">
      <w:pPr>
        <w:pStyle w:val="Heading3"/>
        <w:spacing w:after="0"/>
        <w:ind w:left="1797" w:hanging="1077"/>
        <w:rPr>
          <w:sz w:val="24"/>
          <w:szCs w:val="24"/>
        </w:rPr>
      </w:pPr>
      <w:r w:rsidRPr="00646B08">
        <w:rPr>
          <w:sz w:val="24"/>
          <w:szCs w:val="24"/>
        </w:rPr>
        <w:t xml:space="preserve">Administration of applications (including </w:t>
      </w:r>
      <w:r>
        <w:rPr>
          <w:sz w:val="24"/>
          <w:szCs w:val="24"/>
        </w:rPr>
        <w:t>acquisition</w:t>
      </w:r>
      <w:r w:rsidRPr="00646B08">
        <w:rPr>
          <w:sz w:val="24"/>
          <w:szCs w:val="24"/>
        </w:rPr>
        <w:t xml:space="preserve"> of diversity and equality information);</w:t>
      </w:r>
    </w:p>
    <w:p w14:paraId="77A37663" w14:textId="77777777" w:rsidR="00AF307C" w:rsidRDefault="00AF307C" w:rsidP="00AF307C">
      <w:pPr>
        <w:pStyle w:val="Heading3"/>
        <w:spacing w:after="0"/>
        <w:ind w:left="1797" w:hanging="1077"/>
        <w:rPr>
          <w:sz w:val="24"/>
          <w:szCs w:val="24"/>
        </w:rPr>
      </w:pPr>
      <w:r w:rsidRPr="00646B08">
        <w:rPr>
          <w:sz w:val="24"/>
          <w:szCs w:val="24"/>
        </w:rPr>
        <w:t xml:space="preserve">Sifting of applications to produce a long-list of recommendations; </w:t>
      </w:r>
    </w:p>
    <w:p w14:paraId="55019944" w14:textId="77777777" w:rsidR="00AF307C" w:rsidRDefault="00AF307C" w:rsidP="00AF307C">
      <w:pPr>
        <w:pStyle w:val="Heading3"/>
        <w:spacing w:after="0"/>
        <w:ind w:left="1797" w:hanging="1077"/>
        <w:rPr>
          <w:sz w:val="24"/>
          <w:szCs w:val="24"/>
        </w:rPr>
      </w:pPr>
      <w:r>
        <w:rPr>
          <w:sz w:val="24"/>
          <w:szCs w:val="24"/>
        </w:rPr>
        <w:t>I</w:t>
      </w:r>
      <w:r w:rsidRPr="00646B08">
        <w:rPr>
          <w:sz w:val="24"/>
          <w:szCs w:val="24"/>
        </w:rPr>
        <w:t>nterviews of long-listed candidates to provide recommended shortlist supported by candidate profiles;</w:t>
      </w:r>
    </w:p>
    <w:p w14:paraId="3961B5B9" w14:textId="77777777" w:rsidR="00AF307C" w:rsidRPr="00646B08" w:rsidRDefault="00AF307C" w:rsidP="00AF307C">
      <w:pPr>
        <w:pStyle w:val="Heading3"/>
        <w:spacing w:after="0"/>
        <w:ind w:left="1797" w:hanging="1077"/>
        <w:rPr>
          <w:sz w:val="24"/>
          <w:szCs w:val="24"/>
        </w:rPr>
      </w:pPr>
      <w:r>
        <w:rPr>
          <w:sz w:val="24"/>
          <w:szCs w:val="24"/>
        </w:rPr>
        <w:t>Potentially supporting briefings to senior officials or Ministers throughout the process;</w:t>
      </w:r>
    </w:p>
    <w:p w14:paraId="748542E2" w14:textId="77777777" w:rsidR="00AF307C" w:rsidRPr="00B7210A" w:rsidRDefault="00AF307C" w:rsidP="00AF307C">
      <w:pPr>
        <w:pStyle w:val="Heading3"/>
        <w:spacing w:after="0"/>
        <w:ind w:left="1797" w:hanging="1077"/>
        <w:rPr>
          <w:sz w:val="24"/>
          <w:szCs w:val="24"/>
        </w:rPr>
      </w:pPr>
      <w:r w:rsidRPr="00B7210A">
        <w:rPr>
          <w:sz w:val="24"/>
          <w:szCs w:val="24"/>
        </w:rPr>
        <w:t>Diary management and arranging timings and dates for meetings, informal conversations, and interviews (working with UKGI/BEIS executive assistants);</w:t>
      </w:r>
    </w:p>
    <w:p w14:paraId="3763DFA6" w14:textId="77777777" w:rsidR="00AF307C" w:rsidRPr="00646B08" w:rsidRDefault="00AF307C" w:rsidP="00AF307C">
      <w:pPr>
        <w:pStyle w:val="Heading3"/>
        <w:spacing w:after="0"/>
        <w:ind w:left="1797" w:hanging="1077"/>
        <w:rPr>
          <w:sz w:val="24"/>
          <w:szCs w:val="24"/>
        </w:rPr>
      </w:pPr>
      <w:r w:rsidRPr="00646B08">
        <w:rPr>
          <w:sz w:val="24"/>
          <w:szCs w:val="24"/>
        </w:rPr>
        <w:t>Assistance with preparation for final interview</w:t>
      </w:r>
      <w:r>
        <w:rPr>
          <w:sz w:val="24"/>
          <w:szCs w:val="24"/>
        </w:rPr>
        <w:t xml:space="preserve"> (which will be conducted by the Authority)</w:t>
      </w:r>
      <w:r w:rsidRPr="00646B08">
        <w:rPr>
          <w:sz w:val="24"/>
          <w:szCs w:val="24"/>
        </w:rPr>
        <w:t>;</w:t>
      </w:r>
    </w:p>
    <w:p w14:paraId="0D87AD6A" w14:textId="77777777" w:rsidR="00AF307C" w:rsidRPr="00646B08" w:rsidRDefault="00AF307C" w:rsidP="00AF307C">
      <w:pPr>
        <w:pStyle w:val="Heading3"/>
        <w:spacing w:after="0"/>
        <w:ind w:left="1797" w:hanging="1077"/>
        <w:rPr>
          <w:sz w:val="24"/>
          <w:szCs w:val="24"/>
        </w:rPr>
      </w:pPr>
      <w:r w:rsidRPr="00646B08">
        <w:rPr>
          <w:sz w:val="24"/>
          <w:szCs w:val="24"/>
        </w:rPr>
        <w:t xml:space="preserve">Responses handling, as approved by </w:t>
      </w:r>
      <w:r>
        <w:rPr>
          <w:sz w:val="24"/>
          <w:szCs w:val="24"/>
        </w:rPr>
        <w:t>the Authority and / or its Agent</w:t>
      </w:r>
      <w:r w:rsidRPr="00646B08">
        <w:rPr>
          <w:sz w:val="24"/>
          <w:szCs w:val="24"/>
        </w:rPr>
        <w:t>; and</w:t>
      </w:r>
    </w:p>
    <w:p w14:paraId="29146146" w14:textId="77777777" w:rsidR="00AF307C" w:rsidRDefault="00AF307C" w:rsidP="00AF307C">
      <w:pPr>
        <w:pStyle w:val="Heading3"/>
        <w:spacing w:after="0"/>
        <w:ind w:left="1797" w:hanging="1077"/>
        <w:rPr>
          <w:sz w:val="24"/>
          <w:szCs w:val="24"/>
        </w:rPr>
      </w:pPr>
      <w:r>
        <w:rPr>
          <w:sz w:val="24"/>
          <w:szCs w:val="24"/>
        </w:rPr>
        <w:t>Undertake relevant due diligence on candidates at short listing stage and interview stages, with further undertakings as required by the Authority, of the recruitment exercise, including obtaining d</w:t>
      </w:r>
      <w:r w:rsidRPr="00646B08">
        <w:rPr>
          <w:sz w:val="24"/>
          <w:szCs w:val="24"/>
        </w:rPr>
        <w:t>etailed referencing (security clearance may be required for the roles).</w:t>
      </w:r>
      <w:r>
        <w:rPr>
          <w:sz w:val="24"/>
          <w:szCs w:val="24"/>
        </w:rPr>
        <w:t xml:space="preserve"> </w:t>
      </w:r>
      <w:r w:rsidRPr="00674BAC">
        <w:rPr>
          <w:sz w:val="24"/>
          <w:szCs w:val="24"/>
        </w:rPr>
        <w:t>Relevant due diligence may include assessment of compliance with Principles of Public Life, candidate voluntary disclosure of information which could have, or could be perceived to have an impact on public confidence, candidate suitability, or embarrassment to government.</w:t>
      </w:r>
    </w:p>
    <w:p w14:paraId="0DE482E4" w14:textId="77777777" w:rsidR="00AF307C" w:rsidRDefault="00AF307C" w:rsidP="00AF307C">
      <w:pPr>
        <w:pStyle w:val="Heading3"/>
        <w:spacing w:after="0"/>
        <w:ind w:left="1797" w:hanging="1077"/>
        <w:rPr>
          <w:sz w:val="24"/>
          <w:szCs w:val="24"/>
        </w:rPr>
      </w:pPr>
      <w:r>
        <w:rPr>
          <w:sz w:val="24"/>
          <w:szCs w:val="24"/>
        </w:rPr>
        <w:lastRenderedPageBreak/>
        <w:t>Liaising with candidates throughout the process, keeping them informed on the progress of the process, acting as an initial contact point for questions from candidates, and contacting unsuccessful candidates where directed to by the Authority.</w:t>
      </w:r>
    </w:p>
    <w:p w14:paraId="127E0ABF" w14:textId="77777777" w:rsidR="00AF307C" w:rsidRDefault="00AF307C" w:rsidP="00AF307C">
      <w:pPr>
        <w:pStyle w:val="Heading3"/>
        <w:rPr>
          <w:sz w:val="24"/>
          <w:szCs w:val="24"/>
        </w:rPr>
      </w:pPr>
      <w:r w:rsidRPr="00C8126B">
        <w:rPr>
          <w:sz w:val="24"/>
          <w:szCs w:val="24"/>
        </w:rPr>
        <w:t>Providing analysis of the diversity of the candidate pool at each stage of the process.</w:t>
      </w:r>
    </w:p>
    <w:p w14:paraId="086EF16B" w14:textId="77777777" w:rsidR="00AF307C" w:rsidRPr="00646B08" w:rsidRDefault="00AF307C" w:rsidP="00AF307C">
      <w:pPr>
        <w:pStyle w:val="Heading2"/>
        <w:tabs>
          <w:tab w:val="clear" w:pos="720"/>
          <w:tab w:val="num" w:pos="709"/>
        </w:tabs>
        <w:spacing w:after="120"/>
        <w:ind w:left="709" w:hanging="709"/>
        <w:rPr>
          <w:sz w:val="24"/>
          <w:szCs w:val="24"/>
        </w:rPr>
      </w:pPr>
      <w:r w:rsidRPr="00646B08">
        <w:rPr>
          <w:sz w:val="24"/>
          <w:szCs w:val="24"/>
        </w:rPr>
        <w:t xml:space="preserve">The successful </w:t>
      </w:r>
      <w:r>
        <w:rPr>
          <w:sz w:val="24"/>
          <w:szCs w:val="24"/>
        </w:rPr>
        <w:t>Supplier</w:t>
      </w:r>
      <w:r w:rsidRPr="00646B08">
        <w:rPr>
          <w:sz w:val="24"/>
          <w:szCs w:val="24"/>
        </w:rPr>
        <w:t xml:space="preserve"> will support </w:t>
      </w:r>
      <w:r>
        <w:rPr>
          <w:sz w:val="24"/>
          <w:szCs w:val="24"/>
        </w:rPr>
        <w:t>the Authority</w:t>
      </w:r>
      <w:r w:rsidRPr="00646B08">
        <w:rPr>
          <w:sz w:val="24"/>
          <w:szCs w:val="24"/>
        </w:rPr>
        <w:t xml:space="preserve"> in finding candidates with expertise in operating at a senior level within a major business or other organisation</w:t>
      </w:r>
      <w:r>
        <w:rPr>
          <w:sz w:val="24"/>
          <w:szCs w:val="24"/>
        </w:rPr>
        <w:t>. The role profiles are available at Annexes 1 and 2.</w:t>
      </w:r>
    </w:p>
    <w:p w14:paraId="233059E8" w14:textId="77777777" w:rsidR="00AF307C" w:rsidRDefault="00AF307C" w:rsidP="00AF307C">
      <w:pPr>
        <w:pStyle w:val="Heading2"/>
        <w:spacing w:after="120"/>
        <w:ind w:left="709" w:hanging="709"/>
        <w:rPr>
          <w:sz w:val="24"/>
          <w:szCs w:val="24"/>
        </w:rPr>
      </w:pPr>
      <w:r>
        <w:rPr>
          <w:sz w:val="24"/>
          <w:szCs w:val="24"/>
        </w:rPr>
        <w:t>The Authority</w:t>
      </w:r>
      <w:r w:rsidRPr="00646B08">
        <w:rPr>
          <w:sz w:val="24"/>
          <w:szCs w:val="24"/>
        </w:rPr>
        <w:t xml:space="preserve"> will</w:t>
      </w:r>
      <w:r>
        <w:rPr>
          <w:sz w:val="24"/>
          <w:szCs w:val="24"/>
        </w:rPr>
        <w:t>, in compliance with the General Data Protection Regulations,</w:t>
      </w:r>
      <w:r w:rsidRPr="00646B08">
        <w:rPr>
          <w:sz w:val="24"/>
          <w:szCs w:val="24"/>
        </w:rPr>
        <w:t xml:space="preserve"> retain the long and short list </w:t>
      </w:r>
      <w:r>
        <w:rPr>
          <w:sz w:val="24"/>
          <w:szCs w:val="24"/>
        </w:rPr>
        <w:t>and reserves</w:t>
      </w:r>
      <w:r w:rsidRPr="00646B08">
        <w:rPr>
          <w:sz w:val="24"/>
          <w:szCs w:val="24"/>
        </w:rPr>
        <w:t xml:space="preserve"> the right to appoint from this at a later date </w:t>
      </w:r>
      <w:r>
        <w:rPr>
          <w:sz w:val="24"/>
          <w:szCs w:val="24"/>
        </w:rPr>
        <w:t>within</w:t>
      </w:r>
      <w:r w:rsidRPr="00646B08">
        <w:rPr>
          <w:sz w:val="24"/>
          <w:szCs w:val="24"/>
        </w:rPr>
        <w:t xml:space="preserve"> this contract should another opportunity arise.</w:t>
      </w:r>
    </w:p>
    <w:p w14:paraId="10F5F06D" w14:textId="77777777" w:rsidR="00AF307C" w:rsidRPr="009262E9" w:rsidRDefault="00AF307C" w:rsidP="00AF307C">
      <w:pPr>
        <w:pStyle w:val="Heading1"/>
        <w:spacing w:after="120"/>
        <w:rPr>
          <w:sz w:val="32"/>
          <w:szCs w:val="32"/>
        </w:rPr>
      </w:pPr>
      <w:bookmarkStart w:id="137" w:name="_Toc8643393"/>
      <w:bookmarkStart w:id="138" w:name="_Toc8914678"/>
      <w:bookmarkStart w:id="139" w:name="_Toc15976660"/>
      <w:bookmarkStart w:id="140" w:name="_Toc15990241"/>
      <w:r w:rsidRPr="009262E9">
        <w:rPr>
          <w:sz w:val="32"/>
          <w:szCs w:val="32"/>
        </w:rPr>
        <w:t>Diversity and Inclusion</w:t>
      </w:r>
      <w:bookmarkEnd w:id="137"/>
      <w:bookmarkEnd w:id="138"/>
      <w:bookmarkEnd w:id="139"/>
      <w:bookmarkEnd w:id="140"/>
    </w:p>
    <w:p w14:paraId="46154297" w14:textId="77777777" w:rsidR="00AF307C" w:rsidRPr="00C31608" w:rsidRDefault="00AF307C" w:rsidP="00AF307C">
      <w:pPr>
        <w:pStyle w:val="Heading2"/>
        <w:tabs>
          <w:tab w:val="clear" w:pos="720"/>
        </w:tabs>
        <w:ind w:left="709" w:hanging="709"/>
        <w:rPr>
          <w:rFonts w:cs="Arial"/>
          <w:sz w:val="24"/>
          <w:szCs w:val="24"/>
        </w:rPr>
      </w:pPr>
      <w:r w:rsidRPr="00C31608">
        <w:rPr>
          <w:rFonts w:cs="Arial"/>
          <w:sz w:val="24"/>
          <w:szCs w:val="24"/>
        </w:rPr>
        <w:t>The Authority</w:t>
      </w:r>
      <w:r w:rsidRPr="00C31608">
        <w:rPr>
          <w:rFonts w:cs="Arial" w:hint="eastAsia"/>
          <w:sz w:val="24"/>
          <w:szCs w:val="24"/>
        </w:rPr>
        <w:t xml:space="preserve"> value</w:t>
      </w:r>
      <w:r w:rsidRPr="00C31608">
        <w:rPr>
          <w:rFonts w:cs="Arial"/>
          <w:sz w:val="24"/>
          <w:szCs w:val="24"/>
        </w:rPr>
        <w:t>s</w:t>
      </w:r>
      <w:r w:rsidRPr="00C31608">
        <w:rPr>
          <w:rFonts w:cs="Arial" w:hint="eastAsia"/>
          <w:sz w:val="24"/>
          <w:szCs w:val="24"/>
        </w:rPr>
        <w:t xml:space="preserve"> a diverse workforce and inclusive culture where all employees feel included, empowered and able to bring their full selves to work. Employing people from different backgrounds and with unique and different experiences and perspectives helps </w:t>
      </w:r>
      <w:r w:rsidRPr="00C31608">
        <w:rPr>
          <w:rFonts w:cs="Arial"/>
          <w:sz w:val="24"/>
          <w:szCs w:val="24"/>
        </w:rPr>
        <w:t>the Authority</w:t>
      </w:r>
      <w:r w:rsidRPr="00C31608">
        <w:rPr>
          <w:rFonts w:cs="Arial" w:hint="eastAsia"/>
          <w:sz w:val="24"/>
          <w:szCs w:val="24"/>
        </w:rPr>
        <w:t xml:space="preserve"> develop better ideas and to be a stronger and more successful business. It also supports and strengthens </w:t>
      </w:r>
      <w:r w:rsidRPr="00C31608">
        <w:rPr>
          <w:rFonts w:cs="Arial"/>
          <w:sz w:val="24"/>
          <w:szCs w:val="24"/>
        </w:rPr>
        <w:t>the Authority’</w:t>
      </w:r>
      <w:r w:rsidRPr="00C31608">
        <w:rPr>
          <w:rFonts w:cs="Arial" w:hint="eastAsia"/>
          <w:sz w:val="24"/>
          <w:szCs w:val="24"/>
        </w:rPr>
        <w:t xml:space="preserve">s culture and reinforces the company as a great place to work. </w:t>
      </w:r>
      <w:r w:rsidRPr="00C31608">
        <w:rPr>
          <w:rFonts w:cs="Arial"/>
          <w:sz w:val="24"/>
          <w:szCs w:val="24"/>
        </w:rPr>
        <w:t>The Authority’s</w:t>
      </w:r>
      <w:r w:rsidRPr="00C31608">
        <w:rPr>
          <w:rFonts w:cs="Arial" w:hint="eastAsia"/>
          <w:sz w:val="24"/>
          <w:szCs w:val="24"/>
        </w:rPr>
        <w:t xml:space="preserve"> goal is to be a company which is open and accessible, recruiting unique, diverse and talented people.</w:t>
      </w:r>
    </w:p>
    <w:p w14:paraId="38A86F27" w14:textId="77777777" w:rsidR="00AF307C" w:rsidRPr="00C31608" w:rsidRDefault="00AF307C" w:rsidP="00AF307C">
      <w:pPr>
        <w:pStyle w:val="Heading2"/>
        <w:tabs>
          <w:tab w:val="clear" w:pos="720"/>
        </w:tabs>
        <w:ind w:left="709" w:hanging="709"/>
        <w:rPr>
          <w:rFonts w:cs="Arial"/>
          <w:sz w:val="24"/>
          <w:szCs w:val="24"/>
        </w:rPr>
      </w:pPr>
      <w:r>
        <w:rPr>
          <w:rFonts w:cs="Arial"/>
          <w:sz w:val="24"/>
          <w:szCs w:val="24"/>
        </w:rPr>
        <w:t>UKGI is signed</w:t>
      </w:r>
      <w:r w:rsidRPr="00C31608">
        <w:rPr>
          <w:rFonts w:cs="Arial"/>
          <w:sz w:val="24"/>
          <w:szCs w:val="24"/>
        </w:rPr>
        <w:t xml:space="preserve"> up to the Women in Finance Charter - </w:t>
      </w:r>
      <w:hyperlink r:id="rId18" w:history="1">
        <w:r w:rsidRPr="00C31608">
          <w:rPr>
            <w:rFonts w:cs="Arial"/>
            <w:sz w:val="24"/>
            <w:szCs w:val="24"/>
          </w:rPr>
          <w:t>https://www.ukgi.org.uk/who-we-are/women-in-finance-charter/</w:t>
        </w:r>
      </w:hyperlink>
      <w:r w:rsidRPr="00C31608">
        <w:rPr>
          <w:rFonts w:cs="Arial"/>
          <w:sz w:val="24"/>
          <w:szCs w:val="24"/>
        </w:rPr>
        <w:t>, and inclusion efforts focus on:</w:t>
      </w:r>
    </w:p>
    <w:p w14:paraId="30BCEBE8" w14:textId="77777777" w:rsidR="00AF307C" w:rsidRPr="00C31608" w:rsidRDefault="00AF307C" w:rsidP="00AF307C">
      <w:pPr>
        <w:pStyle w:val="Heading3"/>
        <w:tabs>
          <w:tab w:val="clear" w:pos="1800"/>
        </w:tabs>
        <w:spacing w:after="0"/>
        <w:ind w:left="1418" w:hanging="698"/>
        <w:rPr>
          <w:rFonts w:cs="Arial"/>
          <w:sz w:val="24"/>
          <w:szCs w:val="24"/>
        </w:rPr>
      </w:pPr>
      <w:r w:rsidRPr="00C31608">
        <w:rPr>
          <w:rFonts w:cs="Arial"/>
          <w:sz w:val="24"/>
          <w:szCs w:val="24"/>
        </w:rPr>
        <w:t>Leading and managing inclusively;</w:t>
      </w:r>
    </w:p>
    <w:p w14:paraId="5AB2FAB9" w14:textId="77777777" w:rsidR="00AF307C" w:rsidRPr="00C31608" w:rsidRDefault="00AF307C" w:rsidP="00AF307C">
      <w:pPr>
        <w:pStyle w:val="Heading3"/>
        <w:tabs>
          <w:tab w:val="clear" w:pos="1800"/>
        </w:tabs>
        <w:spacing w:after="0"/>
        <w:ind w:left="1418" w:hanging="698"/>
        <w:rPr>
          <w:rFonts w:cs="Arial"/>
          <w:sz w:val="24"/>
          <w:szCs w:val="24"/>
        </w:rPr>
      </w:pPr>
      <w:r w:rsidRPr="00C31608">
        <w:rPr>
          <w:rFonts w:cs="Arial"/>
          <w:sz w:val="24"/>
          <w:szCs w:val="24"/>
        </w:rPr>
        <w:t>Creating opportunities that enable development and learning; and</w:t>
      </w:r>
    </w:p>
    <w:p w14:paraId="1F496413" w14:textId="77777777" w:rsidR="00AF307C" w:rsidRPr="00C31608" w:rsidRDefault="00AF307C" w:rsidP="00AF307C">
      <w:pPr>
        <w:pStyle w:val="Heading3"/>
        <w:tabs>
          <w:tab w:val="clear" w:pos="1800"/>
        </w:tabs>
        <w:ind w:left="1418" w:hanging="698"/>
        <w:rPr>
          <w:rFonts w:cs="Arial"/>
          <w:sz w:val="24"/>
          <w:szCs w:val="24"/>
        </w:rPr>
      </w:pPr>
      <w:r w:rsidRPr="00C31608">
        <w:rPr>
          <w:rFonts w:cs="Arial"/>
          <w:sz w:val="24"/>
          <w:szCs w:val="24"/>
        </w:rPr>
        <w:t>Creating a work environment where all staff feel involved and valued.</w:t>
      </w:r>
    </w:p>
    <w:p w14:paraId="5D90F0B6" w14:textId="77777777" w:rsidR="00AF307C" w:rsidRPr="00C31608" w:rsidRDefault="00AF307C" w:rsidP="00AF307C">
      <w:pPr>
        <w:pStyle w:val="Heading2"/>
        <w:tabs>
          <w:tab w:val="clear" w:pos="720"/>
        </w:tabs>
        <w:ind w:left="709" w:hanging="709"/>
        <w:rPr>
          <w:rFonts w:cs="Arial"/>
          <w:sz w:val="24"/>
          <w:szCs w:val="24"/>
        </w:rPr>
      </w:pPr>
      <w:r w:rsidRPr="00C31608">
        <w:rPr>
          <w:rFonts w:cs="Arial"/>
          <w:sz w:val="24"/>
          <w:szCs w:val="24"/>
        </w:rPr>
        <w:t xml:space="preserve">The Supplier will ensure an understanding of and fully support the Authority’s diversity and inclusion strategies and requirements for each role or campaign. This should include developing innovative strategies which succeed in contributing towards the Civil Service's diversity targets which underpin the </w:t>
      </w:r>
      <w:r>
        <w:rPr>
          <w:rFonts w:cs="Arial"/>
          <w:sz w:val="24"/>
          <w:szCs w:val="24"/>
        </w:rPr>
        <w:t xml:space="preserve">Government’s </w:t>
      </w:r>
      <w:r w:rsidRPr="00C31608">
        <w:rPr>
          <w:rFonts w:cs="Arial"/>
          <w:sz w:val="24"/>
          <w:szCs w:val="24"/>
        </w:rPr>
        <w:t>aim to increase diversity across the public sector.</w:t>
      </w:r>
    </w:p>
    <w:p w14:paraId="1C6F5EB8" w14:textId="77777777" w:rsidR="00AF307C" w:rsidRPr="00C31608" w:rsidRDefault="00AF307C" w:rsidP="00AF307C">
      <w:pPr>
        <w:pStyle w:val="Heading2"/>
        <w:tabs>
          <w:tab w:val="clear" w:pos="720"/>
        </w:tabs>
        <w:ind w:left="709" w:hanging="709"/>
        <w:rPr>
          <w:rFonts w:cs="Arial"/>
          <w:sz w:val="24"/>
          <w:szCs w:val="24"/>
        </w:rPr>
      </w:pPr>
      <w:r w:rsidRPr="00C31608">
        <w:rPr>
          <w:rFonts w:cs="Arial"/>
          <w:sz w:val="24"/>
          <w:szCs w:val="24"/>
        </w:rPr>
        <w:t>The Supplier shall have an equality and diversity policy which addresses the prevention of unlawful discrimination and promotes equality and diversity within their own workforce and candidate pool.</w:t>
      </w:r>
    </w:p>
    <w:p w14:paraId="77918232" w14:textId="77777777" w:rsidR="00AF307C" w:rsidRPr="00C31608" w:rsidRDefault="00AF307C" w:rsidP="00AF307C">
      <w:pPr>
        <w:pStyle w:val="Heading2"/>
        <w:tabs>
          <w:tab w:val="clear" w:pos="720"/>
        </w:tabs>
        <w:ind w:left="709" w:hanging="709"/>
        <w:rPr>
          <w:rFonts w:cs="Arial"/>
          <w:sz w:val="24"/>
          <w:szCs w:val="24"/>
        </w:rPr>
      </w:pPr>
      <w:r w:rsidRPr="00C31608">
        <w:rPr>
          <w:rFonts w:cs="Arial"/>
          <w:sz w:val="24"/>
          <w:szCs w:val="24"/>
        </w:rPr>
        <w:t>The supplier shall commit to the highest ethical and professional standards in all of its activities and maintain high standards in relation to compliance with all current equality legislation.</w:t>
      </w:r>
    </w:p>
    <w:p w14:paraId="243CB1B3" w14:textId="77777777" w:rsidR="00AF307C" w:rsidRPr="00646B08" w:rsidRDefault="00AF307C" w:rsidP="00AF307C">
      <w:pPr>
        <w:pStyle w:val="Heading2"/>
        <w:spacing w:after="120"/>
        <w:ind w:left="709" w:hanging="709"/>
        <w:rPr>
          <w:sz w:val="24"/>
          <w:szCs w:val="24"/>
        </w:rPr>
      </w:pPr>
      <w:r w:rsidRPr="00C31608">
        <w:rPr>
          <w:rFonts w:cs="Arial"/>
          <w:sz w:val="24"/>
          <w:szCs w:val="24"/>
        </w:rPr>
        <w:lastRenderedPageBreak/>
        <w:t>The supplier shall commit to focusing its employment procedures and practices on maximising the potential of each of its employees.</w:t>
      </w:r>
    </w:p>
    <w:p w14:paraId="4779EB7B" w14:textId="77777777" w:rsidR="00AF307C" w:rsidRPr="001A45DF" w:rsidRDefault="00AF307C" w:rsidP="00AF307C">
      <w:pPr>
        <w:pStyle w:val="Heading1"/>
        <w:spacing w:after="120"/>
        <w:rPr>
          <w:sz w:val="32"/>
          <w:szCs w:val="32"/>
        </w:rPr>
      </w:pPr>
      <w:bookmarkStart w:id="141" w:name="_Toc368573032"/>
      <w:bookmarkStart w:id="142" w:name="_Toc8914679"/>
      <w:bookmarkStart w:id="143" w:name="_Toc15976661"/>
      <w:bookmarkStart w:id="144" w:name="_Toc15990242"/>
      <w:r w:rsidRPr="001A45DF">
        <w:rPr>
          <w:sz w:val="32"/>
          <w:szCs w:val="32"/>
        </w:rPr>
        <w:t>key milestones</w:t>
      </w:r>
      <w:bookmarkEnd w:id="141"/>
      <w:r w:rsidRPr="001A45DF">
        <w:rPr>
          <w:sz w:val="32"/>
          <w:szCs w:val="32"/>
        </w:rPr>
        <w:t xml:space="preserve"> and Deliverables</w:t>
      </w:r>
      <w:bookmarkEnd w:id="142"/>
      <w:bookmarkEnd w:id="143"/>
      <w:bookmarkEnd w:id="144"/>
    </w:p>
    <w:p w14:paraId="2B4BA427" w14:textId="77777777" w:rsidR="00AF307C" w:rsidRPr="001A45DF" w:rsidRDefault="00AF307C" w:rsidP="00AF307C">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bookmarkStart w:id="145" w:name="_Ref10643320"/>
      <w:r w:rsidRPr="001A45DF">
        <w:rPr>
          <w:rFonts w:cs="Arial"/>
          <w:sz w:val="24"/>
          <w:szCs w:val="24"/>
        </w:rPr>
        <w:t>The following Contract milestones/deliverables shall apply:</w:t>
      </w:r>
      <w:bookmarkEnd w:id="145"/>
    </w:p>
    <w:tbl>
      <w:tblPr>
        <w:tblStyle w:val="TableGrid"/>
        <w:tblW w:w="5000" w:type="pct"/>
        <w:tblLook w:val="04A0" w:firstRow="1" w:lastRow="0" w:firstColumn="1" w:lastColumn="0" w:noHBand="0" w:noVBand="1"/>
      </w:tblPr>
      <w:tblGrid>
        <w:gridCol w:w="1621"/>
        <w:gridCol w:w="4045"/>
        <w:gridCol w:w="3353"/>
      </w:tblGrid>
      <w:tr w:rsidR="00AF307C" w:rsidRPr="001A45DF" w14:paraId="02F9217F" w14:textId="77777777" w:rsidTr="00D575DC">
        <w:tc>
          <w:tcPr>
            <w:tcW w:w="898" w:type="pct"/>
            <w:shd w:val="clear" w:color="auto" w:fill="C6D9F1" w:themeFill="text2" w:themeFillTint="33"/>
            <w:vAlign w:val="center"/>
          </w:tcPr>
          <w:p w14:paraId="0FE5372D" w14:textId="77777777" w:rsidR="00AF307C" w:rsidRPr="00742C22" w:rsidRDefault="00AF307C" w:rsidP="00D575DC">
            <w:pPr>
              <w:pStyle w:val="Heading3"/>
              <w:keepNext/>
              <w:numPr>
                <w:ilvl w:val="0"/>
                <w:numId w:val="0"/>
              </w:numPr>
              <w:spacing w:after="120"/>
              <w:jc w:val="center"/>
              <w:outlineLvl w:val="2"/>
              <w:rPr>
                <w:b/>
                <w:sz w:val="24"/>
                <w:szCs w:val="24"/>
              </w:rPr>
            </w:pPr>
            <w:r w:rsidRPr="00742C22">
              <w:rPr>
                <w:b/>
                <w:sz w:val="24"/>
                <w:szCs w:val="24"/>
              </w:rPr>
              <w:t>Milestone/</w:t>
            </w:r>
            <w:r>
              <w:rPr>
                <w:b/>
                <w:sz w:val="24"/>
                <w:szCs w:val="24"/>
              </w:rPr>
              <w:t xml:space="preserve"> </w:t>
            </w:r>
            <w:r w:rsidRPr="00742C22">
              <w:rPr>
                <w:b/>
                <w:sz w:val="24"/>
                <w:szCs w:val="24"/>
              </w:rPr>
              <w:t>Deliverable</w:t>
            </w:r>
          </w:p>
        </w:tc>
        <w:tc>
          <w:tcPr>
            <w:tcW w:w="2242" w:type="pct"/>
            <w:shd w:val="clear" w:color="auto" w:fill="C6D9F1" w:themeFill="text2" w:themeFillTint="33"/>
            <w:vAlign w:val="center"/>
          </w:tcPr>
          <w:p w14:paraId="67826601" w14:textId="77777777" w:rsidR="00AF307C" w:rsidRPr="00742C22" w:rsidRDefault="00AF307C" w:rsidP="00D575DC">
            <w:pPr>
              <w:pStyle w:val="Heading3"/>
              <w:keepNext/>
              <w:numPr>
                <w:ilvl w:val="0"/>
                <w:numId w:val="0"/>
              </w:numPr>
              <w:spacing w:after="120"/>
              <w:jc w:val="center"/>
              <w:outlineLvl w:val="2"/>
              <w:rPr>
                <w:b/>
                <w:sz w:val="24"/>
                <w:szCs w:val="24"/>
              </w:rPr>
            </w:pPr>
            <w:r w:rsidRPr="00742C22">
              <w:rPr>
                <w:b/>
                <w:sz w:val="24"/>
                <w:szCs w:val="24"/>
              </w:rPr>
              <w:t>Description</w:t>
            </w:r>
          </w:p>
        </w:tc>
        <w:tc>
          <w:tcPr>
            <w:tcW w:w="1859" w:type="pct"/>
            <w:shd w:val="clear" w:color="auto" w:fill="C6D9F1" w:themeFill="text2" w:themeFillTint="33"/>
            <w:vAlign w:val="center"/>
          </w:tcPr>
          <w:p w14:paraId="10901819" w14:textId="77777777" w:rsidR="00AF307C" w:rsidRPr="00742C22" w:rsidRDefault="00AF307C" w:rsidP="00D575DC">
            <w:pPr>
              <w:pStyle w:val="Heading3"/>
              <w:keepNext/>
              <w:numPr>
                <w:ilvl w:val="0"/>
                <w:numId w:val="0"/>
              </w:numPr>
              <w:spacing w:after="120"/>
              <w:jc w:val="center"/>
              <w:outlineLvl w:val="2"/>
              <w:rPr>
                <w:b/>
                <w:sz w:val="24"/>
                <w:szCs w:val="24"/>
              </w:rPr>
            </w:pPr>
            <w:r w:rsidRPr="00742C22">
              <w:rPr>
                <w:b/>
                <w:sz w:val="24"/>
                <w:szCs w:val="24"/>
              </w:rPr>
              <w:t>Timeframe or Delivery Date</w:t>
            </w:r>
          </w:p>
        </w:tc>
      </w:tr>
      <w:tr w:rsidR="00AF307C" w:rsidRPr="001A45DF" w14:paraId="30AC4318" w14:textId="77777777" w:rsidTr="00D575DC">
        <w:tc>
          <w:tcPr>
            <w:tcW w:w="898" w:type="pct"/>
            <w:vAlign w:val="center"/>
          </w:tcPr>
          <w:p w14:paraId="2A86B145" w14:textId="77777777" w:rsidR="00AF307C" w:rsidRPr="00742C22" w:rsidRDefault="00AF307C" w:rsidP="00D575DC">
            <w:pPr>
              <w:pStyle w:val="Heading3"/>
              <w:keepNext/>
              <w:numPr>
                <w:ilvl w:val="0"/>
                <w:numId w:val="0"/>
              </w:numPr>
              <w:spacing w:after="120"/>
              <w:jc w:val="center"/>
              <w:outlineLvl w:val="2"/>
              <w:rPr>
                <w:sz w:val="24"/>
                <w:szCs w:val="24"/>
              </w:rPr>
            </w:pPr>
            <w:r w:rsidRPr="00742C22">
              <w:rPr>
                <w:sz w:val="24"/>
                <w:szCs w:val="24"/>
              </w:rPr>
              <w:t>1</w:t>
            </w:r>
          </w:p>
        </w:tc>
        <w:tc>
          <w:tcPr>
            <w:tcW w:w="2242" w:type="pct"/>
            <w:vAlign w:val="center"/>
          </w:tcPr>
          <w:p w14:paraId="0C4B7D63" w14:textId="77777777" w:rsidR="00AF307C" w:rsidRPr="00BD45AB" w:rsidRDefault="00AF307C" w:rsidP="00D575DC">
            <w:pPr>
              <w:pStyle w:val="Heading3"/>
              <w:keepNext/>
              <w:numPr>
                <w:ilvl w:val="0"/>
                <w:numId w:val="0"/>
              </w:numPr>
              <w:spacing w:after="120"/>
              <w:jc w:val="left"/>
              <w:outlineLvl w:val="2"/>
              <w:rPr>
                <w:sz w:val="24"/>
                <w:szCs w:val="24"/>
              </w:rPr>
            </w:pPr>
            <w:r w:rsidRPr="00BD45AB">
              <w:rPr>
                <w:sz w:val="24"/>
                <w:szCs w:val="24"/>
              </w:rPr>
              <w:t>Targeting strategy</w:t>
            </w:r>
          </w:p>
        </w:tc>
        <w:tc>
          <w:tcPr>
            <w:tcW w:w="1859" w:type="pct"/>
            <w:vAlign w:val="center"/>
          </w:tcPr>
          <w:p w14:paraId="4715F6DC" w14:textId="77777777" w:rsidR="00AF307C" w:rsidRPr="00742C22" w:rsidRDefault="00AF307C" w:rsidP="00D575DC">
            <w:pPr>
              <w:pStyle w:val="Heading3"/>
              <w:keepNext/>
              <w:numPr>
                <w:ilvl w:val="0"/>
                <w:numId w:val="0"/>
              </w:numPr>
              <w:spacing w:after="120"/>
              <w:jc w:val="center"/>
              <w:outlineLvl w:val="2"/>
              <w:rPr>
                <w:sz w:val="24"/>
                <w:szCs w:val="24"/>
              </w:rPr>
            </w:pPr>
            <w:r w:rsidRPr="00742C22">
              <w:rPr>
                <w:sz w:val="24"/>
                <w:szCs w:val="24"/>
              </w:rPr>
              <w:t xml:space="preserve">Within week 1 of Contract Award </w:t>
            </w:r>
          </w:p>
        </w:tc>
      </w:tr>
      <w:tr w:rsidR="00AF307C" w:rsidRPr="001A45DF" w14:paraId="5070CE65" w14:textId="77777777" w:rsidTr="00D575DC">
        <w:tc>
          <w:tcPr>
            <w:tcW w:w="898" w:type="pct"/>
            <w:vAlign w:val="center"/>
          </w:tcPr>
          <w:p w14:paraId="5B96BC25" w14:textId="77777777" w:rsidR="00AF307C" w:rsidRPr="00742C22" w:rsidRDefault="00AF307C" w:rsidP="00D575DC">
            <w:pPr>
              <w:pStyle w:val="Heading3"/>
              <w:numPr>
                <w:ilvl w:val="0"/>
                <w:numId w:val="0"/>
              </w:numPr>
              <w:spacing w:after="120"/>
              <w:jc w:val="center"/>
              <w:outlineLvl w:val="2"/>
              <w:rPr>
                <w:sz w:val="24"/>
                <w:szCs w:val="24"/>
              </w:rPr>
            </w:pPr>
            <w:r w:rsidRPr="00742C22">
              <w:rPr>
                <w:sz w:val="24"/>
                <w:szCs w:val="24"/>
              </w:rPr>
              <w:t>2</w:t>
            </w:r>
          </w:p>
        </w:tc>
        <w:tc>
          <w:tcPr>
            <w:tcW w:w="2242" w:type="pct"/>
            <w:vAlign w:val="center"/>
          </w:tcPr>
          <w:p w14:paraId="40BCBBC5" w14:textId="77777777" w:rsidR="00AF307C" w:rsidRPr="00BD45AB" w:rsidRDefault="00AF307C" w:rsidP="00D575DC">
            <w:pPr>
              <w:pStyle w:val="CommentText"/>
              <w:rPr>
                <w:rFonts w:eastAsia="STZhongsong"/>
                <w:sz w:val="24"/>
                <w:szCs w:val="24"/>
              </w:rPr>
            </w:pPr>
            <w:r w:rsidRPr="00BD45AB">
              <w:rPr>
                <w:rFonts w:eastAsia="STZhongsong"/>
                <w:sz w:val="24"/>
                <w:szCs w:val="24"/>
              </w:rPr>
              <w:t xml:space="preserve">Long list </w:t>
            </w:r>
          </w:p>
          <w:p w14:paraId="237C56B9" w14:textId="77777777" w:rsidR="00AF307C" w:rsidRPr="00BD45AB" w:rsidRDefault="00AF307C" w:rsidP="00D575DC">
            <w:pPr>
              <w:pStyle w:val="Heading3"/>
              <w:numPr>
                <w:ilvl w:val="0"/>
                <w:numId w:val="0"/>
              </w:numPr>
              <w:spacing w:after="120"/>
              <w:jc w:val="left"/>
              <w:outlineLvl w:val="2"/>
              <w:rPr>
                <w:sz w:val="24"/>
                <w:szCs w:val="24"/>
              </w:rPr>
            </w:pPr>
          </w:p>
        </w:tc>
        <w:tc>
          <w:tcPr>
            <w:tcW w:w="1859" w:type="pct"/>
            <w:vAlign w:val="center"/>
          </w:tcPr>
          <w:p w14:paraId="7417CF18" w14:textId="77777777" w:rsidR="00AF307C" w:rsidRPr="00742C22" w:rsidRDefault="00AF307C" w:rsidP="00D575DC">
            <w:pPr>
              <w:pStyle w:val="Heading3"/>
              <w:numPr>
                <w:ilvl w:val="0"/>
                <w:numId w:val="0"/>
              </w:numPr>
              <w:spacing w:after="120"/>
              <w:jc w:val="center"/>
              <w:outlineLvl w:val="2"/>
              <w:rPr>
                <w:sz w:val="24"/>
                <w:szCs w:val="24"/>
              </w:rPr>
            </w:pPr>
            <w:r w:rsidRPr="00742C22">
              <w:rPr>
                <w:sz w:val="24"/>
                <w:szCs w:val="24"/>
              </w:rPr>
              <w:t xml:space="preserve">Within </w:t>
            </w:r>
            <w:r>
              <w:rPr>
                <w:sz w:val="24"/>
                <w:szCs w:val="24"/>
              </w:rPr>
              <w:t>8 weeks of completion of milestone 1</w:t>
            </w:r>
            <w:r w:rsidRPr="00742C22">
              <w:rPr>
                <w:sz w:val="24"/>
                <w:szCs w:val="24"/>
              </w:rPr>
              <w:t xml:space="preserve"> </w:t>
            </w:r>
          </w:p>
        </w:tc>
      </w:tr>
      <w:tr w:rsidR="00AF307C" w:rsidRPr="001A45DF" w14:paraId="1CB2818D" w14:textId="77777777" w:rsidTr="00D575DC">
        <w:tc>
          <w:tcPr>
            <w:tcW w:w="898" w:type="pct"/>
            <w:vAlign w:val="center"/>
          </w:tcPr>
          <w:p w14:paraId="12AACA24" w14:textId="77777777" w:rsidR="00AF307C" w:rsidRPr="00742C22" w:rsidRDefault="00AF307C" w:rsidP="00D575DC">
            <w:pPr>
              <w:pStyle w:val="Heading3"/>
              <w:numPr>
                <w:ilvl w:val="0"/>
                <w:numId w:val="0"/>
              </w:numPr>
              <w:spacing w:after="120"/>
              <w:jc w:val="center"/>
              <w:outlineLvl w:val="2"/>
              <w:rPr>
                <w:sz w:val="24"/>
                <w:szCs w:val="24"/>
              </w:rPr>
            </w:pPr>
            <w:r w:rsidRPr="00742C22">
              <w:rPr>
                <w:sz w:val="24"/>
                <w:szCs w:val="24"/>
              </w:rPr>
              <w:t>3</w:t>
            </w:r>
          </w:p>
        </w:tc>
        <w:tc>
          <w:tcPr>
            <w:tcW w:w="2242" w:type="pct"/>
            <w:vAlign w:val="center"/>
          </w:tcPr>
          <w:p w14:paraId="3D198B90" w14:textId="77777777" w:rsidR="00AF307C" w:rsidRPr="00BD45AB" w:rsidRDefault="00AF307C" w:rsidP="00D575DC">
            <w:pPr>
              <w:pStyle w:val="CommentText"/>
              <w:rPr>
                <w:rFonts w:eastAsia="STZhongsong"/>
                <w:sz w:val="24"/>
                <w:szCs w:val="24"/>
              </w:rPr>
            </w:pPr>
            <w:r w:rsidRPr="00BD45AB">
              <w:rPr>
                <w:rFonts w:eastAsia="STZhongsong"/>
                <w:sz w:val="24"/>
                <w:szCs w:val="24"/>
              </w:rPr>
              <w:t xml:space="preserve">Short list </w:t>
            </w:r>
          </w:p>
        </w:tc>
        <w:tc>
          <w:tcPr>
            <w:tcW w:w="1859" w:type="pct"/>
            <w:vAlign w:val="center"/>
          </w:tcPr>
          <w:p w14:paraId="180BEDE7" w14:textId="77777777" w:rsidR="00AF307C" w:rsidRPr="00742C22" w:rsidRDefault="00AF307C" w:rsidP="00D575DC">
            <w:pPr>
              <w:pStyle w:val="Heading3"/>
              <w:numPr>
                <w:ilvl w:val="0"/>
                <w:numId w:val="0"/>
              </w:numPr>
              <w:spacing w:after="120"/>
              <w:jc w:val="center"/>
              <w:outlineLvl w:val="2"/>
              <w:rPr>
                <w:sz w:val="24"/>
                <w:szCs w:val="24"/>
              </w:rPr>
            </w:pPr>
            <w:r w:rsidRPr="00742C22">
              <w:rPr>
                <w:sz w:val="24"/>
                <w:szCs w:val="24"/>
              </w:rPr>
              <w:t xml:space="preserve">Within </w:t>
            </w:r>
            <w:r>
              <w:rPr>
                <w:sz w:val="24"/>
                <w:szCs w:val="24"/>
              </w:rPr>
              <w:t>3 weeks of completion of milestone 2</w:t>
            </w:r>
          </w:p>
        </w:tc>
      </w:tr>
      <w:tr w:rsidR="00AF307C" w:rsidRPr="001A45DF" w14:paraId="4E0FC32D" w14:textId="77777777" w:rsidTr="00D575DC">
        <w:tc>
          <w:tcPr>
            <w:tcW w:w="898" w:type="pct"/>
            <w:vAlign w:val="center"/>
          </w:tcPr>
          <w:p w14:paraId="0720AE68" w14:textId="77777777" w:rsidR="00AF307C" w:rsidRPr="00742C22" w:rsidRDefault="00AF307C" w:rsidP="00D575DC">
            <w:pPr>
              <w:pStyle w:val="Heading3"/>
              <w:numPr>
                <w:ilvl w:val="0"/>
                <w:numId w:val="0"/>
              </w:numPr>
              <w:spacing w:after="120"/>
              <w:jc w:val="center"/>
              <w:outlineLvl w:val="2"/>
              <w:rPr>
                <w:sz w:val="24"/>
                <w:szCs w:val="24"/>
              </w:rPr>
            </w:pPr>
            <w:r w:rsidRPr="00742C22">
              <w:rPr>
                <w:sz w:val="24"/>
                <w:szCs w:val="24"/>
              </w:rPr>
              <w:t>4</w:t>
            </w:r>
          </w:p>
        </w:tc>
        <w:tc>
          <w:tcPr>
            <w:tcW w:w="2242" w:type="pct"/>
            <w:vAlign w:val="center"/>
          </w:tcPr>
          <w:p w14:paraId="0BCF7765" w14:textId="77777777" w:rsidR="00AF307C" w:rsidRPr="00742C22" w:rsidRDefault="00AF307C" w:rsidP="00D575DC">
            <w:pPr>
              <w:pStyle w:val="Heading3"/>
              <w:numPr>
                <w:ilvl w:val="0"/>
                <w:numId w:val="0"/>
              </w:numPr>
              <w:spacing w:after="120"/>
              <w:jc w:val="left"/>
              <w:outlineLvl w:val="2"/>
              <w:rPr>
                <w:sz w:val="24"/>
                <w:szCs w:val="24"/>
              </w:rPr>
            </w:pPr>
            <w:r w:rsidRPr="00BD45AB">
              <w:rPr>
                <w:sz w:val="24"/>
                <w:szCs w:val="24"/>
              </w:rPr>
              <w:t>Interview material provided within 7 working days of scheduled interviews</w:t>
            </w:r>
          </w:p>
        </w:tc>
        <w:tc>
          <w:tcPr>
            <w:tcW w:w="1859" w:type="pct"/>
            <w:vAlign w:val="center"/>
          </w:tcPr>
          <w:p w14:paraId="3124063B" w14:textId="77777777" w:rsidR="00AF307C" w:rsidRPr="00742C22" w:rsidRDefault="00AF307C" w:rsidP="00D575DC">
            <w:pPr>
              <w:pStyle w:val="Heading3"/>
              <w:numPr>
                <w:ilvl w:val="0"/>
                <w:numId w:val="0"/>
              </w:numPr>
              <w:spacing w:after="120"/>
              <w:jc w:val="center"/>
              <w:outlineLvl w:val="2"/>
              <w:rPr>
                <w:sz w:val="24"/>
                <w:szCs w:val="24"/>
              </w:rPr>
            </w:pPr>
            <w:r w:rsidRPr="00BD45AB">
              <w:rPr>
                <w:sz w:val="24"/>
                <w:szCs w:val="24"/>
              </w:rPr>
              <w:t>Within 7 working days of scheduled interviews</w:t>
            </w:r>
          </w:p>
        </w:tc>
      </w:tr>
      <w:tr w:rsidR="00AF307C" w:rsidRPr="001A45DF" w14:paraId="2443457A" w14:textId="77777777" w:rsidTr="00D575DC">
        <w:tc>
          <w:tcPr>
            <w:tcW w:w="898" w:type="pct"/>
            <w:vAlign w:val="center"/>
          </w:tcPr>
          <w:p w14:paraId="4DBF6299" w14:textId="77777777" w:rsidR="00AF307C" w:rsidRPr="00742C22" w:rsidRDefault="00AF307C" w:rsidP="00D575DC">
            <w:pPr>
              <w:pStyle w:val="Heading3"/>
              <w:numPr>
                <w:ilvl w:val="0"/>
                <w:numId w:val="0"/>
              </w:numPr>
              <w:spacing w:after="120"/>
              <w:jc w:val="center"/>
              <w:outlineLvl w:val="2"/>
              <w:rPr>
                <w:sz w:val="24"/>
                <w:szCs w:val="24"/>
              </w:rPr>
            </w:pPr>
            <w:r w:rsidRPr="00742C22">
              <w:rPr>
                <w:sz w:val="24"/>
                <w:szCs w:val="24"/>
              </w:rPr>
              <w:t>5</w:t>
            </w:r>
          </w:p>
        </w:tc>
        <w:tc>
          <w:tcPr>
            <w:tcW w:w="2242" w:type="pct"/>
            <w:vAlign w:val="center"/>
          </w:tcPr>
          <w:p w14:paraId="42366BD6" w14:textId="77777777" w:rsidR="00AF307C" w:rsidRPr="00BD45AB" w:rsidRDefault="00AF307C" w:rsidP="00D575DC">
            <w:pPr>
              <w:pStyle w:val="CommentText"/>
              <w:rPr>
                <w:rFonts w:eastAsia="STZhongsong"/>
                <w:sz w:val="24"/>
                <w:szCs w:val="24"/>
              </w:rPr>
            </w:pPr>
            <w:r w:rsidRPr="00BD45AB">
              <w:rPr>
                <w:rFonts w:eastAsia="STZhongsong"/>
                <w:sz w:val="24"/>
                <w:szCs w:val="24"/>
              </w:rPr>
              <w:t xml:space="preserve">Interview guidance, suggested questions and candidate profiles </w:t>
            </w:r>
          </w:p>
        </w:tc>
        <w:tc>
          <w:tcPr>
            <w:tcW w:w="1859" w:type="pct"/>
            <w:vAlign w:val="center"/>
          </w:tcPr>
          <w:p w14:paraId="3CD3CBEE" w14:textId="77777777" w:rsidR="00AF307C" w:rsidRPr="00BD45AB" w:rsidRDefault="00AF307C" w:rsidP="00D575DC">
            <w:pPr>
              <w:pStyle w:val="Heading3"/>
              <w:numPr>
                <w:ilvl w:val="0"/>
                <w:numId w:val="0"/>
              </w:numPr>
              <w:spacing w:after="120"/>
              <w:jc w:val="center"/>
              <w:outlineLvl w:val="2"/>
              <w:rPr>
                <w:sz w:val="24"/>
                <w:szCs w:val="24"/>
              </w:rPr>
            </w:pPr>
            <w:r w:rsidRPr="00BD45AB">
              <w:rPr>
                <w:sz w:val="24"/>
                <w:szCs w:val="24"/>
              </w:rPr>
              <w:t>Within 7 working days of scheduled interviews</w:t>
            </w:r>
          </w:p>
        </w:tc>
      </w:tr>
      <w:tr w:rsidR="00AF307C" w:rsidRPr="001A45DF" w14:paraId="11800C7F" w14:textId="77777777" w:rsidTr="00D575DC">
        <w:tc>
          <w:tcPr>
            <w:tcW w:w="898" w:type="pct"/>
            <w:vAlign w:val="center"/>
          </w:tcPr>
          <w:p w14:paraId="43CD0EE5" w14:textId="77777777" w:rsidR="00AF307C" w:rsidRPr="00742C22" w:rsidRDefault="00AF307C" w:rsidP="00D575DC">
            <w:pPr>
              <w:pStyle w:val="Heading3"/>
              <w:numPr>
                <w:ilvl w:val="0"/>
                <w:numId w:val="0"/>
              </w:numPr>
              <w:spacing w:after="120"/>
              <w:jc w:val="center"/>
              <w:outlineLvl w:val="2"/>
              <w:rPr>
                <w:sz w:val="24"/>
                <w:szCs w:val="24"/>
              </w:rPr>
            </w:pPr>
            <w:r w:rsidRPr="00742C22">
              <w:rPr>
                <w:sz w:val="24"/>
                <w:szCs w:val="24"/>
              </w:rPr>
              <w:t>6</w:t>
            </w:r>
          </w:p>
        </w:tc>
        <w:tc>
          <w:tcPr>
            <w:tcW w:w="2242" w:type="pct"/>
            <w:vAlign w:val="center"/>
          </w:tcPr>
          <w:p w14:paraId="2CC13C29" w14:textId="77777777" w:rsidR="00AF307C" w:rsidRPr="00BD45AB" w:rsidRDefault="00AF307C" w:rsidP="00D575DC">
            <w:pPr>
              <w:pStyle w:val="CommentText"/>
              <w:rPr>
                <w:rFonts w:eastAsia="STZhongsong"/>
                <w:sz w:val="24"/>
                <w:szCs w:val="24"/>
              </w:rPr>
            </w:pPr>
            <w:r w:rsidRPr="00BD45AB">
              <w:rPr>
                <w:rFonts w:eastAsia="STZhongsong"/>
                <w:sz w:val="24"/>
                <w:szCs w:val="24"/>
              </w:rPr>
              <w:t>Due diligence undertaken (to include ongoing support during the recruitment and a final report on each shortlisted candidate)</w:t>
            </w:r>
          </w:p>
        </w:tc>
        <w:tc>
          <w:tcPr>
            <w:tcW w:w="1859" w:type="pct"/>
            <w:vAlign w:val="center"/>
          </w:tcPr>
          <w:p w14:paraId="0C2DC9FD" w14:textId="77777777" w:rsidR="00AF307C" w:rsidRPr="00BD45AB" w:rsidRDefault="00AF307C" w:rsidP="00D575DC">
            <w:pPr>
              <w:pStyle w:val="CommentText"/>
              <w:rPr>
                <w:rFonts w:eastAsia="STZhongsong"/>
                <w:sz w:val="24"/>
                <w:szCs w:val="24"/>
              </w:rPr>
            </w:pPr>
            <w:r w:rsidRPr="00BD45AB">
              <w:rPr>
                <w:rFonts w:eastAsia="STZhongsong"/>
                <w:sz w:val="24"/>
                <w:szCs w:val="24"/>
              </w:rPr>
              <w:t>Within 2 working days of request made</w:t>
            </w:r>
          </w:p>
          <w:p w14:paraId="53AAA143" w14:textId="77777777" w:rsidR="00AF307C" w:rsidRPr="00BD45AB" w:rsidRDefault="00AF307C" w:rsidP="00D575DC">
            <w:pPr>
              <w:pStyle w:val="CommentText"/>
              <w:rPr>
                <w:rFonts w:eastAsia="STZhongsong"/>
                <w:sz w:val="24"/>
                <w:szCs w:val="24"/>
              </w:rPr>
            </w:pPr>
          </w:p>
          <w:p w14:paraId="53F96393" w14:textId="77777777" w:rsidR="00AF307C" w:rsidRPr="00BD45AB" w:rsidRDefault="00AF307C" w:rsidP="00D575DC">
            <w:pPr>
              <w:pStyle w:val="CommentText"/>
              <w:rPr>
                <w:rFonts w:eastAsia="STZhongsong"/>
                <w:sz w:val="24"/>
                <w:szCs w:val="24"/>
              </w:rPr>
            </w:pPr>
            <w:r w:rsidRPr="00BD45AB">
              <w:rPr>
                <w:rFonts w:eastAsia="STZhongsong"/>
                <w:sz w:val="24"/>
                <w:szCs w:val="24"/>
              </w:rPr>
              <w:t>Final report within 7 working days of scheduled interviews</w:t>
            </w:r>
          </w:p>
          <w:p w14:paraId="216DEF3F" w14:textId="77777777" w:rsidR="00AF307C" w:rsidRPr="00BD45AB" w:rsidRDefault="00AF307C" w:rsidP="00D575DC">
            <w:pPr>
              <w:pStyle w:val="Heading3"/>
              <w:numPr>
                <w:ilvl w:val="0"/>
                <w:numId w:val="0"/>
              </w:numPr>
              <w:spacing w:after="120"/>
              <w:jc w:val="center"/>
              <w:outlineLvl w:val="2"/>
              <w:rPr>
                <w:sz w:val="24"/>
                <w:szCs w:val="24"/>
              </w:rPr>
            </w:pPr>
          </w:p>
        </w:tc>
      </w:tr>
    </w:tbl>
    <w:p w14:paraId="786C17FC" w14:textId="77777777" w:rsidR="00AF307C" w:rsidRDefault="00AF307C" w:rsidP="00AF307C">
      <w:pPr>
        <w:pStyle w:val="Heading1"/>
        <w:numPr>
          <w:ilvl w:val="0"/>
          <w:numId w:val="0"/>
        </w:numPr>
        <w:overflowPunct w:val="0"/>
        <w:autoSpaceDE w:val="0"/>
        <w:autoSpaceDN w:val="0"/>
        <w:spacing w:after="120"/>
        <w:textAlignment w:val="baseline"/>
        <w:rPr>
          <w:rFonts w:cs="Arial"/>
          <w:szCs w:val="22"/>
        </w:rPr>
      </w:pPr>
      <w:bookmarkStart w:id="146" w:name="_Toc302637211"/>
    </w:p>
    <w:p w14:paraId="65E1130F" w14:textId="77777777" w:rsidR="00AF307C" w:rsidRPr="00742C22" w:rsidRDefault="00AF307C" w:rsidP="00AF307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7" w:name="_Toc368573033"/>
      <w:bookmarkStart w:id="148" w:name="_Toc8914680"/>
      <w:bookmarkStart w:id="149" w:name="_Toc15976662"/>
      <w:bookmarkStart w:id="150" w:name="_Toc15990243"/>
      <w:r w:rsidRPr="00742C22">
        <w:rPr>
          <w:rFonts w:cs="Arial"/>
          <w:sz w:val="32"/>
          <w:szCs w:val="32"/>
        </w:rPr>
        <w:t>MANAGEMENT INFORMATION/reporting</w:t>
      </w:r>
      <w:bookmarkEnd w:id="147"/>
      <w:bookmarkEnd w:id="148"/>
      <w:bookmarkEnd w:id="149"/>
      <w:bookmarkEnd w:id="150"/>
    </w:p>
    <w:p w14:paraId="06A511AD" w14:textId="77777777" w:rsidR="00AF307C" w:rsidRDefault="00AF307C" w:rsidP="00AF307C">
      <w:pPr>
        <w:pStyle w:val="Heading2"/>
        <w:tabs>
          <w:tab w:val="clear" w:pos="720"/>
          <w:tab w:val="num" w:pos="709"/>
        </w:tabs>
        <w:spacing w:after="120"/>
        <w:ind w:left="709" w:hanging="709"/>
        <w:rPr>
          <w:sz w:val="24"/>
          <w:szCs w:val="24"/>
        </w:rPr>
      </w:pPr>
      <w:r w:rsidRPr="00742C22">
        <w:rPr>
          <w:sz w:val="24"/>
          <w:szCs w:val="24"/>
        </w:rPr>
        <w:t xml:space="preserve">The Supplier will be required to provide regular, at least weekly or as agreed, reporting on the progress of the executive search exercise. At the end of the recruitment, the Supplier will be required to provide any requested metrics to support the Authority satisfy internal reporting requirements e.g. </w:t>
      </w:r>
      <w:r>
        <w:rPr>
          <w:sz w:val="24"/>
          <w:szCs w:val="24"/>
        </w:rPr>
        <w:t>gender, disability status, sexual orientations, race, etc. as required by the Authority.</w:t>
      </w:r>
    </w:p>
    <w:p w14:paraId="05A3CA8E" w14:textId="77777777" w:rsidR="00AF307C" w:rsidRPr="002B387A" w:rsidRDefault="00AF307C" w:rsidP="00AF307C">
      <w:pPr>
        <w:pStyle w:val="Heading2"/>
        <w:rPr>
          <w:sz w:val="24"/>
          <w:szCs w:val="24"/>
        </w:rPr>
      </w:pPr>
      <w:r w:rsidRPr="002B387A">
        <w:rPr>
          <w:sz w:val="24"/>
          <w:szCs w:val="24"/>
        </w:rPr>
        <w:t>The appointment is also regulated by OCPA and all records will thus have to be kept according to OCPA guidelines, which can be found online https://publicappointmentscommissioner.independent.gov.uk/regulating-appointments/regulatory-framework/</w:t>
      </w:r>
      <w:r>
        <w:rPr>
          <w:sz w:val="24"/>
          <w:szCs w:val="24"/>
        </w:rPr>
        <w:t>.</w:t>
      </w:r>
    </w:p>
    <w:p w14:paraId="779E5F9B" w14:textId="77777777" w:rsidR="00AF307C" w:rsidRPr="001A45DF" w:rsidRDefault="00AF307C" w:rsidP="00AF307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1" w:name="_Toc368573034"/>
      <w:bookmarkStart w:id="152" w:name="_Toc8914681"/>
      <w:bookmarkStart w:id="153" w:name="_Toc15976663"/>
      <w:bookmarkStart w:id="154" w:name="_Toc15990244"/>
      <w:r w:rsidRPr="001A45DF">
        <w:rPr>
          <w:rFonts w:cs="Arial"/>
          <w:sz w:val="32"/>
          <w:szCs w:val="32"/>
        </w:rPr>
        <w:t>volumes</w:t>
      </w:r>
      <w:bookmarkEnd w:id="151"/>
      <w:bookmarkEnd w:id="152"/>
      <w:bookmarkEnd w:id="153"/>
      <w:bookmarkEnd w:id="154"/>
    </w:p>
    <w:p w14:paraId="11C6BC17" w14:textId="77777777" w:rsidR="00AF307C" w:rsidRPr="001A45DF" w:rsidRDefault="00AF307C" w:rsidP="00AF307C">
      <w:pPr>
        <w:pStyle w:val="Heading2"/>
        <w:rPr>
          <w:rFonts w:cs="Arial"/>
          <w:sz w:val="24"/>
          <w:szCs w:val="24"/>
        </w:rPr>
      </w:pPr>
      <w:r w:rsidRPr="00646B08">
        <w:rPr>
          <w:sz w:val="24"/>
          <w:szCs w:val="24"/>
        </w:rPr>
        <w:t>The maximum number of appointments</w:t>
      </w:r>
      <w:r>
        <w:rPr>
          <w:sz w:val="24"/>
          <w:szCs w:val="24"/>
        </w:rPr>
        <w:t>, subject to a full recruitment exercise,</w:t>
      </w:r>
      <w:r w:rsidRPr="00646B08">
        <w:rPr>
          <w:sz w:val="24"/>
          <w:szCs w:val="24"/>
        </w:rPr>
        <w:t xml:space="preserve"> under the Contract is three.</w:t>
      </w:r>
      <w:r>
        <w:rPr>
          <w:sz w:val="24"/>
          <w:szCs w:val="24"/>
        </w:rPr>
        <w:t xml:space="preserve"> The Authority reserves the right to make multiple subsequent appointments from the long / short list throughout the contract period.</w:t>
      </w:r>
    </w:p>
    <w:p w14:paraId="102A7EB9" w14:textId="77777777" w:rsidR="00AF307C" w:rsidRPr="001A45DF" w:rsidRDefault="00AF307C" w:rsidP="00AF307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5" w:name="_Toc368573035"/>
      <w:bookmarkStart w:id="156" w:name="_Toc8914682"/>
      <w:bookmarkStart w:id="157" w:name="_Toc15976664"/>
      <w:bookmarkStart w:id="158" w:name="_Toc15990245"/>
      <w:r w:rsidRPr="001A45DF">
        <w:rPr>
          <w:rFonts w:cs="Arial"/>
          <w:sz w:val="32"/>
          <w:szCs w:val="32"/>
        </w:rPr>
        <w:lastRenderedPageBreak/>
        <w:t>continuous improvement</w:t>
      </w:r>
      <w:bookmarkEnd w:id="155"/>
      <w:bookmarkEnd w:id="156"/>
      <w:bookmarkEnd w:id="157"/>
      <w:bookmarkEnd w:id="158"/>
    </w:p>
    <w:p w14:paraId="494C33CE" w14:textId="77777777" w:rsidR="00AF307C" w:rsidRPr="001A45DF" w:rsidRDefault="00AF307C" w:rsidP="00AF307C">
      <w:pPr>
        <w:pStyle w:val="Heading2"/>
        <w:tabs>
          <w:tab w:val="clear" w:pos="720"/>
          <w:tab w:val="num" w:pos="709"/>
        </w:tabs>
        <w:spacing w:after="120"/>
        <w:ind w:left="709" w:hanging="709"/>
        <w:rPr>
          <w:sz w:val="24"/>
          <w:szCs w:val="24"/>
        </w:rPr>
      </w:pPr>
      <w:r w:rsidRPr="001A45DF">
        <w:rPr>
          <w:sz w:val="24"/>
          <w:szCs w:val="24"/>
        </w:rPr>
        <w:t>The Supplier will be expected to continually improve the way in which the required Services are to be delivered throughout the Contract duration.</w:t>
      </w:r>
    </w:p>
    <w:p w14:paraId="0B6C534F" w14:textId="77777777" w:rsidR="00AF307C" w:rsidRPr="001A45DF" w:rsidRDefault="00AF307C" w:rsidP="00AF307C">
      <w:pPr>
        <w:pStyle w:val="Heading2"/>
        <w:tabs>
          <w:tab w:val="clear" w:pos="720"/>
          <w:tab w:val="num" w:pos="709"/>
        </w:tabs>
        <w:spacing w:after="120"/>
        <w:ind w:left="709" w:hanging="709"/>
        <w:rPr>
          <w:sz w:val="24"/>
          <w:szCs w:val="24"/>
        </w:rPr>
      </w:pPr>
      <w:r w:rsidRPr="001A45DF">
        <w:rPr>
          <w:sz w:val="24"/>
          <w:szCs w:val="24"/>
        </w:rPr>
        <w:t xml:space="preserve">The Supplier should present new ways of working to the Authority during </w:t>
      </w:r>
      <w:r w:rsidRPr="00742C22">
        <w:rPr>
          <w:sz w:val="24"/>
          <w:szCs w:val="24"/>
        </w:rPr>
        <w:t>monthly</w:t>
      </w:r>
      <w:r w:rsidRPr="001A45DF">
        <w:rPr>
          <w:sz w:val="24"/>
          <w:szCs w:val="24"/>
        </w:rPr>
        <w:t xml:space="preserve"> Contract review meetings. </w:t>
      </w:r>
    </w:p>
    <w:p w14:paraId="55C4BFA3" w14:textId="77777777" w:rsidR="00AF307C" w:rsidRPr="001A45DF" w:rsidRDefault="00AF307C" w:rsidP="00AF307C">
      <w:pPr>
        <w:pStyle w:val="Heading2"/>
        <w:tabs>
          <w:tab w:val="clear" w:pos="720"/>
          <w:tab w:val="num" w:pos="709"/>
        </w:tabs>
        <w:spacing w:after="120"/>
        <w:ind w:left="709" w:hanging="709"/>
        <w:rPr>
          <w:sz w:val="24"/>
          <w:szCs w:val="24"/>
        </w:rPr>
      </w:pPr>
      <w:r w:rsidRPr="001A45DF">
        <w:rPr>
          <w:sz w:val="24"/>
          <w:szCs w:val="24"/>
        </w:rPr>
        <w:t>Changes to the way in which the Services are to be delivered must be brought to the Authority’s attention and agreed prior to any changes being implemented.</w:t>
      </w:r>
    </w:p>
    <w:p w14:paraId="77F8A40E" w14:textId="77777777" w:rsidR="00AF307C" w:rsidRPr="001A45DF" w:rsidRDefault="00AF307C" w:rsidP="00AF307C">
      <w:pPr>
        <w:pStyle w:val="Heading1"/>
        <w:rPr>
          <w:sz w:val="32"/>
          <w:szCs w:val="32"/>
        </w:rPr>
      </w:pPr>
      <w:bookmarkStart w:id="159" w:name="_Toc8914683"/>
      <w:bookmarkStart w:id="160" w:name="_Toc15976665"/>
      <w:bookmarkStart w:id="161" w:name="_Toc15990246"/>
      <w:r w:rsidRPr="001A45DF">
        <w:rPr>
          <w:sz w:val="32"/>
          <w:szCs w:val="32"/>
        </w:rPr>
        <w:t>Sustainability</w:t>
      </w:r>
      <w:bookmarkEnd w:id="159"/>
      <w:bookmarkEnd w:id="160"/>
      <w:bookmarkEnd w:id="161"/>
    </w:p>
    <w:p w14:paraId="18BAB71B" w14:textId="77777777" w:rsidR="00AF307C" w:rsidRPr="00742C22" w:rsidRDefault="00AF307C" w:rsidP="00AF307C">
      <w:pPr>
        <w:pStyle w:val="Heading2"/>
        <w:rPr>
          <w:sz w:val="24"/>
          <w:szCs w:val="24"/>
        </w:rPr>
      </w:pPr>
      <w:r w:rsidRPr="00742C22">
        <w:rPr>
          <w:sz w:val="24"/>
          <w:szCs w:val="24"/>
        </w:rPr>
        <w:t>N/A</w:t>
      </w:r>
    </w:p>
    <w:p w14:paraId="4E0F50C3" w14:textId="77777777" w:rsidR="00AF307C" w:rsidRPr="001A45DF" w:rsidRDefault="00AF307C" w:rsidP="00AF307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62" w:name="_Toc368573036"/>
      <w:bookmarkStart w:id="163" w:name="_Toc8914684"/>
      <w:bookmarkStart w:id="164" w:name="_Toc15976666"/>
      <w:bookmarkStart w:id="165" w:name="_Toc15990247"/>
      <w:r w:rsidRPr="001A45DF">
        <w:rPr>
          <w:rFonts w:cs="Arial"/>
          <w:sz w:val="32"/>
          <w:szCs w:val="32"/>
        </w:rPr>
        <w:t>quality</w:t>
      </w:r>
      <w:bookmarkEnd w:id="162"/>
      <w:bookmarkEnd w:id="163"/>
      <w:bookmarkEnd w:id="164"/>
      <w:bookmarkEnd w:id="165"/>
    </w:p>
    <w:p w14:paraId="3C9A2D65" w14:textId="77777777" w:rsidR="00AF307C" w:rsidRPr="00742C22" w:rsidRDefault="00AF307C" w:rsidP="00AF307C">
      <w:pPr>
        <w:pStyle w:val="Heading2"/>
        <w:spacing w:after="120"/>
        <w:ind w:left="709" w:hanging="709"/>
        <w:rPr>
          <w:sz w:val="24"/>
          <w:szCs w:val="24"/>
        </w:rPr>
      </w:pPr>
      <w:r w:rsidRPr="00742C22">
        <w:rPr>
          <w:sz w:val="24"/>
        </w:rPr>
        <w:t>The supplier will be expected to undertake robust quality assurance while delivering the Contracted services, especially before sharing content with the Customer or publishing content publicly to deliver the Contract services. In turn, the Customer will provide regular feedback on the Supplier outputs, which are expected to be incorporated into further revisions of the Contracted Services</w:t>
      </w:r>
      <w:r w:rsidRPr="00742C22">
        <w:rPr>
          <w:sz w:val="24"/>
          <w:szCs w:val="24"/>
        </w:rPr>
        <w:t xml:space="preserve"> </w:t>
      </w:r>
    </w:p>
    <w:p w14:paraId="01CC4C65" w14:textId="77777777" w:rsidR="00AF307C" w:rsidRPr="001A45DF" w:rsidRDefault="00AF307C" w:rsidP="00AF307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66" w:name="_Toc368573037"/>
      <w:bookmarkStart w:id="167" w:name="_Toc8914685"/>
      <w:bookmarkStart w:id="168" w:name="_Toc15976667"/>
      <w:bookmarkStart w:id="169" w:name="_Toc15990248"/>
      <w:r w:rsidRPr="001A45DF">
        <w:rPr>
          <w:rFonts w:cs="Arial"/>
          <w:sz w:val="32"/>
          <w:szCs w:val="32"/>
        </w:rPr>
        <w:t>PRICE</w:t>
      </w:r>
      <w:bookmarkEnd w:id="166"/>
      <w:bookmarkEnd w:id="167"/>
      <w:bookmarkEnd w:id="168"/>
      <w:bookmarkEnd w:id="169"/>
    </w:p>
    <w:p w14:paraId="159B63DC" w14:textId="77777777" w:rsidR="00AF307C" w:rsidRPr="00A92AA2" w:rsidRDefault="00AF307C" w:rsidP="00AF307C">
      <w:pPr>
        <w:pStyle w:val="Heading2"/>
        <w:tabs>
          <w:tab w:val="clear" w:pos="720"/>
          <w:tab w:val="num" w:pos="709"/>
          <w:tab w:val="num" w:pos="1004"/>
          <w:tab w:val="num" w:pos="1430"/>
        </w:tabs>
        <w:spacing w:after="120"/>
        <w:ind w:left="709" w:hanging="709"/>
        <w:rPr>
          <w:rFonts w:cs="Arial"/>
          <w:color w:val="000000"/>
          <w:sz w:val="24"/>
          <w:szCs w:val="24"/>
          <w:shd w:val="clear" w:color="auto" w:fill="FFFFFF"/>
        </w:rPr>
      </w:pPr>
      <w:r>
        <w:rPr>
          <w:rFonts w:cs="Arial"/>
          <w:color w:val="000000"/>
          <w:sz w:val="24"/>
          <w:szCs w:val="24"/>
          <w:shd w:val="clear" w:color="auto" w:fill="FFFFFF"/>
        </w:rPr>
        <w:t>The p</w:t>
      </w:r>
      <w:r w:rsidRPr="00A92AA2">
        <w:rPr>
          <w:rFonts w:cs="Arial"/>
          <w:color w:val="000000"/>
          <w:sz w:val="24"/>
          <w:szCs w:val="24"/>
          <w:shd w:val="clear" w:color="auto" w:fill="FFFFFF"/>
        </w:rPr>
        <w:t xml:space="preserve">ayment model for </w:t>
      </w:r>
      <w:r w:rsidRPr="003A1005">
        <w:rPr>
          <w:rFonts w:cs="Arial"/>
          <w:color w:val="000000"/>
          <w:sz w:val="24"/>
          <w:szCs w:val="24"/>
          <w:shd w:val="clear" w:color="auto" w:fill="FFFFFF"/>
        </w:rPr>
        <w:t>each</w:t>
      </w:r>
      <w:r w:rsidRPr="00A92AA2">
        <w:rPr>
          <w:rFonts w:cs="Arial"/>
          <w:color w:val="000000"/>
          <w:sz w:val="24"/>
          <w:szCs w:val="24"/>
          <w:shd w:val="clear" w:color="auto" w:fill="FFFFFF"/>
        </w:rPr>
        <w:t xml:space="preserve"> campaign will follow a percentage based schedule of </w:t>
      </w:r>
      <w:r>
        <w:rPr>
          <w:rFonts w:cs="Arial"/>
          <w:color w:val="000000"/>
          <w:sz w:val="24"/>
          <w:szCs w:val="24"/>
          <w:shd w:val="clear" w:color="auto" w:fill="FFFFFF"/>
        </w:rPr>
        <w:t>15% phase 1, 15% phase 2, 20% phase 3 and 5</w:t>
      </w:r>
      <w:r w:rsidRPr="00A92AA2">
        <w:rPr>
          <w:rFonts w:cs="Arial"/>
          <w:color w:val="000000"/>
          <w:sz w:val="24"/>
          <w:szCs w:val="24"/>
          <w:shd w:val="clear" w:color="auto" w:fill="FFFFFF"/>
        </w:rPr>
        <w:t>0% for phase 4. Phases will broadly include (but not limited to)</w:t>
      </w:r>
      <w:r>
        <w:rPr>
          <w:rFonts w:cs="Arial"/>
          <w:color w:val="000000"/>
          <w:sz w:val="24"/>
          <w:szCs w:val="24"/>
          <w:shd w:val="clear" w:color="auto" w:fill="FFFFFF"/>
        </w:rPr>
        <w:t>, upon completion of each phase</w:t>
      </w:r>
      <w:r w:rsidRPr="00A92AA2">
        <w:rPr>
          <w:rFonts w:cs="Arial"/>
          <w:color w:val="000000"/>
          <w:sz w:val="24"/>
          <w:szCs w:val="24"/>
          <w:shd w:val="clear" w:color="auto" w:fill="FFFFFF"/>
        </w:rPr>
        <w:t>:</w:t>
      </w:r>
    </w:p>
    <w:p w14:paraId="0552A600" w14:textId="77777777" w:rsidR="00AF307C" w:rsidRPr="00BD45AB" w:rsidRDefault="00AF307C" w:rsidP="00AF307C">
      <w:pPr>
        <w:pStyle w:val="Heading2"/>
        <w:numPr>
          <w:ilvl w:val="0"/>
          <w:numId w:val="0"/>
        </w:numPr>
        <w:tabs>
          <w:tab w:val="num" w:pos="2847"/>
        </w:tabs>
        <w:spacing w:after="120"/>
        <w:ind w:left="709"/>
        <w:rPr>
          <w:rFonts w:cs="Arial"/>
          <w:color w:val="000000"/>
          <w:sz w:val="24"/>
          <w:szCs w:val="24"/>
          <w:shd w:val="clear" w:color="auto" w:fill="FFFFFF"/>
        </w:rPr>
      </w:pPr>
      <w:r>
        <w:rPr>
          <w:rFonts w:cs="Arial"/>
          <w:b/>
          <w:color w:val="000000"/>
          <w:sz w:val="24"/>
          <w:szCs w:val="24"/>
          <w:shd w:val="clear" w:color="auto" w:fill="FFFFFF"/>
        </w:rPr>
        <w:t xml:space="preserve">Phase </w:t>
      </w:r>
      <w:r w:rsidRPr="00BD45AB">
        <w:rPr>
          <w:rFonts w:cs="Arial"/>
          <w:b/>
          <w:color w:val="000000"/>
          <w:sz w:val="24"/>
          <w:szCs w:val="24"/>
          <w:shd w:val="clear" w:color="auto" w:fill="FFFFFF"/>
        </w:rPr>
        <w:t>1:</w:t>
      </w:r>
      <w:r w:rsidRPr="00BD45AB">
        <w:rPr>
          <w:rFonts w:cs="Arial"/>
          <w:color w:val="000000"/>
          <w:sz w:val="24"/>
          <w:szCs w:val="24"/>
          <w:shd w:val="clear" w:color="auto" w:fill="FFFFFF"/>
        </w:rPr>
        <w:t xml:space="preserve"> Design of the recruitment exercise / strategy, identification of appropriate advertising channels</w:t>
      </w:r>
    </w:p>
    <w:p w14:paraId="4EB70585" w14:textId="77777777" w:rsidR="00AF307C" w:rsidRPr="00BD45AB" w:rsidRDefault="00AF307C" w:rsidP="00AF307C">
      <w:pPr>
        <w:pStyle w:val="Heading2"/>
        <w:numPr>
          <w:ilvl w:val="0"/>
          <w:numId w:val="0"/>
        </w:numPr>
        <w:tabs>
          <w:tab w:val="num" w:pos="2847"/>
        </w:tabs>
        <w:spacing w:after="120"/>
        <w:ind w:left="709"/>
        <w:rPr>
          <w:rFonts w:cs="Arial"/>
          <w:color w:val="000000"/>
          <w:sz w:val="24"/>
          <w:szCs w:val="24"/>
          <w:shd w:val="clear" w:color="auto" w:fill="FFFFFF"/>
        </w:rPr>
      </w:pPr>
      <w:r w:rsidRPr="00BD45AB">
        <w:rPr>
          <w:rFonts w:cs="Arial"/>
          <w:b/>
          <w:color w:val="000000"/>
          <w:sz w:val="24"/>
          <w:szCs w:val="24"/>
          <w:shd w:val="clear" w:color="auto" w:fill="FFFFFF"/>
        </w:rPr>
        <w:t>Phase 2:</w:t>
      </w:r>
      <w:r w:rsidRPr="00BD45AB">
        <w:rPr>
          <w:rFonts w:cs="Arial"/>
          <w:color w:val="000000"/>
          <w:sz w:val="24"/>
          <w:szCs w:val="24"/>
          <w:shd w:val="clear" w:color="auto" w:fill="FFFFFF"/>
        </w:rPr>
        <w:t xml:space="preserve"> Placement of advert in agreed medium</w:t>
      </w:r>
    </w:p>
    <w:p w14:paraId="5E5BB002" w14:textId="77777777" w:rsidR="00AF307C" w:rsidRPr="00BD45AB" w:rsidRDefault="00AF307C" w:rsidP="00AF307C">
      <w:pPr>
        <w:pStyle w:val="Heading2"/>
        <w:numPr>
          <w:ilvl w:val="0"/>
          <w:numId w:val="0"/>
        </w:numPr>
        <w:tabs>
          <w:tab w:val="num" w:pos="2847"/>
        </w:tabs>
        <w:spacing w:after="120"/>
        <w:ind w:left="709"/>
        <w:rPr>
          <w:rFonts w:cs="Arial"/>
          <w:color w:val="000000"/>
          <w:sz w:val="24"/>
          <w:szCs w:val="24"/>
          <w:shd w:val="clear" w:color="auto" w:fill="FFFFFF"/>
        </w:rPr>
      </w:pPr>
      <w:r w:rsidRPr="00BD45AB">
        <w:rPr>
          <w:rFonts w:cs="Arial"/>
          <w:b/>
          <w:color w:val="000000"/>
          <w:sz w:val="24"/>
          <w:szCs w:val="24"/>
          <w:shd w:val="clear" w:color="auto" w:fill="FFFFFF"/>
        </w:rPr>
        <w:t>Phase 3:</w:t>
      </w:r>
      <w:r w:rsidRPr="00BD45AB">
        <w:rPr>
          <w:rFonts w:cs="Arial"/>
          <w:color w:val="000000"/>
          <w:sz w:val="24"/>
          <w:szCs w:val="24"/>
          <w:shd w:val="clear" w:color="auto" w:fill="FFFFFF"/>
        </w:rPr>
        <w:t xml:space="preserve"> Production of longlist, production of shortlist, provision of candidate packs for interviews and support arranging interviews</w:t>
      </w:r>
    </w:p>
    <w:p w14:paraId="7E7C1DC1" w14:textId="77777777" w:rsidR="00AF307C" w:rsidRPr="00A92AA2" w:rsidRDefault="00AF307C" w:rsidP="00AF307C">
      <w:pPr>
        <w:pStyle w:val="Heading2"/>
        <w:numPr>
          <w:ilvl w:val="0"/>
          <w:numId w:val="0"/>
        </w:numPr>
        <w:tabs>
          <w:tab w:val="num" w:pos="2847"/>
        </w:tabs>
        <w:spacing w:after="120"/>
        <w:ind w:left="709"/>
        <w:rPr>
          <w:rFonts w:cs="Arial"/>
          <w:color w:val="000000"/>
          <w:sz w:val="24"/>
          <w:szCs w:val="24"/>
          <w:shd w:val="clear" w:color="auto" w:fill="FFFFFF"/>
        </w:rPr>
      </w:pPr>
      <w:r w:rsidRPr="00BD45AB">
        <w:rPr>
          <w:rFonts w:cs="Arial"/>
          <w:b/>
          <w:color w:val="000000"/>
          <w:sz w:val="24"/>
          <w:szCs w:val="24"/>
          <w:shd w:val="clear" w:color="auto" w:fill="FFFFFF"/>
        </w:rPr>
        <w:t>Phase 4:</w:t>
      </w:r>
      <w:r w:rsidRPr="00BD45AB">
        <w:rPr>
          <w:rFonts w:cs="Arial"/>
          <w:color w:val="000000"/>
          <w:sz w:val="24"/>
          <w:szCs w:val="24"/>
          <w:shd w:val="clear" w:color="auto" w:fill="FFFFFF"/>
        </w:rPr>
        <w:t xml:space="preserve"> </w:t>
      </w:r>
      <w:r>
        <w:rPr>
          <w:rFonts w:cs="Arial"/>
          <w:color w:val="000000"/>
          <w:sz w:val="24"/>
          <w:szCs w:val="24"/>
          <w:shd w:val="clear" w:color="auto" w:fill="FFFFFF"/>
        </w:rPr>
        <w:t>Candidate Acceptance of Role</w:t>
      </w:r>
    </w:p>
    <w:p w14:paraId="7A8E7DEE" w14:textId="77777777" w:rsidR="00AF307C" w:rsidRPr="00A92AA2" w:rsidRDefault="00AF307C" w:rsidP="00AF307C">
      <w:pPr>
        <w:pStyle w:val="Heading2"/>
        <w:tabs>
          <w:tab w:val="clear" w:pos="720"/>
          <w:tab w:val="num" w:pos="709"/>
          <w:tab w:val="num" w:pos="1004"/>
          <w:tab w:val="num" w:pos="1430"/>
        </w:tabs>
        <w:spacing w:after="120"/>
        <w:ind w:left="709" w:hanging="709"/>
        <w:rPr>
          <w:rFonts w:cs="Arial"/>
          <w:color w:val="000000"/>
          <w:sz w:val="24"/>
          <w:szCs w:val="24"/>
          <w:shd w:val="clear" w:color="auto" w:fill="FFFFFF"/>
        </w:rPr>
      </w:pPr>
      <w:r w:rsidRPr="00A92AA2">
        <w:rPr>
          <w:rFonts w:cs="Arial"/>
          <w:color w:val="000000"/>
          <w:sz w:val="24"/>
          <w:szCs w:val="24"/>
          <w:shd w:val="clear" w:color="auto" w:fill="FFFFFF"/>
        </w:rPr>
        <w:t xml:space="preserve">For </w:t>
      </w:r>
      <w:r>
        <w:rPr>
          <w:rFonts w:cs="Arial"/>
          <w:color w:val="000000"/>
          <w:sz w:val="24"/>
          <w:szCs w:val="24"/>
          <w:shd w:val="clear" w:color="auto" w:fill="FFFFFF"/>
        </w:rPr>
        <w:t xml:space="preserve">separate </w:t>
      </w:r>
      <w:r w:rsidRPr="00A92AA2">
        <w:rPr>
          <w:rFonts w:cs="Arial"/>
          <w:color w:val="000000"/>
          <w:sz w:val="24"/>
          <w:szCs w:val="24"/>
          <w:shd w:val="clear" w:color="auto" w:fill="FFFFFF"/>
        </w:rPr>
        <w:t xml:space="preserve">appointments from the </w:t>
      </w:r>
      <w:r>
        <w:rPr>
          <w:rFonts w:cs="Arial"/>
          <w:color w:val="000000"/>
          <w:sz w:val="24"/>
          <w:szCs w:val="24"/>
          <w:shd w:val="clear" w:color="auto" w:fill="FFFFFF"/>
        </w:rPr>
        <w:t>subsequent shortlist</w:t>
      </w:r>
      <w:r w:rsidRPr="00A92AA2">
        <w:rPr>
          <w:rFonts w:cs="Arial"/>
          <w:color w:val="000000"/>
          <w:sz w:val="24"/>
          <w:szCs w:val="24"/>
          <w:shd w:val="clear" w:color="auto" w:fill="FFFFFF"/>
        </w:rPr>
        <w:t>, a separate placement fee may be charged, subject to successful appointment of the Supplier identified candidate.</w:t>
      </w:r>
    </w:p>
    <w:p w14:paraId="47820760" w14:textId="77777777" w:rsidR="00AF307C" w:rsidRPr="00BD45AB" w:rsidRDefault="00AF307C" w:rsidP="00AF307C">
      <w:pPr>
        <w:pStyle w:val="Heading2"/>
        <w:tabs>
          <w:tab w:val="clear" w:pos="720"/>
          <w:tab w:val="num" w:pos="709"/>
        </w:tabs>
        <w:spacing w:after="120"/>
        <w:ind w:left="709" w:hanging="709"/>
        <w:rPr>
          <w:sz w:val="24"/>
          <w:szCs w:val="24"/>
        </w:rPr>
      </w:pPr>
      <w:r w:rsidRPr="00BD45AB">
        <w:rPr>
          <w:rFonts w:cs="Arial"/>
          <w:color w:val="000000"/>
          <w:sz w:val="24"/>
          <w:szCs w:val="24"/>
          <w:shd w:val="clear" w:color="auto" w:fill="FFFFFF"/>
        </w:rPr>
        <w:t>Expenses incurred by the Supplier will not be met by the Authority. Additional costs incurred for placement of adverts in agreed media will be reimbursed separately to the recruitment exercise cap agreed, where such agreement for costs is confirmed in writing with the Authority prior to their being incurred.</w:t>
      </w:r>
    </w:p>
    <w:p w14:paraId="6261C7B6" w14:textId="77777777" w:rsidR="00AF307C" w:rsidRDefault="00AF307C" w:rsidP="00AF307C">
      <w:pPr>
        <w:pStyle w:val="Heading2"/>
        <w:tabs>
          <w:tab w:val="clear" w:pos="720"/>
          <w:tab w:val="num" w:pos="709"/>
        </w:tabs>
        <w:spacing w:after="120"/>
        <w:ind w:left="709" w:hanging="709"/>
        <w:rPr>
          <w:sz w:val="24"/>
          <w:szCs w:val="24"/>
        </w:rPr>
      </w:pPr>
      <w:r w:rsidRPr="001A45DF">
        <w:rPr>
          <w:sz w:val="24"/>
          <w:szCs w:val="24"/>
        </w:rPr>
        <w:t xml:space="preserve">Prices are to be submitted via the </w:t>
      </w:r>
      <w:r w:rsidRPr="009106C8">
        <w:rPr>
          <w:sz w:val="24"/>
          <w:szCs w:val="24"/>
        </w:rPr>
        <w:t>e-Sourcing Suite Attachment 4 – Price Schedule</w:t>
      </w:r>
      <w:r w:rsidRPr="001A45DF">
        <w:rPr>
          <w:sz w:val="24"/>
          <w:szCs w:val="24"/>
        </w:rPr>
        <w:t xml:space="preserve"> excluding VAT and including all other expenses relating to Contract delivery.</w:t>
      </w:r>
    </w:p>
    <w:p w14:paraId="5C378927" w14:textId="77777777" w:rsidR="00AF307C" w:rsidRDefault="00AF307C" w:rsidP="00AF307C">
      <w:pPr>
        <w:pStyle w:val="Heading2"/>
        <w:rPr>
          <w:sz w:val="24"/>
          <w:szCs w:val="24"/>
        </w:rPr>
      </w:pPr>
      <w:r w:rsidRPr="00E01F22">
        <w:rPr>
          <w:sz w:val="24"/>
          <w:szCs w:val="24"/>
        </w:rPr>
        <w:lastRenderedPageBreak/>
        <w:t>In the even</w:t>
      </w:r>
      <w:r>
        <w:rPr>
          <w:sz w:val="24"/>
          <w:szCs w:val="24"/>
        </w:rPr>
        <w:t>t that the Authority cancels a</w:t>
      </w:r>
      <w:r w:rsidRPr="00E01F22">
        <w:rPr>
          <w:sz w:val="24"/>
          <w:szCs w:val="24"/>
        </w:rPr>
        <w:t xml:space="preserve"> recruitment requirement, the Authority will be responsible for the payment of the fee up to the point in the process at </w:t>
      </w:r>
      <w:r>
        <w:rPr>
          <w:sz w:val="24"/>
          <w:szCs w:val="24"/>
        </w:rPr>
        <w:t>which that</w:t>
      </w:r>
      <w:r w:rsidRPr="00E01F22">
        <w:rPr>
          <w:sz w:val="24"/>
          <w:szCs w:val="24"/>
        </w:rPr>
        <w:t xml:space="preserve"> recruitment </w:t>
      </w:r>
      <w:r>
        <w:rPr>
          <w:sz w:val="24"/>
          <w:szCs w:val="24"/>
        </w:rPr>
        <w:t xml:space="preserve">campaign </w:t>
      </w:r>
      <w:r w:rsidRPr="00E01F22">
        <w:rPr>
          <w:sz w:val="24"/>
          <w:szCs w:val="24"/>
        </w:rPr>
        <w:t>has been cancelled.</w:t>
      </w:r>
    </w:p>
    <w:p w14:paraId="5995768E" w14:textId="77777777" w:rsidR="00AF307C" w:rsidRDefault="00AF307C" w:rsidP="00AF307C">
      <w:pPr>
        <w:pStyle w:val="Heading2"/>
        <w:rPr>
          <w:sz w:val="24"/>
          <w:szCs w:val="24"/>
        </w:rPr>
      </w:pPr>
      <w:r w:rsidRPr="00E01F22">
        <w:rPr>
          <w:sz w:val="24"/>
          <w:szCs w:val="24"/>
        </w:rPr>
        <w:t>In the eve</w:t>
      </w:r>
      <w:r>
        <w:rPr>
          <w:sz w:val="24"/>
          <w:szCs w:val="24"/>
        </w:rPr>
        <w:t>nt that the Supplier cancels a</w:t>
      </w:r>
      <w:r w:rsidRPr="00E01F22">
        <w:rPr>
          <w:sz w:val="24"/>
          <w:szCs w:val="24"/>
        </w:rPr>
        <w:t xml:space="preserve"> recruitment </w:t>
      </w:r>
      <w:r>
        <w:rPr>
          <w:sz w:val="24"/>
          <w:szCs w:val="24"/>
        </w:rPr>
        <w:t xml:space="preserve">campaign </w:t>
      </w:r>
      <w:r w:rsidRPr="00E01F22">
        <w:rPr>
          <w:sz w:val="24"/>
          <w:szCs w:val="24"/>
        </w:rPr>
        <w:t xml:space="preserve">at any point after the placement of advert, the </w:t>
      </w:r>
      <w:r>
        <w:rPr>
          <w:sz w:val="24"/>
          <w:szCs w:val="24"/>
        </w:rPr>
        <w:t xml:space="preserve">Authority will make only </w:t>
      </w:r>
      <w:r w:rsidRPr="00E01F22">
        <w:rPr>
          <w:sz w:val="24"/>
          <w:szCs w:val="24"/>
        </w:rPr>
        <w:t>the first two phase payments (30%)</w:t>
      </w:r>
      <w:r>
        <w:rPr>
          <w:sz w:val="24"/>
          <w:szCs w:val="24"/>
        </w:rPr>
        <w:t xml:space="preserve"> for that recruitment campaign</w:t>
      </w:r>
      <w:r w:rsidRPr="00E01F22">
        <w:rPr>
          <w:sz w:val="24"/>
          <w:szCs w:val="24"/>
        </w:rPr>
        <w:t>.</w:t>
      </w:r>
    </w:p>
    <w:p w14:paraId="55F21A2C" w14:textId="77777777" w:rsidR="00AF307C" w:rsidRPr="001A45DF" w:rsidRDefault="00AF307C" w:rsidP="00AF307C">
      <w:pPr>
        <w:pStyle w:val="Heading2"/>
        <w:rPr>
          <w:sz w:val="24"/>
          <w:szCs w:val="24"/>
        </w:rPr>
      </w:pPr>
      <w:r w:rsidRPr="00E01F22">
        <w:rPr>
          <w:sz w:val="24"/>
          <w:szCs w:val="24"/>
        </w:rPr>
        <w:t>If the appointed candidate leaves for any reason within 6 months of the</w:t>
      </w:r>
      <w:r>
        <w:rPr>
          <w:sz w:val="24"/>
          <w:szCs w:val="24"/>
        </w:rPr>
        <w:t>ir</w:t>
      </w:r>
      <w:r w:rsidRPr="00E01F22">
        <w:rPr>
          <w:sz w:val="24"/>
          <w:szCs w:val="24"/>
        </w:rPr>
        <w:t xml:space="preserve"> appointment, the supplier shall refund 50% of the total fee</w:t>
      </w:r>
      <w:r>
        <w:rPr>
          <w:sz w:val="24"/>
          <w:szCs w:val="24"/>
        </w:rPr>
        <w:t xml:space="preserve"> for that recruitment campaign,</w:t>
      </w:r>
      <w:r w:rsidRPr="00E01F22">
        <w:rPr>
          <w:sz w:val="24"/>
          <w:szCs w:val="24"/>
        </w:rPr>
        <w:t xml:space="preserve"> or provide a free of charge replacement search (the latter subject to the Authority’s sole discretion).</w:t>
      </w:r>
    </w:p>
    <w:p w14:paraId="43E2FC1A" w14:textId="77777777" w:rsidR="00AF307C" w:rsidRPr="001A45DF" w:rsidRDefault="00AF307C" w:rsidP="00AF307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70" w:name="_Toc368573038"/>
      <w:bookmarkStart w:id="171" w:name="_Toc8914686"/>
      <w:bookmarkStart w:id="172" w:name="_Toc15976668"/>
      <w:bookmarkStart w:id="173" w:name="_Toc15990249"/>
      <w:r w:rsidRPr="001A45DF">
        <w:rPr>
          <w:rFonts w:cs="Arial"/>
          <w:sz w:val="32"/>
          <w:szCs w:val="32"/>
        </w:rPr>
        <w:t>STAFF AND CUSTOMER SERVICE</w:t>
      </w:r>
      <w:bookmarkEnd w:id="170"/>
      <w:bookmarkEnd w:id="171"/>
      <w:bookmarkEnd w:id="172"/>
      <w:bookmarkEnd w:id="173"/>
    </w:p>
    <w:p w14:paraId="75EE3D6B" w14:textId="77777777" w:rsidR="00AF307C" w:rsidRPr="001A45DF" w:rsidRDefault="00AF307C" w:rsidP="00AF307C">
      <w:pPr>
        <w:pStyle w:val="Heading2"/>
        <w:tabs>
          <w:tab w:val="clear" w:pos="720"/>
          <w:tab w:val="num" w:pos="709"/>
        </w:tabs>
        <w:spacing w:after="120"/>
        <w:ind w:left="709" w:hanging="709"/>
        <w:rPr>
          <w:sz w:val="24"/>
          <w:szCs w:val="24"/>
        </w:rPr>
      </w:pPr>
      <w:r w:rsidRPr="001A45DF">
        <w:rPr>
          <w:sz w:val="24"/>
          <w:szCs w:val="24"/>
        </w:rPr>
        <w:t>The Supplier shall provide a sufficient level of resource throughout the duration of the Contract in order to consistently deliver a quality service.</w:t>
      </w:r>
    </w:p>
    <w:p w14:paraId="4FB7391E" w14:textId="77777777" w:rsidR="00AF307C" w:rsidRPr="001A45DF" w:rsidRDefault="00AF307C" w:rsidP="00AF307C">
      <w:pPr>
        <w:pStyle w:val="Heading2"/>
        <w:tabs>
          <w:tab w:val="clear" w:pos="720"/>
          <w:tab w:val="num" w:pos="709"/>
        </w:tabs>
        <w:spacing w:after="120"/>
        <w:ind w:left="709" w:hanging="709"/>
        <w:rPr>
          <w:sz w:val="24"/>
          <w:szCs w:val="24"/>
        </w:rPr>
      </w:pPr>
      <w:r w:rsidRPr="001A45DF">
        <w:rPr>
          <w:sz w:val="24"/>
          <w:szCs w:val="24"/>
        </w:rPr>
        <w:t xml:space="preserve">The Supplier’s staff assigned to the Contract shall have the relevant qualifications and experience to deliver the Contract to the required standard. </w:t>
      </w:r>
    </w:p>
    <w:p w14:paraId="4317087E" w14:textId="77777777" w:rsidR="00AF307C" w:rsidRPr="001A45DF" w:rsidRDefault="00AF307C" w:rsidP="00AF307C">
      <w:pPr>
        <w:pStyle w:val="Heading2"/>
        <w:tabs>
          <w:tab w:val="clear" w:pos="720"/>
          <w:tab w:val="num" w:pos="709"/>
        </w:tabs>
        <w:spacing w:after="120"/>
        <w:ind w:left="709" w:hanging="709"/>
        <w:rPr>
          <w:sz w:val="24"/>
          <w:szCs w:val="24"/>
        </w:rPr>
      </w:pPr>
      <w:r w:rsidRPr="001A45DF">
        <w:rPr>
          <w:sz w:val="24"/>
          <w:szCs w:val="24"/>
        </w:rPr>
        <w:t xml:space="preserve">The Supplier shall ensure that staff understand the Authority’s vision and objectives and will provide excellent customer service to the Authority throughout the duration of the Contract.  </w:t>
      </w:r>
    </w:p>
    <w:p w14:paraId="65ADA662" w14:textId="77777777" w:rsidR="00AF307C" w:rsidRPr="001A45DF" w:rsidRDefault="00AF307C" w:rsidP="00AF307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74" w:name="_Toc368573039"/>
      <w:bookmarkStart w:id="175" w:name="_Toc8914687"/>
      <w:bookmarkStart w:id="176" w:name="_Toc15976669"/>
      <w:bookmarkStart w:id="177" w:name="_Toc15990250"/>
      <w:r w:rsidRPr="001A45DF">
        <w:rPr>
          <w:rFonts w:cs="Arial"/>
          <w:sz w:val="32"/>
          <w:szCs w:val="32"/>
        </w:rPr>
        <w:t>service levels and performance</w:t>
      </w:r>
      <w:bookmarkEnd w:id="174"/>
      <w:bookmarkEnd w:id="175"/>
      <w:bookmarkEnd w:id="176"/>
      <w:bookmarkEnd w:id="177"/>
    </w:p>
    <w:p w14:paraId="51D4EAEC" w14:textId="77777777" w:rsidR="00AF307C" w:rsidRPr="001A45DF" w:rsidRDefault="00AF307C" w:rsidP="00AF307C">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p w14:paraId="70453A18" w14:textId="77777777" w:rsidR="00AF307C" w:rsidRPr="001A45DF" w:rsidRDefault="00AF307C" w:rsidP="00AF307C">
      <w:pPr>
        <w:pStyle w:val="Heading3"/>
        <w:tabs>
          <w:tab w:val="clear" w:pos="1800"/>
          <w:tab w:val="num" w:pos="1418"/>
        </w:tabs>
        <w:spacing w:after="120"/>
        <w:ind w:left="1418" w:hanging="698"/>
        <w:rPr>
          <w:sz w:val="24"/>
          <w:szCs w:val="24"/>
        </w:rPr>
      </w:pPr>
    </w:p>
    <w:tbl>
      <w:tblPr>
        <w:tblStyle w:val="TableGrid"/>
        <w:tblW w:w="0" w:type="auto"/>
        <w:tblInd w:w="720" w:type="dxa"/>
        <w:tblLook w:val="04A0" w:firstRow="1" w:lastRow="0" w:firstColumn="1" w:lastColumn="0" w:noHBand="0" w:noVBand="1"/>
      </w:tblPr>
      <w:tblGrid>
        <w:gridCol w:w="1124"/>
        <w:gridCol w:w="1652"/>
        <w:gridCol w:w="3228"/>
        <w:gridCol w:w="2295"/>
      </w:tblGrid>
      <w:tr w:rsidR="00AF307C" w14:paraId="16BC5AA5" w14:textId="77777777" w:rsidTr="00D575DC">
        <w:tc>
          <w:tcPr>
            <w:tcW w:w="1124" w:type="dxa"/>
            <w:shd w:val="clear" w:color="auto" w:fill="DBE5F1" w:themeFill="accent1" w:themeFillTint="33"/>
          </w:tcPr>
          <w:p w14:paraId="2AD2AD2C" w14:textId="77777777" w:rsidR="00AF307C" w:rsidRPr="001A45DF" w:rsidRDefault="00AF307C" w:rsidP="00D575DC">
            <w:pPr>
              <w:pStyle w:val="Heading2"/>
              <w:numPr>
                <w:ilvl w:val="0"/>
                <w:numId w:val="0"/>
              </w:numPr>
              <w:jc w:val="center"/>
              <w:outlineLvl w:val="1"/>
              <w:rPr>
                <w:sz w:val="24"/>
                <w:szCs w:val="24"/>
              </w:rPr>
            </w:pPr>
            <w:r w:rsidRPr="001A45DF">
              <w:rPr>
                <w:sz w:val="24"/>
                <w:szCs w:val="24"/>
              </w:rPr>
              <w:t>KPI/SLA</w:t>
            </w:r>
          </w:p>
        </w:tc>
        <w:tc>
          <w:tcPr>
            <w:tcW w:w="1652" w:type="dxa"/>
            <w:shd w:val="clear" w:color="auto" w:fill="DBE5F1" w:themeFill="accent1" w:themeFillTint="33"/>
          </w:tcPr>
          <w:p w14:paraId="6F4A2D99" w14:textId="77777777" w:rsidR="00AF307C" w:rsidRPr="001A45DF" w:rsidRDefault="00AF307C" w:rsidP="00D575DC">
            <w:pPr>
              <w:pStyle w:val="Heading2"/>
              <w:numPr>
                <w:ilvl w:val="0"/>
                <w:numId w:val="0"/>
              </w:numPr>
              <w:jc w:val="center"/>
              <w:outlineLvl w:val="1"/>
              <w:rPr>
                <w:sz w:val="24"/>
                <w:szCs w:val="24"/>
              </w:rPr>
            </w:pPr>
            <w:r w:rsidRPr="001A45DF">
              <w:rPr>
                <w:sz w:val="24"/>
                <w:szCs w:val="24"/>
              </w:rPr>
              <w:t>Service Area</w:t>
            </w:r>
          </w:p>
        </w:tc>
        <w:tc>
          <w:tcPr>
            <w:tcW w:w="3228" w:type="dxa"/>
            <w:shd w:val="clear" w:color="auto" w:fill="DBE5F1" w:themeFill="accent1" w:themeFillTint="33"/>
          </w:tcPr>
          <w:p w14:paraId="0BC444C4" w14:textId="77777777" w:rsidR="00AF307C" w:rsidRPr="001A45DF" w:rsidRDefault="00AF307C" w:rsidP="00D575DC">
            <w:pPr>
              <w:pStyle w:val="Heading2"/>
              <w:numPr>
                <w:ilvl w:val="0"/>
                <w:numId w:val="0"/>
              </w:numPr>
              <w:jc w:val="center"/>
              <w:outlineLvl w:val="1"/>
              <w:rPr>
                <w:sz w:val="24"/>
                <w:szCs w:val="24"/>
              </w:rPr>
            </w:pPr>
            <w:r w:rsidRPr="001A45DF">
              <w:rPr>
                <w:sz w:val="24"/>
                <w:szCs w:val="24"/>
              </w:rPr>
              <w:t>KPI/SLA description</w:t>
            </w:r>
          </w:p>
        </w:tc>
        <w:tc>
          <w:tcPr>
            <w:tcW w:w="2295" w:type="dxa"/>
            <w:shd w:val="clear" w:color="auto" w:fill="DBE5F1" w:themeFill="accent1" w:themeFillTint="33"/>
          </w:tcPr>
          <w:p w14:paraId="038EC230" w14:textId="77777777" w:rsidR="00AF307C" w:rsidRPr="001A45DF" w:rsidRDefault="00AF307C" w:rsidP="00D575DC">
            <w:pPr>
              <w:pStyle w:val="Heading2"/>
              <w:numPr>
                <w:ilvl w:val="0"/>
                <w:numId w:val="0"/>
              </w:numPr>
              <w:jc w:val="center"/>
              <w:outlineLvl w:val="1"/>
              <w:rPr>
                <w:sz w:val="24"/>
                <w:szCs w:val="24"/>
              </w:rPr>
            </w:pPr>
            <w:r w:rsidRPr="001A45DF">
              <w:rPr>
                <w:sz w:val="24"/>
                <w:szCs w:val="24"/>
              </w:rPr>
              <w:t>Target</w:t>
            </w:r>
          </w:p>
        </w:tc>
      </w:tr>
      <w:tr w:rsidR="00AF307C" w14:paraId="0DBAC5F9" w14:textId="77777777" w:rsidTr="00D575DC">
        <w:tc>
          <w:tcPr>
            <w:tcW w:w="1124" w:type="dxa"/>
          </w:tcPr>
          <w:p w14:paraId="52EE300D" w14:textId="77777777" w:rsidR="00AF307C" w:rsidRPr="001A45DF" w:rsidRDefault="00AF307C" w:rsidP="00D575DC">
            <w:pPr>
              <w:pStyle w:val="Heading2"/>
              <w:numPr>
                <w:ilvl w:val="0"/>
                <w:numId w:val="0"/>
              </w:numPr>
              <w:jc w:val="center"/>
              <w:outlineLvl w:val="1"/>
              <w:rPr>
                <w:sz w:val="24"/>
                <w:szCs w:val="24"/>
              </w:rPr>
            </w:pPr>
            <w:r>
              <w:t>#1</w:t>
            </w:r>
          </w:p>
        </w:tc>
        <w:tc>
          <w:tcPr>
            <w:tcW w:w="1652" w:type="dxa"/>
          </w:tcPr>
          <w:p w14:paraId="16B640D6" w14:textId="77777777" w:rsidR="00AF307C" w:rsidRPr="001A45DF" w:rsidRDefault="00AF307C" w:rsidP="00D575DC">
            <w:pPr>
              <w:pStyle w:val="Heading2"/>
              <w:numPr>
                <w:ilvl w:val="0"/>
                <w:numId w:val="0"/>
              </w:numPr>
              <w:outlineLvl w:val="1"/>
              <w:rPr>
                <w:sz w:val="24"/>
                <w:szCs w:val="24"/>
              </w:rPr>
            </w:pPr>
            <w:r>
              <w:t>Delivery timescales</w:t>
            </w:r>
          </w:p>
        </w:tc>
        <w:tc>
          <w:tcPr>
            <w:tcW w:w="3228" w:type="dxa"/>
          </w:tcPr>
          <w:p w14:paraId="68E20A9C" w14:textId="77777777" w:rsidR="00AF307C" w:rsidRPr="001A45DF" w:rsidRDefault="00AF307C" w:rsidP="00D575DC">
            <w:pPr>
              <w:pStyle w:val="Heading2"/>
              <w:numPr>
                <w:ilvl w:val="0"/>
                <w:numId w:val="0"/>
              </w:numPr>
              <w:outlineLvl w:val="1"/>
              <w:rPr>
                <w:sz w:val="24"/>
                <w:szCs w:val="24"/>
              </w:rPr>
            </w:pPr>
            <w:r w:rsidRPr="004A41D1">
              <w:t>Services</w:t>
            </w:r>
            <w:r w:rsidRPr="001476D3">
              <w:t xml:space="preserve"> to be delivered within timescales as agreed as part of the project plan </w:t>
            </w:r>
            <w:r w:rsidRPr="004A41D1">
              <w:t>at paragraph</w:t>
            </w:r>
            <w:r>
              <w:t xml:space="preserve"> </w:t>
            </w:r>
            <w:r>
              <w:fldChar w:fldCharType="begin"/>
            </w:r>
            <w:r>
              <w:instrText xml:space="preserve"> REF _Ref10643320 \r \h </w:instrText>
            </w:r>
            <w:r>
              <w:fldChar w:fldCharType="separate"/>
            </w:r>
            <w:r>
              <w:t>8.1</w:t>
            </w:r>
            <w:r>
              <w:fldChar w:fldCharType="end"/>
            </w:r>
            <w:r>
              <w:t>.</w:t>
            </w:r>
          </w:p>
        </w:tc>
        <w:tc>
          <w:tcPr>
            <w:tcW w:w="2295" w:type="dxa"/>
          </w:tcPr>
          <w:p w14:paraId="42BDFDB4" w14:textId="77777777" w:rsidR="00AF307C" w:rsidRPr="001A45DF" w:rsidRDefault="00AF307C" w:rsidP="00D575DC">
            <w:pPr>
              <w:pStyle w:val="Heading2"/>
              <w:numPr>
                <w:ilvl w:val="0"/>
                <w:numId w:val="0"/>
              </w:numPr>
              <w:outlineLvl w:val="1"/>
              <w:rPr>
                <w:sz w:val="24"/>
                <w:szCs w:val="24"/>
              </w:rPr>
            </w:pPr>
            <w:r>
              <w:t>90</w:t>
            </w:r>
            <w:r w:rsidRPr="003147BB">
              <w:t>%</w:t>
            </w:r>
            <w:r>
              <w:t>.  Failure would require an improvement plan setting out preventative measures to avoid future slippage</w:t>
            </w:r>
          </w:p>
        </w:tc>
      </w:tr>
      <w:tr w:rsidR="00AF307C" w14:paraId="647F8576" w14:textId="77777777" w:rsidTr="00D575DC">
        <w:tc>
          <w:tcPr>
            <w:tcW w:w="1124" w:type="dxa"/>
          </w:tcPr>
          <w:p w14:paraId="5149A44B" w14:textId="77777777" w:rsidR="00AF307C" w:rsidRPr="001A45DF" w:rsidRDefault="00AF307C" w:rsidP="00D575DC">
            <w:pPr>
              <w:pStyle w:val="Heading2"/>
              <w:numPr>
                <w:ilvl w:val="0"/>
                <w:numId w:val="0"/>
              </w:numPr>
              <w:jc w:val="center"/>
              <w:outlineLvl w:val="1"/>
              <w:rPr>
                <w:sz w:val="24"/>
                <w:szCs w:val="24"/>
              </w:rPr>
            </w:pPr>
            <w:r>
              <w:t>#2</w:t>
            </w:r>
          </w:p>
        </w:tc>
        <w:tc>
          <w:tcPr>
            <w:tcW w:w="1652" w:type="dxa"/>
          </w:tcPr>
          <w:p w14:paraId="1130ABFD" w14:textId="77777777" w:rsidR="00AF307C" w:rsidRPr="001A45DF" w:rsidRDefault="00AF307C" w:rsidP="00D575DC">
            <w:pPr>
              <w:pStyle w:val="Heading2"/>
              <w:numPr>
                <w:ilvl w:val="0"/>
                <w:numId w:val="0"/>
              </w:numPr>
              <w:outlineLvl w:val="1"/>
              <w:rPr>
                <w:sz w:val="24"/>
                <w:szCs w:val="24"/>
              </w:rPr>
            </w:pPr>
            <w:r>
              <w:t>Handling of candidates</w:t>
            </w:r>
          </w:p>
        </w:tc>
        <w:tc>
          <w:tcPr>
            <w:tcW w:w="3228" w:type="dxa"/>
          </w:tcPr>
          <w:p w14:paraId="1342BB1D" w14:textId="77777777" w:rsidR="00AF307C" w:rsidRPr="001A45DF" w:rsidRDefault="00AF307C" w:rsidP="00D575DC">
            <w:pPr>
              <w:pStyle w:val="Heading2"/>
              <w:numPr>
                <w:ilvl w:val="0"/>
                <w:numId w:val="0"/>
              </w:numPr>
              <w:outlineLvl w:val="1"/>
              <w:rPr>
                <w:sz w:val="24"/>
                <w:szCs w:val="24"/>
              </w:rPr>
            </w:pPr>
            <w:r>
              <w:t xml:space="preserve">Unsuccessful candidates to be handled sensitively and promptly at each stage of the process </w:t>
            </w:r>
          </w:p>
        </w:tc>
        <w:tc>
          <w:tcPr>
            <w:tcW w:w="2295" w:type="dxa"/>
          </w:tcPr>
          <w:p w14:paraId="021115D7" w14:textId="77777777" w:rsidR="00AF307C" w:rsidRPr="001A45DF" w:rsidRDefault="00AF307C" w:rsidP="00D575DC">
            <w:pPr>
              <w:pStyle w:val="Heading2"/>
              <w:numPr>
                <w:ilvl w:val="0"/>
                <w:numId w:val="0"/>
              </w:numPr>
              <w:outlineLvl w:val="1"/>
              <w:rPr>
                <w:sz w:val="24"/>
                <w:szCs w:val="24"/>
              </w:rPr>
            </w:pPr>
            <w:r>
              <w:t xml:space="preserve">Absence of any complaints. Any complaints that could not be explained to the satisfaction of the Authority would result in a Service Credit 10% reduction in fees against the relevant phase of the recruitment in which </w:t>
            </w:r>
            <w:r>
              <w:lastRenderedPageBreak/>
              <w:t>the complaint took place.</w:t>
            </w:r>
          </w:p>
        </w:tc>
      </w:tr>
      <w:tr w:rsidR="00AF307C" w14:paraId="2A18CA68" w14:textId="77777777" w:rsidTr="00D575DC">
        <w:tc>
          <w:tcPr>
            <w:tcW w:w="1124" w:type="dxa"/>
          </w:tcPr>
          <w:p w14:paraId="0B2FEE18" w14:textId="77777777" w:rsidR="00AF307C" w:rsidRPr="001A45DF" w:rsidRDefault="00AF307C" w:rsidP="00D575DC">
            <w:pPr>
              <w:pStyle w:val="Heading2"/>
              <w:numPr>
                <w:ilvl w:val="0"/>
                <w:numId w:val="0"/>
              </w:numPr>
              <w:jc w:val="center"/>
              <w:outlineLvl w:val="1"/>
              <w:rPr>
                <w:sz w:val="24"/>
                <w:szCs w:val="24"/>
              </w:rPr>
            </w:pPr>
            <w:r>
              <w:lastRenderedPageBreak/>
              <w:t>#3</w:t>
            </w:r>
          </w:p>
        </w:tc>
        <w:tc>
          <w:tcPr>
            <w:tcW w:w="1652" w:type="dxa"/>
          </w:tcPr>
          <w:p w14:paraId="48CDBA40" w14:textId="77777777" w:rsidR="00AF307C" w:rsidRPr="001A45DF" w:rsidRDefault="00AF307C" w:rsidP="00D575DC">
            <w:pPr>
              <w:pStyle w:val="Heading2"/>
              <w:numPr>
                <w:ilvl w:val="0"/>
                <w:numId w:val="0"/>
              </w:numPr>
              <w:outlineLvl w:val="1"/>
              <w:rPr>
                <w:sz w:val="24"/>
                <w:szCs w:val="24"/>
              </w:rPr>
            </w:pPr>
            <w:r>
              <w:t>Diversity of long- and short-list</w:t>
            </w:r>
          </w:p>
        </w:tc>
        <w:tc>
          <w:tcPr>
            <w:tcW w:w="3228" w:type="dxa"/>
          </w:tcPr>
          <w:p w14:paraId="176F178C" w14:textId="77777777" w:rsidR="00AF307C" w:rsidRDefault="00AF307C" w:rsidP="00D575DC">
            <w:pPr>
              <w:pStyle w:val="Heading2"/>
              <w:numPr>
                <w:ilvl w:val="0"/>
                <w:numId w:val="0"/>
              </w:numPr>
              <w:outlineLvl w:val="1"/>
            </w:pPr>
            <w:r>
              <w:t xml:space="preserve">Long-listed candidates recommended for short list plus border line candidates (i.e. </w:t>
            </w:r>
            <w:proofErr w:type="spellStart"/>
            <w:r>
              <w:t>excl</w:t>
            </w:r>
            <w:proofErr w:type="spellEnd"/>
            <w:r>
              <w:t>, fishing and irrelevant applications responding to advert) will include at least 33% BAME candidates and at least 33% of candidates that identify as female</w:t>
            </w:r>
          </w:p>
          <w:p w14:paraId="1BE717B9" w14:textId="77777777" w:rsidR="00AF307C" w:rsidRPr="001A45DF" w:rsidRDefault="00AF307C" w:rsidP="00D575DC">
            <w:pPr>
              <w:pStyle w:val="Heading2"/>
              <w:numPr>
                <w:ilvl w:val="0"/>
                <w:numId w:val="0"/>
              </w:numPr>
              <w:outlineLvl w:val="1"/>
              <w:rPr>
                <w:sz w:val="24"/>
                <w:szCs w:val="24"/>
              </w:rPr>
            </w:pPr>
            <w:r>
              <w:rPr>
                <w:i/>
              </w:rPr>
              <w:t>In meeting these targets, the Supplier is required to provide a comprehensive plan to achieve the target and identify possible channels with regular reporting against progress ahead of lists being finalised.</w:t>
            </w:r>
          </w:p>
        </w:tc>
        <w:tc>
          <w:tcPr>
            <w:tcW w:w="2295" w:type="dxa"/>
          </w:tcPr>
          <w:p w14:paraId="0B85E116" w14:textId="77777777" w:rsidR="00AF307C" w:rsidRPr="001A45DF" w:rsidRDefault="00AF307C" w:rsidP="00D575DC">
            <w:pPr>
              <w:pStyle w:val="Heading2"/>
              <w:numPr>
                <w:ilvl w:val="0"/>
                <w:numId w:val="0"/>
              </w:numPr>
              <w:outlineLvl w:val="1"/>
              <w:rPr>
                <w:sz w:val="24"/>
                <w:szCs w:val="24"/>
              </w:rPr>
            </w:pPr>
            <w:r w:rsidRPr="002B387A">
              <w:t>100</w:t>
            </w:r>
            <w:r>
              <w:t>% of long- list provided</w:t>
            </w:r>
          </w:p>
        </w:tc>
      </w:tr>
    </w:tbl>
    <w:p w14:paraId="1419C137" w14:textId="77777777" w:rsidR="00AF307C" w:rsidRDefault="00AF307C" w:rsidP="00AF307C">
      <w:pPr>
        <w:pStyle w:val="Heading2"/>
        <w:numPr>
          <w:ilvl w:val="0"/>
          <w:numId w:val="0"/>
        </w:numPr>
        <w:ind w:left="720"/>
      </w:pPr>
    </w:p>
    <w:p w14:paraId="3B160EC2" w14:textId="77777777" w:rsidR="00AF307C" w:rsidRDefault="00AF307C" w:rsidP="00AF307C">
      <w:pPr>
        <w:pStyle w:val="Heading2"/>
        <w:rPr>
          <w:sz w:val="24"/>
          <w:szCs w:val="24"/>
        </w:rPr>
      </w:pPr>
      <w:bookmarkStart w:id="178" w:name="_Toc368573040"/>
      <w:r w:rsidRPr="00BD45AB">
        <w:rPr>
          <w:sz w:val="24"/>
          <w:szCs w:val="24"/>
        </w:rPr>
        <w:t>In the event of the Supplier not meeting the SLA or contractual milestones, the Authority will have the discretion to seek a performance improvement plan from the Supplier, to seek to remedy the issues. This does not replace or prevent the Authority from using any contractual rights as per the Contract.</w:t>
      </w:r>
    </w:p>
    <w:p w14:paraId="5840EFA8" w14:textId="77777777" w:rsidR="00AF307C" w:rsidRPr="00544773" w:rsidRDefault="00AF307C" w:rsidP="00AF307C">
      <w:pPr>
        <w:pStyle w:val="Heading2"/>
        <w:rPr>
          <w:sz w:val="24"/>
          <w:szCs w:val="24"/>
        </w:rPr>
      </w:pPr>
      <w:r>
        <w:rPr>
          <w:b/>
          <w:sz w:val="24"/>
          <w:szCs w:val="24"/>
        </w:rPr>
        <w:t>Service Credit</w:t>
      </w:r>
    </w:p>
    <w:p w14:paraId="4E36EF4D" w14:textId="77777777" w:rsidR="00AF307C" w:rsidRDefault="00AF307C" w:rsidP="00AF307C">
      <w:pPr>
        <w:pStyle w:val="Heading3"/>
      </w:pPr>
      <w:r>
        <w:t xml:space="preserve">Service Level 2 – Handling of candidates, is subject to a Service Credit for performance below the specified </w:t>
      </w:r>
      <w:r w:rsidRPr="0001494A">
        <w:t xml:space="preserve">Performance Measure </w:t>
      </w:r>
      <w:r>
        <w:t>Target. For the purposes of Service Level 2, the Service Credit is set at a 10% reduction in fees payable against the relevant phase of the recruitment in which the failure against Service Level 2 occurred.</w:t>
      </w:r>
    </w:p>
    <w:p w14:paraId="2C872CB3" w14:textId="77777777" w:rsidR="00AF307C" w:rsidRDefault="00AF307C" w:rsidP="00AF307C">
      <w:pPr>
        <w:pStyle w:val="Heading3"/>
      </w:pPr>
      <w:r w:rsidRPr="001C4393">
        <w:t>A Service Credit is a reduction of the amount payable in respect of the Services and does not inc</w:t>
      </w:r>
      <w:r>
        <w:t xml:space="preserve">lude VAT. The Supplier shall </w:t>
      </w:r>
      <w:r w:rsidRPr="001C4393">
        <w:t>off</w:t>
      </w:r>
      <w:r>
        <w:t>-set</w:t>
      </w:r>
      <w:r w:rsidRPr="001C4393">
        <w:t xml:space="preserve"> </w:t>
      </w:r>
      <w:r>
        <w:t>the value of the Service Credit</w:t>
      </w:r>
      <w:r w:rsidRPr="001C4393">
        <w:t xml:space="preserve"> against the appropriate invoice</w:t>
      </w:r>
      <w:r>
        <w:t>.</w:t>
      </w:r>
    </w:p>
    <w:p w14:paraId="58CA8CB1" w14:textId="77777777" w:rsidR="00AF307C" w:rsidRDefault="00AF307C" w:rsidP="00AF307C">
      <w:pPr>
        <w:pStyle w:val="Heading3"/>
      </w:pPr>
      <w:r w:rsidRPr="0001494A">
        <w:t xml:space="preserve">The Supplier acknowledges and agrees that any Service Credit is a price adjustment and not an estimate of the Loss that may be suffered by the </w:t>
      </w:r>
      <w:r>
        <w:t>Authority</w:t>
      </w:r>
      <w:r w:rsidRPr="0001494A">
        <w:t xml:space="preserve"> as a result of th</w:t>
      </w:r>
      <w:r>
        <w:t>e Supplier’s failure to meet the</w:t>
      </w:r>
      <w:r w:rsidRPr="0001494A">
        <w:t xml:space="preserve"> Service Level Performance Measure.</w:t>
      </w:r>
    </w:p>
    <w:p w14:paraId="6D844EF2" w14:textId="77777777" w:rsidR="00AF307C" w:rsidRPr="009153EA" w:rsidRDefault="00AF307C" w:rsidP="00AF307C">
      <w:pPr>
        <w:pStyle w:val="Heading3"/>
      </w:pPr>
      <w:r w:rsidRPr="009153EA">
        <w:t xml:space="preserve">The Supplier confirms that it has </w:t>
      </w:r>
      <w:r>
        <w:t>taken this Service Credit into account when</w:t>
      </w:r>
      <w:r w:rsidRPr="009153EA">
        <w:t xml:space="preserve"> se</w:t>
      </w:r>
      <w:r>
        <w:t xml:space="preserve">tting the </w:t>
      </w:r>
      <w:r w:rsidRPr="009153EA">
        <w:t>Contract Charges.</w:t>
      </w:r>
      <w:r>
        <w:t xml:space="preserve"> </w:t>
      </w:r>
      <w:r w:rsidRPr="009153EA">
        <w:t>Both Partie</w:t>
      </w:r>
      <w:r>
        <w:t>s agree that the Service Credit is</w:t>
      </w:r>
      <w:r w:rsidRPr="009153EA">
        <w:t xml:space="preserve"> a reasonable method of price</w:t>
      </w:r>
      <w:r>
        <w:t xml:space="preserve"> </w:t>
      </w:r>
      <w:r w:rsidRPr="009153EA">
        <w:t>adjustment to reflect poor performance.</w:t>
      </w:r>
    </w:p>
    <w:p w14:paraId="07D5824B" w14:textId="77777777" w:rsidR="00AF307C" w:rsidRPr="001A45DF" w:rsidRDefault="00AF307C" w:rsidP="00AF307C">
      <w:pPr>
        <w:pStyle w:val="Heading1"/>
        <w:spacing w:after="120"/>
        <w:rPr>
          <w:sz w:val="32"/>
          <w:szCs w:val="32"/>
        </w:rPr>
      </w:pPr>
      <w:bookmarkStart w:id="179" w:name="_Toc8914688"/>
      <w:bookmarkStart w:id="180" w:name="_Toc15976670"/>
      <w:bookmarkStart w:id="181" w:name="_Toc15990251"/>
      <w:r w:rsidRPr="001A45DF">
        <w:rPr>
          <w:sz w:val="32"/>
          <w:szCs w:val="32"/>
        </w:rPr>
        <w:lastRenderedPageBreak/>
        <w:t>Security and CONFIDENTIALITY requirements</w:t>
      </w:r>
      <w:bookmarkEnd w:id="178"/>
      <w:bookmarkEnd w:id="179"/>
      <w:bookmarkEnd w:id="180"/>
      <w:bookmarkEnd w:id="181"/>
    </w:p>
    <w:p w14:paraId="24F42BC6" w14:textId="77777777" w:rsidR="00AF307C" w:rsidRPr="00AE72E9" w:rsidRDefault="00AF307C" w:rsidP="00AF307C">
      <w:pPr>
        <w:pStyle w:val="Heading2"/>
        <w:tabs>
          <w:tab w:val="clear" w:pos="720"/>
          <w:tab w:val="num" w:pos="709"/>
        </w:tabs>
        <w:ind w:left="709"/>
        <w:rPr>
          <w:rFonts w:cs="Arial"/>
          <w:color w:val="000000"/>
          <w:sz w:val="24"/>
          <w:szCs w:val="24"/>
          <w:shd w:val="clear" w:color="auto" w:fill="FFFFFF"/>
        </w:rPr>
      </w:pPr>
      <w:r w:rsidRPr="00AE72E9">
        <w:rPr>
          <w:rFonts w:cs="Arial"/>
          <w:color w:val="000000"/>
          <w:sz w:val="24"/>
          <w:szCs w:val="24"/>
          <w:shd w:val="clear" w:color="auto" w:fill="FFFFFF"/>
        </w:rPr>
        <w:t xml:space="preserve">On occasions that the </w:t>
      </w:r>
      <w:r>
        <w:rPr>
          <w:rFonts w:cs="Arial"/>
          <w:color w:val="000000"/>
          <w:sz w:val="24"/>
          <w:szCs w:val="24"/>
          <w:shd w:val="clear" w:color="auto" w:fill="FFFFFF"/>
        </w:rPr>
        <w:t>Supplier</w:t>
      </w:r>
      <w:r w:rsidRPr="00AE72E9">
        <w:rPr>
          <w:rFonts w:cs="Arial"/>
          <w:color w:val="000000"/>
          <w:sz w:val="24"/>
          <w:szCs w:val="24"/>
          <w:shd w:val="clear" w:color="auto" w:fill="FFFFFF"/>
        </w:rPr>
        <w:t xml:space="preserve"> visits the premises of the Authority they will abide by the security provisions in place and agree to being escorted at all times whilst on the Authority’s premises. </w:t>
      </w:r>
    </w:p>
    <w:p w14:paraId="46400B11" w14:textId="77777777" w:rsidR="00AF307C" w:rsidRPr="00BD45AB" w:rsidRDefault="00AF307C" w:rsidP="00AF307C">
      <w:pPr>
        <w:pStyle w:val="Heading2"/>
        <w:tabs>
          <w:tab w:val="clear" w:pos="720"/>
          <w:tab w:val="num" w:pos="709"/>
        </w:tabs>
        <w:spacing w:after="120"/>
        <w:ind w:left="709" w:hanging="709"/>
        <w:rPr>
          <w:sz w:val="24"/>
          <w:szCs w:val="24"/>
        </w:rPr>
      </w:pPr>
      <w:r w:rsidRPr="00BD45AB">
        <w:rPr>
          <w:rFonts w:cs="Arial"/>
          <w:color w:val="000000"/>
          <w:sz w:val="24"/>
          <w:szCs w:val="24"/>
          <w:shd w:val="clear" w:color="auto" w:fill="FFFFFF"/>
        </w:rPr>
        <w:t>In respect to data security, the Supplier will need to demonstrate annual compliance with the Cyber Essentials framework (</w:t>
      </w:r>
      <w:hyperlink r:id="rId19" w:history="1">
        <w:r w:rsidRPr="00BD45AB">
          <w:rPr>
            <w:rFonts w:cs="Arial"/>
            <w:color w:val="000000"/>
            <w:sz w:val="24"/>
            <w:szCs w:val="24"/>
            <w:shd w:val="clear" w:color="auto" w:fill="FFFFFF"/>
          </w:rPr>
          <w:t>https://www.cyberessentials.ncsc.gov.uk/</w:t>
        </w:r>
      </w:hyperlink>
      <w:r w:rsidRPr="00BD45AB">
        <w:rPr>
          <w:rFonts w:cs="Arial"/>
          <w:color w:val="000000"/>
          <w:sz w:val="24"/>
          <w:szCs w:val="24"/>
          <w:shd w:val="clear" w:color="auto" w:fill="FFFFFF"/>
        </w:rPr>
        <w:t>) as a minimum. The successful Supplier will be expected to comply with all necessary aspects of the Information Commissioner’s Office guidance on GDPR and Data Protection Act 2018. See Attachment 2 for information on how this will be assessed in this procurement.</w:t>
      </w:r>
    </w:p>
    <w:p w14:paraId="21F57799" w14:textId="77777777" w:rsidR="00AF307C" w:rsidRPr="001A45DF" w:rsidRDefault="00AF307C" w:rsidP="00AF307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82" w:name="_Toc8914689"/>
      <w:bookmarkStart w:id="183" w:name="_Toc15976671"/>
      <w:bookmarkStart w:id="184" w:name="_Toc15990252"/>
      <w:bookmarkStart w:id="185" w:name="_Toc368573042"/>
      <w:r w:rsidRPr="001A45DF">
        <w:rPr>
          <w:rFonts w:cs="Arial"/>
          <w:sz w:val="32"/>
          <w:szCs w:val="32"/>
        </w:rPr>
        <w:t>payment AND INVOICING</w:t>
      </w:r>
      <w:bookmarkEnd w:id="182"/>
      <w:bookmarkEnd w:id="183"/>
      <w:bookmarkEnd w:id="184"/>
      <w:r w:rsidRPr="001A45DF">
        <w:rPr>
          <w:rFonts w:cs="Arial"/>
          <w:sz w:val="32"/>
          <w:szCs w:val="32"/>
        </w:rPr>
        <w:t xml:space="preserve"> </w:t>
      </w:r>
    </w:p>
    <w:p w14:paraId="60F9FC0D" w14:textId="77777777" w:rsidR="00AF307C" w:rsidRPr="001A45DF" w:rsidRDefault="00AF307C" w:rsidP="00AF307C">
      <w:pPr>
        <w:pStyle w:val="Heading2"/>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714765E5" w14:textId="77777777" w:rsidR="00AF307C" w:rsidRPr="001A45DF" w:rsidRDefault="00AF307C" w:rsidP="00AF307C">
      <w:pPr>
        <w:pStyle w:val="Heading2"/>
        <w:rPr>
          <w:sz w:val="24"/>
          <w:szCs w:val="24"/>
        </w:rPr>
      </w:pPr>
      <w:r w:rsidRPr="001A45DF">
        <w:rPr>
          <w:rFonts w:cs="Arial"/>
          <w:color w:val="000000"/>
          <w:sz w:val="24"/>
          <w:szCs w:val="24"/>
          <w:shd w:val="clear" w:color="auto" w:fill="FFFFFF"/>
        </w:rPr>
        <w:t>Before payment can be considered, each invoice must include a detailed elemental breakdown of work completed and the associated costs</w:t>
      </w:r>
      <w:r>
        <w:rPr>
          <w:rFonts w:cs="Arial"/>
          <w:color w:val="000000"/>
          <w:sz w:val="24"/>
          <w:szCs w:val="24"/>
          <w:shd w:val="clear" w:color="auto" w:fill="FFFFFF"/>
        </w:rPr>
        <w:t xml:space="preserve"> and be approved by the Authority and Agent’s representative.</w:t>
      </w:r>
    </w:p>
    <w:p w14:paraId="5B1D06F7" w14:textId="237F78C3" w:rsidR="00AF307C" w:rsidRPr="003A1005" w:rsidRDefault="00AF307C" w:rsidP="00AF307C">
      <w:pPr>
        <w:pStyle w:val="Heading2"/>
        <w:rPr>
          <w:sz w:val="24"/>
          <w:szCs w:val="24"/>
        </w:rPr>
      </w:pPr>
      <w:r w:rsidRPr="001A45DF">
        <w:rPr>
          <w:rFonts w:cs="Arial"/>
          <w:color w:val="000000"/>
          <w:sz w:val="24"/>
          <w:szCs w:val="24"/>
          <w:shd w:val="clear" w:color="auto" w:fill="FFFFFF"/>
        </w:rPr>
        <w:t xml:space="preserve">Invoices should be submitted to: </w:t>
      </w:r>
      <w:r w:rsidR="00EA604A">
        <w:rPr>
          <w:rFonts w:cs="Arial"/>
          <w:color w:val="000000"/>
          <w:sz w:val="24"/>
          <w:szCs w:val="24"/>
          <w:shd w:val="clear" w:color="auto" w:fill="FFFFFF"/>
        </w:rPr>
        <w:t>REDACTED</w:t>
      </w:r>
      <w:bookmarkStart w:id="186" w:name="_GoBack"/>
      <w:bookmarkEnd w:id="186"/>
      <w:r>
        <w:rPr>
          <w:rFonts w:cs="Arial"/>
          <w:color w:val="000000"/>
          <w:sz w:val="24"/>
          <w:szCs w:val="24"/>
          <w:shd w:val="clear" w:color="auto" w:fill="FFFFFF"/>
        </w:rPr>
        <w:t>.</w:t>
      </w:r>
      <w:r w:rsidRPr="001A45DF">
        <w:rPr>
          <w:rFonts w:cs="Arial"/>
          <w:color w:val="000000"/>
          <w:sz w:val="24"/>
          <w:szCs w:val="24"/>
          <w:shd w:val="clear" w:color="auto" w:fill="FFFFFF"/>
        </w:rPr>
        <w:t xml:space="preserve"> </w:t>
      </w:r>
    </w:p>
    <w:p w14:paraId="03A1067A" w14:textId="77777777" w:rsidR="00AF307C" w:rsidRPr="003A1005" w:rsidRDefault="00AF307C" w:rsidP="00AF307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87" w:name="_Toc8914690"/>
      <w:bookmarkStart w:id="188" w:name="_Toc15976672"/>
      <w:bookmarkStart w:id="189" w:name="_Toc15990253"/>
      <w:bookmarkEnd w:id="185"/>
      <w:r w:rsidRPr="001A45DF">
        <w:rPr>
          <w:rFonts w:cs="Arial"/>
          <w:sz w:val="32"/>
          <w:szCs w:val="32"/>
        </w:rPr>
        <w:t>CONTRACT MANAGEMENT</w:t>
      </w:r>
      <w:bookmarkEnd w:id="187"/>
      <w:bookmarkEnd w:id="188"/>
      <w:bookmarkEnd w:id="189"/>
      <w:r w:rsidRPr="001A45DF">
        <w:rPr>
          <w:rFonts w:cs="Arial"/>
          <w:sz w:val="32"/>
          <w:szCs w:val="32"/>
        </w:rPr>
        <w:t xml:space="preserve"> </w:t>
      </w:r>
    </w:p>
    <w:p w14:paraId="53823A81" w14:textId="77777777" w:rsidR="00AF307C" w:rsidRPr="009106C8" w:rsidRDefault="00AF307C" w:rsidP="00AF307C">
      <w:pPr>
        <w:pStyle w:val="Heading2"/>
        <w:spacing w:after="120"/>
        <w:ind w:left="709" w:hanging="709"/>
        <w:rPr>
          <w:sz w:val="24"/>
          <w:szCs w:val="24"/>
        </w:rPr>
      </w:pPr>
      <w:r w:rsidRPr="009106C8">
        <w:rPr>
          <w:sz w:val="24"/>
          <w:szCs w:val="24"/>
        </w:rPr>
        <w:t>Attendance at Contract Review meetings shall be at the Supplier’s own expense.</w:t>
      </w:r>
    </w:p>
    <w:p w14:paraId="460B4BF1" w14:textId="77777777" w:rsidR="00AF307C" w:rsidRPr="009106C8" w:rsidRDefault="00AF307C" w:rsidP="00AF307C">
      <w:pPr>
        <w:pStyle w:val="Heading1"/>
        <w:spacing w:after="120"/>
        <w:rPr>
          <w:sz w:val="32"/>
          <w:szCs w:val="32"/>
        </w:rPr>
      </w:pPr>
      <w:bookmarkStart w:id="190" w:name="_Toc368573043"/>
      <w:bookmarkStart w:id="191" w:name="_Toc8914691"/>
      <w:bookmarkStart w:id="192" w:name="_Toc15976673"/>
      <w:bookmarkStart w:id="193" w:name="_Toc15990254"/>
      <w:bookmarkEnd w:id="146"/>
      <w:r w:rsidRPr="009106C8">
        <w:rPr>
          <w:sz w:val="32"/>
          <w:szCs w:val="32"/>
        </w:rPr>
        <w:t>Location</w:t>
      </w:r>
      <w:bookmarkEnd w:id="190"/>
      <w:bookmarkEnd w:id="191"/>
      <w:bookmarkEnd w:id="192"/>
      <w:bookmarkEnd w:id="193"/>
      <w:r w:rsidRPr="009106C8">
        <w:rPr>
          <w:sz w:val="32"/>
          <w:szCs w:val="32"/>
        </w:rPr>
        <w:t xml:space="preserve"> </w:t>
      </w:r>
    </w:p>
    <w:p w14:paraId="3A6D37AA" w14:textId="1BF6E0DC" w:rsidR="00AF307C" w:rsidRPr="009106C8" w:rsidRDefault="00AF307C" w:rsidP="00AF307C">
      <w:pPr>
        <w:pStyle w:val="Heading2"/>
        <w:tabs>
          <w:tab w:val="clear" w:pos="720"/>
          <w:tab w:val="num" w:pos="709"/>
        </w:tabs>
        <w:spacing w:after="120"/>
        <w:ind w:left="709" w:hanging="709"/>
        <w:rPr>
          <w:sz w:val="24"/>
          <w:szCs w:val="24"/>
        </w:rPr>
      </w:pPr>
      <w:r w:rsidRPr="00B5033C">
        <w:rPr>
          <w:sz w:val="24"/>
          <w:szCs w:val="24"/>
        </w:rPr>
        <w:t>The location of the Services will be carried out</w:t>
      </w:r>
      <w:r>
        <w:rPr>
          <w:sz w:val="24"/>
          <w:szCs w:val="24"/>
        </w:rPr>
        <w:t xml:space="preserve"> </w:t>
      </w:r>
      <w:r w:rsidRPr="00B5033C">
        <w:rPr>
          <w:sz w:val="24"/>
          <w:szCs w:val="24"/>
        </w:rPr>
        <w:t xml:space="preserve">at the </w:t>
      </w:r>
      <w:r>
        <w:rPr>
          <w:sz w:val="24"/>
          <w:szCs w:val="24"/>
        </w:rPr>
        <w:t>S</w:t>
      </w:r>
      <w:r w:rsidRPr="00B5033C">
        <w:rPr>
          <w:sz w:val="24"/>
          <w:szCs w:val="24"/>
        </w:rPr>
        <w:t xml:space="preserve">upplier’s premises. Meetings with the Authority on individual recruitment exercises and / or contract management meetings may take place at the </w:t>
      </w:r>
      <w:r w:rsidRPr="005C3747">
        <w:rPr>
          <w:sz w:val="24"/>
          <w:szCs w:val="24"/>
        </w:rPr>
        <w:t>UKGI offices</w:t>
      </w:r>
      <w:r>
        <w:rPr>
          <w:sz w:val="24"/>
          <w:szCs w:val="24"/>
        </w:rPr>
        <w:t xml:space="preserve"> (</w:t>
      </w:r>
      <w:r w:rsidR="00EA604A">
        <w:rPr>
          <w:sz w:val="24"/>
          <w:szCs w:val="24"/>
        </w:rPr>
        <w:t>REDACTED</w:t>
      </w:r>
      <w:r>
        <w:rPr>
          <w:sz w:val="24"/>
          <w:szCs w:val="24"/>
        </w:rPr>
        <w:t xml:space="preserve">) or remotely, </w:t>
      </w:r>
      <w:r w:rsidRPr="00B5033C">
        <w:rPr>
          <w:sz w:val="24"/>
          <w:szCs w:val="24"/>
        </w:rPr>
        <w:t>as directed by the Authority.</w:t>
      </w:r>
    </w:p>
    <w:p w14:paraId="0AFD49CE" w14:textId="77777777" w:rsidR="00AF307C" w:rsidRPr="00FD080D" w:rsidRDefault="00AF307C" w:rsidP="00AF307C">
      <w:pPr>
        <w:pStyle w:val="Heading2"/>
        <w:numPr>
          <w:ilvl w:val="0"/>
          <w:numId w:val="0"/>
        </w:numPr>
        <w:spacing w:after="120"/>
        <w:rPr>
          <w:highlight w:val="yellow"/>
        </w:rPr>
      </w:pPr>
    </w:p>
    <w:p w14:paraId="32051D88" w14:textId="77777777" w:rsidR="00AF307C" w:rsidRDefault="00AF307C" w:rsidP="00AF307C">
      <w:pPr>
        <w:rPr>
          <w:rFonts w:eastAsia="STZhongsong"/>
          <w:b/>
          <w:caps/>
          <w:szCs w:val="20"/>
        </w:rPr>
      </w:pPr>
      <w:r>
        <w:br w:type="page"/>
      </w:r>
    </w:p>
    <w:p w14:paraId="094ABF01" w14:textId="28813A76" w:rsidR="00EA604A" w:rsidRDefault="00AF307C" w:rsidP="00EA604A">
      <w:pPr>
        <w:rPr>
          <w:b/>
        </w:rPr>
      </w:pPr>
      <w:r w:rsidRPr="00BD0078">
        <w:rPr>
          <w:b/>
          <w:color w:val="000000"/>
          <w:u w:val="single"/>
        </w:rPr>
        <w:lastRenderedPageBreak/>
        <w:t>A</w:t>
      </w:r>
      <w:r>
        <w:rPr>
          <w:b/>
          <w:color w:val="000000"/>
          <w:u w:val="single"/>
        </w:rPr>
        <w:t>ppendix</w:t>
      </w:r>
      <w:r w:rsidRPr="00BD0078">
        <w:rPr>
          <w:b/>
          <w:color w:val="000000"/>
          <w:u w:val="single"/>
        </w:rPr>
        <w:t xml:space="preserve"> 1: </w:t>
      </w:r>
      <w:bookmarkStart w:id="194" w:name="_Hlk9013002"/>
      <w:r>
        <w:rPr>
          <w:b/>
        </w:rPr>
        <w:t xml:space="preserve"> –</w:t>
      </w:r>
      <w:bookmarkEnd w:id="194"/>
      <w:r w:rsidR="00EA604A">
        <w:rPr>
          <w:b/>
        </w:rPr>
        <w:t xml:space="preserve"> REDACTED</w:t>
      </w:r>
    </w:p>
    <w:p w14:paraId="00AC8701" w14:textId="5036043B" w:rsidR="00EA604A" w:rsidRDefault="00EA604A">
      <w:pPr>
        <w:rPr>
          <w:b/>
        </w:rPr>
      </w:pPr>
      <w:r>
        <w:rPr>
          <w:b/>
        </w:rPr>
        <w:br w:type="page"/>
      </w:r>
    </w:p>
    <w:p w14:paraId="434D1E01" w14:textId="77777777" w:rsidR="00EA604A" w:rsidRPr="00BD0078" w:rsidRDefault="00EA604A" w:rsidP="00EA604A">
      <w:pPr>
        <w:rPr>
          <w:b/>
          <w:color w:val="000000"/>
          <w:u w:val="single"/>
        </w:rPr>
      </w:pPr>
    </w:p>
    <w:p w14:paraId="6956EBBB" w14:textId="79B0094E" w:rsidR="00AF307C" w:rsidRPr="00F730B7" w:rsidRDefault="00AF307C" w:rsidP="00EA604A">
      <w:pPr>
        <w:rPr>
          <w:rFonts w:ascii="Calibri" w:eastAsia="Calibri" w:hAnsi="Calibri"/>
          <w:lang w:eastAsia="en-US"/>
        </w:rPr>
      </w:pPr>
      <w:r w:rsidRPr="00BD0078">
        <w:rPr>
          <w:b/>
          <w:color w:val="000000"/>
          <w:u w:val="single"/>
        </w:rPr>
        <w:t>A</w:t>
      </w:r>
      <w:r>
        <w:rPr>
          <w:b/>
          <w:color w:val="000000"/>
          <w:u w:val="single"/>
        </w:rPr>
        <w:t>ppendix</w:t>
      </w:r>
      <w:r w:rsidRPr="00BD0078">
        <w:rPr>
          <w:b/>
          <w:color w:val="000000"/>
          <w:u w:val="single"/>
        </w:rPr>
        <w:t xml:space="preserve"> </w:t>
      </w:r>
      <w:r>
        <w:rPr>
          <w:b/>
          <w:color w:val="000000"/>
          <w:u w:val="single"/>
        </w:rPr>
        <w:t>2</w:t>
      </w:r>
      <w:r w:rsidRPr="00BD0078">
        <w:rPr>
          <w:b/>
          <w:color w:val="000000"/>
          <w:u w:val="single"/>
        </w:rPr>
        <w:t xml:space="preserve">: </w:t>
      </w:r>
      <w:r>
        <w:rPr>
          <w:b/>
        </w:rPr>
        <w:t xml:space="preserve"> – </w:t>
      </w:r>
      <w:r w:rsidR="00EA604A">
        <w:rPr>
          <w:b/>
        </w:rPr>
        <w:t xml:space="preserve">REDACTED </w:t>
      </w:r>
    </w:p>
    <w:p w14:paraId="12B919A9" w14:textId="77777777" w:rsidR="00D575DC" w:rsidRDefault="00D575DC" w:rsidP="00AF307C">
      <w:pPr>
        <w:pStyle w:val="ScheduleLevel1"/>
        <w:numPr>
          <w:ilvl w:val="0"/>
          <w:numId w:val="0"/>
        </w:numPr>
        <w:spacing w:after="120"/>
        <w:jc w:val="left"/>
        <w:rPr>
          <w:rFonts w:cs="Arial"/>
          <w:b/>
          <w:szCs w:val="22"/>
          <w:highlight w:val="yellow"/>
        </w:rPr>
        <w:sectPr w:rsidR="00D575DC" w:rsidSect="00B40533">
          <w:endnotePr>
            <w:numFmt w:val="decimal"/>
          </w:endnotePr>
          <w:pgSz w:w="11909" w:h="16834" w:code="9"/>
          <w:pgMar w:top="1241" w:right="1440" w:bottom="1418" w:left="1440" w:header="426" w:footer="433" w:gutter="0"/>
          <w:cols w:space="720"/>
          <w:noEndnote/>
          <w:docGrid w:linePitch="299"/>
        </w:sectPr>
      </w:pPr>
    </w:p>
    <w:p w14:paraId="55B9F8B1" w14:textId="3A2D7C17" w:rsidR="00D575DC" w:rsidRDefault="00D575DC" w:rsidP="00D575DC">
      <w:pPr>
        <w:widowControl w:val="0"/>
        <w:tabs>
          <w:tab w:val="num" w:pos="540"/>
        </w:tabs>
        <w:spacing w:after="100" w:afterAutospacing="1"/>
        <w:ind w:left="851" w:hanging="851"/>
        <w:jc w:val="center"/>
        <w:outlineLvl w:val="0"/>
        <w:rPr>
          <w:rFonts w:eastAsia="Times New Roman"/>
          <w:b/>
          <w:szCs w:val="22"/>
          <w:lang w:eastAsia="en-US"/>
        </w:rPr>
      </w:pPr>
      <w:bookmarkStart w:id="195" w:name="_Toc15990255"/>
      <w:r w:rsidRPr="001167A3">
        <w:rPr>
          <w:rFonts w:eastAsia="Times New Roman"/>
          <w:b/>
          <w:szCs w:val="22"/>
          <w:lang w:eastAsia="en-US"/>
        </w:rPr>
        <w:lastRenderedPageBreak/>
        <w:t>ANNEX 4 – SUPPLIERS RESPONSE</w:t>
      </w:r>
      <w:bookmarkEnd w:id="195"/>
    </w:p>
    <w:p w14:paraId="7DFE4E86" w14:textId="48CD830B" w:rsidR="00EA604A" w:rsidRDefault="00EA604A" w:rsidP="00D575DC">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REDACTED</w:t>
      </w:r>
    </w:p>
    <w:p w14:paraId="0F292B12" w14:textId="77777777" w:rsidR="00EA604A" w:rsidRDefault="00EA604A">
      <w:pPr>
        <w:rPr>
          <w:rFonts w:eastAsia="Times New Roman"/>
          <w:b/>
          <w:szCs w:val="22"/>
          <w:lang w:eastAsia="en-US"/>
        </w:rPr>
      </w:pPr>
      <w:r>
        <w:rPr>
          <w:rFonts w:eastAsia="Times New Roman"/>
          <w:b/>
          <w:szCs w:val="22"/>
          <w:lang w:eastAsia="en-US"/>
        </w:rPr>
        <w:br w:type="page"/>
      </w:r>
    </w:p>
    <w:p w14:paraId="72DAA3DE" w14:textId="77777777" w:rsidR="00EA604A" w:rsidRDefault="00EA604A" w:rsidP="00D575DC">
      <w:pPr>
        <w:widowControl w:val="0"/>
        <w:tabs>
          <w:tab w:val="num" w:pos="540"/>
        </w:tabs>
        <w:spacing w:after="100" w:afterAutospacing="1"/>
        <w:ind w:left="851" w:hanging="851"/>
        <w:jc w:val="center"/>
        <w:outlineLvl w:val="0"/>
        <w:rPr>
          <w:rFonts w:eastAsia="Times New Roman"/>
          <w:b/>
          <w:szCs w:val="22"/>
          <w:lang w:eastAsia="en-US"/>
        </w:rPr>
      </w:pPr>
    </w:p>
    <w:p w14:paraId="7DF1E624" w14:textId="4F187351" w:rsidR="00174DC0" w:rsidRPr="00506046" w:rsidRDefault="00174DC0" w:rsidP="00D575DC">
      <w:pPr>
        <w:widowControl w:val="0"/>
        <w:tabs>
          <w:tab w:val="num" w:pos="540"/>
        </w:tabs>
        <w:spacing w:after="100" w:afterAutospacing="1"/>
        <w:ind w:left="851" w:hanging="851"/>
        <w:jc w:val="center"/>
        <w:outlineLvl w:val="0"/>
        <w:rPr>
          <w:rFonts w:eastAsia="Times New Roman"/>
          <w:b/>
          <w:szCs w:val="22"/>
          <w:lang w:eastAsia="en-US"/>
        </w:rPr>
      </w:pPr>
      <w:bookmarkStart w:id="196" w:name="_Toc437243999"/>
      <w:bookmarkStart w:id="197" w:name="_Toc15990265"/>
      <w:r w:rsidRPr="00506046">
        <w:rPr>
          <w:rFonts w:eastAsia="Times New Roman"/>
          <w:b/>
          <w:szCs w:val="22"/>
          <w:lang w:eastAsia="en-US"/>
        </w:rPr>
        <w:t>ANNEX 5 – CLARIFICATIONS</w:t>
      </w:r>
      <w:bookmarkEnd w:id="196"/>
      <w:bookmarkEnd w:id="197"/>
    </w:p>
    <w:p w14:paraId="4416EF89" w14:textId="090D5DA0" w:rsidR="00174DC0" w:rsidRPr="00913679" w:rsidRDefault="00AF307C" w:rsidP="00174DC0">
      <w:pPr>
        <w:pStyle w:val="ScheduleLevel1"/>
        <w:numPr>
          <w:ilvl w:val="0"/>
          <w:numId w:val="0"/>
        </w:numPr>
        <w:spacing w:after="120"/>
        <w:jc w:val="center"/>
        <w:rPr>
          <w:rFonts w:cs="Arial"/>
          <w:b/>
          <w:szCs w:val="22"/>
        </w:rPr>
      </w:pPr>
      <w:r>
        <w:rPr>
          <w:rFonts w:cs="Arial"/>
          <w:b/>
          <w:szCs w:val="22"/>
        </w:rPr>
        <w:t>Not Applicable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98" w:name="_Toc439318929"/>
      <w:bookmarkStart w:id="199" w:name="_Toc15990266"/>
      <w:r w:rsidRPr="000F5FE2">
        <w:rPr>
          <w:rFonts w:eastAsia="Times New Roman"/>
          <w:b/>
          <w:szCs w:val="22"/>
          <w:lang w:eastAsia="en-US"/>
        </w:rPr>
        <w:lastRenderedPageBreak/>
        <w:t>ANNEX 6 – ADDITIONAL TERMS &amp; CONDITIONS</w:t>
      </w:r>
      <w:bookmarkEnd w:id="198"/>
      <w:bookmarkEnd w:id="199"/>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200" w:name="2et92p0" w:colFirst="0" w:colLast="0"/>
      <w:bookmarkEnd w:id="200"/>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201" w:name="tyjcwt" w:colFirst="0" w:colLast="0"/>
      <w:bookmarkEnd w:id="201"/>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202" w:name="3dy6vkm" w:colFirst="0" w:colLast="0"/>
      <w:bookmarkEnd w:id="202"/>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203" w:name="1t3h5sf" w:colFirst="0" w:colLast="0"/>
      <w:bookmarkEnd w:id="203"/>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204" w:name="4d34og8" w:colFirst="0" w:colLast="0"/>
      <w:bookmarkEnd w:id="204"/>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205" w:name="2s8eyo1" w:colFirst="0" w:colLast="0"/>
      <w:bookmarkEnd w:id="205"/>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206" w:name="17dp8vu" w:colFirst="0" w:colLast="0"/>
      <w:bookmarkEnd w:id="206"/>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207" w:name="3rdcrjn" w:colFirst="0" w:colLast="0"/>
      <w:bookmarkEnd w:id="207"/>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208" w:name="26in1rg" w:colFirst="0" w:colLast="0"/>
      <w:bookmarkEnd w:id="208"/>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209" w:name="lnxbz9" w:colFirst="0" w:colLast="0"/>
      <w:bookmarkEnd w:id="209"/>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210" w:name="35nkun2" w:colFirst="0" w:colLast="0"/>
      <w:bookmarkEnd w:id="210"/>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211" w:name="1ksv4uv" w:colFirst="0" w:colLast="0"/>
      <w:bookmarkEnd w:id="211"/>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212" w:name="44sinio" w:colFirst="0" w:colLast="0"/>
      <w:bookmarkEnd w:id="212"/>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213" w:name="2jxsxqh" w:colFirst="0" w:colLast="0"/>
      <w:bookmarkEnd w:id="213"/>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65C6B7A9" w:rsidR="00865B8F" w:rsidRPr="007A4AB1" w:rsidRDefault="00865B8F" w:rsidP="00865B8F">
      <w:pPr>
        <w:rPr>
          <w:rFonts w:cs="Arial"/>
          <w:b/>
          <w:iCs/>
          <w:color w:val="000000"/>
          <w:lang w:bidi="he-IL"/>
        </w:rPr>
      </w:pPr>
      <w:r w:rsidRPr="007A4AB1">
        <w:rPr>
          <w:rFonts w:cs="Arial"/>
          <w:b/>
          <w:iCs/>
          <w:color w:val="000000"/>
          <w:lang w:bidi="he-IL"/>
        </w:rPr>
        <w:lastRenderedPageBreak/>
        <w:t>Annex 1 –</w:t>
      </w:r>
      <w:r w:rsidR="00A62224">
        <w:rPr>
          <w:rFonts w:cs="Arial"/>
          <w:b/>
          <w:iCs/>
          <w:color w:val="000000"/>
          <w:lang w:bidi="he-IL"/>
        </w:rPr>
        <w:t xml:space="preserve"> </w:t>
      </w:r>
      <w:r w:rsidRPr="007A4AB1">
        <w:rPr>
          <w:rFonts w:cs="Arial"/>
          <w:b/>
          <w:iCs/>
          <w:color w:val="000000"/>
          <w:lang w:bidi="he-IL"/>
        </w:rPr>
        <w:t xml:space="preserve">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1E5F406C" w14:textId="49C23CCF" w:rsidR="00B77929" w:rsidRPr="00B77929" w:rsidRDefault="00EA604A" w:rsidP="00B77929">
      <w:pPr>
        <w:ind w:left="720"/>
        <w:rPr>
          <w:b/>
        </w:rPr>
      </w:pPr>
      <w:r>
        <w:rPr>
          <w:b/>
        </w:rPr>
        <w:t>REDACTED</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014AB176" w14:textId="52124B27" w:rsidR="00954A26" w:rsidRPr="00954A26" w:rsidRDefault="00EA604A" w:rsidP="00954A26">
      <w:pPr>
        <w:ind w:left="720"/>
        <w:rPr>
          <w:b/>
        </w:rPr>
      </w:pPr>
      <w:r>
        <w:rPr>
          <w:b/>
        </w:rPr>
        <w:t>REDACTED</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26474A1A" w14:textId="7F039E8A" w:rsidR="00865B8F" w:rsidRPr="00A62224" w:rsidRDefault="00865B8F" w:rsidP="00A62224">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5969"/>
      </w:tblGrid>
      <w:tr w:rsidR="00A62224" w:rsidRPr="007A4AB1" w14:paraId="41427A55" w14:textId="77777777" w:rsidTr="00D575DC">
        <w:trPr>
          <w:trHeight w:val="716"/>
        </w:trPr>
        <w:tc>
          <w:tcPr>
            <w:tcW w:w="3143" w:type="dxa"/>
            <w:shd w:val="clear" w:color="auto" w:fill="BFBFBF"/>
            <w:vAlign w:val="center"/>
          </w:tcPr>
          <w:p w14:paraId="2E3F4834" w14:textId="77777777" w:rsidR="00A62224" w:rsidRPr="007A4AB1" w:rsidRDefault="00A62224" w:rsidP="00D575DC">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CC1C8D5" w14:textId="77777777" w:rsidR="00A62224" w:rsidRPr="007A4AB1" w:rsidRDefault="00A62224" w:rsidP="00D575DC">
            <w:pPr>
              <w:spacing w:line="240" w:lineRule="exact"/>
              <w:jc w:val="center"/>
              <w:rPr>
                <w:rFonts w:eastAsia="Calibri" w:cs="Arial"/>
                <w:lang w:val="en-US" w:eastAsia="en-US"/>
              </w:rPr>
            </w:pPr>
            <w:r>
              <w:rPr>
                <w:rFonts w:eastAsia="Calibri" w:cs="Arial"/>
                <w:b/>
                <w:lang w:val="en-US" w:eastAsia="en-US"/>
              </w:rPr>
              <w:t>CCHR19A40</w:t>
            </w:r>
          </w:p>
        </w:tc>
      </w:tr>
      <w:tr w:rsidR="00A62224" w:rsidRPr="007A4AB1" w14:paraId="681FF12D" w14:textId="77777777" w:rsidTr="00D575DC">
        <w:trPr>
          <w:trHeight w:val="716"/>
        </w:trPr>
        <w:tc>
          <w:tcPr>
            <w:tcW w:w="3143" w:type="dxa"/>
            <w:shd w:val="clear" w:color="auto" w:fill="BFBFBF"/>
            <w:vAlign w:val="center"/>
          </w:tcPr>
          <w:p w14:paraId="2E5BD863" w14:textId="77777777" w:rsidR="00A62224" w:rsidRPr="007A4AB1" w:rsidRDefault="00A62224" w:rsidP="00D575DC">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148908B6" w14:textId="3408CACA" w:rsidR="00A62224" w:rsidRPr="007A4AB1" w:rsidRDefault="00A62224" w:rsidP="00D575DC">
            <w:pPr>
              <w:spacing w:line="240" w:lineRule="exact"/>
              <w:jc w:val="center"/>
              <w:rPr>
                <w:rFonts w:eastAsia="Calibri" w:cs="Arial"/>
                <w:b/>
                <w:highlight w:val="yellow"/>
                <w:lang w:val="en-US" w:eastAsia="en-US"/>
              </w:rPr>
            </w:pPr>
            <w:r>
              <w:rPr>
                <w:rFonts w:eastAsia="Calibri" w:cs="Arial"/>
                <w:b/>
                <w:lang w:val="en-US" w:eastAsia="en-US"/>
              </w:rPr>
              <w:t>8</w:t>
            </w:r>
            <w:r w:rsidRPr="00A62224">
              <w:rPr>
                <w:rFonts w:eastAsia="Calibri" w:cs="Arial"/>
                <w:b/>
                <w:vertAlign w:val="superscript"/>
                <w:lang w:val="en-US" w:eastAsia="en-US"/>
              </w:rPr>
              <w:t>th</w:t>
            </w:r>
            <w:r>
              <w:rPr>
                <w:rFonts w:eastAsia="Calibri" w:cs="Arial"/>
                <w:b/>
                <w:lang w:val="en-US" w:eastAsia="en-US"/>
              </w:rPr>
              <w:t xml:space="preserve"> August 2019</w:t>
            </w:r>
          </w:p>
        </w:tc>
      </w:tr>
      <w:tr w:rsidR="00A62224" w:rsidRPr="007A4AB1" w14:paraId="05548DC0" w14:textId="77777777" w:rsidTr="00D575DC">
        <w:trPr>
          <w:trHeight w:val="716"/>
        </w:trPr>
        <w:tc>
          <w:tcPr>
            <w:tcW w:w="3143" w:type="dxa"/>
            <w:shd w:val="clear" w:color="auto" w:fill="BFBFBF"/>
            <w:vAlign w:val="center"/>
          </w:tcPr>
          <w:p w14:paraId="2C743AFE" w14:textId="77777777" w:rsidR="00A62224" w:rsidRPr="007A4AB1" w:rsidRDefault="00A62224" w:rsidP="00D575DC">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6099" w:type="dxa"/>
            <w:shd w:val="clear" w:color="auto" w:fill="BFBFBF"/>
            <w:vAlign w:val="center"/>
          </w:tcPr>
          <w:p w14:paraId="0207EE7B" w14:textId="77777777" w:rsidR="00A62224" w:rsidRPr="007A4AB1" w:rsidRDefault="00A62224" w:rsidP="00D575DC">
            <w:pPr>
              <w:spacing w:line="240" w:lineRule="exact"/>
              <w:jc w:val="center"/>
              <w:rPr>
                <w:rFonts w:eastAsia="Calibri" w:cs="Arial"/>
                <w:b/>
                <w:lang w:val="en-US" w:eastAsia="en-US"/>
              </w:rPr>
            </w:pPr>
            <w:r w:rsidRPr="007A4AB1">
              <w:rPr>
                <w:rFonts w:eastAsia="Calibri" w:cs="Arial"/>
                <w:b/>
                <w:lang w:val="en-US" w:eastAsia="en-US"/>
              </w:rPr>
              <w:t>Details</w:t>
            </w:r>
          </w:p>
        </w:tc>
      </w:tr>
      <w:tr w:rsidR="00A62224" w:rsidRPr="007A4AB1" w14:paraId="48EF2B20" w14:textId="77777777" w:rsidTr="00D575DC">
        <w:trPr>
          <w:trHeight w:val="485"/>
        </w:trPr>
        <w:tc>
          <w:tcPr>
            <w:tcW w:w="3143" w:type="dxa"/>
            <w:shd w:val="clear" w:color="auto" w:fill="auto"/>
          </w:tcPr>
          <w:p w14:paraId="17CEA08C" w14:textId="77777777" w:rsidR="00A62224" w:rsidRPr="007A4AB1" w:rsidRDefault="00A62224" w:rsidP="00D575DC">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6CF1E241" w14:textId="77777777" w:rsidR="00A62224" w:rsidRPr="007A4AB1" w:rsidRDefault="00A62224" w:rsidP="00D575DC">
            <w:pPr>
              <w:spacing w:before="280" w:after="120"/>
              <w:ind w:left="720"/>
              <w:rPr>
                <w:rFonts w:eastAsia="Calibri" w:cs="Arial"/>
                <w:lang w:eastAsia="en-US"/>
              </w:rPr>
            </w:pPr>
            <w:r w:rsidRPr="007A4AB1">
              <w:rPr>
                <w:rFonts w:eastAsia="Calibri" w:cs="Arial"/>
                <w:lang w:eastAsia="en-US"/>
              </w:rPr>
              <w:t>Notwithstanding Clause 1.1 the Parties acknowledge that for the purposes of the Data Protection Legislation:</w:t>
            </w:r>
          </w:p>
          <w:p w14:paraId="1681CC8B" w14:textId="77777777" w:rsidR="00A62224" w:rsidRPr="007A4AB1" w:rsidRDefault="00A62224" w:rsidP="00D575DC">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t xml:space="preserve">the </w:t>
            </w:r>
            <w:r>
              <w:rPr>
                <w:rFonts w:eastAsia="Calibri" w:cs="Arial"/>
                <w:lang w:val="en-US" w:eastAsia="en-US"/>
              </w:rPr>
              <w:t>Customer</w:t>
            </w:r>
            <w:r w:rsidRPr="007A4AB1">
              <w:rPr>
                <w:rFonts w:eastAsia="Calibri" w:cs="Arial"/>
                <w:lang w:val="en-US" w:eastAsia="en-US"/>
              </w:rPr>
              <w:t xml:space="preserve"> is the Controller and the </w:t>
            </w:r>
            <w:r>
              <w:rPr>
                <w:rFonts w:eastAsia="Calibri" w:cs="Arial"/>
                <w:lang w:val="en-US" w:eastAsia="en-US"/>
              </w:rPr>
              <w:t xml:space="preserve">Supplier </w:t>
            </w:r>
            <w:r w:rsidRPr="007A4AB1">
              <w:rPr>
                <w:rFonts w:eastAsia="Calibri" w:cs="Arial"/>
                <w:lang w:val="en-US" w:eastAsia="en-US"/>
              </w:rPr>
              <w:t>is the Processor for the following Personal Data under this Contract:</w:t>
            </w:r>
          </w:p>
          <w:p w14:paraId="0C90A22D" w14:textId="77777777" w:rsidR="00A62224" w:rsidRPr="00336839" w:rsidRDefault="00A62224" w:rsidP="00D575DC">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Pr>
                <w:rFonts w:eastAsia="Calibri" w:cs="Arial"/>
                <w:b/>
                <w:lang w:val="en-US" w:eastAsia="en-US"/>
              </w:rPr>
              <w:t>any and all personal data within scope of GDPR not already legally held by the Supplier and collected for the purposes of responding to an advert for a Customer role</w:t>
            </w:r>
            <w:r w:rsidRPr="00336839">
              <w:rPr>
                <w:rFonts w:eastAsia="Calibri" w:cs="Arial"/>
                <w:b/>
                <w:lang w:val="en-US" w:eastAsia="en-US"/>
              </w:rPr>
              <w:t xml:space="preserve">  </w:t>
            </w:r>
          </w:p>
          <w:p w14:paraId="23AA5C3C" w14:textId="77777777" w:rsidR="00A62224" w:rsidRPr="007A4AB1" w:rsidRDefault="00A62224" w:rsidP="00D575DC">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t xml:space="preserve">the Supplier is the Controller and the </w:t>
            </w:r>
            <w:r>
              <w:rPr>
                <w:rFonts w:eastAsia="Calibri" w:cs="Arial"/>
                <w:lang w:val="en-US" w:eastAsia="en-US"/>
              </w:rPr>
              <w:t>Customer</w:t>
            </w:r>
            <w:r w:rsidRPr="007A4AB1">
              <w:rPr>
                <w:rFonts w:eastAsia="Calibri" w:cs="Arial"/>
                <w:lang w:val="en-US" w:eastAsia="en-US"/>
              </w:rPr>
              <w:t xml:space="preserve"> is the Processor for the following Personal Data under this Contract:</w:t>
            </w:r>
          </w:p>
          <w:p w14:paraId="59A13300" w14:textId="77777777" w:rsidR="00A62224" w:rsidRPr="00D25599" w:rsidRDefault="00A62224" w:rsidP="00D575DC">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Pr>
                <w:rFonts w:eastAsia="Calibri" w:cs="Arial"/>
                <w:b/>
                <w:lang w:val="en-US" w:eastAsia="en-US"/>
              </w:rPr>
              <w:t>data already legally held by the Supplier in its normal course of business e.g. client databases</w:t>
            </w:r>
          </w:p>
          <w:p w14:paraId="182E729A" w14:textId="77777777" w:rsidR="00A62224" w:rsidRPr="007A4AB1" w:rsidRDefault="00A62224" w:rsidP="00D575DC">
            <w:pPr>
              <w:spacing w:line="240" w:lineRule="exact"/>
              <w:rPr>
                <w:rFonts w:eastAsia="Calibri" w:cs="Arial"/>
                <w:lang w:val="en-US" w:eastAsia="en-US"/>
              </w:rPr>
            </w:pPr>
            <w:r w:rsidRPr="007A4AB1">
              <w:rPr>
                <w:rFonts w:eastAsia="Calibri" w:cs="Arial"/>
                <w:b/>
                <w:lang w:eastAsia="en-US"/>
              </w:rPr>
              <w:t xml:space="preserve"> </w:t>
            </w:r>
          </w:p>
        </w:tc>
      </w:tr>
      <w:tr w:rsidR="00A62224" w:rsidRPr="007A4AB1" w14:paraId="586F41AD" w14:textId="77777777" w:rsidTr="00D575DC">
        <w:trPr>
          <w:trHeight w:val="961"/>
        </w:trPr>
        <w:tc>
          <w:tcPr>
            <w:tcW w:w="3143" w:type="dxa"/>
            <w:shd w:val="clear" w:color="auto" w:fill="auto"/>
          </w:tcPr>
          <w:p w14:paraId="1A5658C6" w14:textId="77777777" w:rsidR="00A62224" w:rsidRPr="007A4AB1" w:rsidRDefault="00A62224" w:rsidP="00D575DC">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7D9857DA" w14:textId="77777777" w:rsidR="00A62224" w:rsidRPr="007A4AB1" w:rsidRDefault="00A62224" w:rsidP="00D575DC">
            <w:pPr>
              <w:spacing w:line="240" w:lineRule="exact"/>
              <w:rPr>
                <w:rFonts w:eastAsia="Calibri" w:cs="Arial"/>
                <w:lang w:val="en-US" w:eastAsia="en-US"/>
              </w:rPr>
            </w:pPr>
            <w:r>
              <w:rPr>
                <w:rFonts w:eastAsia="Calibri"/>
                <w:lang w:val="en-US" w:eastAsia="en-US"/>
              </w:rPr>
              <w:t>For the purposes of providing Executive Search services as part of a recruitment exercise for Non-Executive positions within the Customer’s portfolio.</w:t>
            </w:r>
          </w:p>
        </w:tc>
      </w:tr>
      <w:tr w:rsidR="00A62224" w:rsidRPr="007A4AB1" w14:paraId="7DA38ED1" w14:textId="77777777" w:rsidTr="00D575DC">
        <w:trPr>
          <w:trHeight w:val="1462"/>
        </w:trPr>
        <w:tc>
          <w:tcPr>
            <w:tcW w:w="3143" w:type="dxa"/>
            <w:shd w:val="clear" w:color="auto" w:fill="auto"/>
          </w:tcPr>
          <w:p w14:paraId="3F3770E0" w14:textId="77777777" w:rsidR="00A62224" w:rsidRPr="007A4AB1" w:rsidRDefault="00A62224" w:rsidP="00D575DC">
            <w:pPr>
              <w:spacing w:line="240" w:lineRule="exact"/>
              <w:rPr>
                <w:rFonts w:eastAsia="Calibri" w:cs="Arial"/>
                <w:lang w:val="en-US" w:eastAsia="en-US"/>
              </w:rPr>
            </w:pPr>
            <w:r w:rsidRPr="007A4AB1">
              <w:rPr>
                <w:rFonts w:eastAsia="Calibri" w:cs="Arial"/>
                <w:lang w:val="en-US" w:eastAsia="en-US"/>
              </w:rPr>
              <w:lastRenderedPageBreak/>
              <w:t>Duration of the processing</w:t>
            </w:r>
          </w:p>
        </w:tc>
        <w:tc>
          <w:tcPr>
            <w:tcW w:w="6099" w:type="dxa"/>
            <w:shd w:val="clear" w:color="auto" w:fill="auto"/>
          </w:tcPr>
          <w:p w14:paraId="4CF211D9" w14:textId="77777777" w:rsidR="00A62224" w:rsidRPr="007A4AB1" w:rsidRDefault="00A62224" w:rsidP="00D575DC">
            <w:pPr>
              <w:spacing w:line="240" w:lineRule="exact"/>
              <w:rPr>
                <w:rFonts w:eastAsia="Calibri" w:cs="Arial"/>
                <w:lang w:val="en-US" w:eastAsia="en-US"/>
              </w:rPr>
            </w:pPr>
            <w:r>
              <w:rPr>
                <w:rFonts w:eastAsia="Calibri"/>
                <w:lang w:val="en-US" w:eastAsia="en-US"/>
              </w:rPr>
              <w:t>For the term of the Contract – data will be held for the term of the recruitment and for any necessary post recruitment processing within HM Government. Where explicit consent is obtained from the subject, data from the long-list will be retained for the term of the contract through to December 2020 unless otherwise extended or varied in line with the terms of the contract.</w:t>
            </w:r>
          </w:p>
        </w:tc>
      </w:tr>
      <w:tr w:rsidR="00A62224" w:rsidRPr="007A4AB1" w14:paraId="48C67E7A" w14:textId="77777777" w:rsidTr="00D575DC">
        <w:trPr>
          <w:trHeight w:val="1536"/>
        </w:trPr>
        <w:tc>
          <w:tcPr>
            <w:tcW w:w="3143" w:type="dxa"/>
            <w:shd w:val="clear" w:color="auto" w:fill="auto"/>
          </w:tcPr>
          <w:p w14:paraId="06AAD1BA" w14:textId="77777777" w:rsidR="00A62224" w:rsidRPr="007A4AB1" w:rsidRDefault="00A62224" w:rsidP="00D575DC">
            <w:pPr>
              <w:spacing w:line="240" w:lineRule="exact"/>
              <w:rPr>
                <w:rFonts w:eastAsia="Calibri" w:cs="Arial"/>
                <w:lang w:val="en-US" w:eastAsia="en-US"/>
              </w:rPr>
            </w:pPr>
            <w:r w:rsidRPr="007A4AB1">
              <w:rPr>
                <w:rFonts w:eastAsia="Calibri" w:cs="Arial"/>
                <w:lang w:val="en-US" w:eastAsia="en-US"/>
              </w:rPr>
              <w:t>Nature and purposes of the processing</w:t>
            </w:r>
          </w:p>
        </w:tc>
        <w:tc>
          <w:tcPr>
            <w:tcW w:w="6099" w:type="dxa"/>
            <w:shd w:val="clear" w:color="auto" w:fill="auto"/>
          </w:tcPr>
          <w:p w14:paraId="623C9254" w14:textId="77777777" w:rsidR="00A62224" w:rsidRPr="007A4AB1" w:rsidRDefault="00A62224" w:rsidP="00D575DC">
            <w:pPr>
              <w:spacing w:line="240" w:lineRule="exact"/>
              <w:rPr>
                <w:rFonts w:eastAsia="Calibri" w:cs="Arial"/>
                <w:lang w:val="en-US" w:eastAsia="en-US"/>
              </w:rPr>
            </w:pPr>
            <w:r>
              <w:rPr>
                <w:rFonts w:eastAsia="Calibri"/>
                <w:lang w:val="en-US" w:eastAsia="en-US"/>
              </w:rPr>
              <w:t>The data will be held by the Customer for the purposes of identifying and selecting the candidate for the role, including communicating as necessary within HM Government. Separately, data from all candidates under consideration will also be held for the duration of the contract where explicit permission is obtained from the data subject, for the purposes of consideration of further opportunities across the Customer’s asset portfolio.</w:t>
            </w:r>
          </w:p>
        </w:tc>
      </w:tr>
      <w:tr w:rsidR="00A62224" w:rsidRPr="007A4AB1" w14:paraId="240AF289" w14:textId="77777777" w:rsidTr="00D575DC">
        <w:trPr>
          <w:trHeight w:val="1412"/>
        </w:trPr>
        <w:tc>
          <w:tcPr>
            <w:tcW w:w="3143" w:type="dxa"/>
            <w:shd w:val="clear" w:color="auto" w:fill="auto"/>
          </w:tcPr>
          <w:p w14:paraId="01EEDF9F" w14:textId="77777777" w:rsidR="00A62224" w:rsidRPr="007A4AB1" w:rsidRDefault="00A62224" w:rsidP="00D575DC">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44058D4F" w14:textId="77777777" w:rsidR="00A62224" w:rsidRPr="007A4AB1" w:rsidRDefault="00A62224" w:rsidP="00D575DC">
            <w:pPr>
              <w:spacing w:line="240" w:lineRule="exact"/>
              <w:rPr>
                <w:rFonts w:eastAsia="Calibri" w:cs="Arial"/>
                <w:lang w:val="en-US" w:eastAsia="en-US"/>
              </w:rPr>
            </w:pPr>
            <w:r>
              <w:rPr>
                <w:rFonts w:eastAsia="Calibri"/>
                <w:lang w:val="en-US" w:eastAsia="en-US"/>
              </w:rPr>
              <w:t>N</w:t>
            </w:r>
            <w:r w:rsidRPr="0078231F">
              <w:rPr>
                <w:rFonts w:eastAsia="Calibri"/>
                <w:lang w:val="en-US" w:eastAsia="en-US"/>
              </w:rPr>
              <w:t>ame, address, date of birth, employment history, NI number, telephone number, pay, images, etc.</w:t>
            </w:r>
          </w:p>
        </w:tc>
      </w:tr>
      <w:tr w:rsidR="00A62224" w:rsidRPr="007A4AB1" w14:paraId="4FCC300F" w14:textId="77777777" w:rsidTr="00D575DC">
        <w:trPr>
          <w:trHeight w:val="1560"/>
        </w:trPr>
        <w:tc>
          <w:tcPr>
            <w:tcW w:w="3143" w:type="dxa"/>
            <w:shd w:val="clear" w:color="auto" w:fill="auto"/>
          </w:tcPr>
          <w:p w14:paraId="53072C4A" w14:textId="77777777" w:rsidR="00A62224" w:rsidRPr="007A4AB1" w:rsidRDefault="00A62224" w:rsidP="00D575DC">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553AE767" w14:textId="77777777" w:rsidR="00A62224" w:rsidRPr="007A4AB1" w:rsidRDefault="00A62224" w:rsidP="00D575DC">
            <w:pPr>
              <w:spacing w:line="240" w:lineRule="exact"/>
              <w:rPr>
                <w:rFonts w:eastAsia="Calibri" w:cs="Arial"/>
                <w:lang w:val="en-US" w:eastAsia="en-US"/>
              </w:rPr>
            </w:pPr>
            <w:r>
              <w:rPr>
                <w:rFonts w:eastAsia="Calibri"/>
                <w:lang w:val="en-US" w:eastAsia="en-US"/>
              </w:rPr>
              <w:t>Citizen and staff (if appointed) data will be retained.</w:t>
            </w:r>
          </w:p>
        </w:tc>
      </w:tr>
      <w:tr w:rsidR="00A62224" w:rsidRPr="007A4AB1" w14:paraId="5FB24588" w14:textId="77777777" w:rsidTr="00D575DC">
        <w:trPr>
          <w:trHeight w:val="1560"/>
        </w:trPr>
        <w:tc>
          <w:tcPr>
            <w:tcW w:w="3143" w:type="dxa"/>
            <w:shd w:val="clear" w:color="auto" w:fill="auto"/>
          </w:tcPr>
          <w:p w14:paraId="675CA0E3" w14:textId="77777777" w:rsidR="00A62224" w:rsidRPr="007A4AB1" w:rsidRDefault="00A62224" w:rsidP="00D575DC">
            <w:pPr>
              <w:spacing w:line="240" w:lineRule="exact"/>
              <w:rPr>
                <w:rFonts w:eastAsia="Calibri" w:cs="Arial"/>
                <w:lang w:val="en-US" w:eastAsia="en-US"/>
              </w:rPr>
            </w:pPr>
            <w:r>
              <w:rPr>
                <w:rFonts w:eastAsia="Calibri" w:cs="Arial"/>
                <w:lang w:val="en-US" w:eastAsia="en-US"/>
              </w:rPr>
              <w:t>Data Retention</w:t>
            </w:r>
          </w:p>
        </w:tc>
        <w:tc>
          <w:tcPr>
            <w:tcW w:w="6099" w:type="dxa"/>
            <w:shd w:val="clear" w:color="auto" w:fill="auto"/>
          </w:tcPr>
          <w:p w14:paraId="679524D1" w14:textId="77777777" w:rsidR="00A62224" w:rsidRPr="007A4AB1" w:rsidRDefault="00A62224" w:rsidP="00D575DC">
            <w:pPr>
              <w:spacing w:line="240" w:lineRule="exact"/>
              <w:rPr>
                <w:rFonts w:eastAsia="Calibri"/>
                <w:lang w:val="en-US" w:eastAsia="en-US"/>
              </w:rPr>
            </w:pPr>
            <w:r>
              <w:rPr>
                <w:rFonts w:eastAsia="Calibri"/>
                <w:lang w:val="en-US" w:eastAsia="en-US"/>
              </w:rPr>
              <w:t>At the end of the contract / agreed retention period, the data will be deleted from the Authority’s systems.</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214" w:name="_Toc440457130"/>
      <w:bookmarkStart w:id="215" w:name="_Toc15990267"/>
      <w:r w:rsidRPr="00D66848">
        <w:rPr>
          <w:rFonts w:eastAsia="Times New Roman"/>
          <w:b/>
          <w:szCs w:val="22"/>
          <w:lang w:eastAsia="en-US"/>
        </w:rPr>
        <w:lastRenderedPageBreak/>
        <w:t>ANNEX 7 – CHANGE CONTROL FORMS</w:t>
      </w:r>
      <w:bookmarkEnd w:id="214"/>
      <w:bookmarkEnd w:id="215"/>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D575DC" w:rsidRDefault="00D575D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107"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D575DC" w:rsidRDefault="00D575DC"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D575DC" w:rsidRDefault="00D575D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108"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D575DC" w:rsidRDefault="00D575DC"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D575DC" w:rsidRDefault="00D575D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109"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D575DC" w:rsidRDefault="00D575DC"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D575DC" w:rsidRDefault="00D575D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110"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D575DC" w:rsidRDefault="00D575DC"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D575DC" w:rsidRDefault="00D575D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111"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D575DC" w:rsidRDefault="00D575DC"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D575DC" w:rsidRDefault="00D575D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112"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D575DC" w:rsidRDefault="00D575DC"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D575DC" w:rsidRDefault="00D575D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113"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D575DC" w:rsidRDefault="00D575DC"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D575DC" w:rsidRDefault="00D575D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114"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D575DC" w:rsidRDefault="00D575DC"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D575DC" w:rsidRDefault="00D575D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115"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D575DC" w:rsidRDefault="00D575DC"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D575DC" w:rsidRDefault="00D575DC">
      <w:pPr>
        <w:spacing w:line="20" w:lineRule="exact"/>
      </w:pPr>
    </w:p>
  </w:endnote>
  <w:endnote w:type="continuationSeparator" w:id="0">
    <w:p w14:paraId="0DA0E19E" w14:textId="77777777" w:rsidR="00D575DC" w:rsidRDefault="00D575DC">
      <w:pPr>
        <w:spacing w:line="20" w:lineRule="exact"/>
      </w:pPr>
      <w:r>
        <w:t xml:space="preserve"> </w:t>
      </w:r>
    </w:p>
  </w:endnote>
  <w:endnote w:type="continuationNotice" w:id="1">
    <w:p w14:paraId="397CC4BC" w14:textId="77777777" w:rsidR="00D575DC" w:rsidRDefault="00D575D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D575DC" w:rsidRDefault="00D575DC"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D575DC" w:rsidRDefault="00D575DC"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D575DC" w:rsidRDefault="00D575DC"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D575DC" w:rsidRPr="00C34E12" w:rsidRDefault="00D575DC"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D575DC" w:rsidRDefault="00D575DC"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D575DC" w:rsidRPr="00A65391" w:rsidRDefault="00D575DC"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413945"/>
      <w:docPartObj>
        <w:docPartGallery w:val="Page Numbers (Bottom of Page)"/>
        <w:docPartUnique/>
      </w:docPartObj>
    </w:sdtPr>
    <w:sdtEndPr>
      <w:rPr>
        <w:noProof/>
      </w:rPr>
    </w:sdtEndPr>
    <w:sdtContent>
      <w:p w14:paraId="0F0239A2" w14:textId="77777777" w:rsidR="00D575DC" w:rsidRPr="00CE50FE" w:rsidRDefault="00D575DC" w:rsidP="00F70073">
        <w:pPr>
          <w:pStyle w:val="Footer"/>
          <w:pBdr>
            <w:top w:val="single" w:sz="4" w:space="1" w:color="auto"/>
          </w:pBdr>
          <w:jc w:val="center"/>
          <w:rPr>
            <w:sz w:val="20"/>
            <w:szCs w:val="20"/>
          </w:rPr>
        </w:pPr>
        <w:r w:rsidRPr="00CE50FE">
          <w:rPr>
            <w:sz w:val="20"/>
            <w:szCs w:val="20"/>
          </w:rPr>
          <w:t>OFFICIAL</w:t>
        </w:r>
      </w:p>
      <w:p w14:paraId="6369C02F" w14:textId="77777777" w:rsidR="00D575DC" w:rsidRPr="00CE50FE" w:rsidRDefault="00D575DC"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66B56BBB" w:rsidR="00D575DC" w:rsidRPr="00CE50FE" w:rsidRDefault="00D575DC"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62745B9E" w:rsidR="00D575DC" w:rsidRPr="00CE50FE" w:rsidRDefault="00D575DC" w:rsidP="00F70073">
        <w:pPr>
          <w:pStyle w:val="Footer"/>
          <w:pBdr>
            <w:top w:val="single" w:sz="4" w:space="1" w:color="auto"/>
          </w:pBdr>
          <w:jc w:val="right"/>
          <w:rPr>
            <w:sz w:val="20"/>
            <w:szCs w:val="20"/>
          </w:rPr>
        </w:pPr>
        <w:r>
          <w:rPr>
            <w:sz w:val="20"/>
            <w:szCs w:val="20"/>
          </w:rPr>
          <w:t>V1.0 6</w:t>
        </w:r>
        <w:r w:rsidRPr="00D34978">
          <w:rPr>
            <w:sz w:val="20"/>
            <w:szCs w:val="20"/>
            <w:vertAlign w:val="superscript"/>
          </w:rPr>
          <w:t>th</w:t>
        </w:r>
        <w:r>
          <w:rPr>
            <w:sz w:val="20"/>
            <w:szCs w:val="20"/>
          </w:rPr>
          <w:t xml:space="preserve"> August 2019</w:t>
        </w:r>
      </w:p>
      <w:p w14:paraId="3085C604" w14:textId="7E1469B7" w:rsidR="00D575DC" w:rsidRDefault="00D575DC"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EA604A">
          <w:rPr>
            <w:noProof/>
            <w:sz w:val="20"/>
            <w:szCs w:val="20"/>
          </w:rPr>
          <w:t>40</w:t>
        </w:r>
        <w:r w:rsidRPr="00CE50FE">
          <w:rPr>
            <w:noProof/>
            <w:sz w:val="20"/>
            <w:szCs w:val="20"/>
          </w:rPr>
          <w:fldChar w:fldCharType="end"/>
        </w:r>
      </w:p>
    </w:sdtContent>
  </w:sdt>
  <w:p w14:paraId="170A480B" w14:textId="77777777" w:rsidR="00D575DC" w:rsidRPr="00360755" w:rsidRDefault="00D575DC"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D575DC" w:rsidRDefault="00D575DC">
      <w:r>
        <w:separator/>
      </w:r>
    </w:p>
  </w:footnote>
  <w:footnote w:type="continuationSeparator" w:id="0">
    <w:p w14:paraId="29CDF82A" w14:textId="77777777" w:rsidR="00D575DC" w:rsidRDefault="00D575DC">
      <w:r>
        <w:continuationSeparator/>
      </w:r>
    </w:p>
  </w:footnote>
  <w:footnote w:type="continuationNotice" w:id="1">
    <w:p w14:paraId="3158D084" w14:textId="77777777" w:rsidR="00D575DC" w:rsidRDefault="00D575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D575DC" w:rsidRDefault="00D575DC"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D575DC" w:rsidRDefault="00D575DC" w:rsidP="00F3190B">
    <w:pPr>
      <w:pStyle w:val="Header"/>
      <w:jc w:val="center"/>
      <w:rPr>
        <w:b/>
      </w:rPr>
    </w:pPr>
  </w:p>
  <w:p w14:paraId="64559850" w14:textId="77777777" w:rsidR="00D575DC" w:rsidRDefault="00D575DC"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D575DC" w:rsidRDefault="00D575DC"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3"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555B4394" w:rsidR="00D575DC" w:rsidRDefault="00D575DC"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Terms and Conditions</w:t>
    </w:r>
  </w:p>
  <w:p w14:paraId="022C7E11" w14:textId="2614770C" w:rsidR="00D575DC" w:rsidRPr="00D34978" w:rsidRDefault="00D575DC" w:rsidP="00F70073">
    <w:pPr>
      <w:pStyle w:val="Header"/>
      <w:pBdr>
        <w:bottom w:val="single" w:sz="4" w:space="1" w:color="auto"/>
      </w:pBdr>
      <w:jc w:val="center"/>
      <w:rPr>
        <w:rFonts w:cs="Arial"/>
        <w:sz w:val="20"/>
        <w:szCs w:val="20"/>
      </w:rPr>
    </w:pPr>
    <w:r w:rsidRPr="00D34978">
      <w:rPr>
        <w:rFonts w:cs="Arial"/>
        <w:sz w:val="20"/>
        <w:szCs w:val="20"/>
      </w:rPr>
      <w:t>The Provision of Executive Search Services</w:t>
    </w:r>
  </w:p>
  <w:p w14:paraId="7FECFEFB" w14:textId="0C825086" w:rsidR="00D575DC" w:rsidRDefault="00D575DC" w:rsidP="00F70073">
    <w:pPr>
      <w:pStyle w:val="Header"/>
      <w:pBdr>
        <w:bottom w:val="single" w:sz="4" w:space="1" w:color="auto"/>
      </w:pBdr>
      <w:jc w:val="center"/>
      <w:rPr>
        <w:rFonts w:cs="Arial"/>
        <w:sz w:val="20"/>
        <w:szCs w:val="20"/>
      </w:rPr>
    </w:pPr>
    <w:r w:rsidRPr="00D34978">
      <w:rPr>
        <w:rFonts w:cs="Arial"/>
        <w:sz w:val="20"/>
        <w:szCs w:val="20"/>
      </w:rPr>
      <w:t>CCHR19A40</w:t>
    </w:r>
  </w:p>
  <w:p w14:paraId="41FED4DA" w14:textId="77777777" w:rsidR="00D575DC" w:rsidRDefault="00D575DC" w:rsidP="00F70073">
    <w:pPr>
      <w:pStyle w:val="Header"/>
      <w:pBdr>
        <w:bottom w:val="single" w:sz="4" w:space="1" w:color="auto"/>
      </w:pBdr>
      <w:jc w:val="center"/>
    </w:pPr>
  </w:p>
  <w:p w14:paraId="68388EBA" w14:textId="77777777" w:rsidR="00D575DC" w:rsidRDefault="00D575DC"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7F4A0F"/>
    <w:multiLevelType w:val="hybridMultilevel"/>
    <w:tmpl w:val="C23ACAC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9467977"/>
    <w:multiLevelType w:val="hybridMultilevel"/>
    <w:tmpl w:val="569E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99237D"/>
    <w:multiLevelType w:val="multilevel"/>
    <w:tmpl w:val="66CE74C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43F71CA4"/>
    <w:multiLevelType w:val="multilevel"/>
    <w:tmpl w:val="1332CCD4"/>
    <w:numStyleLink w:val="111111"/>
  </w:abstractNum>
  <w:abstractNum w:abstractNumId="29"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3"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4"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5E733258"/>
    <w:multiLevelType w:val="hybridMultilevel"/>
    <w:tmpl w:val="524CB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8"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5"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8"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3"/>
  </w:num>
  <w:num w:numId="3">
    <w:abstractNumId w:val="18"/>
  </w:num>
  <w:num w:numId="4">
    <w:abstractNumId w:val="19"/>
  </w:num>
  <w:num w:numId="5">
    <w:abstractNumId w:val="5"/>
  </w:num>
  <w:num w:numId="6">
    <w:abstractNumId w:val="31"/>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6"/>
  </w:num>
  <w:num w:numId="15">
    <w:abstractNumId w:val="10"/>
  </w:num>
  <w:num w:numId="16">
    <w:abstractNumId w:val="41"/>
  </w:num>
  <w:num w:numId="17">
    <w:abstractNumId w:val="9"/>
  </w:num>
  <w:num w:numId="18">
    <w:abstractNumId w:val="25"/>
  </w:num>
  <w:num w:numId="19">
    <w:abstractNumId w:val="21"/>
  </w:num>
  <w:num w:numId="20">
    <w:abstractNumId w:val="37"/>
  </w:num>
  <w:num w:numId="21">
    <w:abstractNumId w:val="14"/>
  </w:num>
  <w:num w:numId="22">
    <w:abstractNumId w:val="44"/>
  </w:num>
  <w:num w:numId="23">
    <w:abstractNumId w:val="16"/>
  </w:num>
  <w:num w:numId="24">
    <w:abstractNumId w:val="35"/>
  </w:num>
  <w:num w:numId="25">
    <w:abstractNumId w:val="23"/>
  </w:num>
  <w:num w:numId="26">
    <w:abstractNumId w:val="28"/>
  </w:num>
  <w:num w:numId="27">
    <w:abstractNumId w:val="43"/>
  </w:num>
  <w:num w:numId="28">
    <w:abstractNumId w:val="48"/>
  </w:num>
  <w:num w:numId="29">
    <w:abstractNumId w:val="20"/>
  </w:num>
  <w:num w:numId="30">
    <w:abstractNumId w:val="29"/>
  </w:num>
  <w:num w:numId="31">
    <w:abstractNumId w:val="39"/>
  </w:num>
  <w:num w:numId="32">
    <w:abstractNumId w:val="38"/>
  </w:num>
  <w:num w:numId="33">
    <w:abstractNumId w:val="47"/>
  </w:num>
  <w:num w:numId="34">
    <w:abstractNumId w:val="17"/>
  </w:num>
  <w:num w:numId="35">
    <w:abstractNumId w:val="34"/>
  </w:num>
  <w:num w:numId="36">
    <w:abstractNumId w:val="27"/>
  </w:num>
  <w:num w:numId="37">
    <w:abstractNumId w:val="8"/>
  </w:num>
  <w:num w:numId="38">
    <w:abstractNumId w:val="30"/>
  </w:num>
  <w:num w:numId="39">
    <w:abstractNumId w:val="40"/>
  </w:num>
  <w:num w:numId="40">
    <w:abstractNumId w:val="13"/>
  </w:num>
  <w:num w:numId="41">
    <w:abstractNumId w:val="42"/>
  </w:num>
  <w:num w:numId="42">
    <w:abstractNumId w:val="45"/>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36"/>
  </w:num>
  <w:num w:numId="46">
    <w:abstractNumId w:val="12"/>
  </w:num>
  <w:num w:numId="47">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3777"/>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2630"/>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2182"/>
    <w:rsid w:val="002A4485"/>
    <w:rsid w:val="002A5258"/>
    <w:rsid w:val="002A7D10"/>
    <w:rsid w:val="002A7DA6"/>
    <w:rsid w:val="002B1E1B"/>
    <w:rsid w:val="002B43BE"/>
    <w:rsid w:val="002B55ED"/>
    <w:rsid w:val="002B5AEB"/>
    <w:rsid w:val="002B5C29"/>
    <w:rsid w:val="002B6278"/>
    <w:rsid w:val="002B744B"/>
    <w:rsid w:val="002C1AF6"/>
    <w:rsid w:val="002C1DE8"/>
    <w:rsid w:val="002C27C2"/>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4A26"/>
    <w:rsid w:val="009572E2"/>
    <w:rsid w:val="00964906"/>
    <w:rsid w:val="00965F55"/>
    <w:rsid w:val="00970943"/>
    <w:rsid w:val="00970C86"/>
    <w:rsid w:val="00971A11"/>
    <w:rsid w:val="0097295E"/>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9F6479"/>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224"/>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307C"/>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77929"/>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780"/>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4978"/>
    <w:rsid w:val="00D353B7"/>
    <w:rsid w:val="00D36CEA"/>
    <w:rsid w:val="00D37BAC"/>
    <w:rsid w:val="00D42A06"/>
    <w:rsid w:val="00D440C9"/>
    <w:rsid w:val="00D44A45"/>
    <w:rsid w:val="00D463B4"/>
    <w:rsid w:val="00D47B67"/>
    <w:rsid w:val="00D5114F"/>
    <w:rsid w:val="00D53F84"/>
    <w:rsid w:val="00D545D6"/>
    <w:rsid w:val="00D575DC"/>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3C38"/>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4862"/>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04A"/>
    <w:rsid w:val="00EA6A93"/>
    <w:rsid w:val="00EB1275"/>
    <w:rsid w:val="00EB3DF3"/>
    <w:rsid w:val="00EB512C"/>
    <w:rsid w:val="00EB78D8"/>
    <w:rsid w:val="00EC1B98"/>
    <w:rsid w:val="00EC212C"/>
    <w:rsid w:val="00EC3A14"/>
    <w:rsid w:val="00EC57AA"/>
    <w:rsid w:val="00ED08E0"/>
    <w:rsid w:val="00ED0E52"/>
    <w:rsid w:val="00ED208B"/>
    <w:rsid w:val="00ED3242"/>
    <w:rsid w:val="00ED356E"/>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978"/>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33685">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129783928">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09708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ukgi.org.uk/who-we-are/women-in-finance-charte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nda.gov.uk"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www.cyberessentials.ncsc.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DA618F69-1DDB-40F9-82D8-FEEE902D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65</TotalTime>
  <Pages>40</Pages>
  <Words>12297</Words>
  <Characters>67434</Characters>
  <Application>Microsoft Office Word</Application>
  <DocSecurity>0</DocSecurity>
  <Lines>561</Lines>
  <Paragraphs>159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79572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Shaun Brill</cp:lastModifiedBy>
  <cp:revision>14</cp:revision>
  <cp:lastPrinted>2012-12-10T12:26:00Z</cp:lastPrinted>
  <dcterms:created xsi:type="dcterms:W3CDTF">2019-05-17T11:36:00Z</dcterms:created>
  <dcterms:modified xsi:type="dcterms:W3CDTF">2019-08-19T12:40:00Z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