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43CAB" w14:textId="3F64FA51" w:rsidR="00FB04F4" w:rsidRDefault="00787A8A" w:rsidP="00FB04F4">
      <w:pPr>
        <w:rPr>
          <w:b/>
          <w:bCs/>
          <w:color w:val="1F497D"/>
        </w:rPr>
      </w:pPr>
      <w:bookmarkStart w:id="0" w:name="_GoBack"/>
      <w:bookmarkEnd w:id="0"/>
      <w:r>
        <w:rPr>
          <w:b/>
          <w:bCs/>
          <w:color w:val="1F497D"/>
        </w:rPr>
        <w:t xml:space="preserve">F11776 </w:t>
      </w:r>
      <w:r w:rsidR="00C214C8">
        <w:rPr>
          <w:b/>
          <w:bCs/>
          <w:color w:val="1F497D"/>
        </w:rPr>
        <w:t xml:space="preserve">Wording for </w:t>
      </w:r>
      <w:r w:rsidR="00FB04F4">
        <w:rPr>
          <w:b/>
          <w:bCs/>
          <w:color w:val="1F497D"/>
        </w:rPr>
        <w:t xml:space="preserve">Contract Award Notice for </w:t>
      </w:r>
      <w:r w:rsidR="00232597">
        <w:rPr>
          <w:b/>
          <w:bCs/>
          <w:color w:val="1F497D"/>
        </w:rPr>
        <w:t xml:space="preserve">Extended Primary Care Access Surrey Heartlands </w:t>
      </w:r>
    </w:p>
    <w:p w14:paraId="0EF8442A" w14:textId="77777777" w:rsidR="00FB04F4" w:rsidRDefault="00FB04F4" w:rsidP="00FB04F4">
      <w:pPr>
        <w:rPr>
          <w:b/>
          <w:bCs/>
          <w:color w:val="1F497D"/>
        </w:rPr>
      </w:pPr>
    </w:p>
    <w:p w14:paraId="655BC324" w14:textId="77777777" w:rsidR="00FB04F4" w:rsidRDefault="00FB04F4" w:rsidP="00FB04F4">
      <w:pPr>
        <w:rPr>
          <w:b/>
          <w:bCs/>
          <w:color w:val="FF0000"/>
        </w:rPr>
      </w:pPr>
      <w:r>
        <w:rPr>
          <w:b/>
          <w:bCs/>
          <w:color w:val="1F497D"/>
        </w:rPr>
        <w:t xml:space="preserve">Name, address etc. of the Contacting Authority </w:t>
      </w:r>
      <w:r w:rsidR="00232597">
        <w:rPr>
          <w:color w:val="1F497D"/>
        </w:rPr>
        <w:t xml:space="preserve">– </w:t>
      </w:r>
      <w:r w:rsidR="00D270FD" w:rsidRPr="00D270FD">
        <w:rPr>
          <w:color w:val="1F497D" w:themeColor="text2"/>
        </w:rPr>
        <w:t xml:space="preserve">Lead Contracting Authority will be </w:t>
      </w:r>
      <w:r w:rsidR="00232597" w:rsidRPr="00D270FD">
        <w:rPr>
          <w:color w:val="1F497D" w:themeColor="text2"/>
        </w:rPr>
        <w:t>NHS Surrey Downs</w:t>
      </w:r>
      <w:r w:rsidRPr="00D270FD">
        <w:rPr>
          <w:color w:val="1F497D" w:themeColor="text2"/>
        </w:rPr>
        <w:t xml:space="preserve"> CCG</w:t>
      </w:r>
      <w:r w:rsidR="00D270FD" w:rsidRPr="00D270FD">
        <w:rPr>
          <w:color w:val="1F497D" w:themeColor="text2"/>
        </w:rPr>
        <w:t>.  C</w:t>
      </w:r>
      <w:r w:rsidR="00232597" w:rsidRPr="00D270FD">
        <w:rPr>
          <w:iCs/>
          <w:color w:val="1F497D" w:themeColor="text2"/>
        </w:rPr>
        <w:t>ontracts have been executed by each of the 3 CCGs in relation to the relevant Federation(s) Surrey Downs CCG x 3, Gu</w:t>
      </w:r>
      <w:r w:rsidR="00D270FD" w:rsidRPr="00D270FD">
        <w:rPr>
          <w:iCs/>
          <w:color w:val="1F497D" w:themeColor="text2"/>
        </w:rPr>
        <w:t xml:space="preserve">ildford and Waverley x 1 and North West Surrey </w:t>
      </w:r>
      <w:r w:rsidR="00232597" w:rsidRPr="00D270FD">
        <w:rPr>
          <w:iCs/>
          <w:color w:val="1F497D" w:themeColor="text2"/>
        </w:rPr>
        <w:t xml:space="preserve">x 1. Surrey Downs CCG currently acts as lead contract manager on behalf of the Surrey Heartlands </w:t>
      </w:r>
      <w:r w:rsidR="00D270FD">
        <w:rPr>
          <w:iCs/>
          <w:color w:val="1F497D" w:themeColor="text2"/>
        </w:rPr>
        <w:t xml:space="preserve">Health and Care Partnership </w:t>
      </w:r>
      <w:r w:rsidR="00232597" w:rsidRPr="00D270FD">
        <w:rPr>
          <w:iCs/>
          <w:color w:val="1F497D" w:themeColor="text2"/>
        </w:rPr>
        <w:t>and will acts as Procurement Lead as appropriate</w:t>
      </w:r>
      <w:r w:rsidR="00D270FD" w:rsidRPr="00D270FD">
        <w:rPr>
          <w:iCs/>
          <w:color w:val="1F497D" w:themeColor="text2"/>
        </w:rPr>
        <w:t>.</w:t>
      </w:r>
    </w:p>
    <w:p w14:paraId="0C5A2BA6" w14:textId="77777777" w:rsidR="00D270FD" w:rsidRDefault="00D270FD" w:rsidP="00FB04F4">
      <w:pPr>
        <w:rPr>
          <w:b/>
          <w:bCs/>
          <w:color w:val="1F497D"/>
        </w:rPr>
      </w:pPr>
    </w:p>
    <w:p w14:paraId="7A494489" w14:textId="77777777" w:rsidR="00232597" w:rsidRDefault="00FB04F4" w:rsidP="00FB04F4">
      <w:pPr>
        <w:rPr>
          <w:color w:val="1F497D"/>
        </w:rPr>
      </w:pPr>
      <w:r>
        <w:rPr>
          <w:b/>
          <w:bCs/>
          <w:color w:val="1F497D"/>
        </w:rPr>
        <w:t xml:space="preserve">Details of joint procurement arrangements </w:t>
      </w:r>
      <w:r>
        <w:rPr>
          <w:color w:val="1F497D"/>
        </w:rPr>
        <w:t>–</w:t>
      </w:r>
      <w:r w:rsidR="005C7ED9">
        <w:rPr>
          <w:b/>
          <w:bCs/>
          <w:color w:val="1F497D"/>
        </w:rPr>
        <w:t> </w:t>
      </w:r>
      <w:r>
        <w:rPr>
          <w:color w:val="1F497D"/>
        </w:rPr>
        <w:t xml:space="preserve">These arrangements are to be awarded </w:t>
      </w:r>
      <w:r w:rsidR="00232597">
        <w:rPr>
          <w:color w:val="1F497D"/>
        </w:rPr>
        <w:t xml:space="preserve">across NHS Surrey Downs CCG, NHS North West Surrey CCG </w:t>
      </w:r>
      <w:r w:rsidR="00232597" w:rsidRPr="00D270FD">
        <w:rPr>
          <w:color w:val="1F497D"/>
        </w:rPr>
        <w:t>and NHS</w:t>
      </w:r>
      <w:r w:rsidR="00232597">
        <w:rPr>
          <w:color w:val="1F497D"/>
        </w:rPr>
        <w:t xml:space="preserve"> </w:t>
      </w:r>
      <w:r w:rsidR="00D270FD">
        <w:rPr>
          <w:color w:val="1F497D"/>
        </w:rPr>
        <w:t>Guild</w:t>
      </w:r>
      <w:r w:rsidR="00232597">
        <w:rPr>
          <w:color w:val="1F497D"/>
        </w:rPr>
        <w:t>ford and Waverley CCG, togeth</w:t>
      </w:r>
      <w:r w:rsidR="00D270FD">
        <w:rPr>
          <w:color w:val="1F497D"/>
        </w:rPr>
        <w:t>er they form Surrey Heartlands Health and Care Partnership.</w:t>
      </w:r>
    </w:p>
    <w:p w14:paraId="67D735AD" w14:textId="77777777" w:rsidR="00D270FD" w:rsidRDefault="00D270FD" w:rsidP="00FB04F4">
      <w:pPr>
        <w:rPr>
          <w:color w:val="1F497D"/>
        </w:rPr>
      </w:pPr>
    </w:p>
    <w:p w14:paraId="46331C11" w14:textId="77777777" w:rsidR="00D270FD" w:rsidRDefault="00D270FD" w:rsidP="00D270FD">
      <w:pPr>
        <w:rPr>
          <w:color w:val="1F497D"/>
        </w:rPr>
      </w:pPr>
      <w:r>
        <w:rPr>
          <w:b/>
          <w:bCs/>
          <w:color w:val="1F497D"/>
        </w:rPr>
        <w:t xml:space="preserve"> </w:t>
      </w:r>
      <w:r>
        <w:rPr>
          <w:color w:val="1F497D"/>
        </w:rPr>
        <w:t>These arrangements are to be awarded to</w:t>
      </w:r>
      <w:r>
        <w:rPr>
          <w:b/>
          <w:bCs/>
          <w:color w:val="1F497D"/>
        </w:rPr>
        <w:t xml:space="preserve"> </w:t>
      </w:r>
      <w:r>
        <w:rPr>
          <w:color w:val="1F497D"/>
        </w:rPr>
        <w:t>5 x GP Federations across Surrey Heartlands:</w:t>
      </w:r>
    </w:p>
    <w:p w14:paraId="31C8996F" w14:textId="77777777" w:rsidR="00D270FD" w:rsidRDefault="00D270FD" w:rsidP="00D270FD">
      <w:pPr>
        <w:rPr>
          <w:color w:val="1F497D"/>
        </w:rPr>
      </w:pPr>
      <w:r>
        <w:rPr>
          <w:color w:val="1F497D"/>
        </w:rPr>
        <w:t>                                North West Surrey Integrated Care – North West Surrey</w:t>
      </w:r>
    </w:p>
    <w:p w14:paraId="77B30852" w14:textId="77777777" w:rsidR="00D270FD" w:rsidRDefault="00D270FD" w:rsidP="00D270FD">
      <w:pPr>
        <w:rPr>
          <w:color w:val="1F497D"/>
        </w:rPr>
      </w:pPr>
      <w:r>
        <w:rPr>
          <w:color w:val="1F497D"/>
        </w:rPr>
        <w:t>                                Surrey Medical Network – East Elmbridge Locality</w:t>
      </w:r>
    </w:p>
    <w:p w14:paraId="2A531931" w14:textId="77777777" w:rsidR="00D270FD" w:rsidRDefault="00D270FD" w:rsidP="00D270FD">
      <w:pPr>
        <w:rPr>
          <w:color w:val="1F497D"/>
        </w:rPr>
      </w:pPr>
      <w:r>
        <w:rPr>
          <w:color w:val="1F497D"/>
        </w:rPr>
        <w:t xml:space="preserve">                                </w:t>
      </w:r>
      <w:proofErr w:type="spellStart"/>
      <w:r>
        <w:rPr>
          <w:color w:val="1F497D"/>
        </w:rPr>
        <w:t>Procare</w:t>
      </w:r>
      <w:proofErr w:type="spellEnd"/>
      <w:r>
        <w:rPr>
          <w:color w:val="1F497D"/>
        </w:rPr>
        <w:t xml:space="preserve"> – Guildford and Waverley</w:t>
      </w:r>
    </w:p>
    <w:p w14:paraId="50FA39C0" w14:textId="77777777" w:rsidR="00D270FD" w:rsidRDefault="00D270FD" w:rsidP="00D270FD">
      <w:pPr>
        <w:rPr>
          <w:color w:val="1F497D"/>
        </w:rPr>
      </w:pPr>
      <w:r>
        <w:rPr>
          <w:color w:val="1F497D"/>
        </w:rPr>
        <w:t>                                Dorking HealthCare – Dorking Locality</w:t>
      </w:r>
    </w:p>
    <w:p w14:paraId="2A86697F" w14:textId="77777777" w:rsidR="00FB04F4" w:rsidRDefault="00D270FD" w:rsidP="00FB04F4">
      <w:pPr>
        <w:rPr>
          <w:color w:val="1F497D"/>
        </w:rPr>
      </w:pPr>
      <w:r>
        <w:rPr>
          <w:color w:val="1F497D"/>
        </w:rPr>
        <w:t>                                GP Health Partners – Epsom Locality</w:t>
      </w:r>
    </w:p>
    <w:p w14:paraId="0189F273" w14:textId="77777777" w:rsidR="00D270FD" w:rsidRDefault="00D270FD" w:rsidP="00FB04F4">
      <w:pPr>
        <w:rPr>
          <w:color w:val="1F497D"/>
        </w:rPr>
      </w:pPr>
    </w:p>
    <w:p w14:paraId="2426D9EE" w14:textId="77777777" w:rsidR="00FB04F4" w:rsidRDefault="00FB04F4" w:rsidP="00FB04F4">
      <w:pPr>
        <w:rPr>
          <w:b/>
          <w:bCs/>
          <w:color w:val="1F497D"/>
        </w:rPr>
      </w:pPr>
      <w:r>
        <w:rPr>
          <w:b/>
          <w:bCs/>
          <w:color w:val="1F497D"/>
        </w:rPr>
        <w:t>Title and short description of award</w:t>
      </w:r>
    </w:p>
    <w:p w14:paraId="01834320" w14:textId="5E20DB4B" w:rsidR="00D270FD" w:rsidRPr="000911F5" w:rsidRDefault="00D270FD" w:rsidP="00D270FD">
      <w:pPr>
        <w:ind w:left="720"/>
        <w:rPr>
          <w:color w:val="1F497D" w:themeColor="text2"/>
        </w:rPr>
      </w:pPr>
      <w:r w:rsidRPr="000911F5">
        <w:rPr>
          <w:color w:val="1F497D" w:themeColor="text2"/>
        </w:rPr>
        <w:t xml:space="preserve">The award of contract(s) is for the provision </w:t>
      </w:r>
      <w:r w:rsidR="000911F5" w:rsidRPr="000911F5">
        <w:rPr>
          <w:color w:val="1F497D" w:themeColor="text2"/>
        </w:rPr>
        <w:t>of interim</w:t>
      </w:r>
      <w:r w:rsidRPr="000911F5">
        <w:rPr>
          <w:color w:val="1F497D" w:themeColor="text2"/>
        </w:rPr>
        <w:t xml:space="preserve"> General Practice Extended Primary Care Access (EPCA) Services de</w:t>
      </w:r>
      <w:r w:rsidR="00DD2A62">
        <w:rPr>
          <w:color w:val="1F497D" w:themeColor="text2"/>
        </w:rPr>
        <w:t xml:space="preserve">livered </w:t>
      </w:r>
      <w:r w:rsidR="00461EEA">
        <w:rPr>
          <w:color w:val="1F497D" w:themeColor="text2"/>
        </w:rPr>
        <w:t xml:space="preserve">across the operational hours of </w:t>
      </w:r>
      <w:r w:rsidR="00DD2A62">
        <w:rPr>
          <w:color w:val="1F497D" w:themeColor="text2"/>
        </w:rPr>
        <w:t>8</w:t>
      </w:r>
      <w:r w:rsidR="00D774AE">
        <w:rPr>
          <w:color w:val="1F497D" w:themeColor="text2"/>
        </w:rPr>
        <w:t>am</w:t>
      </w:r>
      <w:r w:rsidR="00DD2A62">
        <w:rPr>
          <w:color w:val="1F497D" w:themeColor="text2"/>
        </w:rPr>
        <w:t xml:space="preserve"> – 8</w:t>
      </w:r>
      <w:r w:rsidR="00D774AE">
        <w:rPr>
          <w:color w:val="1F497D" w:themeColor="text2"/>
        </w:rPr>
        <w:t>pm</w:t>
      </w:r>
      <w:r w:rsidRPr="000911F5">
        <w:rPr>
          <w:color w:val="1F497D" w:themeColor="text2"/>
        </w:rPr>
        <w:t xml:space="preserve"> Monday to Friday plus weekends to suit local needs.  Extended Primary Care Access (EPCA) services should offer additional capacity to GP Primary Care therefore affording more appointment options for planned care and on the day/urgent care appointments in a way that offers continuity of care, largely predicated by access to the </w:t>
      </w:r>
      <w:r w:rsidR="000911F5" w:rsidRPr="000911F5">
        <w:rPr>
          <w:color w:val="1F497D" w:themeColor="text2"/>
        </w:rPr>
        <w:t>patient’s</w:t>
      </w:r>
      <w:r w:rsidRPr="000911F5">
        <w:rPr>
          <w:color w:val="1F497D" w:themeColor="text2"/>
        </w:rPr>
        <w:t xml:space="preserve"> records.  Whilst access to some of the patients medical record detail can be made available</w:t>
      </w:r>
      <w:r w:rsidR="00623B56" w:rsidRPr="000911F5">
        <w:rPr>
          <w:color w:val="1F497D" w:themeColor="text2"/>
        </w:rPr>
        <w:t xml:space="preserve"> via the Summary Care Record</w:t>
      </w:r>
      <w:r w:rsidR="000E6581">
        <w:rPr>
          <w:color w:val="1F497D" w:themeColor="text2"/>
        </w:rPr>
        <w:t xml:space="preserve">, </w:t>
      </w:r>
      <w:r w:rsidR="00623B56" w:rsidRPr="000911F5">
        <w:rPr>
          <w:color w:val="1F497D" w:themeColor="text2"/>
        </w:rPr>
        <w:t>the Contracting Authority</w:t>
      </w:r>
      <w:r w:rsidRPr="000911F5">
        <w:rPr>
          <w:color w:val="1F497D" w:themeColor="text2"/>
        </w:rPr>
        <w:t xml:space="preserve"> recognised that the CCG will not be capable of </w:t>
      </w:r>
      <w:r w:rsidRPr="000911F5">
        <w:rPr>
          <w:color w:val="1F497D" w:themeColor="text2"/>
          <w:u w:val="single"/>
        </w:rPr>
        <w:t>requiring</w:t>
      </w:r>
      <w:r w:rsidRPr="000911F5">
        <w:rPr>
          <w:color w:val="1F497D" w:themeColor="text2"/>
        </w:rPr>
        <w:t xml:space="preserve"> practices to “open” their records for read and/or, read/write access to any other provider selected to deliver services through a competitive process thus resulting in an eventual service offering with some potential limitations. </w:t>
      </w:r>
    </w:p>
    <w:p w14:paraId="23B2E26E" w14:textId="77777777" w:rsidR="00D270FD" w:rsidRPr="000911F5" w:rsidRDefault="00D270FD" w:rsidP="00D270FD">
      <w:pPr>
        <w:rPr>
          <w:color w:val="1F497D" w:themeColor="text2"/>
        </w:rPr>
      </w:pPr>
    </w:p>
    <w:p w14:paraId="20A54FD9" w14:textId="0FC43992" w:rsidR="00D270FD" w:rsidRPr="000911F5" w:rsidRDefault="00D270FD" w:rsidP="00D270FD">
      <w:pPr>
        <w:ind w:left="720"/>
        <w:rPr>
          <w:b/>
          <w:bCs/>
          <w:color w:val="1F497D" w:themeColor="text2"/>
        </w:rPr>
      </w:pPr>
      <w:r w:rsidRPr="000911F5">
        <w:rPr>
          <w:color w:val="1F497D" w:themeColor="text2"/>
        </w:rPr>
        <w:t>Commissioners intend to gather the evidence required</w:t>
      </w:r>
      <w:r w:rsidR="00623B56" w:rsidRPr="000911F5">
        <w:rPr>
          <w:color w:val="1F497D" w:themeColor="text2"/>
        </w:rPr>
        <w:t xml:space="preserve"> to test the CCG’s understanding</w:t>
      </w:r>
      <w:r w:rsidRPr="000911F5">
        <w:rPr>
          <w:color w:val="1F497D" w:themeColor="text2"/>
        </w:rPr>
        <w:t xml:space="preserve"> that access to records is a fundamental requirement of EPCA and is </w:t>
      </w:r>
      <w:r w:rsidR="000911F5" w:rsidRPr="000911F5">
        <w:rPr>
          <w:color w:val="1F497D" w:themeColor="text2"/>
        </w:rPr>
        <w:t>necessary to</w:t>
      </w:r>
      <w:r w:rsidRPr="000911F5">
        <w:rPr>
          <w:color w:val="1F497D" w:themeColor="text2"/>
        </w:rPr>
        <w:t xml:space="preserve"> meet the 7 core requirements of NHS</w:t>
      </w:r>
      <w:r w:rsidR="00DC7708" w:rsidRPr="000911F5">
        <w:rPr>
          <w:color w:val="1F497D" w:themeColor="text2"/>
        </w:rPr>
        <w:t>E’s directive.  Adherence to the CCG’s</w:t>
      </w:r>
      <w:r w:rsidRPr="000911F5">
        <w:rPr>
          <w:color w:val="1F497D" w:themeColor="text2"/>
        </w:rPr>
        <w:t xml:space="preserve"> agreed timeline of taking the  first 6 months information and </w:t>
      </w:r>
      <w:r w:rsidR="00DC7708" w:rsidRPr="000911F5">
        <w:rPr>
          <w:color w:val="1F497D" w:themeColor="text2"/>
        </w:rPr>
        <w:t>data will be critical to keep the CCG’s</w:t>
      </w:r>
      <w:r w:rsidRPr="000911F5">
        <w:rPr>
          <w:color w:val="1F497D" w:themeColor="text2"/>
        </w:rPr>
        <w:t xml:space="preserve"> on a deliverable pathway for procurement should </w:t>
      </w:r>
      <w:r w:rsidR="00461EEA">
        <w:rPr>
          <w:color w:val="1F497D" w:themeColor="text2"/>
        </w:rPr>
        <w:t xml:space="preserve">there be a requirement </w:t>
      </w:r>
      <w:r w:rsidRPr="000911F5">
        <w:rPr>
          <w:color w:val="1F497D" w:themeColor="text2"/>
        </w:rPr>
        <w:t xml:space="preserve"> to co</w:t>
      </w:r>
      <w:r w:rsidR="00DC7708" w:rsidRPr="000911F5">
        <w:rPr>
          <w:color w:val="1F497D" w:themeColor="text2"/>
        </w:rPr>
        <w:t xml:space="preserve">mpete services in the future. </w:t>
      </w:r>
    </w:p>
    <w:p w14:paraId="00F4EFCF" w14:textId="77777777" w:rsidR="00FB04F4" w:rsidRDefault="00FB04F4" w:rsidP="00FB04F4">
      <w:pPr>
        <w:rPr>
          <w:b/>
          <w:bCs/>
          <w:color w:val="1F497D"/>
        </w:rPr>
      </w:pPr>
    </w:p>
    <w:p w14:paraId="4FA07F9C" w14:textId="77777777" w:rsidR="00D270FD" w:rsidRDefault="00D270FD" w:rsidP="00D270FD">
      <w:pPr>
        <w:rPr>
          <w:b/>
          <w:bCs/>
          <w:color w:val="1F497D"/>
        </w:rPr>
      </w:pPr>
      <w:r>
        <w:rPr>
          <w:b/>
          <w:bCs/>
          <w:color w:val="1F497D"/>
        </w:rPr>
        <w:t>Contract to be awarded from 1</w:t>
      </w:r>
      <w:r>
        <w:rPr>
          <w:b/>
          <w:bCs/>
          <w:color w:val="1F497D"/>
          <w:vertAlign w:val="superscript"/>
        </w:rPr>
        <w:t>st</w:t>
      </w:r>
      <w:r>
        <w:rPr>
          <w:b/>
          <w:bCs/>
          <w:color w:val="1F497D"/>
        </w:rPr>
        <w:t xml:space="preserve"> October 2018 to 30</w:t>
      </w:r>
      <w:r>
        <w:rPr>
          <w:b/>
          <w:bCs/>
          <w:color w:val="1F497D"/>
          <w:vertAlign w:val="superscript"/>
        </w:rPr>
        <w:t>th</w:t>
      </w:r>
      <w:r w:rsidR="00623B56">
        <w:rPr>
          <w:b/>
          <w:bCs/>
          <w:color w:val="1F497D"/>
        </w:rPr>
        <w:t xml:space="preserve"> September 2020 (2</w:t>
      </w:r>
      <w:r>
        <w:rPr>
          <w:b/>
          <w:bCs/>
          <w:color w:val="1F497D"/>
        </w:rPr>
        <w:t xml:space="preserve"> year) with the option to extend for </w:t>
      </w:r>
      <w:r w:rsidR="00461EEA">
        <w:rPr>
          <w:b/>
          <w:bCs/>
          <w:color w:val="1F497D"/>
        </w:rPr>
        <w:t xml:space="preserve">up to </w:t>
      </w:r>
      <w:r>
        <w:rPr>
          <w:b/>
          <w:bCs/>
          <w:color w:val="1F497D"/>
        </w:rPr>
        <w:t>a further 12 months</w:t>
      </w:r>
    </w:p>
    <w:p w14:paraId="5B4C7257" w14:textId="77777777" w:rsidR="00461EEA" w:rsidRDefault="00461EEA" w:rsidP="00D270FD">
      <w:pPr>
        <w:rPr>
          <w:b/>
          <w:bCs/>
          <w:color w:val="1F497D"/>
        </w:rPr>
      </w:pPr>
    </w:p>
    <w:p w14:paraId="1ECB63C7" w14:textId="75E1549A" w:rsidR="00D270FD" w:rsidRDefault="00D270FD" w:rsidP="000E6581">
      <w:pPr>
        <w:ind w:left="720"/>
        <w:rPr>
          <w:color w:val="1F497D" w:themeColor="text2"/>
        </w:rPr>
      </w:pPr>
      <w:r w:rsidRPr="000911F5">
        <w:rPr>
          <w:color w:val="1F497D" w:themeColor="text2"/>
        </w:rPr>
        <w:t xml:space="preserve">This </w:t>
      </w:r>
      <w:r w:rsidR="00461EEA">
        <w:rPr>
          <w:color w:val="1F497D" w:themeColor="text2"/>
        </w:rPr>
        <w:t xml:space="preserve">contract term is required </w:t>
      </w:r>
      <w:r w:rsidRPr="000911F5">
        <w:rPr>
          <w:color w:val="1F497D" w:themeColor="text2"/>
        </w:rPr>
        <w:t xml:space="preserve"> to provide continuity of service whilst a pilot is taking place with the incumbent GP Federations to understand through an evidence based approach, the benefits of extended hours of GP Practices to provide support for people with ongoing needs </w:t>
      </w:r>
      <w:r w:rsidR="00461EEA">
        <w:rPr>
          <w:color w:val="1F497D" w:themeColor="text2"/>
        </w:rPr>
        <w:t xml:space="preserve">within and </w:t>
      </w:r>
      <w:r w:rsidRPr="000911F5">
        <w:rPr>
          <w:color w:val="1F497D" w:themeColor="text2"/>
        </w:rPr>
        <w:t>outside of</w:t>
      </w:r>
      <w:r w:rsidR="00461EEA">
        <w:rPr>
          <w:color w:val="1F497D" w:themeColor="text2"/>
        </w:rPr>
        <w:t>,</w:t>
      </w:r>
      <w:r w:rsidRPr="000911F5">
        <w:rPr>
          <w:color w:val="1F497D" w:themeColor="text2"/>
        </w:rPr>
        <w:t xml:space="preserve"> the core GP operating hours</w:t>
      </w:r>
    </w:p>
    <w:p w14:paraId="7BBF798B" w14:textId="77777777" w:rsidR="00461EEA" w:rsidRPr="000911F5" w:rsidRDefault="00461EEA" w:rsidP="000E6581">
      <w:pPr>
        <w:ind w:left="720"/>
        <w:rPr>
          <w:color w:val="1F497D" w:themeColor="text2"/>
        </w:rPr>
      </w:pPr>
    </w:p>
    <w:p w14:paraId="7BA6C8CC" w14:textId="77777777" w:rsidR="00D270FD" w:rsidRPr="000911F5" w:rsidRDefault="00D270FD" w:rsidP="000E6581">
      <w:pPr>
        <w:ind w:left="720"/>
        <w:rPr>
          <w:color w:val="1F497D" w:themeColor="text2"/>
        </w:rPr>
      </w:pPr>
      <w:r w:rsidRPr="000911F5">
        <w:rPr>
          <w:color w:val="1F497D" w:themeColor="text2"/>
        </w:rPr>
        <w:t>The first review is expected in Spring 2019 to test the benefits of this model and the necessity of having real time access to the care record, to identify if this will be a fundamental to future requirements, this will help formulate the final specification of requirements</w:t>
      </w:r>
      <w:r w:rsidR="00DC7708" w:rsidRPr="000911F5">
        <w:rPr>
          <w:color w:val="1F497D" w:themeColor="text2"/>
        </w:rPr>
        <w:t>.</w:t>
      </w:r>
    </w:p>
    <w:p w14:paraId="48722B53" w14:textId="77777777" w:rsidR="00461EEA" w:rsidRDefault="00461EEA" w:rsidP="000E6581">
      <w:pPr>
        <w:rPr>
          <w:color w:val="1F497D" w:themeColor="text2"/>
        </w:rPr>
      </w:pPr>
    </w:p>
    <w:p w14:paraId="5EF4FAAC" w14:textId="729C21C1" w:rsidR="00D270FD" w:rsidRPr="000911F5" w:rsidRDefault="00D270FD" w:rsidP="000E6581">
      <w:pPr>
        <w:ind w:left="720"/>
        <w:rPr>
          <w:color w:val="1F497D" w:themeColor="text2"/>
        </w:rPr>
      </w:pPr>
      <w:r w:rsidRPr="000911F5">
        <w:rPr>
          <w:color w:val="1F497D" w:themeColor="text2"/>
        </w:rPr>
        <w:lastRenderedPageBreak/>
        <w:t xml:space="preserve">A PIN Advertisement and invitation to attend a Market Engagement Event to share the learning and information for potential future bidders will be the first steps of any </w:t>
      </w:r>
      <w:r w:rsidR="00D774AE">
        <w:rPr>
          <w:color w:val="1F497D" w:themeColor="text2"/>
        </w:rPr>
        <w:t xml:space="preserve">future market </w:t>
      </w:r>
      <w:r w:rsidR="000E6581">
        <w:rPr>
          <w:color w:val="1F497D" w:themeColor="text2"/>
        </w:rPr>
        <w:t xml:space="preserve">engagement </w:t>
      </w:r>
      <w:r w:rsidR="000E6581" w:rsidRPr="000911F5">
        <w:rPr>
          <w:color w:val="1F497D" w:themeColor="text2"/>
        </w:rPr>
        <w:t>process</w:t>
      </w:r>
    </w:p>
    <w:p w14:paraId="77418B6C" w14:textId="77777777" w:rsidR="00FB04F4" w:rsidRDefault="00FB04F4" w:rsidP="00623B56">
      <w:pPr>
        <w:rPr>
          <w:b/>
          <w:bCs/>
          <w:color w:val="1F497D"/>
        </w:rPr>
      </w:pPr>
    </w:p>
    <w:p w14:paraId="288EA080" w14:textId="2819926C" w:rsidR="00FB04F4" w:rsidRDefault="001318A4" w:rsidP="00FB04F4">
      <w:pPr>
        <w:ind w:firstLine="720"/>
        <w:rPr>
          <w:b/>
          <w:bCs/>
          <w:color w:val="1F497D"/>
        </w:rPr>
      </w:pPr>
      <w:r>
        <w:rPr>
          <w:b/>
          <w:bCs/>
          <w:color w:val="1F497D"/>
        </w:rPr>
        <w:t>Total value of Contracts</w:t>
      </w:r>
    </w:p>
    <w:p w14:paraId="02B0287E" w14:textId="77777777" w:rsidR="00232597" w:rsidRDefault="00FB04F4" w:rsidP="00C214C8">
      <w:pPr>
        <w:ind w:left="720" w:firstLine="75"/>
        <w:rPr>
          <w:color w:val="1F497D"/>
        </w:rPr>
      </w:pPr>
      <w:r>
        <w:rPr>
          <w:color w:val="1F497D"/>
        </w:rPr>
        <w:t>£</w:t>
      </w:r>
      <w:r w:rsidR="00232597">
        <w:rPr>
          <w:color w:val="1F497D"/>
        </w:rPr>
        <w:t>5.17</w:t>
      </w:r>
      <w:r w:rsidR="00463C2A">
        <w:rPr>
          <w:color w:val="1F497D"/>
        </w:rPr>
        <w:t>m annually</w:t>
      </w:r>
      <w:r w:rsidR="00232597">
        <w:rPr>
          <w:color w:val="1F497D"/>
        </w:rPr>
        <w:t>, broken down as:</w:t>
      </w:r>
    </w:p>
    <w:p w14:paraId="3B0E2305" w14:textId="77777777" w:rsidR="00232597" w:rsidRDefault="00232597" w:rsidP="00232597">
      <w:pPr>
        <w:rPr>
          <w:color w:val="1F497D"/>
        </w:rPr>
      </w:pPr>
      <w:r>
        <w:rPr>
          <w:color w:val="1F497D"/>
        </w:rPr>
        <w:tab/>
      </w:r>
    </w:p>
    <w:tbl>
      <w:tblPr>
        <w:tblStyle w:val="TableGrid"/>
        <w:tblW w:w="0" w:type="auto"/>
        <w:tblLook w:val="04A0" w:firstRow="1" w:lastRow="0" w:firstColumn="1" w:lastColumn="0" w:noHBand="0" w:noVBand="1"/>
      </w:tblPr>
      <w:tblGrid>
        <w:gridCol w:w="3080"/>
        <w:gridCol w:w="3081"/>
        <w:gridCol w:w="3081"/>
      </w:tblGrid>
      <w:tr w:rsidR="00232597" w14:paraId="0970B3CC" w14:textId="77777777" w:rsidTr="00232597">
        <w:tc>
          <w:tcPr>
            <w:tcW w:w="3080" w:type="dxa"/>
          </w:tcPr>
          <w:p w14:paraId="286247F8" w14:textId="77777777" w:rsidR="00232597" w:rsidRDefault="00232597" w:rsidP="00232597">
            <w:pPr>
              <w:rPr>
                <w:color w:val="1F497D"/>
              </w:rPr>
            </w:pPr>
            <w:r>
              <w:rPr>
                <w:color w:val="1F497D"/>
              </w:rPr>
              <w:t>CCG</w:t>
            </w:r>
          </w:p>
        </w:tc>
        <w:tc>
          <w:tcPr>
            <w:tcW w:w="3081" w:type="dxa"/>
          </w:tcPr>
          <w:p w14:paraId="5D6FB4B5" w14:textId="77777777" w:rsidR="00232597" w:rsidRDefault="00232597" w:rsidP="00232597">
            <w:pPr>
              <w:rPr>
                <w:color w:val="1F497D"/>
              </w:rPr>
            </w:pPr>
            <w:r>
              <w:rPr>
                <w:color w:val="1F497D"/>
              </w:rPr>
              <w:t>Locality</w:t>
            </w:r>
          </w:p>
        </w:tc>
        <w:tc>
          <w:tcPr>
            <w:tcW w:w="3081" w:type="dxa"/>
          </w:tcPr>
          <w:p w14:paraId="217465C3" w14:textId="77777777" w:rsidR="00232597" w:rsidRDefault="00232597" w:rsidP="00232597">
            <w:pPr>
              <w:rPr>
                <w:color w:val="1F497D"/>
              </w:rPr>
            </w:pPr>
            <w:r>
              <w:rPr>
                <w:color w:val="1F497D"/>
              </w:rPr>
              <w:t>Estimated 2019/20 Contract Value £</w:t>
            </w:r>
          </w:p>
        </w:tc>
      </w:tr>
      <w:tr w:rsidR="00232597" w14:paraId="53ACB786" w14:textId="77777777" w:rsidTr="00232597">
        <w:tc>
          <w:tcPr>
            <w:tcW w:w="3080" w:type="dxa"/>
          </w:tcPr>
          <w:p w14:paraId="43AE574D" w14:textId="77777777" w:rsidR="00232597" w:rsidRDefault="000911F5" w:rsidP="00232597">
            <w:pPr>
              <w:rPr>
                <w:color w:val="1F497D"/>
              </w:rPr>
            </w:pPr>
            <w:r>
              <w:rPr>
                <w:color w:val="1F497D"/>
              </w:rPr>
              <w:t>Guildford</w:t>
            </w:r>
            <w:r w:rsidR="00232597">
              <w:rPr>
                <w:color w:val="1F497D"/>
              </w:rPr>
              <w:t xml:space="preserve"> &amp; Waverley</w:t>
            </w:r>
          </w:p>
        </w:tc>
        <w:tc>
          <w:tcPr>
            <w:tcW w:w="3081" w:type="dxa"/>
          </w:tcPr>
          <w:p w14:paraId="1257F5AC" w14:textId="77777777" w:rsidR="00232597" w:rsidRDefault="00232597" w:rsidP="00232597">
            <w:pPr>
              <w:rPr>
                <w:color w:val="1F497D"/>
              </w:rPr>
            </w:pPr>
          </w:p>
        </w:tc>
        <w:tc>
          <w:tcPr>
            <w:tcW w:w="3081" w:type="dxa"/>
          </w:tcPr>
          <w:p w14:paraId="53789303" w14:textId="77777777" w:rsidR="00232597" w:rsidRDefault="00232597" w:rsidP="00232597">
            <w:pPr>
              <w:rPr>
                <w:color w:val="1F497D"/>
              </w:rPr>
            </w:pPr>
            <w:r>
              <w:rPr>
                <w:color w:val="1F497D"/>
              </w:rPr>
              <w:t>1,280,000</w:t>
            </w:r>
          </w:p>
        </w:tc>
      </w:tr>
      <w:tr w:rsidR="00232597" w14:paraId="6FA057B6" w14:textId="77777777" w:rsidTr="00232597">
        <w:tc>
          <w:tcPr>
            <w:tcW w:w="3080" w:type="dxa"/>
          </w:tcPr>
          <w:p w14:paraId="24097CED" w14:textId="77777777" w:rsidR="00232597" w:rsidRDefault="00232597" w:rsidP="00232597">
            <w:pPr>
              <w:rPr>
                <w:color w:val="1F497D"/>
              </w:rPr>
            </w:pPr>
            <w:r>
              <w:rPr>
                <w:color w:val="1F497D"/>
              </w:rPr>
              <w:t>North West Surrey</w:t>
            </w:r>
          </w:p>
        </w:tc>
        <w:tc>
          <w:tcPr>
            <w:tcW w:w="3081" w:type="dxa"/>
          </w:tcPr>
          <w:p w14:paraId="1B0A637F" w14:textId="77777777" w:rsidR="00232597" w:rsidRDefault="00232597" w:rsidP="00232597">
            <w:pPr>
              <w:rPr>
                <w:color w:val="1F497D"/>
              </w:rPr>
            </w:pPr>
          </w:p>
        </w:tc>
        <w:tc>
          <w:tcPr>
            <w:tcW w:w="3081" w:type="dxa"/>
          </w:tcPr>
          <w:p w14:paraId="7897B8FA" w14:textId="77777777" w:rsidR="00232597" w:rsidRDefault="00232597" w:rsidP="00232597">
            <w:pPr>
              <w:rPr>
                <w:color w:val="1F497D"/>
              </w:rPr>
            </w:pPr>
            <w:r>
              <w:rPr>
                <w:color w:val="1F497D"/>
              </w:rPr>
              <w:t>2,130,000</w:t>
            </w:r>
          </w:p>
        </w:tc>
      </w:tr>
      <w:tr w:rsidR="00232597" w14:paraId="28376D5E" w14:textId="77777777" w:rsidTr="00232597">
        <w:tc>
          <w:tcPr>
            <w:tcW w:w="3080" w:type="dxa"/>
          </w:tcPr>
          <w:p w14:paraId="7551DBEC" w14:textId="77777777" w:rsidR="00232597" w:rsidRDefault="00232597" w:rsidP="00232597">
            <w:pPr>
              <w:rPr>
                <w:color w:val="1F497D"/>
              </w:rPr>
            </w:pPr>
            <w:r>
              <w:rPr>
                <w:color w:val="1F497D"/>
              </w:rPr>
              <w:t>Surrey Downs</w:t>
            </w:r>
          </w:p>
        </w:tc>
        <w:tc>
          <w:tcPr>
            <w:tcW w:w="3081" w:type="dxa"/>
          </w:tcPr>
          <w:p w14:paraId="606EE1D8" w14:textId="77777777" w:rsidR="00232597" w:rsidRDefault="00232597" w:rsidP="00232597">
            <w:pPr>
              <w:rPr>
                <w:color w:val="1F497D"/>
              </w:rPr>
            </w:pPr>
            <w:r>
              <w:rPr>
                <w:color w:val="1F497D"/>
              </w:rPr>
              <w:t>Dorking</w:t>
            </w:r>
          </w:p>
        </w:tc>
        <w:tc>
          <w:tcPr>
            <w:tcW w:w="3081" w:type="dxa"/>
          </w:tcPr>
          <w:p w14:paraId="18DB1814" w14:textId="77777777" w:rsidR="00232597" w:rsidRDefault="00232597" w:rsidP="00232597">
            <w:pPr>
              <w:rPr>
                <w:color w:val="1F497D"/>
              </w:rPr>
            </w:pPr>
            <w:r>
              <w:rPr>
                <w:color w:val="1F497D"/>
              </w:rPr>
              <w:t>270,000</w:t>
            </w:r>
          </w:p>
        </w:tc>
      </w:tr>
      <w:tr w:rsidR="00232597" w14:paraId="304257BB" w14:textId="77777777" w:rsidTr="00232597">
        <w:tc>
          <w:tcPr>
            <w:tcW w:w="3080" w:type="dxa"/>
          </w:tcPr>
          <w:p w14:paraId="716B682B" w14:textId="77777777" w:rsidR="00232597" w:rsidRDefault="00232597" w:rsidP="00232597">
            <w:pPr>
              <w:rPr>
                <w:color w:val="1F497D"/>
              </w:rPr>
            </w:pPr>
            <w:r>
              <w:rPr>
                <w:color w:val="1F497D"/>
              </w:rPr>
              <w:t>Surrey Downs</w:t>
            </w:r>
          </w:p>
        </w:tc>
        <w:tc>
          <w:tcPr>
            <w:tcW w:w="3081" w:type="dxa"/>
          </w:tcPr>
          <w:p w14:paraId="40881C3A" w14:textId="77777777" w:rsidR="00232597" w:rsidRDefault="00232597" w:rsidP="00232597">
            <w:pPr>
              <w:rPr>
                <w:color w:val="1F497D"/>
              </w:rPr>
            </w:pPr>
            <w:r>
              <w:rPr>
                <w:color w:val="1F497D"/>
              </w:rPr>
              <w:t>East Elmbridge</w:t>
            </w:r>
          </w:p>
        </w:tc>
        <w:tc>
          <w:tcPr>
            <w:tcW w:w="3081" w:type="dxa"/>
          </w:tcPr>
          <w:p w14:paraId="40AFB868" w14:textId="77777777" w:rsidR="00232597" w:rsidRDefault="00232597" w:rsidP="00232597">
            <w:pPr>
              <w:rPr>
                <w:color w:val="1F497D"/>
              </w:rPr>
            </w:pPr>
            <w:r>
              <w:rPr>
                <w:color w:val="1F497D"/>
              </w:rPr>
              <w:t>320,000</w:t>
            </w:r>
          </w:p>
        </w:tc>
      </w:tr>
      <w:tr w:rsidR="00232597" w14:paraId="6DB6A0D7" w14:textId="77777777" w:rsidTr="00232597">
        <w:tc>
          <w:tcPr>
            <w:tcW w:w="3080" w:type="dxa"/>
          </w:tcPr>
          <w:p w14:paraId="7C2C74A0" w14:textId="77777777" w:rsidR="00232597" w:rsidRDefault="00232597" w:rsidP="00232597">
            <w:pPr>
              <w:rPr>
                <w:color w:val="1F497D"/>
              </w:rPr>
            </w:pPr>
            <w:r>
              <w:rPr>
                <w:color w:val="1F497D"/>
              </w:rPr>
              <w:t>Surrey Downs</w:t>
            </w:r>
          </w:p>
        </w:tc>
        <w:tc>
          <w:tcPr>
            <w:tcW w:w="3081" w:type="dxa"/>
          </w:tcPr>
          <w:p w14:paraId="50831A35" w14:textId="77777777" w:rsidR="00232597" w:rsidRDefault="00232597" w:rsidP="00232597">
            <w:pPr>
              <w:rPr>
                <w:color w:val="1F497D"/>
              </w:rPr>
            </w:pPr>
            <w:r>
              <w:rPr>
                <w:color w:val="1F497D"/>
              </w:rPr>
              <w:t>Epsom</w:t>
            </w:r>
          </w:p>
        </w:tc>
        <w:tc>
          <w:tcPr>
            <w:tcW w:w="3081" w:type="dxa"/>
          </w:tcPr>
          <w:p w14:paraId="5091354D" w14:textId="77777777" w:rsidR="00232597" w:rsidRDefault="00232597" w:rsidP="00232597">
            <w:pPr>
              <w:rPr>
                <w:color w:val="1F497D"/>
              </w:rPr>
            </w:pPr>
            <w:r>
              <w:rPr>
                <w:color w:val="1F497D"/>
              </w:rPr>
              <w:t>1,170,000</w:t>
            </w:r>
          </w:p>
        </w:tc>
      </w:tr>
      <w:tr w:rsidR="00232597" w14:paraId="3FBA5FD8" w14:textId="77777777" w:rsidTr="00232597">
        <w:tc>
          <w:tcPr>
            <w:tcW w:w="3080" w:type="dxa"/>
          </w:tcPr>
          <w:p w14:paraId="12453817" w14:textId="77777777" w:rsidR="00232597" w:rsidRPr="00232597" w:rsidRDefault="00232597" w:rsidP="00232597">
            <w:pPr>
              <w:rPr>
                <w:b/>
                <w:color w:val="1F497D"/>
              </w:rPr>
            </w:pPr>
            <w:r w:rsidRPr="00232597">
              <w:rPr>
                <w:b/>
                <w:color w:val="1F497D"/>
              </w:rPr>
              <w:t>Total</w:t>
            </w:r>
          </w:p>
        </w:tc>
        <w:tc>
          <w:tcPr>
            <w:tcW w:w="3081" w:type="dxa"/>
          </w:tcPr>
          <w:p w14:paraId="0485980F" w14:textId="77777777" w:rsidR="00232597" w:rsidRPr="00232597" w:rsidRDefault="00232597" w:rsidP="00232597">
            <w:pPr>
              <w:rPr>
                <w:b/>
                <w:color w:val="1F497D"/>
              </w:rPr>
            </w:pPr>
          </w:p>
        </w:tc>
        <w:tc>
          <w:tcPr>
            <w:tcW w:w="3081" w:type="dxa"/>
          </w:tcPr>
          <w:p w14:paraId="142738CA" w14:textId="77777777" w:rsidR="00232597" w:rsidRPr="00232597" w:rsidRDefault="00232597" w:rsidP="00232597">
            <w:pPr>
              <w:rPr>
                <w:b/>
                <w:color w:val="1F497D"/>
              </w:rPr>
            </w:pPr>
            <w:r w:rsidRPr="00232597">
              <w:rPr>
                <w:b/>
                <w:color w:val="1F497D"/>
              </w:rPr>
              <w:t>5,170,000</w:t>
            </w:r>
          </w:p>
        </w:tc>
      </w:tr>
    </w:tbl>
    <w:p w14:paraId="6BFBBFBA" w14:textId="77777777" w:rsidR="00FB04F4" w:rsidRDefault="00463C2A" w:rsidP="000911F5">
      <w:pPr>
        <w:rPr>
          <w:color w:val="FF0000"/>
        </w:rPr>
      </w:pPr>
      <w:r>
        <w:rPr>
          <w:color w:val="1F497D"/>
        </w:rPr>
        <w:t xml:space="preserve">This is based on 2018/19 budget envelopes and takes no account of any additions or reductions for the </w:t>
      </w:r>
      <w:r w:rsidR="005C7ED9">
        <w:rPr>
          <w:color w:val="1F497D"/>
        </w:rPr>
        <w:t>proposed</w:t>
      </w:r>
      <w:r>
        <w:rPr>
          <w:color w:val="1F497D"/>
        </w:rPr>
        <w:t xml:space="preserve"> period, for example inflation, efficiency savings, wage awards, or other national mandated requirements.  </w:t>
      </w:r>
    </w:p>
    <w:p w14:paraId="33F72FBE" w14:textId="77777777" w:rsidR="005C7ED9" w:rsidRDefault="005C7ED9" w:rsidP="00FB04F4">
      <w:pPr>
        <w:rPr>
          <w:b/>
          <w:bCs/>
          <w:color w:val="1F497D"/>
        </w:rPr>
      </w:pPr>
    </w:p>
    <w:p w14:paraId="2CEF5887" w14:textId="77777777" w:rsidR="00FB04F4" w:rsidRPr="008C4E65" w:rsidRDefault="00FB04F4" w:rsidP="00FB04F4">
      <w:pPr>
        <w:ind w:firstLine="720"/>
        <w:rPr>
          <w:b/>
          <w:bCs/>
          <w:color w:val="1F497D"/>
        </w:rPr>
      </w:pPr>
      <w:r w:rsidRPr="008C4E65">
        <w:rPr>
          <w:b/>
          <w:bCs/>
          <w:color w:val="1F497D"/>
        </w:rPr>
        <w:t>Lot details</w:t>
      </w:r>
    </w:p>
    <w:p w14:paraId="7523F7F9" w14:textId="77777777" w:rsidR="00FB04F4" w:rsidRDefault="00D270FD" w:rsidP="000E6581">
      <w:pPr>
        <w:ind w:firstLine="720"/>
        <w:rPr>
          <w:color w:val="1F497D"/>
        </w:rPr>
      </w:pPr>
      <w:r>
        <w:rPr>
          <w:color w:val="1F497D"/>
        </w:rPr>
        <w:t>Awarded to 5 GP Federations as detailed above</w:t>
      </w:r>
    </w:p>
    <w:p w14:paraId="7FED0FDA" w14:textId="77777777" w:rsidR="00D270FD" w:rsidRPr="00232597" w:rsidRDefault="00D270FD" w:rsidP="00FB04F4">
      <w:pPr>
        <w:rPr>
          <w:b/>
          <w:bCs/>
          <w:color w:val="1F497D"/>
          <w:highlight w:val="yellow"/>
        </w:rPr>
      </w:pPr>
    </w:p>
    <w:p w14:paraId="44861CE6" w14:textId="77777777" w:rsidR="00FB04F4" w:rsidRDefault="00FB04F4" w:rsidP="00FB04F4">
      <w:pPr>
        <w:ind w:firstLine="720"/>
        <w:rPr>
          <w:b/>
          <w:bCs/>
          <w:color w:val="1F497D"/>
        </w:rPr>
      </w:pPr>
      <w:r w:rsidRPr="000911F5">
        <w:rPr>
          <w:b/>
          <w:bCs/>
          <w:color w:val="1F497D"/>
        </w:rPr>
        <w:t>Justification and explanation of why awarding a co</w:t>
      </w:r>
      <w:r w:rsidR="00C214C8" w:rsidRPr="000911F5">
        <w:rPr>
          <w:b/>
          <w:bCs/>
          <w:color w:val="1F497D"/>
        </w:rPr>
        <w:t>ntract without competition</w:t>
      </w:r>
    </w:p>
    <w:p w14:paraId="680F8363" w14:textId="77777777" w:rsidR="00461EEA" w:rsidRPr="000911F5" w:rsidRDefault="00461EEA" w:rsidP="00FB04F4">
      <w:pPr>
        <w:ind w:firstLine="720"/>
        <w:rPr>
          <w:b/>
          <w:bCs/>
          <w:color w:val="1F497D"/>
        </w:rPr>
      </w:pPr>
    </w:p>
    <w:p w14:paraId="36305305" w14:textId="77777777" w:rsidR="00D270FD" w:rsidRDefault="00D270FD" w:rsidP="000E6581">
      <w:pPr>
        <w:ind w:left="720"/>
        <w:rPr>
          <w:color w:val="1F497D"/>
        </w:rPr>
      </w:pPr>
      <w:r>
        <w:rPr>
          <w:color w:val="1F497D"/>
        </w:rPr>
        <w:t>It was decided that currently the extension of GP Services needs to remain with the incumbent GP Federations due to the following factors:</w:t>
      </w:r>
    </w:p>
    <w:p w14:paraId="76EDA96D" w14:textId="77777777" w:rsidR="00D270FD" w:rsidRDefault="00D270FD" w:rsidP="000E6581">
      <w:pPr>
        <w:pStyle w:val="ListParagraph"/>
        <w:ind w:left="1080" w:hanging="360"/>
        <w:rPr>
          <w:color w:val="1F497D"/>
        </w:rPr>
      </w:pPr>
      <w:r>
        <w:rPr>
          <w:rFonts w:ascii="Symbol" w:hAnsi="Symbol"/>
          <w:color w:val="1F497D"/>
        </w:rPr>
        <w:t></w:t>
      </w:r>
      <w:r>
        <w:rPr>
          <w:rFonts w:ascii="Times New Roman" w:hAnsi="Times New Roman"/>
          <w:color w:val="1F497D"/>
          <w:sz w:val="14"/>
          <w:szCs w:val="14"/>
        </w:rPr>
        <w:t xml:space="preserve">         </w:t>
      </w:r>
      <w:r>
        <w:rPr>
          <w:color w:val="1F497D"/>
        </w:rPr>
        <w:t>Access to the local, real time full GP Record to support clinical decision making</w:t>
      </w:r>
    </w:p>
    <w:p w14:paraId="1689A6CC" w14:textId="77777777" w:rsidR="00D270FD" w:rsidRDefault="00D270FD" w:rsidP="000E6581">
      <w:pPr>
        <w:pStyle w:val="ListParagraph"/>
        <w:ind w:left="1080" w:hanging="360"/>
        <w:rPr>
          <w:color w:val="1F497D"/>
        </w:rPr>
      </w:pPr>
      <w:r>
        <w:rPr>
          <w:rFonts w:ascii="Symbol" w:hAnsi="Symbol"/>
          <w:color w:val="1F497D"/>
        </w:rPr>
        <w:t></w:t>
      </w:r>
      <w:r>
        <w:rPr>
          <w:rFonts w:ascii="Times New Roman" w:hAnsi="Times New Roman"/>
          <w:color w:val="1F497D"/>
          <w:sz w:val="14"/>
          <w:szCs w:val="14"/>
        </w:rPr>
        <w:t xml:space="preserve">         </w:t>
      </w:r>
      <w:r>
        <w:rPr>
          <w:color w:val="1F497D"/>
        </w:rPr>
        <w:t>The 2018/19 Planning Guidance brought forward the requirement for the contracting authority to have plans in place for providing extended access to GP Services from 1</w:t>
      </w:r>
      <w:r>
        <w:rPr>
          <w:color w:val="1F497D"/>
          <w:vertAlign w:val="superscript"/>
        </w:rPr>
        <w:t>st</w:t>
      </w:r>
      <w:r>
        <w:rPr>
          <w:color w:val="1F497D"/>
        </w:rPr>
        <w:t xml:space="preserve"> April 2019 to 1</w:t>
      </w:r>
      <w:r>
        <w:rPr>
          <w:color w:val="1F497D"/>
          <w:vertAlign w:val="superscript"/>
        </w:rPr>
        <w:t>st</w:t>
      </w:r>
      <w:r>
        <w:rPr>
          <w:color w:val="1F497D"/>
        </w:rPr>
        <w:t xml:space="preserve"> October 2018, proving insufficient time to conduct a full competitive tendering process</w:t>
      </w:r>
    </w:p>
    <w:p w14:paraId="39D09EAD" w14:textId="77777777" w:rsidR="00D270FD" w:rsidRDefault="00D270FD" w:rsidP="000E6581">
      <w:pPr>
        <w:pStyle w:val="ListParagraph"/>
        <w:ind w:left="1080" w:hanging="360"/>
        <w:rPr>
          <w:color w:val="1F497D"/>
        </w:rPr>
      </w:pPr>
      <w:r>
        <w:rPr>
          <w:rFonts w:ascii="Symbol" w:hAnsi="Symbol"/>
          <w:color w:val="1F497D"/>
        </w:rPr>
        <w:t></w:t>
      </w:r>
      <w:r>
        <w:rPr>
          <w:rFonts w:ascii="Times New Roman" w:hAnsi="Times New Roman"/>
          <w:color w:val="1F497D"/>
          <w:sz w:val="14"/>
          <w:szCs w:val="14"/>
        </w:rPr>
        <w:t xml:space="preserve">         </w:t>
      </w:r>
      <w:r>
        <w:rPr>
          <w:color w:val="1F497D"/>
        </w:rPr>
        <w:t>Direct award to established GP Federations enables a timely and reduced risk approach to delivery of the requirements in the interim, whilst a longer term procurement strategy is considered</w:t>
      </w:r>
    </w:p>
    <w:p w14:paraId="13642007" w14:textId="77777777" w:rsidR="00D270FD" w:rsidRDefault="00D270FD" w:rsidP="000E6581">
      <w:pPr>
        <w:pStyle w:val="ListParagraph"/>
        <w:ind w:left="1080" w:hanging="360"/>
        <w:rPr>
          <w:color w:val="1F497D"/>
        </w:rPr>
      </w:pPr>
      <w:r>
        <w:rPr>
          <w:rFonts w:ascii="Symbol" w:hAnsi="Symbol"/>
          <w:color w:val="1F497D"/>
        </w:rPr>
        <w:t></w:t>
      </w:r>
      <w:r>
        <w:rPr>
          <w:rFonts w:ascii="Times New Roman" w:hAnsi="Times New Roman"/>
          <w:color w:val="1F497D"/>
          <w:sz w:val="14"/>
          <w:szCs w:val="14"/>
        </w:rPr>
        <w:t xml:space="preserve">         </w:t>
      </w:r>
      <w:r>
        <w:rPr>
          <w:color w:val="1F497D"/>
        </w:rPr>
        <w:t xml:space="preserve">Whilst the extended access support is based on the 7 core requirements there is much to learn through delivery about local patient </w:t>
      </w:r>
      <w:r w:rsidR="00D774AE">
        <w:rPr>
          <w:color w:val="1F497D"/>
        </w:rPr>
        <w:t xml:space="preserve">access </w:t>
      </w:r>
      <w:r>
        <w:rPr>
          <w:color w:val="1F497D"/>
        </w:rPr>
        <w:t>preferences and service delivery models which the first 6 months review of the interim arrangements will enable evidence based review of the findings</w:t>
      </w:r>
    </w:p>
    <w:p w14:paraId="032D6378" w14:textId="77777777" w:rsidR="00D270FD" w:rsidRDefault="00D270FD" w:rsidP="000E6581">
      <w:pPr>
        <w:pStyle w:val="ListParagraph"/>
        <w:ind w:left="1080" w:hanging="360"/>
        <w:rPr>
          <w:color w:val="1F497D"/>
        </w:rPr>
      </w:pPr>
      <w:r>
        <w:rPr>
          <w:rFonts w:ascii="Symbol" w:hAnsi="Symbol"/>
          <w:color w:val="1F497D"/>
        </w:rPr>
        <w:t></w:t>
      </w:r>
      <w:r>
        <w:rPr>
          <w:rFonts w:ascii="Times New Roman" w:hAnsi="Times New Roman"/>
          <w:color w:val="1F497D"/>
          <w:sz w:val="14"/>
          <w:szCs w:val="14"/>
        </w:rPr>
        <w:t xml:space="preserve">         </w:t>
      </w:r>
      <w:r>
        <w:rPr>
          <w:color w:val="1F497D"/>
        </w:rPr>
        <w:t>Introducing potential new providers during this evaluation period would have brought further complexities to this evaluation process and heightened the risk of patient safety whilst mobilisation arrangements took place concurrently to this controlled evaluation</w:t>
      </w:r>
    </w:p>
    <w:p w14:paraId="7F4DAB89" w14:textId="77777777" w:rsidR="00FB04F4" w:rsidRPr="00232597" w:rsidRDefault="00FB04F4" w:rsidP="00FB04F4">
      <w:pPr>
        <w:pStyle w:val="ListParagraph"/>
        <w:ind w:left="2173"/>
        <w:rPr>
          <w:color w:val="1F497D"/>
          <w:highlight w:val="yellow"/>
        </w:rPr>
      </w:pPr>
    </w:p>
    <w:p w14:paraId="61BAA8C5" w14:textId="66EABB33" w:rsidR="00FB04F4" w:rsidRPr="00232597" w:rsidRDefault="00FB04F4" w:rsidP="00FB04F4">
      <w:pPr>
        <w:rPr>
          <w:b/>
          <w:bCs/>
          <w:color w:val="1F497D"/>
        </w:rPr>
      </w:pPr>
      <w:r w:rsidRPr="00232597">
        <w:rPr>
          <w:b/>
          <w:bCs/>
          <w:color w:val="1F497D"/>
        </w:rPr>
        <w:t xml:space="preserve">Any additional information </w:t>
      </w:r>
      <w:r w:rsidR="008C4E65">
        <w:rPr>
          <w:color w:val="1F497D"/>
        </w:rPr>
        <w:t xml:space="preserve">– A Prior Information Notice will be published </w:t>
      </w:r>
      <w:r w:rsidR="009D0753">
        <w:rPr>
          <w:color w:val="1F497D"/>
        </w:rPr>
        <w:t xml:space="preserve">later </w:t>
      </w:r>
      <w:r w:rsidR="000E6581">
        <w:rPr>
          <w:color w:val="1F497D"/>
        </w:rPr>
        <w:t>in 2019</w:t>
      </w:r>
      <w:r w:rsidR="008C4E65">
        <w:rPr>
          <w:color w:val="1F497D"/>
        </w:rPr>
        <w:t xml:space="preserve"> which will confirm the outcomes of the pilot and intended procurement strategy</w:t>
      </w:r>
      <w:r w:rsidR="008E352F">
        <w:rPr>
          <w:color w:val="1F497D"/>
        </w:rPr>
        <w:t xml:space="preserve"> however these discussions will be in line with the review of GP Contracts</w:t>
      </w:r>
      <w:r w:rsidR="009C7323">
        <w:rPr>
          <w:color w:val="1F497D"/>
        </w:rPr>
        <w:t xml:space="preserve"> and the recently published 5 year investment framework</w:t>
      </w:r>
      <w:r w:rsidR="008C4E65">
        <w:rPr>
          <w:color w:val="1F497D"/>
        </w:rPr>
        <w:t>.</w:t>
      </w:r>
    </w:p>
    <w:p w14:paraId="50E98407" w14:textId="77777777" w:rsidR="004E2CC1" w:rsidRPr="008C4E65" w:rsidRDefault="00FB04F4">
      <w:pPr>
        <w:rPr>
          <w:color w:val="1F497D" w:themeColor="text2"/>
        </w:rPr>
      </w:pPr>
      <w:r w:rsidRPr="00232597">
        <w:rPr>
          <w:b/>
          <w:bCs/>
          <w:color w:val="1F497D"/>
        </w:rPr>
        <w:t xml:space="preserve">Body responsible for mediation / review body </w:t>
      </w:r>
      <w:r w:rsidRPr="00232597">
        <w:rPr>
          <w:color w:val="1F497D"/>
        </w:rPr>
        <w:t xml:space="preserve">– </w:t>
      </w:r>
      <w:r w:rsidR="00463C2A" w:rsidRPr="00232597">
        <w:rPr>
          <w:color w:val="1F497D" w:themeColor="text2"/>
        </w:rPr>
        <w:t xml:space="preserve">NHS </w:t>
      </w:r>
      <w:r w:rsidR="00232597" w:rsidRPr="00232597">
        <w:rPr>
          <w:color w:val="1F497D" w:themeColor="text2"/>
        </w:rPr>
        <w:t xml:space="preserve">Surrey Downs </w:t>
      </w:r>
      <w:r w:rsidR="008C4E65">
        <w:rPr>
          <w:color w:val="1F497D" w:themeColor="text2"/>
        </w:rPr>
        <w:t>CCG</w:t>
      </w:r>
    </w:p>
    <w:sectPr w:rsidR="004E2CC1" w:rsidRPr="008C4E65">
      <w:footerReference w:type="default" r:id="rId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1887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B73C1" w14:textId="77777777" w:rsidR="00DC7708" w:rsidRDefault="00DC7708" w:rsidP="00DC7708">
      <w:r>
        <w:separator/>
      </w:r>
    </w:p>
  </w:endnote>
  <w:endnote w:type="continuationSeparator" w:id="0">
    <w:p w14:paraId="3272109F" w14:textId="77777777" w:rsidR="00DC7708" w:rsidRDefault="00DC7708" w:rsidP="00DC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865466"/>
      <w:docPartObj>
        <w:docPartGallery w:val="Page Numbers (Bottom of Page)"/>
        <w:docPartUnique/>
      </w:docPartObj>
    </w:sdtPr>
    <w:sdtEndPr>
      <w:rPr>
        <w:noProof/>
      </w:rPr>
    </w:sdtEndPr>
    <w:sdtContent>
      <w:p w14:paraId="293B9D5D" w14:textId="77777777" w:rsidR="00DC7708" w:rsidRDefault="00DC7708">
        <w:pPr>
          <w:pStyle w:val="Footer"/>
          <w:jc w:val="center"/>
        </w:pPr>
        <w:r>
          <w:fldChar w:fldCharType="begin"/>
        </w:r>
        <w:r>
          <w:instrText xml:space="preserve"> PAGE   \* MERGEFORMAT </w:instrText>
        </w:r>
        <w:r>
          <w:fldChar w:fldCharType="separate"/>
        </w:r>
        <w:r w:rsidR="00BB1A00">
          <w:rPr>
            <w:noProof/>
          </w:rPr>
          <w:t>1</w:t>
        </w:r>
        <w:r>
          <w:rPr>
            <w:noProof/>
          </w:rPr>
          <w:fldChar w:fldCharType="end"/>
        </w:r>
      </w:p>
    </w:sdtContent>
  </w:sdt>
  <w:p w14:paraId="6F10B540" w14:textId="77777777" w:rsidR="00DC7708" w:rsidRDefault="00DC7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DF18F" w14:textId="77777777" w:rsidR="00DC7708" w:rsidRDefault="00DC7708" w:rsidP="00DC7708">
      <w:r>
        <w:separator/>
      </w:r>
    </w:p>
  </w:footnote>
  <w:footnote w:type="continuationSeparator" w:id="0">
    <w:p w14:paraId="78A15C67" w14:textId="77777777" w:rsidR="00DC7708" w:rsidRDefault="00DC7708" w:rsidP="00DC7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07BC2"/>
    <w:multiLevelType w:val="hybridMultilevel"/>
    <w:tmpl w:val="30AA5B5A"/>
    <w:lvl w:ilvl="0" w:tplc="08090001">
      <w:start w:val="1"/>
      <w:numFmt w:val="bullet"/>
      <w:lvlText w:val=""/>
      <w:lvlJc w:val="left"/>
      <w:pPr>
        <w:ind w:left="2173" w:hanging="360"/>
      </w:pPr>
      <w:rPr>
        <w:rFonts w:ascii="Symbol" w:hAnsi="Symbol" w:hint="default"/>
      </w:rPr>
    </w:lvl>
    <w:lvl w:ilvl="1" w:tplc="08090003">
      <w:start w:val="1"/>
      <w:numFmt w:val="bullet"/>
      <w:lvlText w:val="o"/>
      <w:lvlJc w:val="left"/>
      <w:pPr>
        <w:ind w:left="2893" w:hanging="360"/>
      </w:pPr>
      <w:rPr>
        <w:rFonts w:ascii="Courier New" w:hAnsi="Courier New" w:cs="Courier New" w:hint="default"/>
      </w:rPr>
    </w:lvl>
    <w:lvl w:ilvl="2" w:tplc="08090005">
      <w:start w:val="1"/>
      <w:numFmt w:val="bullet"/>
      <w:lvlText w:val=""/>
      <w:lvlJc w:val="left"/>
      <w:pPr>
        <w:ind w:left="3613" w:hanging="360"/>
      </w:pPr>
      <w:rPr>
        <w:rFonts w:ascii="Wingdings" w:hAnsi="Wingdings" w:hint="default"/>
      </w:rPr>
    </w:lvl>
    <w:lvl w:ilvl="3" w:tplc="08090001">
      <w:start w:val="1"/>
      <w:numFmt w:val="bullet"/>
      <w:lvlText w:val=""/>
      <w:lvlJc w:val="left"/>
      <w:pPr>
        <w:ind w:left="4333" w:hanging="360"/>
      </w:pPr>
      <w:rPr>
        <w:rFonts w:ascii="Symbol" w:hAnsi="Symbol" w:hint="default"/>
      </w:rPr>
    </w:lvl>
    <w:lvl w:ilvl="4" w:tplc="08090003">
      <w:start w:val="1"/>
      <w:numFmt w:val="bullet"/>
      <w:lvlText w:val="o"/>
      <w:lvlJc w:val="left"/>
      <w:pPr>
        <w:ind w:left="5053" w:hanging="360"/>
      </w:pPr>
      <w:rPr>
        <w:rFonts w:ascii="Courier New" w:hAnsi="Courier New" w:cs="Courier New" w:hint="default"/>
      </w:rPr>
    </w:lvl>
    <w:lvl w:ilvl="5" w:tplc="08090005">
      <w:start w:val="1"/>
      <w:numFmt w:val="bullet"/>
      <w:lvlText w:val=""/>
      <w:lvlJc w:val="left"/>
      <w:pPr>
        <w:ind w:left="5773" w:hanging="360"/>
      </w:pPr>
      <w:rPr>
        <w:rFonts w:ascii="Wingdings" w:hAnsi="Wingdings" w:hint="default"/>
      </w:rPr>
    </w:lvl>
    <w:lvl w:ilvl="6" w:tplc="08090001">
      <w:start w:val="1"/>
      <w:numFmt w:val="bullet"/>
      <w:lvlText w:val=""/>
      <w:lvlJc w:val="left"/>
      <w:pPr>
        <w:ind w:left="6493" w:hanging="360"/>
      </w:pPr>
      <w:rPr>
        <w:rFonts w:ascii="Symbol" w:hAnsi="Symbol" w:hint="default"/>
      </w:rPr>
    </w:lvl>
    <w:lvl w:ilvl="7" w:tplc="08090003">
      <w:start w:val="1"/>
      <w:numFmt w:val="bullet"/>
      <w:lvlText w:val="o"/>
      <w:lvlJc w:val="left"/>
      <w:pPr>
        <w:ind w:left="7213" w:hanging="360"/>
      </w:pPr>
      <w:rPr>
        <w:rFonts w:ascii="Courier New" w:hAnsi="Courier New" w:cs="Courier New" w:hint="default"/>
      </w:rPr>
    </w:lvl>
    <w:lvl w:ilvl="8" w:tplc="08090005">
      <w:start w:val="1"/>
      <w:numFmt w:val="bullet"/>
      <w:lvlText w:val=""/>
      <w:lvlJc w:val="left"/>
      <w:pPr>
        <w:ind w:left="7933"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ham Rachael (North West Surrey CCG)">
    <w15:presenceInfo w15:providerId="AD" w15:userId="S-1-5-21-2685130718-3214578179-3090725218-1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F4"/>
    <w:rsid w:val="000911F5"/>
    <w:rsid w:val="000C1758"/>
    <w:rsid w:val="000E6581"/>
    <w:rsid w:val="001318A4"/>
    <w:rsid w:val="00232597"/>
    <w:rsid w:val="003E3B2E"/>
    <w:rsid w:val="00444B4B"/>
    <w:rsid w:val="00461EEA"/>
    <w:rsid w:val="00463C2A"/>
    <w:rsid w:val="00505744"/>
    <w:rsid w:val="005C7ED9"/>
    <w:rsid w:val="005E44DA"/>
    <w:rsid w:val="00623B56"/>
    <w:rsid w:val="00657602"/>
    <w:rsid w:val="00733E4C"/>
    <w:rsid w:val="00787A8A"/>
    <w:rsid w:val="008C4E65"/>
    <w:rsid w:val="008E352F"/>
    <w:rsid w:val="009C7323"/>
    <w:rsid w:val="009D0753"/>
    <w:rsid w:val="00BB1A00"/>
    <w:rsid w:val="00BC6130"/>
    <w:rsid w:val="00C214C8"/>
    <w:rsid w:val="00D256FF"/>
    <w:rsid w:val="00D270FD"/>
    <w:rsid w:val="00D774AE"/>
    <w:rsid w:val="00DC7708"/>
    <w:rsid w:val="00DD2A62"/>
    <w:rsid w:val="00DF1089"/>
    <w:rsid w:val="00FB0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F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F4"/>
    <w:pPr>
      <w:ind w:left="720"/>
    </w:pPr>
  </w:style>
  <w:style w:type="table" w:styleId="TableGrid">
    <w:name w:val="Table Grid"/>
    <w:basedOn w:val="TableNormal"/>
    <w:uiPriority w:val="59"/>
    <w:rsid w:val="0023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7708"/>
    <w:pPr>
      <w:tabs>
        <w:tab w:val="center" w:pos="4513"/>
        <w:tab w:val="right" w:pos="9026"/>
      </w:tabs>
    </w:pPr>
  </w:style>
  <w:style w:type="character" w:customStyle="1" w:styleId="HeaderChar">
    <w:name w:val="Header Char"/>
    <w:basedOn w:val="DefaultParagraphFont"/>
    <w:link w:val="Header"/>
    <w:uiPriority w:val="99"/>
    <w:rsid w:val="00DC7708"/>
    <w:rPr>
      <w:rFonts w:ascii="Calibri" w:hAnsi="Calibri" w:cs="Times New Roman"/>
    </w:rPr>
  </w:style>
  <w:style w:type="paragraph" w:styleId="Footer">
    <w:name w:val="footer"/>
    <w:basedOn w:val="Normal"/>
    <w:link w:val="FooterChar"/>
    <w:uiPriority w:val="99"/>
    <w:unhideWhenUsed/>
    <w:rsid w:val="00DC7708"/>
    <w:pPr>
      <w:tabs>
        <w:tab w:val="center" w:pos="4513"/>
        <w:tab w:val="right" w:pos="9026"/>
      </w:tabs>
    </w:pPr>
  </w:style>
  <w:style w:type="character" w:customStyle="1" w:styleId="FooterChar">
    <w:name w:val="Footer Char"/>
    <w:basedOn w:val="DefaultParagraphFont"/>
    <w:link w:val="Footer"/>
    <w:uiPriority w:val="99"/>
    <w:rsid w:val="00DC7708"/>
    <w:rPr>
      <w:rFonts w:ascii="Calibri" w:hAnsi="Calibri" w:cs="Times New Roman"/>
    </w:rPr>
  </w:style>
  <w:style w:type="character" w:styleId="CommentReference">
    <w:name w:val="annotation reference"/>
    <w:basedOn w:val="DefaultParagraphFont"/>
    <w:uiPriority w:val="99"/>
    <w:semiHidden/>
    <w:unhideWhenUsed/>
    <w:rsid w:val="00DC7708"/>
    <w:rPr>
      <w:sz w:val="16"/>
      <w:szCs w:val="16"/>
    </w:rPr>
  </w:style>
  <w:style w:type="paragraph" w:styleId="CommentText">
    <w:name w:val="annotation text"/>
    <w:basedOn w:val="Normal"/>
    <w:link w:val="CommentTextChar"/>
    <w:uiPriority w:val="99"/>
    <w:semiHidden/>
    <w:unhideWhenUsed/>
    <w:rsid w:val="00DC7708"/>
    <w:rPr>
      <w:sz w:val="20"/>
      <w:szCs w:val="20"/>
    </w:rPr>
  </w:style>
  <w:style w:type="character" w:customStyle="1" w:styleId="CommentTextChar">
    <w:name w:val="Comment Text Char"/>
    <w:basedOn w:val="DefaultParagraphFont"/>
    <w:link w:val="CommentText"/>
    <w:uiPriority w:val="99"/>
    <w:semiHidden/>
    <w:rsid w:val="00DC770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7708"/>
    <w:rPr>
      <w:b/>
      <w:bCs/>
    </w:rPr>
  </w:style>
  <w:style w:type="character" w:customStyle="1" w:styleId="CommentSubjectChar">
    <w:name w:val="Comment Subject Char"/>
    <w:basedOn w:val="CommentTextChar"/>
    <w:link w:val="CommentSubject"/>
    <w:uiPriority w:val="99"/>
    <w:semiHidden/>
    <w:rsid w:val="00DC7708"/>
    <w:rPr>
      <w:rFonts w:ascii="Calibri" w:hAnsi="Calibri" w:cs="Times New Roman"/>
      <w:b/>
      <w:bCs/>
      <w:sz w:val="20"/>
      <w:szCs w:val="20"/>
    </w:rPr>
  </w:style>
  <w:style w:type="paragraph" w:styleId="BalloonText">
    <w:name w:val="Balloon Text"/>
    <w:basedOn w:val="Normal"/>
    <w:link w:val="BalloonTextChar"/>
    <w:uiPriority w:val="99"/>
    <w:semiHidden/>
    <w:unhideWhenUsed/>
    <w:rsid w:val="00DC7708"/>
    <w:rPr>
      <w:rFonts w:ascii="Tahoma" w:hAnsi="Tahoma" w:cs="Tahoma"/>
      <w:sz w:val="16"/>
      <w:szCs w:val="16"/>
    </w:rPr>
  </w:style>
  <w:style w:type="character" w:customStyle="1" w:styleId="BalloonTextChar">
    <w:name w:val="Balloon Text Char"/>
    <w:basedOn w:val="DefaultParagraphFont"/>
    <w:link w:val="BalloonText"/>
    <w:uiPriority w:val="99"/>
    <w:semiHidden/>
    <w:rsid w:val="00DC7708"/>
    <w:rPr>
      <w:rFonts w:ascii="Tahoma" w:hAnsi="Tahoma" w:cs="Tahoma"/>
      <w:sz w:val="16"/>
      <w:szCs w:val="16"/>
    </w:rPr>
  </w:style>
  <w:style w:type="paragraph" w:styleId="Revision">
    <w:name w:val="Revision"/>
    <w:hidden/>
    <w:uiPriority w:val="99"/>
    <w:semiHidden/>
    <w:rsid w:val="00461EEA"/>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F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F4"/>
    <w:pPr>
      <w:ind w:left="720"/>
    </w:pPr>
  </w:style>
  <w:style w:type="table" w:styleId="TableGrid">
    <w:name w:val="Table Grid"/>
    <w:basedOn w:val="TableNormal"/>
    <w:uiPriority w:val="59"/>
    <w:rsid w:val="0023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7708"/>
    <w:pPr>
      <w:tabs>
        <w:tab w:val="center" w:pos="4513"/>
        <w:tab w:val="right" w:pos="9026"/>
      </w:tabs>
    </w:pPr>
  </w:style>
  <w:style w:type="character" w:customStyle="1" w:styleId="HeaderChar">
    <w:name w:val="Header Char"/>
    <w:basedOn w:val="DefaultParagraphFont"/>
    <w:link w:val="Header"/>
    <w:uiPriority w:val="99"/>
    <w:rsid w:val="00DC7708"/>
    <w:rPr>
      <w:rFonts w:ascii="Calibri" w:hAnsi="Calibri" w:cs="Times New Roman"/>
    </w:rPr>
  </w:style>
  <w:style w:type="paragraph" w:styleId="Footer">
    <w:name w:val="footer"/>
    <w:basedOn w:val="Normal"/>
    <w:link w:val="FooterChar"/>
    <w:uiPriority w:val="99"/>
    <w:unhideWhenUsed/>
    <w:rsid w:val="00DC7708"/>
    <w:pPr>
      <w:tabs>
        <w:tab w:val="center" w:pos="4513"/>
        <w:tab w:val="right" w:pos="9026"/>
      </w:tabs>
    </w:pPr>
  </w:style>
  <w:style w:type="character" w:customStyle="1" w:styleId="FooterChar">
    <w:name w:val="Footer Char"/>
    <w:basedOn w:val="DefaultParagraphFont"/>
    <w:link w:val="Footer"/>
    <w:uiPriority w:val="99"/>
    <w:rsid w:val="00DC7708"/>
    <w:rPr>
      <w:rFonts w:ascii="Calibri" w:hAnsi="Calibri" w:cs="Times New Roman"/>
    </w:rPr>
  </w:style>
  <w:style w:type="character" w:styleId="CommentReference">
    <w:name w:val="annotation reference"/>
    <w:basedOn w:val="DefaultParagraphFont"/>
    <w:uiPriority w:val="99"/>
    <w:semiHidden/>
    <w:unhideWhenUsed/>
    <w:rsid w:val="00DC7708"/>
    <w:rPr>
      <w:sz w:val="16"/>
      <w:szCs w:val="16"/>
    </w:rPr>
  </w:style>
  <w:style w:type="paragraph" w:styleId="CommentText">
    <w:name w:val="annotation text"/>
    <w:basedOn w:val="Normal"/>
    <w:link w:val="CommentTextChar"/>
    <w:uiPriority w:val="99"/>
    <w:semiHidden/>
    <w:unhideWhenUsed/>
    <w:rsid w:val="00DC7708"/>
    <w:rPr>
      <w:sz w:val="20"/>
      <w:szCs w:val="20"/>
    </w:rPr>
  </w:style>
  <w:style w:type="character" w:customStyle="1" w:styleId="CommentTextChar">
    <w:name w:val="Comment Text Char"/>
    <w:basedOn w:val="DefaultParagraphFont"/>
    <w:link w:val="CommentText"/>
    <w:uiPriority w:val="99"/>
    <w:semiHidden/>
    <w:rsid w:val="00DC770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7708"/>
    <w:rPr>
      <w:b/>
      <w:bCs/>
    </w:rPr>
  </w:style>
  <w:style w:type="character" w:customStyle="1" w:styleId="CommentSubjectChar">
    <w:name w:val="Comment Subject Char"/>
    <w:basedOn w:val="CommentTextChar"/>
    <w:link w:val="CommentSubject"/>
    <w:uiPriority w:val="99"/>
    <w:semiHidden/>
    <w:rsid w:val="00DC7708"/>
    <w:rPr>
      <w:rFonts w:ascii="Calibri" w:hAnsi="Calibri" w:cs="Times New Roman"/>
      <w:b/>
      <w:bCs/>
      <w:sz w:val="20"/>
      <w:szCs w:val="20"/>
    </w:rPr>
  </w:style>
  <w:style w:type="paragraph" w:styleId="BalloonText">
    <w:name w:val="Balloon Text"/>
    <w:basedOn w:val="Normal"/>
    <w:link w:val="BalloonTextChar"/>
    <w:uiPriority w:val="99"/>
    <w:semiHidden/>
    <w:unhideWhenUsed/>
    <w:rsid w:val="00DC7708"/>
    <w:rPr>
      <w:rFonts w:ascii="Tahoma" w:hAnsi="Tahoma" w:cs="Tahoma"/>
      <w:sz w:val="16"/>
      <w:szCs w:val="16"/>
    </w:rPr>
  </w:style>
  <w:style w:type="character" w:customStyle="1" w:styleId="BalloonTextChar">
    <w:name w:val="Balloon Text Char"/>
    <w:basedOn w:val="DefaultParagraphFont"/>
    <w:link w:val="BalloonText"/>
    <w:uiPriority w:val="99"/>
    <w:semiHidden/>
    <w:rsid w:val="00DC7708"/>
    <w:rPr>
      <w:rFonts w:ascii="Tahoma" w:hAnsi="Tahoma" w:cs="Tahoma"/>
      <w:sz w:val="16"/>
      <w:szCs w:val="16"/>
    </w:rPr>
  </w:style>
  <w:style w:type="paragraph" w:styleId="Revision">
    <w:name w:val="Revision"/>
    <w:hidden/>
    <w:uiPriority w:val="99"/>
    <w:semiHidden/>
    <w:rsid w:val="00461EEA"/>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19820">
      <w:bodyDiv w:val="1"/>
      <w:marLeft w:val="0"/>
      <w:marRight w:val="0"/>
      <w:marTop w:val="0"/>
      <w:marBottom w:val="0"/>
      <w:divBdr>
        <w:top w:val="none" w:sz="0" w:space="0" w:color="auto"/>
        <w:left w:val="none" w:sz="0" w:space="0" w:color="auto"/>
        <w:bottom w:val="none" w:sz="0" w:space="0" w:color="auto"/>
        <w:right w:val="none" w:sz="0" w:space="0" w:color="auto"/>
      </w:divBdr>
    </w:div>
    <w:div w:id="256447398">
      <w:bodyDiv w:val="1"/>
      <w:marLeft w:val="0"/>
      <w:marRight w:val="0"/>
      <w:marTop w:val="0"/>
      <w:marBottom w:val="0"/>
      <w:divBdr>
        <w:top w:val="none" w:sz="0" w:space="0" w:color="auto"/>
        <w:left w:val="none" w:sz="0" w:space="0" w:color="auto"/>
        <w:bottom w:val="none" w:sz="0" w:space="0" w:color="auto"/>
        <w:right w:val="none" w:sz="0" w:space="0" w:color="auto"/>
      </w:divBdr>
    </w:div>
    <w:div w:id="943919073">
      <w:bodyDiv w:val="1"/>
      <w:marLeft w:val="0"/>
      <w:marRight w:val="0"/>
      <w:marTop w:val="0"/>
      <w:marBottom w:val="0"/>
      <w:divBdr>
        <w:top w:val="none" w:sz="0" w:space="0" w:color="auto"/>
        <w:left w:val="none" w:sz="0" w:space="0" w:color="auto"/>
        <w:bottom w:val="none" w:sz="0" w:space="0" w:color="auto"/>
        <w:right w:val="none" w:sz="0" w:space="0" w:color="auto"/>
      </w:divBdr>
    </w:div>
    <w:div w:id="1088313295">
      <w:bodyDiv w:val="1"/>
      <w:marLeft w:val="0"/>
      <w:marRight w:val="0"/>
      <w:marTop w:val="0"/>
      <w:marBottom w:val="0"/>
      <w:divBdr>
        <w:top w:val="none" w:sz="0" w:space="0" w:color="auto"/>
        <w:left w:val="none" w:sz="0" w:space="0" w:color="auto"/>
        <w:bottom w:val="none" w:sz="0" w:space="0" w:color="auto"/>
        <w:right w:val="none" w:sz="0" w:space="0" w:color="auto"/>
      </w:divBdr>
    </w:div>
    <w:div w:id="1360398530">
      <w:bodyDiv w:val="1"/>
      <w:marLeft w:val="0"/>
      <w:marRight w:val="0"/>
      <w:marTop w:val="0"/>
      <w:marBottom w:val="0"/>
      <w:divBdr>
        <w:top w:val="none" w:sz="0" w:space="0" w:color="auto"/>
        <w:left w:val="none" w:sz="0" w:space="0" w:color="auto"/>
        <w:bottom w:val="none" w:sz="0" w:space="0" w:color="auto"/>
        <w:right w:val="none" w:sz="0" w:space="0" w:color="auto"/>
      </w:divBdr>
    </w:div>
    <w:div w:id="1485507304">
      <w:bodyDiv w:val="1"/>
      <w:marLeft w:val="0"/>
      <w:marRight w:val="0"/>
      <w:marTop w:val="0"/>
      <w:marBottom w:val="0"/>
      <w:divBdr>
        <w:top w:val="none" w:sz="0" w:space="0" w:color="auto"/>
        <w:left w:val="none" w:sz="0" w:space="0" w:color="auto"/>
        <w:bottom w:val="none" w:sz="0" w:space="0" w:color="auto"/>
        <w:right w:val="none" w:sz="0" w:space="0" w:color="auto"/>
      </w:divBdr>
    </w:div>
    <w:div w:id="17489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White</dc:creator>
  <cp:lastModifiedBy>Carol Swann</cp:lastModifiedBy>
  <cp:revision>2</cp:revision>
  <cp:lastPrinted>2018-12-17T10:37:00Z</cp:lastPrinted>
  <dcterms:created xsi:type="dcterms:W3CDTF">2019-02-19T12:26:00Z</dcterms:created>
  <dcterms:modified xsi:type="dcterms:W3CDTF">2019-02-19T12:26:00Z</dcterms:modified>
</cp:coreProperties>
</file>