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AC4AB13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346705" w:rsidRPr="00346705">
              <w:rPr>
                <w:rFonts w:ascii="Arial" w:hAnsi="Arial" w:cs="Arial"/>
                <w:b/>
              </w:rPr>
              <w:t>P0021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16DA6A0" w:rsidR="00CB3E0B" w:rsidRDefault="0034670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2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A701F14" w:rsidR="00727813" w:rsidRPr="00311C5F" w:rsidRDefault="00346705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29 February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12B298F" w:rsidR="00A53652" w:rsidRPr="00CB3E0B" w:rsidRDefault="00346705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2 – Procurement advice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CFB73BA" w:rsidR="00727813" w:rsidRDefault="00346705" w:rsidP="00346705">
      <w:pPr>
        <w:jc w:val="center"/>
        <w:rPr>
          <w:rFonts w:ascii="Arial" w:hAnsi="Arial" w:cs="Arial"/>
          <w:b/>
        </w:rPr>
      </w:pPr>
      <w:r w:rsidRPr="00346705">
        <w:rPr>
          <w:rFonts w:ascii="Arial" w:hAnsi="Arial" w:cs="Arial"/>
          <w:b/>
        </w:rPr>
        <w:t>P0021 Hydrogen Expertise</w:t>
      </w:r>
    </w:p>
    <w:p w14:paraId="01BCE0CC" w14:textId="77777777" w:rsidR="00346705" w:rsidRDefault="00346705" w:rsidP="00346705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59FE37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2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46705">
            <w:rPr>
              <w:rFonts w:ascii="Arial" w:hAnsi="Arial" w:cs="Arial"/>
              <w:b/>
            </w:rPr>
            <w:t>14 February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2A7901F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2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46705">
            <w:rPr>
              <w:rFonts w:ascii="Arial" w:hAnsi="Arial" w:cs="Arial"/>
              <w:b/>
            </w:rPr>
            <w:t>29 February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10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46705">
            <w:rPr>
              <w:rFonts w:ascii="Arial" w:hAnsi="Arial" w:cs="Arial"/>
              <w:b/>
            </w:rPr>
            <w:t>31 October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54ED17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346705">
        <w:rPr>
          <w:rFonts w:ascii="Arial" w:hAnsi="Arial" w:cs="Arial"/>
          <w:b/>
        </w:rPr>
        <w:t>146,423.00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2AABAA3" w:rsidR="00627D44" w:rsidRPr="00311C5F" w:rsidRDefault="00EC5910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2A79C8CD" w:rsidR="00CB4F85" w:rsidRDefault="00EC591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346705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46705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C5910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2</cp:revision>
  <cp:lastPrinted>2016-01-12T11:01:00Z</cp:lastPrinted>
  <dcterms:created xsi:type="dcterms:W3CDTF">2024-03-01T12:43:00Z</dcterms:created>
  <dcterms:modified xsi:type="dcterms:W3CDTF">2024-03-01T12:43:00Z</dcterms:modified>
</cp:coreProperties>
</file>