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E843" w14:textId="5852788F" w:rsidR="00B3064F" w:rsidRDefault="00754D63" w:rsidP="008C5E5B">
      <w:pPr>
        <w:jc w:val="center"/>
      </w:pPr>
      <w:r>
        <w:rPr>
          <w:noProof/>
        </w:rPr>
        <w:drawing>
          <wp:anchor distT="0" distB="0" distL="114300" distR="114300" simplePos="0" relativeHeight="251657728" behindDoc="1" locked="0" layoutInCell="1" allowOverlap="1" wp14:anchorId="4B6D9C5D" wp14:editId="163BFB83">
            <wp:simplePos x="0" y="0"/>
            <wp:positionH relativeFrom="column">
              <wp:posOffset>-244475</wp:posOffset>
            </wp:positionH>
            <wp:positionV relativeFrom="paragraph">
              <wp:posOffset>0</wp:posOffset>
            </wp:positionV>
            <wp:extent cx="2559050" cy="640080"/>
            <wp:effectExtent l="0" t="0" r="0" b="0"/>
            <wp:wrapTight wrapText="bothSides">
              <wp:wrapPolygon edited="0">
                <wp:start x="0" y="0"/>
                <wp:lineTo x="0" y="21214"/>
                <wp:lineTo x="21386" y="21214"/>
                <wp:lineTo x="21386" y="0"/>
                <wp:lineTo x="0" y="0"/>
              </wp:wrapPolygon>
            </wp:wrapTight>
            <wp:docPr id="3" name="Picture 1"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C085D" w14:textId="77777777" w:rsidR="002A0C66" w:rsidRDefault="002A0C66" w:rsidP="002A0C66">
      <w:pPr>
        <w:jc w:val="center"/>
      </w:pPr>
    </w:p>
    <w:p w14:paraId="62D9B033" w14:textId="77777777" w:rsidR="002A0C66" w:rsidRPr="006011CA" w:rsidRDefault="002A0C66" w:rsidP="002A0C66">
      <w:pPr>
        <w:jc w:val="right"/>
      </w:pPr>
    </w:p>
    <w:p w14:paraId="50BE3DFD" w14:textId="77777777" w:rsidR="00A22498" w:rsidRDefault="00A22498" w:rsidP="002A0C66">
      <w:pPr>
        <w:jc w:val="center"/>
        <w:rPr>
          <w:rFonts w:ascii="Arial" w:hAnsi="Arial" w:cs="Arial"/>
          <w:b/>
        </w:rPr>
      </w:pPr>
    </w:p>
    <w:p w14:paraId="54497B41" w14:textId="08D459FF" w:rsidR="002A0C66" w:rsidRPr="006011CA" w:rsidRDefault="002A0C66" w:rsidP="002A0C66">
      <w:pPr>
        <w:jc w:val="center"/>
        <w:rPr>
          <w:rFonts w:ascii="Arial" w:hAnsi="Arial" w:cs="Arial"/>
          <w:b/>
        </w:rPr>
      </w:pPr>
      <w:r w:rsidRPr="006011CA">
        <w:rPr>
          <w:rFonts w:ascii="Arial" w:hAnsi="Arial" w:cs="Arial"/>
          <w:b/>
        </w:rPr>
        <w:t xml:space="preserve">Proposed re-tender of </w:t>
      </w:r>
      <w:r w:rsidR="00B24A64">
        <w:rPr>
          <w:rFonts w:ascii="Arial" w:hAnsi="Arial" w:cs="Arial"/>
          <w:b/>
        </w:rPr>
        <w:t>Child Sexual Exploitation Support and Return Home Interview Services</w:t>
      </w:r>
    </w:p>
    <w:p w14:paraId="220A4794" w14:textId="77777777" w:rsidR="002A0C66" w:rsidRPr="006011CA" w:rsidRDefault="002A0C66" w:rsidP="002A0C66">
      <w:pPr>
        <w:jc w:val="center"/>
        <w:rPr>
          <w:rFonts w:ascii="Arial" w:hAnsi="Arial" w:cs="Arial"/>
        </w:rPr>
      </w:pPr>
    </w:p>
    <w:p w14:paraId="7F68BFDE" w14:textId="55011B87" w:rsidR="002A0C66" w:rsidRDefault="002A0C66" w:rsidP="00E918BE">
      <w:pPr>
        <w:spacing w:after="120"/>
        <w:jc w:val="both"/>
        <w:rPr>
          <w:rFonts w:ascii="Arial" w:hAnsi="Arial" w:cs="Arial"/>
        </w:rPr>
      </w:pPr>
      <w:r w:rsidRPr="006011CA">
        <w:rPr>
          <w:rFonts w:ascii="Arial" w:hAnsi="Arial" w:cs="Arial"/>
        </w:rPr>
        <w:t xml:space="preserve">The Council is proposing to tender a </w:t>
      </w:r>
      <w:r w:rsidR="00B24A64">
        <w:rPr>
          <w:rFonts w:ascii="Arial" w:hAnsi="Arial" w:cs="Arial"/>
        </w:rPr>
        <w:t xml:space="preserve">new service for Child Sexual Exploitation Support and Return Home Interview Services </w:t>
      </w:r>
      <w:r w:rsidRPr="006011CA">
        <w:rPr>
          <w:rFonts w:ascii="Arial" w:hAnsi="Arial" w:cs="Arial"/>
        </w:rPr>
        <w:t>to start on 1</w:t>
      </w:r>
      <w:r w:rsidRPr="006011CA">
        <w:rPr>
          <w:rFonts w:ascii="Arial" w:hAnsi="Arial" w:cs="Arial"/>
          <w:vertAlign w:val="superscript"/>
        </w:rPr>
        <w:t>st</w:t>
      </w:r>
      <w:r w:rsidRPr="006011CA">
        <w:rPr>
          <w:rFonts w:ascii="Arial" w:hAnsi="Arial" w:cs="Arial"/>
        </w:rPr>
        <w:t xml:space="preserve"> </w:t>
      </w:r>
      <w:r w:rsidR="00B24A64">
        <w:rPr>
          <w:rFonts w:ascii="Arial" w:hAnsi="Arial" w:cs="Arial"/>
        </w:rPr>
        <w:t>November 2018. The contract</w:t>
      </w:r>
      <w:r w:rsidRPr="006011CA">
        <w:rPr>
          <w:rFonts w:ascii="Arial" w:hAnsi="Arial" w:cs="Arial"/>
        </w:rPr>
        <w:t xml:space="preserve"> will be for an initial period of three years with the option for two extensions of one year each. </w:t>
      </w:r>
    </w:p>
    <w:p w14:paraId="0F57640D" w14:textId="7E199831" w:rsidR="007F05F4" w:rsidRPr="007F1634" w:rsidRDefault="007F05F4" w:rsidP="007F05F4">
      <w:pPr>
        <w:jc w:val="both"/>
        <w:rPr>
          <w:rFonts w:ascii="Arial" w:hAnsi="Arial" w:cs="Arial"/>
        </w:rPr>
      </w:pPr>
      <w:r>
        <w:rPr>
          <w:rFonts w:ascii="Arial" w:hAnsi="Arial" w:cs="Arial"/>
        </w:rPr>
        <w:t>As part of the development of the procurement approach for this tender, we wi</w:t>
      </w:r>
      <w:r w:rsidRPr="007F1634">
        <w:rPr>
          <w:rFonts w:ascii="Arial" w:hAnsi="Arial" w:cs="Arial"/>
        </w:rPr>
        <w:t xml:space="preserve">sh to </w:t>
      </w:r>
      <w:r>
        <w:rPr>
          <w:rFonts w:ascii="Arial" w:hAnsi="Arial" w:cs="Arial"/>
        </w:rPr>
        <w:t xml:space="preserve">gather the views of providers </w:t>
      </w:r>
      <w:r w:rsidRPr="007F1634">
        <w:rPr>
          <w:rFonts w:ascii="Arial" w:hAnsi="Arial" w:cs="Arial"/>
        </w:rPr>
        <w:t>on th</w:t>
      </w:r>
      <w:r>
        <w:rPr>
          <w:rFonts w:ascii="Arial" w:hAnsi="Arial" w:cs="Arial"/>
        </w:rPr>
        <w:t>e</w:t>
      </w:r>
      <w:r w:rsidRPr="007F1634">
        <w:rPr>
          <w:rFonts w:ascii="Arial" w:hAnsi="Arial" w:cs="Arial"/>
        </w:rPr>
        <w:t xml:space="preserve"> proposed model</w:t>
      </w:r>
      <w:r>
        <w:rPr>
          <w:rFonts w:ascii="Arial" w:hAnsi="Arial" w:cs="Arial"/>
        </w:rPr>
        <w:t xml:space="preserve">. </w:t>
      </w:r>
      <w:r w:rsidRPr="007F1634">
        <w:rPr>
          <w:rFonts w:ascii="Arial" w:hAnsi="Arial" w:cs="Arial"/>
        </w:rPr>
        <w:t xml:space="preserve"> </w:t>
      </w:r>
      <w:r>
        <w:rPr>
          <w:rFonts w:ascii="Arial" w:hAnsi="Arial" w:cs="Arial"/>
        </w:rPr>
        <w:t>At the end of this document</w:t>
      </w:r>
      <w:r w:rsidR="002F0162">
        <w:rPr>
          <w:rFonts w:ascii="Arial" w:hAnsi="Arial" w:cs="Arial"/>
        </w:rPr>
        <w:t>,</w:t>
      </w:r>
      <w:r>
        <w:rPr>
          <w:rFonts w:ascii="Arial" w:hAnsi="Arial" w:cs="Arial"/>
        </w:rPr>
        <w:t xml:space="preserve"> you will</w:t>
      </w:r>
      <w:r w:rsidRPr="007F1634">
        <w:rPr>
          <w:rFonts w:ascii="Arial" w:hAnsi="Arial" w:cs="Arial"/>
        </w:rPr>
        <w:t xml:space="preserve"> therefore</w:t>
      </w:r>
      <w:r>
        <w:rPr>
          <w:rFonts w:ascii="Arial" w:hAnsi="Arial" w:cs="Arial"/>
        </w:rPr>
        <w:t xml:space="preserve"> find a series of questions that we</w:t>
      </w:r>
      <w:r w:rsidRPr="007F1634">
        <w:rPr>
          <w:rFonts w:ascii="Arial" w:hAnsi="Arial" w:cs="Arial"/>
        </w:rPr>
        <w:t xml:space="preserve"> would welcome </w:t>
      </w:r>
      <w:r>
        <w:rPr>
          <w:rFonts w:ascii="Arial" w:hAnsi="Arial" w:cs="Arial"/>
        </w:rPr>
        <w:t>responses to.</w:t>
      </w:r>
    </w:p>
    <w:p w14:paraId="2689FB56" w14:textId="2CBF6E46" w:rsidR="002F1BAE" w:rsidRDefault="002F1BAE" w:rsidP="00E918BE">
      <w:pPr>
        <w:spacing w:after="120"/>
        <w:jc w:val="both"/>
        <w:rPr>
          <w:rFonts w:ascii="Arial" w:hAnsi="Arial" w:cs="Arial"/>
        </w:rPr>
      </w:pPr>
    </w:p>
    <w:p w14:paraId="087256EC" w14:textId="4BBC4118" w:rsidR="002F1BAE" w:rsidRPr="00FB1683" w:rsidRDefault="002F1BAE" w:rsidP="002F1BAE">
      <w:pPr>
        <w:pStyle w:val="ListParagraph"/>
        <w:keepNext/>
        <w:spacing w:before="120" w:after="120" w:line="276" w:lineRule="auto"/>
        <w:ind w:left="0"/>
        <w:contextualSpacing/>
        <w:jc w:val="both"/>
        <w:outlineLvl w:val="1"/>
        <w:rPr>
          <w:rFonts w:ascii="Arial" w:hAnsi="Arial" w:cs="Arial"/>
          <w:b/>
          <w:iCs/>
          <w:kern w:val="32"/>
          <w:szCs w:val="28"/>
        </w:rPr>
      </w:pPr>
      <w:r>
        <w:rPr>
          <w:rFonts w:ascii="Arial" w:hAnsi="Arial" w:cs="Arial"/>
          <w:b/>
          <w:iCs/>
          <w:kern w:val="32"/>
          <w:szCs w:val="28"/>
        </w:rPr>
        <w:t>The local picture in Camden</w:t>
      </w:r>
    </w:p>
    <w:p w14:paraId="781B4F68" w14:textId="77777777" w:rsidR="005F3E3F" w:rsidRDefault="002F1BAE" w:rsidP="00F94B40">
      <w:pPr>
        <w:jc w:val="both"/>
        <w:rPr>
          <w:rFonts w:ascii="Arial" w:hAnsi="Arial" w:cs="Arial"/>
        </w:rPr>
      </w:pPr>
      <w:r w:rsidRPr="00610C8E">
        <w:rPr>
          <w:rFonts w:ascii="Arial" w:hAnsi="Arial" w:cs="Arial"/>
        </w:rPr>
        <w:t>Camden is highly committed to tackling child sexual exploitation and providing support to victims and those at risk.</w:t>
      </w:r>
    </w:p>
    <w:p w14:paraId="76DC895D" w14:textId="641E43C9" w:rsidR="002F1BAE" w:rsidRPr="00E17B4B" w:rsidRDefault="002F1BAE" w:rsidP="00F94B40">
      <w:pPr>
        <w:jc w:val="both"/>
        <w:rPr>
          <w:rFonts w:ascii="Arial" w:eastAsia="Calibri" w:hAnsi="Arial" w:cs="Arial"/>
          <w:lang w:eastAsia="en-US"/>
        </w:rPr>
      </w:pPr>
      <w:r w:rsidRPr="00610C8E">
        <w:rPr>
          <w:rFonts w:ascii="Arial" w:hAnsi="Arial" w:cs="Arial"/>
        </w:rPr>
        <w:t xml:space="preserve"> </w:t>
      </w:r>
    </w:p>
    <w:p w14:paraId="6367B488" w14:textId="77777777" w:rsidR="002F1BAE" w:rsidRDefault="002F1BAE" w:rsidP="002F1BAE">
      <w:pPr>
        <w:jc w:val="both"/>
        <w:rPr>
          <w:rFonts w:ascii="Arial" w:hAnsi="Arial" w:cs="Arial"/>
        </w:rPr>
      </w:pPr>
      <w:r w:rsidRPr="00610C8E">
        <w:rPr>
          <w:rFonts w:ascii="Arial" w:hAnsi="Arial" w:cs="Arial"/>
        </w:rPr>
        <w:t xml:space="preserve">There has been significant interest paid nationally to child sexual exploitation recently, due to media coverage of Child Sexual Exploitation (CSE) in Rotherham and the Office of the Children’s Commissioner Report on CSE and Gangs.  Media reporting, nationwide, of an increasing threat to children and young people from CSE has raised concerns among politicians and professionals about the effectiveness of the current services to keep children and young people safe. </w:t>
      </w:r>
    </w:p>
    <w:p w14:paraId="1C85BAD2" w14:textId="77777777" w:rsidR="002F1BAE" w:rsidRPr="00610C8E" w:rsidRDefault="002F1BAE" w:rsidP="002F1BAE">
      <w:pPr>
        <w:jc w:val="both"/>
        <w:rPr>
          <w:rFonts w:ascii="Arial" w:hAnsi="Arial" w:cs="Arial"/>
        </w:rPr>
      </w:pPr>
      <w:r w:rsidRPr="006011CA">
        <w:rPr>
          <w:rFonts w:ascii="Arial" w:hAnsi="Arial" w:cs="Arial"/>
        </w:rPr>
        <w:t xml:space="preserve">       </w:t>
      </w:r>
    </w:p>
    <w:p w14:paraId="515CD5F7" w14:textId="77777777" w:rsidR="002F1BAE" w:rsidRDefault="002F1BAE" w:rsidP="002F1BAE">
      <w:pPr>
        <w:pStyle w:val="Default"/>
        <w:jc w:val="both"/>
      </w:pPr>
      <w:r>
        <w:t xml:space="preserve">Camden offers individual support for young people who are at risk of child sexual exploitation. The support involves working very closely with individual young people, social workers and key professionals. </w:t>
      </w:r>
    </w:p>
    <w:p w14:paraId="7189501A" w14:textId="77777777" w:rsidR="002F1BAE" w:rsidRDefault="002F1BAE" w:rsidP="002F1BAE">
      <w:pPr>
        <w:pStyle w:val="Default"/>
        <w:jc w:val="both"/>
      </w:pPr>
    </w:p>
    <w:p w14:paraId="3BD2DA73" w14:textId="12DCB2BA" w:rsidR="002F1BAE" w:rsidRDefault="002F1BAE" w:rsidP="002F1BAE">
      <w:pPr>
        <w:jc w:val="both"/>
        <w:rPr>
          <w:rFonts w:ascii="Arial" w:hAnsi="Arial" w:cs="Arial"/>
        </w:rPr>
      </w:pPr>
      <w:r>
        <w:rPr>
          <w:rFonts w:ascii="Arial" w:hAnsi="Arial" w:cs="Arial"/>
        </w:rPr>
        <w:t xml:space="preserve">In Camden, there is currently one contract commissioned for CSE support and one for Return Home Interviews. </w:t>
      </w:r>
      <w:r w:rsidR="002F0162">
        <w:rPr>
          <w:rFonts w:ascii="Arial" w:hAnsi="Arial" w:cs="Arial"/>
        </w:rPr>
        <w:t>The same provider delivers both elements</w:t>
      </w:r>
      <w:r>
        <w:rPr>
          <w:rFonts w:ascii="Arial" w:hAnsi="Arial" w:cs="Arial"/>
        </w:rPr>
        <w:t xml:space="preserve">. </w:t>
      </w:r>
      <w:r w:rsidR="005F3E3F">
        <w:rPr>
          <w:rFonts w:ascii="Arial" w:hAnsi="Arial" w:cs="Arial"/>
        </w:rPr>
        <w:t xml:space="preserve">In addition, </w:t>
      </w:r>
      <w:r>
        <w:rPr>
          <w:rFonts w:ascii="Arial" w:hAnsi="Arial" w:cs="Arial"/>
        </w:rPr>
        <w:t>another provider is funded by MOPAC to work specifically around CSE and Gangs referrals.</w:t>
      </w:r>
    </w:p>
    <w:p w14:paraId="231341ED" w14:textId="77777777" w:rsidR="002F1BAE" w:rsidRDefault="002F1BAE" w:rsidP="002F1BAE">
      <w:pPr>
        <w:jc w:val="both"/>
        <w:rPr>
          <w:rFonts w:ascii="Arial" w:hAnsi="Arial" w:cs="Arial"/>
        </w:rPr>
      </w:pPr>
    </w:p>
    <w:p w14:paraId="460D10C5" w14:textId="7C3BAB1C" w:rsidR="00367167" w:rsidRDefault="002F1BAE" w:rsidP="00AA16AC">
      <w:pPr>
        <w:jc w:val="both"/>
        <w:rPr>
          <w:rFonts w:ascii="Arial" w:hAnsi="Arial" w:cs="Arial"/>
        </w:rPr>
      </w:pPr>
      <w:r>
        <w:rPr>
          <w:rFonts w:ascii="Arial" w:hAnsi="Arial" w:cs="Arial"/>
        </w:rPr>
        <w:t xml:space="preserve">Camden has a </w:t>
      </w:r>
      <w:r w:rsidR="00572F7E">
        <w:rPr>
          <w:rFonts w:ascii="Arial" w:hAnsi="Arial" w:cs="Arial"/>
        </w:rPr>
        <w:t>Missing and CSE Coordinator</w:t>
      </w:r>
      <w:r w:rsidR="00F94B40">
        <w:rPr>
          <w:rFonts w:ascii="Arial" w:hAnsi="Arial" w:cs="Arial"/>
        </w:rPr>
        <w:t xml:space="preserve"> </w:t>
      </w:r>
      <w:r>
        <w:rPr>
          <w:rFonts w:ascii="Arial" w:hAnsi="Arial" w:cs="Arial"/>
        </w:rPr>
        <w:t>who uses information from commissioned services, social workers and partners to present key demographics in the CSE and Missing cohort, gather intelligence and provide a clear local picture of needs and support offered</w:t>
      </w:r>
      <w:r w:rsidR="005F3E3F">
        <w:rPr>
          <w:rFonts w:ascii="Arial" w:hAnsi="Arial" w:cs="Arial"/>
        </w:rPr>
        <w:t xml:space="preserve">. </w:t>
      </w:r>
    </w:p>
    <w:p w14:paraId="1820574C" w14:textId="77777777" w:rsidR="005F3E3F" w:rsidRDefault="005F3E3F" w:rsidP="00AA16AC">
      <w:pPr>
        <w:jc w:val="both"/>
        <w:rPr>
          <w:rFonts w:ascii="Arial" w:hAnsi="Arial" w:cs="Arial"/>
        </w:rPr>
      </w:pPr>
    </w:p>
    <w:p w14:paraId="7E49236A" w14:textId="41A8BE5A" w:rsidR="00367167" w:rsidRPr="00367167" w:rsidRDefault="005F3E3F" w:rsidP="00EA3D91">
      <w:pPr>
        <w:spacing w:after="120"/>
        <w:jc w:val="both"/>
        <w:rPr>
          <w:rFonts w:ascii="Arial" w:hAnsi="Arial" w:cs="Arial"/>
          <w:b/>
        </w:rPr>
      </w:pPr>
      <w:r>
        <w:rPr>
          <w:rFonts w:ascii="Arial" w:hAnsi="Arial" w:cs="Arial"/>
          <w:b/>
        </w:rPr>
        <w:t>Key Demographics</w:t>
      </w:r>
    </w:p>
    <w:p w14:paraId="7FE05F2C" w14:textId="019B6647" w:rsidR="00AA16AC" w:rsidRDefault="00AA16AC" w:rsidP="00AA16AC">
      <w:pPr>
        <w:jc w:val="both"/>
        <w:rPr>
          <w:rFonts w:ascii="Arial" w:hAnsi="Arial" w:cs="Arial"/>
        </w:rPr>
      </w:pPr>
      <w:r>
        <w:rPr>
          <w:rFonts w:ascii="Arial" w:hAnsi="Arial" w:cs="Arial"/>
        </w:rPr>
        <w:t>In 2016/17, 78 risk assessments were undertaken in Camden. 86% of these were for females and 14 % males.</w:t>
      </w:r>
    </w:p>
    <w:p w14:paraId="41AF74A1" w14:textId="77777777" w:rsidR="005F3E3F" w:rsidRDefault="005F3E3F" w:rsidP="00AA16AC">
      <w:pPr>
        <w:jc w:val="both"/>
        <w:rPr>
          <w:rFonts w:ascii="Arial" w:hAnsi="Arial" w:cs="Arial"/>
        </w:rPr>
      </w:pPr>
    </w:p>
    <w:p w14:paraId="5DB007EE" w14:textId="222351B5" w:rsidR="00AA16AC" w:rsidRDefault="002F0162" w:rsidP="00AA16AC">
      <w:pPr>
        <w:jc w:val="both"/>
        <w:rPr>
          <w:rFonts w:ascii="Arial" w:hAnsi="Arial" w:cs="Arial"/>
        </w:rPr>
      </w:pPr>
      <w:r>
        <w:rPr>
          <w:rFonts w:ascii="Arial" w:hAnsi="Arial" w:cs="Arial"/>
        </w:rPr>
        <w:t>Fifty-</w:t>
      </w:r>
      <w:bookmarkStart w:id="0" w:name="_GoBack"/>
      <w:bookmarkEnd w:id="0"/>
      <w:r>
        <w:rPr>
          <w:rFonts w:ascii="Arial" w:hAnsi="Arial" w:cs="Arial"/>
        </w:rPr>
        <w:t>one (51)</w:t>
      </w:r>
      <w:r w:rsidR="00AA16AC">
        <w:rPr>
          <w:rFonts w:ascii="Arial" w:hAnsi="Arial" w:cs="Arial"/>
        </w:rPr>
        <w:t xml:space="preserve"> young people were aged 10-15 and 27 were 16+.</w:t>
      </w:r>
    </w:p>
    <w:p w14:paraId="452D137F" w14:textId="77777777" w:rsidR="00AA16AC" w:rsidRDefault="00AA16AC" w:rsidP="00AA16AC">
      <w:pPr>
        <w:jc w:val="both"/>
        <w:rPr>
          <w:rFonts w:ascii="Arial" w:hAnsi="Arial" w:cs="Arial"/>
        </w:rPr>
      </w:pPr>
    </w:p>
    <w:p w14:paraId="6D51C766" w14:textId="77777777" w:rsidR="00AA16AC" w:rsidRDefault="00AA16AC" w:rsidP="00AA16AC">
      <w:pPr>
        <w:jc w:val="both"/>
        <w:rPr>
          <w:rFonts w:ascii="Arial" w:hAnsi="Arial" w:cs="Arial"/>
        </w:rPr>
      </w:pPr>
      <w:r>
        <w:rPr>
          <w:rFonts w:ascii="Arial" w:hAnsi="Arial" w:cs="Arial"/>
        </w:rPr>
        <w:lastRenderedPageBreak/>
        <w:t xml:space="preserve">The ethnicities </w:t>
      </w:r>
      <w:r w:rsidR="00367167">
        <w:rPr>
          <w:rFonts w:ascii="Arial" w:hAnsi="Arial" w:cs="Arial"/>
        </w:rPr>
        <w:t>of those young people receiving a CSE risk assessment in 15/16 and 16/17 were as follows:</w:t>
      </w:r>
    </w:p>
    <w:p w14:paraId="755B9334" w14:textId="77777777" w:rsidR="00AA16AC" w:rsidRDefault="00AA16AC" w:rsidP="00AA16AC">
      <w:pPr>
        <w:jc w:val="both"/>
        <w:rPr>
          <w:rFonts w:ascii="Arial" w:hAnsi="Arial" w:cs="Arial"/>
        </w:rPr>
      </w:pPr>
    </w:p>
    <w:tbl>
      <w:tblPr>
        <w:tblW w:w="87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964"/>
        <w:gridCol w:w="2410"/>
        <w:gridCol w:w="2410"/>
      </w:tblGrid>
      <w:tr w:rsidR="00AA16AC" w:rsidRPr="009216C3" w14:paraId="3C68BACE" w14:textId="77777777" w:rsidTr="00EA3D91">
        <w:trPr>
          <w:trHeight w:val="471"/>
        </w:trPr>
        <w:tc>
          <w:tcPr>
            <w:tcW w:w="3964" w:type="dxa"/>
            <w:tcBorders>
              <w:bottom w:val="single" w:sz="12" w:space="0" w:color="666666"/>
            </w:tcBorders>
            <w:shd w:val="clear" w:color="auto" w:fill="auto"/>
            <w:vAlign w:val="center"/>
          </w:tcPr>
          <w:p w14:paraId="552B3B88" w14:textId="77777777" w:rsidR="00AA16AC" w:rsidRPr="00EA3D91" w:rsidRDefault="00AA16AC" w:rsidP="00754FED">
            <w:pPr>
              <w:rPr>
                <w:rFonts w:ascii="Arial" w:eastAsia="Calibri" w:hAnsi="Arial" w:cs="Arial"/>
                <w:b/>
                <w:bCs/>
                <w:szCs w:val="20"/>
              </w:rPr>
            </w:pPr>
            <w:r w:rsidRPr="00EA3D91">
              <w:rPr>
                <w:rFonts w:ascii="Arial" w:eastAsia="Calibri" w:hAnsi="Arial" w:cs="Arial"/>
                <w:b/>
                <w:bCs/>
                <w:szCs w:val="20"/>
              </w:rPr>
              <w:t>Ethnic Group</w:t>
            </w:r>
          </w:p>
        </w:tc>
        <w:tc>
          <w:tcPr>
            <w:tcW w:w="2410" w:type="dxa"/>
            <w:tcBorders>
              <w:bottom w:val="single" w:sz="12" w:space="0" w:color="666666"/>
            </w:tcBorders>
            <w:shd w:val="clear" w:color="auto" w:fill="auto"/>
            <w:vAlign w:val="center"/>
          </w:tcPr>
          <w:p w14:paraId="7697C42B" w14:textId="77777777" w:rsidR="00AA16AC" w:rsidRPr="00EA3D91" w:rsidRDefault="00AA16AC" w:rsidP="00754FED">
            <w:pPr>
              <w:jc w:val="center"/>
              <w:rPr>
                <w:rFonts w:ascii="Arial" w:eastAsia="Calibri" w:hAnsi="Arial" w:cs="Arial"/>
                <w:b/>
                <w:bCs/>
                <w:szCs w:val="20"/>
              </w:rPr>
            </w:pPr>
            <w:r w:rsidRPr="00EA3D91">
              <w:rPr>
                <w:rFonts w:ascii="Arial" w:eastAsia="Calibri" w:hAnsi="Arial" w:cs="Arial"/>
                <w:b/>
                <w:bCs/>
                <w:szCs w:val="20"/>
              </w:rPr>
              <w:t>% of Young People</w:t>
            </w:r>
          </w:p>
          <w:p w14:paraId="374D97D0" w14:textId="77777777" w:rsidR="00AA16AC" w:rsidRPr="00EA3D91" w:rsidRDefault="00AA16AC" w:rsidP="00754FED">
            <w:pPr>
              <w:jc w:val="center"/>
              <w:rPr>
                <w:rFonts w:ascii="Arial" w:eastAsia="Calibri" w:hAnsi="Arial" w:cs="Arial"/>
                <w:b/>
                <w:bCs/>
                <w:szCs w:val="20"/>
              </w:rPr>
            </w:pPr>
            <w:r w:rsidRPr="00EA3D91">
              <w:rPr>
                <w:rFonts w:ascii="Arial" w:eastAsia="Calibri" w:hAnsi="Arial" w:cs="Arial"/>
                <w:b/>
                <w:bCs/>
                <w:szCs w:val="20"/>
              </w:rPr>
              <w:t>2015/16</w:t>
            </w:r>
          </w:p>
        </w:tc>
        <w:tc>
          <w:tcPr>
            <w:tcW w:w="2410" w:type="dxa"/>
            <w:tcBorders>
              <w:bottom w:val="single" w:sz="12" w:space="0" w:color="666666"/>
            </w:tcBorders>
            <w:shd w:val="clear" w:color="auto" w:fill="auto"/>
            <w:vAlign w:val="center"/>
          </w:tcPr>
          <w:p w14:paraId="36C5D982" w14:textId="77777777" w:rsidR="00AA16AC" w:rsidRPr="00EA3D91" w:rsidRDefault="00AA16AC" w:rsidP="00754FED">
            <w:pPr>
              <w:jc w:val="center"/>
              <w:rPr>
                <w:rFonts w:ascii="Arial" w:eastAsia="Calibri" w:hAnsi="Arial" w:cs="Arial"/>
                <w:b/>
                <w:bCs/>
                <w:szCs w:val="20"/>
              </w:rPr>
            </w:pPr>
            <w:r w:rsidRPr="00EA3D91">
              <w:rPr>
                <w:rFonts w:ascii="Arial" w:eastAsia="Calibri" w:hAnsi="Arial" w:cs="Arial"/>
                <w:b/>
                <w:bCs/>
                <w:szCs w:val="20"/>
              </w:rPr>
              <w:t>% of Young People</w:t>
            </w:r>
          </w:p>
          <w:p w14:paraId="5F362CFC" w14:textId="77777777" w:rsidR="00AA16AC" w:rsidRPr="00EA3D91" w:rsidRDefault="00AA16AC" w:rsidP="00754FED">
            <w:pPr>
              <w:jc w:val="center"/>
              <w:rPr>
                <w:rFonts w:ascii="Arial" w:eastAsia="Calibri" w:hAnsi="Arial" w:cs="Arial"/>
                <w:b/>
                <w:bCs/>
                <w:szCs w:val="20"/>
              </w:rPr>
            </w:pPr>
            <w:r w:rsidRPr="00EA3D91">
              <w:rPr>
                <w:rFonts w:ascii="Arial" w:eastAsia="Calibri" w:hAnsi="Arial" w:cs="Arial"/>
                <w:b/>
                <w:bCs/>
                <w:szCs w:val="20"/>
              </w:rPr>
              <w:t>2016/17</w:t>
            </w:r>
          </w:p>
        </w:tc>
      </w:tr>
      <w:tr w:rsidR="00AA16AC" w:rsidRPr="009216C3" w14:paraId="3987943F" w14:textId="77777777" w:rsidTr="00EA3D91">
        <w:tc>
          <w:tcPr>
            <w:tcW w:w="3964" w:type="dxa"/>
            <w:shd w:val="clear" w:color="auto" w:fill="auto"/>
          </w:tcPr>
          <w:p w14:paraId="18D342F6" w14:textId="77777777" w:rsidR="00AA16AC" w:rsidRPr="00EA3D91" w:rsidRDefault="00AA16AC" w:rsidP="00754FED">
            <w:pPr>
              <w:rPr>
                <w:rFonts w:ascii="Arial" w:eastAsia="Calibri" w:hAnsi="Arial" w:cs="Arial"/>
                <w:b/>
                <w:bCs/>
                <w:sz w:val="22"/>
                <w:szCs w:val="20"/>
              </w:rPr>
            </w:pPr>
            <w:r w:rsidRPr="00EA3D91">
              <w:rPr>
                <w:rFonts w:ascii="Arial" w:eastAsia="Calibri" w:hAnsi="Arial" w:cs="Arial"/>
                <w:b/>
                <w:bCs/>
                <w:sz w:val="22"/>
                <w:szCs w:val="20"/>
              </w:rPr>
              <w:t>White Ethnic Group</w:t>
            </w:r>
          </w:p>
        </w:tc>
        <w:tc>
          <w:tcPr>
            <w:tcW w:w="2410" w:type="dxa"/>
            <w:shd w:val="clear" w:color="auto" w:fill="auto"/>
            <w:vAlign w:val="bottom"/>
          </w:tcPr>
          <w:p w14:paraId="7BBC8DD6"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48%</w:t>
            </w:r>
          </w:p>
        </w:tc>
        <w:tc>
          <w:tcPr>
            <w:tcW w:w="2410" w:type="dxa"/>
            <w:shd w:val="clear" w:color="auto" w:fill="auto"/>
            <w:vAlign w:val="bottom"/>
          </w:tcPr>
          <w:p w14:paraId="0B9A4CF9"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42%</w:t>
            </w:r>
          </w:p>
        </w:tc>
      </w:tr>
      <w:tr w:rsidR="00AA16AC" w:rsidRPr="009216C3" w14:paraId="7CC3CC41" w14:textId="77777777" w:rsidTr="00EA3D91">
        <w:tc>
          <w:tcPr>
            <w:tcW w:w="3964" w:type="dxa"/>
            <w:shd w:val="clear" w:color="auto" w:fill="auto"/>
          </w:tcPr>
          <w:p w14:paraId="214EF9AC" w14:textId="77777777" w:rsidR="00AA16AC" w:rsidRPr="00EA3D91" w:rsidRDefault="00AA16AC" w:rsidP="00754FED">
            <w:pPr>
              <w:rPr>
                <w:rFonts w:ascii="Arial" w:eastAsia="Calibri" w:hAnsi="Arial" w:cs="Arial"/>
                <w:b/>
                <w:bCs/>
                <w:sz w:val="22"/>
                <w:szCs w:val="20"/>
              </w:rPr>
            </w:pPr>
            <w:r w:rsidRPr="00EA3D91">
              <w:rPr>
                <w:rFonts w:ascii="Arial" w:eastAsia="Calibri" w:hAnsi="Arial" w:cs="Arial"/>
                <w:b/>
                <w:bCs/>
                <w:sz w:val="22"/>
                <w:szCs w:val="20"/>
              </w:rPr>
              <w:t>Black or Black British Ethnic Group</w:t>
            </w:r>
          </w:p>
        </w:tc>
        <w:tc>
          <w:tcPr>
            <w:tcW w:w="2410" w:type="dxa"/>
            <w:shd w:val="clear" w:color="auto" w:fill="auto"/>
            <w:vAlign w:val="bottom"/>
          </w:tcPr>
          <w:p w14:paraId="6DCD0B95"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23%</w:t>
            </w:r>
          </w:p>
        </w:tc>
        <w:tc>
          <w:tcPr>
            <w:tcW w:w="2410" w:type="dxa"/>
            <w:shd w:val="clear" w:color="auto" w:fill="auto"/>
            <w:vAlign w:val="bottom"/>
          </w:tcPr>
          <w:p w14:paraId="6E4233A2"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31%</w:t>
            </w:r>
          </w:p>
        </w:tc>
      </w:tr>
      <w:tr w:rsidR="00AA16AC" w:rsidRPr="009216C3" w14:paraId="2F58933D" w14:textId="77777777" w:rsidTr="00EA3D91">
        <w:tc>
          <w:tcPr>
            <w:tcW w:w="3964" w:type="dxa"/>
            <w:shd w:val="clear" w:color="auto" w:fill="auto"/>
          </w:tcPr>
          <w:p w14:paraId="7E7FC3EF" w14:textId="77777777" w:rsidR="00AA16AC" w:rsidRPr="00EA3D91" w:rsidRDefault="00AA16AC" w:rsidP="00754FED">
            <w:pPr>
              <w:rPr>
                <w:rFonts w:ascii="Arial" w:eastAsia="Calibri" w:hAnsi="Arial" w:cs="Arial"/>
                <w:b/>
                <w:bCs/>
                <w:sz w:val="22"/>
                <w:szCs w:val="20"/>
              </w:rPr>
            </w:pPr>
            <w:r w:rsidRPr="00EA3D91">
              <w:rPr>
                <w:rFonts w:ascii="Arial" w:eastAsia="Calibri" w:hAnsi="Arial" w:cs="Arial"/>
                <w:b/>
                <w:bCs/>
                <w:sz w:val="22"/>
                <w:szCs w:val="20"/>
              </w:rPr>
              <w:t>Mixed Ethnic Group</w:t>
            </w:r>
          </w:p>
        </w:tc>
        <w:tc>
          <w:tcPr>
            <w:tcW w:w="2410" w:type="dxa"/>
            <w:shd w:val="clear" w:color="auto" w:fill="auto"/>
            <w:vAlign w:val="bottom"/>
          </w:tcPr>
          <w:p w14:paraId="068C9E71"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17%</w:t>
            </w:r>
          </w:p>
        </w:tc>
        <w:tc>
          <w:tcPr>
            <w:tcW w:w="2410" w:type="dxa"/>
            <w:shd w:val="clear" w:color="auto" w:fill="auto"/>
            <w:vAlign w:val="bottom"/>
          </w:tcPr>
          <w:p w14:paraId="5BA6F6D8"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15%</w:t>
            </w:r>
          </w:p>
        </w:tc>
      </w:tr>
      <w:tr w:rsidR="00AA16AC" w:rsidRPr="009216C3" w14:paraId="35BE5024" w14:textId="77777777" w:rsidTr="00EA3D91">
        <w:tc>
          <w:tcPr>
            <w:tcW w:w="3964" w:type="dxa"/>
            <w:shd w:val="clear" w:color="auto" w:fill="auto"/>
          </w:tcPr>
          <w:p w14:paraId="74154BAC" w14:textId="77777777" w:rsidR="00AA16AC" w:rsidRPr="00EA3D91" w:rsidRDefault="00AA16AC" w:rsidP="00754FED">
            <w:pPr>
              <w:rPr>
                <w:rFonts w:ascii="Arial" w:eastAsia="Calibri" w:hAnsi="Arial" w:cs="Arial"/>
                <w:b/>
                <w:bCs/>
                <w:sz w:val="22"/>
                <w:szCs w:val="20"/>
              </w:rPr>
            </w:pPr>
            <w:r w:rsidRPr="00EA3D91">
              <w:rPr>
                <w:rFonts w:ascii="Arial" w:eastAsia="Calibri" w:hAnsi="Arial" w:cs="Arial"/>
                <w:b/>
                <w:bCs/>
                <w:sz w:val="22"/>
                <w:szCs w:val="20"/>
              </w:rPr>
              <w:t>Asian or Asian British Ethnic Group</w:t>
            </w:r>
          </w:p>
        </w:tc>
        <w:tc>
          <w:tcPr>
            <w:tcW w:w="2410" w:type="dxa"/>
            <w:shd w:val="clear" w:color="auto" w:fill="auto"/>
            <w:vAlign w:val="bottom"/>
          </w:tcPr>
          <w:p w14:paraId="7004EE62"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9%</w:t>
            </w:r>
          </w:p>
        </w:tc>
        <w:tc>
          <w:tcPr>
            <w:tcW w:w="2410" w:type="dxa"/>
            <w:shd w:val="clear" w:color="auto" w:fill="auto"/>
            <w:vAlign w:val="bottom"/>
          </w:tcPr>
          <w:p w14:paraId="083A0AD5" w14:textId="77777777" w:rsidR="00AA16AC" w:rsidRPr="009216C3" w:rsidRDefault="00AA16AC" w:rsidP="00754FED">
            <w:pPr>
              <w:jc w:val="center"/>
              <w:rPr>
                <w:rFonts w:ascii="Arial" w:eastAsia="Calibri" w:hAnsi="Arial" w:cs="Arial"/>
                <w:sz w:val="20"/>
                <w:szCs w:val="20"/>
              </w:rPr>
            </w:pPr>
            <w:r w:rsidRPr="009216C3">
              <w:rPr>
                <w:rFonts w:ascii="Arial" w:eastAsia="Calibri" w:hAnsi="Arial" w:cs="Arial"/>
                <w:sz w:val="20"/>
                <w:szCs w:val="20"/>
              </w:rPr>
              <w:t>9%</w:t>
            </w:r>
          </w:p>
        </w:tc>
      </w:tr>
    </w:tbl>
    <w:p w14:paraId="377624AA" w14:textId="77777777" w:rsidR="00AA16AC" w:rsidRDefault="00AA16AC" w:rsidP="00AA16AC">
      <w:pPr>
        <w:jc w:val="both"/>
        <w:rPr>
          <w:rFonts w:ascii="Arial" w:hAnsi="Arial" w:cs="Arial"/>
        </w:rPr>
      </w:pPr>
    </w:p>
    <w:p w14:paraId="4A696D24" w14:textId="77777777" w:rsidR="00AA16AC" w:rsidRDefault="00367167" w:rsidP="00AA16AC">
      <w:pPr>
        <w:jc w:val="both"/>
        <w:rPr>
          <w:rFonts w:ascii="Arial" w:hAnsi="Arial" w:cs="Arial"/>
        </w:rPr>
      </w:pPr>
      <w:r>
        <w:rPr>
          <w:rFonts w:ascii="Arial" w:hAnsi="Arial" w:cs="Arial"/>
        </w:rPr>
        <w:t>The most prevalent risk factors for young people receiving a RA are below.</w:t>
      </w:r>
    </w:p>
    <w:p w14:paraId="498CE0AF" w14:textId="77777777" w:rsidR="00367167" w:rsidRDefault="00367167" w:rsidP="00AA16AC">
      <w:pPr>
        <w:jc w:val="both"/>
        <w:rPr>
          <w:rFonts w:ascii="Arial" w:hAnsi="Arial" w:cs="Arial"/>
        </w:rPr>
      </w:pPr>
    </w:p>
    <w:tbl>
      <w:tblPr>
        <w:tblW w:w="87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35"/>
        <w:gridCol w:w="1030"/>
        <w:gridCol w:w="1003"/>
        <w:gridCol w:w="1134"/>
        <w:gridCol w:w="1003"/>
      </w:tblGrid>
      <w:tr w:rsidR="00367167" w:rsidRPr="009216C3" w14:paraId="599290B9" w14:textId="77777777" w:rsidTr="00754FED">
        <w:trPr>
          <w:trHeight w:val="155"/>
        </w:trPr>
        <w:tc>
          <w:tcPr>
            <w:tcW w:w="4635" w:type="dxa"/>
            <w:vMerge w:val="restart"/>
            <w:tcBorders>
              <w:bottom w:val="single" w:sz="12" w:space="0" w:color="666666"/>
            </w:tcBorders>
            <w:shd w:val="clear" w:color="auto" w:fill="auto"/>
            <w:vAlign w:val="center"/>
            <w:hideMark/>
          </w:tcPr>
          <w:p w14:paraId="3C9474EA" w14:textId="77777777" w:rsidR="00367167" w:rsidRPr="00EA3D91" w:rsidRDefault="00367167" w:rsidP="00754FED">
            <w:pPr>
              <w:jc w:val="center"/>
              <w:rPr>
                <w:rFonts w:ascii="Arial" w:hAnsi="Arial" w:cs="Arial"/>
                <w:b/>
                <w:bCs/>
                <w:szCs w:val="22"/>
              </w:rPr>
            </w:pPr>
            <w:r w:rsidRPr="00EA3D91">
              <w:rPr>
                <w:rFonts w:ascii="Arial" w:hAnsi="Arial" w:cs="Arial"/>
                <w:b/>
                <w:bCs/>
                <w:szCs w:val="22"/>
              </w:rPr>
              <w:t>Presenting Factor</w:t>
            </w:r>
          </w:p>
        </w:tc>
        <w:tc>
          <w:tcPr>
            <w:tcW w:w="2023" w:type="dxa"/>
            <w:gridSpan w:val="2"/>
            <w:tcBorders>
              <w:bottom w:val="single" w:sz="12" w:space="0" w:color="666666"/>
            </w:tcBorders>
            <w:shd w:val="clear" w:color="auto" w:fill="auto"/>
            <w:noWrap/>
            <w:hideMark/>
          </w:tcPr>
          <w:p w14:paraId="2655F898" w14:textId="77777777" w:rsidR="00367167" w:rsidRPr="00EA3D91" w:rsidRDefault="00367167" w:rsidP="00754FED">
            <w:pPr>
              <w:jc w:val="center"/>
              <w:rPr>
                <w:rFonts w:ascii="Arial" w:hAnsi="Arial" w:cs="Arial"/>
                <w:b/>
                <w:bCs/>
                <w:szCs w:val="22"/>
              </w:rPr>
            </w:pPr>
            <w:r w:rsidRPr="00EA3D91">
              <w:rPr>
                <w:rFonts w:ascii="Arial" w:hAnsi="Arial" w:cs="Arial"/>
                <w:b/>
                <w:bCs/>
                <w:szCs w:val="22"/>
              </w:rPr>
              <w:t>2015/16</w:t>
            </w:r>
          </w:p>
        </w:tc>
        <w:tc>
          <w:tcPr>
            <w:tcW w:w="2126" w:type="dxa"/>
            <w:gridSpan w:val="2"/>
            <w:tcBorders>
              <w:bottom w:val="single" w:sz="12" w:space="0" w:color="666666"/>
            </w:tcBorders>
            <w:shd w:val="clear" w:color="auto" w:fill="auto"/>
            <w:noWrap/>
            <w:hideMark/>
          </w:tcPr>
          <w:p w14:paraId="4B2EB2EA" w14:textId="77777777" w:rsidR="00367167" w:rsidRPr="00EA3D91" w:rsidRDefault="00367167" w:rsidP="00754FED">
            <w:pPr>
              <w:jc w:val="center"/>
              <w:rPr>
                <w:rFonts w:ascii="Arial" w:hAnsi="Arial" w:cs="Arial"/>
                <w:b/>
                <w:bCs/>
                <w:szCs w:val="22"/>
              </w:rPr>
            </w:pPr>
            <w:r w:rsidRPr="00EA3D91">
              <w:rPr>
                <w:rFonts w:ascii="Arial" w:hAnsi="Arial" w:cs="Arial"/>
                <w:b/>
                <w:bCs/>
                <w:szCs w:val="22"/>
              </w:rPr>
              <w:t>2016/17</w:t>
            </w:r>
          </w:p>
        </w:tc>
      </w:tr>
      <w:tr w:rsidR="00367167" w:rsidRPr="009216C3" w14:paraId="7F5383A3" w14:textId="77777777" w:rsidTr="00754FED">
        <w:trPr>
          <w:trHeight w:val="685"/>
        </w:trPr>
        <w:tc>
          <w:tcPr>
            <w:tcW w:w="4635" w:type="dxa"/>
            <w:vMerge/>
            <w:shd w:val="clear" w:color="auto" w:fill="auto"/>
            <w:hideMark/>
          </w:tcPr>
          <w:p w14:paraId="66C7019D" w14:textId="77777777" w:rsidR="00367167" w:rsidRPr="00EA3D91" w:rsidRDefault="00367167" w:rsidP="00754FED">
            <w:pPr>
              <w:rPr>
                <w:rFonts w:ascii="Arial" w:hAnsi="Arial" w:cs="Arial"/>
                <w:b/>
                <w:bCs/>
                <w:szCs w:val="22"/>
              </w:rPr>
            </w:pPr>
          </w:p>
        </w:tc>
        <w:tc>
          <w:tcPr>
            <w:tcW w:w="1030" w:type="dxa"/>
            <w:shd w:val="clear" w:color="auto" w:fill="auto"/>
            <w:noWrap/>
            <w:hideMark/>
          </w:tcPr>
          <w:p w14:paraId="7B95E043" w14:textId="77777777" w:rsidR="00367167" w:rsidRPr="00EA3D91" w:rsidRDefault="00367167" w:rsidP="00754FED">
            <w:pPr>
              <w:jc w:val="center"/>
              <w:rPr>
                <w:rFonts w:ascii="Arial" w:hAnsi="Arial" w:cs="Arial"/>
                <w:b/>
                <w:bCs/>
                <w:szCs w:val="22"/>
              </w:rPr>
            </w:pPr>
            <w:r w:rsidRPr="00EA3D91">
              <w:rPr>
                <w:rFonts w:ascii="Arial" w:hAnsi="Arial" w:cs="Arial"/>
                <w:b/>
                <w:bCs/>
                <w:szCs w:val="22"/>
              </w:rPr>
              <w:t xml:space="preserve">No. of </w:t>
            </w:r>
          </w:p>
          <w:p w14:paraId="3FC970B0" w14:textId="77777777" w:rsidR="00367167" w:rsidRPr="00EA3D91" w:rsidRDefault="00367167" w:rsidP="00754FED">
            <w:pPr>
              <w:jc w:val="center"/>
              <w:rPr>
                <w:rFonts w:ascii="Arial" w:hAnsi="Arial" w:cs="Arial"/>
                <w:b/>
                <w:bCs/>
                <w:szCs w:val="22"/>
              </w:rPr>
            </w:pPr>
            <w:r w:rsidRPr="00EA3D91">
              <w:rPr>
                <w:rFonts w:ascii="Arial" w:hAnsi="Arial" w:cs="Arial"/>
                <w:b/>
                <w:bCs/>
                <w:szCs w:val="22"/>
              </w:rPr>
              <w:t>CSE RAs</w:t>
            </w:r>
          </w:p>
        </w:tc>
        <w:tc>
          <w:tcPr>
            <w:tcW w:w="993" w:type="dxa"/>
            <w:shd w:val="clear" w:color="auto" w:fill="auto"/>
            <w:noWrap/>
            <w:hideMark/>
          </w:tcPr>
          <w:p w14:paraId="2DF4DDA4" w14:textId="77777777" w:rsidR="00367167" w:rsidRPr="00EA3D91" w:rsidRDefault="00367167" w:rsidP="00754FED">
            <w:pPr>
              <w:jc w:val="center"/>
              <w:rPr>
                <w:rFonts w:ascii="Arial" w:hAnsi="Arial" w:cs="Arial"/>
                <w:b/>
                <w:bCs/>
                <w:szCs w:val="22"/>
              </w:rPr>
            </w:pPr>
            <w:r w:rsidRPr="00EA3D91">
              <w:rPr>
                <w:rFonts w:ascii="Arial" w:hAnsi="Arial" w:cs="Arial"/>
                <w:b/>
                <w:bCs/>
                <w:szCs w:val="22"/>
              </w:rPr>
              <w:t>% CSE Cohort</w:t>
            </w:r>
          </w:p>
        </w:tc>
        <w:tc>
          <w:tcPr>
            <w:tcW w:w="1134" w:type="dxa"/>
            <w:shd w:val="clear" w:color="auto" w:fill="auto"/>
            <w:noWrap/>
            <w:hideMark/>
          </w:tcPr>
          <w:p w14:paraId="25E79DEB" w14:textId="77777777" w:rsidR="00367167" w:rsidRPr="00EA3D91" w:rsidRDefault="00367167" w:rsidP="00754FED">
            <w:pPr>
              <w:jc w:val="center"/>
              <w:rPr>
                <w:rFonts w:ascii="Arial" w:hAnsi="Arial" w:cs="Arial"/>
                <w:b/>
                <w:bCs/>
                <w:szCs w:val="22"/>
              </w:rPr>
            </w:pPr>
            <w:r w:rsidRPr="00EA3D91">
              <w:rPr>
                <w:rFonts w:ascii="Arial" w:hAnsi="Arial" w:cs="Arial"/>
                <w:b/>
                <w:bCs/>
                <w:szCs w:val="22"/>
              </w:rPr>
              <w:t>No. of CSE RAs</w:t>
            </w:r>
          </w:p>
        </w:tc>
        <w:tc>
          <w:tcPr>
            <w:tcW w:w="992" w:type="dxa"/>
            <w:shd w:val="clear" w:color="auto" w:fill="auto"/>
            <w:noWrap/>
            <w:hideMark/>
          </w:tcPr>
          <w:p w14:paraId="41A202D5" w14:textId="77777777" w:rsidR="00367167" w:rsidRPr="00EA3D91" w:rsidRDefault="00367167" w:rsidP="00754FED">
            <w:pPr>
              <w:jc w:val="center"/>
              <w:rPr>
                <w:rFonts w:ascii="Arial" w:hAnsi="Arial" w:cs="Arial"/>
                <w:b/>
                <w:bCs/>
                <w:szCs w:val="22"/>
              </w:rPr>
            </w:pPr>
            <w:r w:rsidRPr="00EA3D91">
              <w:rPr>
                <w:rFonts w:ascii="Arial" w:hAnsi="Arial" w:cs="Arial"/>
                <w:b/>
                <w:bCs/>
                <w:szCs w:val="22"/>
              </w:rPr>
              <w:t>% CSE Cohort</w:t>
            </w:r>
          </w:p>
        </w:tc>
      </w:tr>
      <w:tr w:rsidR="00367167" w:rsidRPr="009216C3" w14:paraId="0ED91533" w14:textId="77777777" w:rsidTr="00754FED">
        <w:trPr>
          <w:trHeight w:val="330"/>
        </w:trPr>
        <w:tc>
          <w:tcPr>
            <w:tcW w:w="4635" w:type="dxa"/>
            <w:shd w:val="clear" w:color="auto" w:fill="auto"/>
            <w:noWrap/>
            <w:hideMark/>
          </w:tcPr>
          <w:p w14:paraId="41EDF163"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Low self esteem</w:t>
            </w:r>
          </w:p>
        </w:tc>
        <w:tc>
          <w:tcPr>
            <w:tcW w:w="1030" w:type="dxa"/>
            <w:shd w:val="clear" w:color="auto" w:fill="auto"/>
            <w:noWrap/>
            <w:hideMark/>
          </w:tcPr>
          <w:p w14:paraId="60522F77"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80</w:t>
            </w:r>
          </w:p>
        </w:tc>
        <w:tc>
          <w:tcPr>
            <w:tcW w:w="993" w:type="dxa"/>
            <w:shd w:val="clear" w:color="auto" w:fill="auto"/>
            <w:hideMark/>
          </w:tcPr>
          <w:p w14:paraId="4BF3D387"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49%</w:t>
            </w:r>
          </w:p>
        </w:tc>
        <w:tc>
          <w:tcPr>
            <w:tcW w:w="1134" w:type="dxa"/>
            <w:shd w:val="clear" w:color="auto" w:fill="auto"/>
            <w:noWrap/>
            <w:hideMark/>
          </w:tcPr>
          <w:p w14:paraId="6406C013"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66</w:t>
            </w:r>
          </w:p>
        </w:tc>
        <w:tc>
          <w:tcPr>
            <w:tcW w:w="992" w:type="dxa"/>
            <w:shd w:val="clear" w:color="auto" w:fill="auto"/>
            <w:noWrap/>
            <w:hideMark/>
          </w:tcPr>
          <w:p w14:paraId="72039787"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58%</w:t>
            </w:r>
          </w:p>
        </w:tc>
      </w:tr>
      <w:tr w:rsidR="00367167" w:rsidRPr="009216C3" w14:paraId="51182524" w14:textId="77777777" w:rsidTr="00754FED">
        <w:trPr>
          <w:trHeight w:val="330"/>
        </w:trPr>
        <w:tc>
          <w:tcPr>
            <w:tcW w:w="4635" w:type="dxa"/>
            <w:shd w:val="clear" w:color="auto" w:fill="auto"/>
            <w:noWrap/>
            <w:hideMark/>
          </w:tcPr>
          <w:p w14:paraId="390F0272"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Substance misuse</w:t>
            </w:r>
          </w:p>
        </w:tc>
        <w:tc>
          <w:tcPr>
            <w:tcW w:w="1030" w:type="dxa"/>
            <w:shd w:val="clear" w:color="auto" w:fill="auto"/>
            <w:noWrap/>
            <w:hideMark/>
          </w:tcPr>
          <w:p w14:paraId="0FDD9CBE"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75</w:t>
            </w:r>
          </w:p>
        </w:tc>
        <w:tc>
          <w:tcPr>
            <w:tcW w:w="993" w:type="dxa"/>
            <w:shd w:val="clear" w:color="auto" w:fill="auto"/>
            <w:hideMark/>
          </w:tcPr>
          <w:p w14:paraId="43D2E9E2"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46%</w:t>
            </w:r>
          </w:p>
        </w:tc>
        <w:tc>
          <w:tcPr>
            <w:tcW w:w="1134" w:type="dxa"/>
            <w:shd w:val="clear" w:color="auto" w:fill="auto"/>
            <w:noWrap/>
            <w:hideMark/>
          </w:tcPr>
          <w:p w14:paraId="0D635A2C"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57</w:t>
            </w:r>
          </w:p>
        </w:tc>
        <w:tc>
          <w:tcPr>
            <w:tcW w:w="992" w:type="dxa"/>
            <w:shd w:val="clear" w:color="auto" w:fill="auto"/>
            <w:noWrap/>
            <w:hideMark/>
          </w:tcPr>
          <w:p w14:paraId="37870002"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50%</w:t>
            </w:r>
          </w:p>
        </w:tc>
      </w:tr>
      <w:tr w:rsidR="00367167" w:rsidRPr="009216C3" w14:paraId="294F5979" w14:textId="77777777" w:rsidTr="00754FED">
        <w:trPr>
          <w:trHeight w:val="330"/>
        </w:trPr>
        <w:tc>
          <w:tcPr>
            <w:tcW w:w="4635" w:type="dxa"/>
            <w:shd w:val="clear" w:color="auto" w:fill="auto"/>
            <w:noWrap/>
          </w:tcPr>
          <w:p w14:paraId="2655BCCF"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Sexual risk taking behaviour</w:t>
            </w:r>
          </w:p>
        </w:tc>
        <w:tc>
          <w:tcPr>
            <w:tcW w:w="1030" w:type="dxa"/>
            <w:shd w:val="clear" w:color="auto" w:fill="auto"/>
            <w:noWrap/>
          </w:tcPr>
          <w:p w14:paraId="423905CD"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75</w:t>
            </w:r>
          </w:p>
        </w:tc>
        <w:tc>
          <w:tcPr>
            <w:tcW w:w="993" w:type="dxa"/>
            <w:shd w:val="clear" w:color="auto" w:fill="auto"/>
          </w:tcPr>
          <w:p w14:paraId="20A05095"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46%</w:t>
            </w:r>
          </w:p>
        </w:tc>
        <w:tc>
          <w:tcPr>
            <w:tcW w:w="1134" w:type="dxa"/>
            <w:shd w:val="clear" w:color="auto" w:fill="auto"/>
            <w:noWrap/>
          </w:tcPr>
          <w:p w14:paraId="41402611"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50</w:t>
            </w:r>
          </w:p>
        </w:tc>
        <w:tc>
          <w:tcPr>
            <w:tcW w:w="992" w:type="dxa"/>
            <w:shd w:val="clear" w:color="auto" w:fill="auto"/>
            <w:noWrap/>
          </w:tcPr>
          <w:p w14:paraId="55012E05"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44%</w:t>
            </w:r>
          </w:p>
        </w:tc>
      </w:tr>
      <w:tr w:rsidR="00367167" w:rsidRPr="009216C3" w14:paraId="51770DC7" w14:textId="77777777" w:rsidTr="00754FED">
        <w:trPr>
          <w:trHeight w:val="330"/>
        </w:trPr>
        <w:tc>
          <w:tcPr>
            <w:tcW w:w="4635" w:type="dxa"/>
            <w:shd w:val="clear" w:color="auto" w:fill="auto"/>
            <w:noWrap/>
            <w:hideMark/>
          </w:tcPr>
          <w:p w14:paraId="642840C2"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Sudden change in behaviour or appearance</w:t>
            </w:r>
          </w:p>
        </w:tc>
        <w:tc>
          <w:tcPr>
            <w:tcW w:w="1030" w:type="dxa"/>
            <w:shd w:val="clear" w:color="auto" w:fill="auto"/>
            <w:noWrap/>
            <w:hideMark/>
          </w:tcPr>
          <w:p w14:paraId="77494F74"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56</w:t>
            </w:r>
          </w:p>
        </w:tc>
        <w:tc>
          <w:tcPr>
            <w:tcW w:w="993" w:type="dxa"/>
            <w:shd w:val="clear" w:color="auto" w:fill="auto"/>
            <w:hideMark/>
          </w:tcPr>
          <w:p w14:paraId="527A1471"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34%</w:t>
            </w:r>
          </w:p>
        </w:tc>
        <w:tc>
          <w:tcPr>
            <w:tcW w:w="1134" w:type="dxa"/>
            <w:shd w:val="clear" w:color="auto" w:fill="auto"/>
            <w:noWrap/>
            <w:hideMark/>
          </w:tcPr>
          <w:p w14:paraId="306F2445"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40</w:t>
            </w:r>
          </w:p>
        </w:tc>
        <w:tc>
          <w:tcPr>
            <w:tcW w:w="992" w:type="dxa"/>
            <w:shd w:val="clear" w:color="auto" w:fill="auto"/>
            <w:noWrap/>
            <w:hideMark/>
          </w:tcPr>
          <w:p w14:paraId="32CF3027"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35%</w:t>
            </w:r>
          </w:p>
        </w:tc>
      </w:tr>
      <w:tr w:rsidR="00367167" w:rsidRPr="009216C3" w14:paraId="5F3E50BC" w14:textId="77777777" w:rsidTr="00754FED">
        <w:trPr>
          <w:trHeight w:val="330"/>
        </w:trPr>
        <w:tc>
          <w:tcPr>
            <w:tcW w:w="4635" w:type="dxa"/>
            <w:shd w:val="clear" w:color="auto" w:fill="auto"/>
            <w:noWrap/>
            <w:hideMark/>
          </w:tcPr>
          <w:p w14:paraId="5F585B51"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Sudden change in pattern of school attendance</w:t>
            </w:r>
          </w:p>
        </w:tc>
        <w:tc>
          <w:tcPr>
            <w:tcW w:w="1030" w:type="dxa"/>
            <w:shd w:val="clear" w:color="auto" w:fill="auto"/>
            <w:noWrap/>
            <w:hideMark/>
          </w:tcPr>
          <w:p w14:paraId="5BB40BF7"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39</w:t>
            </w:r>
          </w:p>
        </w:tc>
        <w:tc>
          <w:tcPr>
            <w:tcW w:w="993" w:type="dxa"/>
            <w:shd w:val="clear" w:color="auto" w:fill="auto"/>
            <w:hideMark/>
          </w:tcPr>
          <w:p w14:paraId="253BDEE5"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24%</w:t>
            </w:r>
          </w:p>
        </w:tc>
        <w:tc>
          <w:tcPr>
            <w:tcW w:w="1134" w:type="dxa"/>
            <w:shd w:val="clear" w:color="auto" w:fill="auto"/>
            <w:noWrap/>
            <w:hideMark/>
          </w:tcPr>
          <w:p w14:paraId="04E2BAB5"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37</w:t>
            </w:r>
          </w:p>
        </w:tc>
        <w:tc>
          <w:tcPr>
            <w:tcW w:w="992" w:type="dxa"/>
            <w:shd w:val="clear" w:color="auto" w:fill="auto"/>
            <w:noWrap/>
            <w:hideMark/>
          </w:tcPr>
          <w:p w14:paraId="0921581F"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32%</w:t>
            </w:r>
          </w:p>
        </w:tc>
      </w:tr>
      <w:tr w:rsidR="00367167" w:rsidRPr="009216C3" w14:paraId="2BFFCAE8" w14:textId="77777777" w:rsidTr="00754FED">
        <w:trPr>
          <w:trHeight w:val="330"/>
        </w:trPr>
        <w:tc>
          <w:tcPr>
            <w:tcW w:w="4635" w:type="dxa"/>
            <w:shd w:val="clear" w:color="auto" w:fill="auto"/>
            <w:noWrap/>
            <w:hideMark/>
          </w:tcPr>
          <w:p w14:paraId="74AC3454"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Self-harming</w:t>
            </w:r>
          </w:p>
        </w:tc>
        <w:tc>
          <w:tcPr>
            <w:tcW w:w="1030" w:type="dxa"/>
            <w:shd w:val="clear" w:color="auto" w:fill="auto"/>
            <w:noWrap/>
            <w:hideMark/>
          </w:tcPr>
          <w:p w14:paraId="0D607A46"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35</w:t>
            </w:r>
          </w:p>
        </w:tc>
        <w:tc>
          <w:tcPr>
            <w:tcW w:w="993" w:type="dxa"/>
            <w:shd w:val="clear" w:color="auto" w:fill="auto"/>
            <w:hideMark/>
          </w:tcPr>
          <w:p w14:paraId="493F775E"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21%</w:t>
            </w:r>
          </w:p>
        </w:tc>
        <w:tc>
          <w:tcPr>
            <w:tcW w:w="1134" w:type="dxa"/>
            <w:shd w:val="clear" w:color="auto" w:fill="auto"/>
            <w:noWrap/>
            <w:hideMark/>
          </w:tcPr>
          <w:p w14:paraId="22D323DF"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35</w:t>
            </w:r>
          </w:p>
        </w:tc>
        <w:tc>
          <w:tcPr>
            <w:tcW w:w="992" w:type="dxa"/>
            <w:shd w:val="clear" w:color="auto" w:fill="auto"/>
            <w:noWrap/>
            <w:hideMark/>
          </w:tcPr>
          <w:p w14:paraId="1913E9DF"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31%</w:t>
            </w:r>
          </w:p>
        </w:tc>
      </w:tr>
      <w:tr w:rsidR="00367167" w:rsidRPr="009216C3" w14:paraId="0B99FEBF" w14:textId="77777777" w:rsidTr="00754FED">
        <w:trPr>
          <w:trHeight w:val="330"/>
        </w:trPr>
        <w:tc>
          <w:tcPr>
            <w:tcW w:w="4635" w:type="dxa"/>
            <w:shd w:val="clear" w:color="auto" w:fill="auto"/>
            <w:noWrap/>
            <w:hideMark/>
          </w:tcPr>
          <w:p w14:paraId="0F17F748" w14:textId="77777777" w:rsidR="00367167" w:rsidRPr="00EA3D91" w:rsidRDefault="00367167" w:rsidP="00754FED">
            <w:pPr>
              <w:rPr>
                <w:rFonts w:ascii="Arial" w:hAnsi="Arial" w:cs="Arial"/>
                <w:bCs/>
                <w:sz w:val="22"/>
                <w:szCs w:val="22"/>
              </w:rPr>
            </w:pPr>
            <w:r w:rsidRPr="00EA3D91">
              <w:rPr>
                <w:rFonts w:ascii="Arial" w:hAnsi="Arial" w:cs="Arial"/>
                <w:bCs/>
                <w:sz w:val="22"/>
                <w:szCs w:val="22"/>
              </w:rPr>
              <w:t>Presence of STI’s or pregnancy</w:t>
            </w:r>
          </w:p>
        </w:tc>
        <w:tc>
          <w:tcPr>
            <w:tcW w:w="1030" w:type="dxa"/>
            <w:shd w:val="clear" w:color="auto" w:fill="auto"/>
            <w:noWrap/>
            <w:hideMark/>
          </w:tcPr>
          <w:p w14:paraId="25764632"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14</w:t>
            </w:r>
          </w:p>
        </w:tc>
        <w:tc>
          <w:tcPr>
            <w:tcW w:w="993" w:type="dxa"/>
            <w:shd w:val="clear" w:color="auto" w:fill="auto"/>
            <w:hideMark/>
          </w:tcPr>
          <w:p w14:paraId="456FB91E"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9%</w:t>
            </w:r>
          </w:p>
        </w:tc>
        <w:tc>
          <w:tcPr>
            <w:tcW w:w="1134" w:type="dxa"/>
            <w:shd w:val="clear" w:color="auto" w:fill="auto"/>
            <w:noWrap/>
            <w:hideMark/>
          </w:tcPr>
          <w:p w14:paraId="6A1D7C47" w14:textId="77777777" w:rsidR="00367167" w:rsidRPr="00EA3D91" w:rsidRDefault="00367167" w:rsidP="00754FED">
            <w:pPr>
              <w:jc w:val="center"/>
              <w:rPr>
                <w:rFonts w:ascii="Arial" w:hAnsi="Arial" w:cs="Arial"/>
                <w:sz w:val="22"/>
                <w:szCs w:val="22"/>
              </w:rPr>
            </w:pPr>
            <w:r w:rsidRPr="00EA3D91">
              <w:rPr>
                <w:rFonts w:ascii="Arial" w:hAnsi="Arial" w:cs="Arial"/>
                <w:sz w:val="22"/>
                <w:szCs w:val="22"/>
              </w:rPr>
              <w:t>7</w:t>
            </w:r>
          </w:p>
        </w:tc>
        <w:tc>
          <w:tcPr>
            <w:tcW w:w="992" w:type="dxa"/>
            <w:shd w:val="clear" w:color="auto" w:fill="auto"/>
            <w:noWrap/>
            <w:hideMark/>
          </w:tcPr>
          <w:p w14:paraId="08359B78" w14:textId="77777777" w:rsidR="00367167" w:rsidRPr="00EA3D91" w:rsidRDefault="00367167" w:rsidP="00754FED">
            <w:pPr>
              <w:jc w:val="center"/>
              <w:rPr>
                <w:rFonts w:ascii="Arial" w:hAnsi="Arial" w:cs="Arial"/>
                <w:bCs/>
                <w:sz w:val="22"/>
                <w:szCs w:val="22"/>
              </w:rPr>
            </w:pPr>
            <w:r w:rsidRPr="00EA3D91">
              <w:rPr>
                <w:rFonts w:ascii="Arial" w:hAnsi="Arial" w:cs="Arial"/>
                <w:bCs/>
                <w:sz w:val="22"/>
                <w:szCs w:val="22"/>
              </w:rPr>
              <w:t>6%</w:t>
            </w:r>
          </w:p>
        </w:tc>
      </w:tr>
    </w:tbl>
    <w:p w14:paraId="184CAF6C" w14:textId="77777777" w:rsidR="002F0162" w:rsidRDefault="002F0162" w:rsidP="00EA3D91">
      <w:pPr>
        <w:spacing w:before="120" w:after="120"/>
        <w:jc w:val="both"/>
        <w:rPr>
          <w:rFonts w:ascii="Arial" w:hAnsi="Arial" w:cs="Arial"/>
        </w:rPr>
      </w:pPr>
    </w:p>
    <w:p w14:paraId="3D3213C7" w14:textId="257F1B72" w:rsidR="00367167" w:rsidRDefault="00367167" w:rsidP="00EA3D91">
      <w:pPr>
        <w:spacing w:before="120" w:after="120"/>
        <w:jc w:val="both"/>
        <w:rPr>
          <w:rFonts w:ascii="Arial" w:hAnsi="Arial" w:cs="Arial"/>
        </w:rPr>
      </w:pPr>
      <w:r>
        <w:rPr>
          <w:rFonts w:ascii="Arial" w:hAnsi="Arial" w:cs="Arial"/>
        </w:rPr>
        <w:t>The models of CSE identified in the past 2 years are below.</w:t>
      </w:r>
    </w:p>
    <w:p w14:paraId="52A1D542" w14:textId="77777777" w:rsidR="002F0162" w:rsidRDefault="002F0162" w:rsidP="00EA3D91">
      <w:pPr>
        <w:spacing w:before="120" w:after="120"/>
        <w:jc w:val="both"/>
        <w:rPr>
          <w:rFonts w:ascii="Arial" w:hAnsi="Arial" w:cs="Arial"/>
        </w:rPr>
      </w:pPr>
    </w:p>
    <w:tbl>
      <w:tblPr>
        <w:tblW w:w="87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397"/>
        <w:gridCol w:w="1418"/>
        <w:gridCol w:w="1276"/>
        <w:gridCol w:w="1417"/>
        <w:gridCol w:w="1276"/>
      </w:tblGrid>
      <w:tr w:rsidR="00F53239" w:rsidRPr="00F53239" w14:paraId="64D2F777" w14:textId="77777777" w:rsidTr="00EA3D91">
        <w:trPr>
          <w:trHeight w:val="461"/>
        </w:trPr>
        <w:tc>
          <w:tcPr>
            <w:tcW w:w="3397" w:type="dxa"/>
            <w:vMerge w:val="restart"/>
            <w:tcBorders>
              <w:bottom w:val="single" w:sz="12" w:space="0" w:color="666666"/>
            </w:tcBorders>
            <w:shd w:val="clear" w:color="auto" w:fill="auto"/>
            <w:noWrap/>
            <w:vAlign w:val="center"/>
            <w:hideMark/>
          </w:tcPr>
          <w:p w14:paraId="452D8BCA" w14:textId="77777777" w:rsidR="00367167" w:rsidRPr="00EA3D91" w:rsidRDefault="00367167">
            <w:pPr>
              <w:jc w:val="center"/>
              <w:rPr>
                <w:rFonts w:ascii="Arial" w:hAnsi="Arial" w:cs="Arial"/>
                <w:b/>
                <w:bCs/>
                <w:sz w:val="22"/>
                <w:szCs w:val="22"/>
              </w:rPr>
            </w:pPr>
            <w:r w:rsidRPr="00EA3D91">
              <w:rPr>
                <w:rFonts w:ascii="Arial" w:hAnsi="Arial" w:cs="Arial"/>
                <w:b/>
                <w:bCs/>
                <w:sz w:val="22"/>
                <w:szCs w:val="22"/>
              </w:rPr>
              <w:t>CSE Model</w:t>
            </w:r>
          </w:p>
        </w:tc>
        <w:tc>
          <w:tcPr>
            <w:tcW w:w="2694" w:type="dxa"/>
            <w:gridSpan w:val="2"/>
            <w:tcBorders>
              <w:bottom w:val="single" w:sz="12" w:space="0" w:color="666666"/>
            </w:tcBorders>
            <w:shd w:val="clear" w:color="auto" w:fill="auto"/>
            <w:noWrap/>
            <w:vAlign w:val="center"/>
            <w:hideMark/>
          </w:tcPr>
          <w:p w14:paraId="7F589DB2" w14:textId="77777777" w:rsidR="00367167" w:rsidRPr="00EA3D91" w:rsidRDefault="00367167">
            <w:pPr>
              <w:jc w:val="center"/>
              <w:rPr>
                <w:rFonts w:ascii="Arial" w:hAnsi="Arial" w:cs="Arial"/>
                <w:b/>
                <w:bCs/>
                <w:sz w:val="22"/>
                <w:szCs w:val="22"/>
              </w:rPr>
            </w:pPr>
            <w:r w:rsidRPr="00EA3D91">
              <w:rPr>
                <w:rFonts w:ascii="Arial" w:hAnsi="Arial" w:cs="Arial"/>
                <w:b/>
                <w:bCs/>
                <w:sz w:val="22"/>
                <w:szCs w:val="22"/>
              </w:rPr>
              <w:t>2015/16</w:t>
            </w:r>
          </w:p>
        </w:tc>
        <w:tc>
          <w:tcPr>
            <w:tcW w:w="2693" w:type="dxa"/>
            <w:gridSpan w:val="2"/>
            <w:tcBorders>
              <w:bottom w:val="single" w:sz="12" w:space="0" w:color="666666"/>
            </w:tcBorders>
            <w:shd w:val="clear" w:color="auto" w:fill="auto"/>
            <w:noWrap/>
            <w:vAlign w:val="center"/>
            <w:hideMark/>
          </w:tcPr>
          <w:p w14:paraId="05A6A34A" w14:textId="77777777" w:rsidR="00367167" w:rsidRPr="00EA3D91" w:rsidRDefault="00367167">
            <w:pPr>
              <w:jc w:val="center"/>
              <w:rPr>
                <w:rFonts w:ascii="Arial" w:hAnsi="Arial" w:cs="Arial"/>
                <w:b/>
                <w:bCs/>
                <w:sz w:val="22"/>
                <w:szCs w:val="22"/>
              </w:rPr>
            </w:pPr>
            <w:r w:rsidRPr="00EA3D91">
              <w:rPr>
                <w:rFonts w:ascii="Arial" w:hAnsi="Arial" w:cs="Arial"/>
                <w:b/>
                <w:bCs/>
                <w:sz w:val="22"/>
                <w:szCs w:val="22"/>
              </w:rPr>
              <w:t>2016/17</w:t>
            </w:r>
          </w:p>
        </w:tc>
      </w:tr>
      <w:tr w:rsidR="009216C3" w:rsidRPr="00F53239" w14:paraId="03A1D5D8" w14:textId="77777777" w:rsidTr="00EA3D91">
        <w:trPr>
          <w:trHeight w:val="645"/>
        </w:trPr>
        <w:tc>
          <w:tcPr>
            <w:tcW w:w="3397" w:type="dxa"/>
            <w:vMerge/>
            <w:shd w:val="clear" w:color="auto" w:fill="auto"/>
            <w:hideMark/>
          </w:tcPr>
          <w:p w14:paraId="0C6C892B" w14:textId="77777777" w:rsidR="00367167" w:rsidRPr="00EA3D91" w:rsidRDefault="00367167">
            <w:pPr>
              <w:jc w:val="center"/>
              <w:rPr>
                <w:rFonts w:ascii="Arial" w:hAnsi="Arial" w:cs="Arial"/>
                <w:b/>
                <w:bCs/>
                <w:sz w:val="22"/>
                <w:szCs w:val="22"/>
              </w:rPr>
            </w:pPr>
          </w:p>
        </w:tc>
        <w:tc>
          <w:tcPr>
            <w:tcW w:w="1418" w:type="dxa"/>
            <w:shd w:val="clear" w:color="auto" w:fill="auto"/>
            <w:hideMark/>
          </w:tcPr>
          <w:p w14:paraId="3AD6F08B" w14:textId="77777777" w:rsidR="00367167" w:rsidRPr="00EA3D91" w:rsidRDefault="00367167">
            <w:pPr>
              <w:jc w:val="center"/>
              <w:rPr>
                <w:rFonts w:ascii="Arial" w:hAnsi="Arial" w:cs="Arial"/>
                <w:sz w:val="22"/>
                <w:szCs w:val="22"/>
              </w:rPr>
            </w:pPr>
            <w:r w:rsidRPr="00EA3D91">
              <w:rPr>
                <w:rFonts w:ascii="Arial" w:hAnsi="Arial" w:cs="Arial"/>
                <w:sz w:val="22"/>
                <w:szCs w:val="22"/>
              </w:rPr>
              <w:t>No. of CSE RAs</w:t>
            </w:r>
          </w:p>
        </w:tc>
        <w:tc>
          <w:tcPr>
            <w:tcW w:w="1276" w:type="dxa"/>
            <w:shd w:val="clear" w:color="auto" w:fill="auto"/>
            <w:noWrap/>
            <w:hideMark/>
          </w:tcPr>
          <w:p w14:paraId="62D6C7A1" w14:textId="77777777" w:rsidR="00367167" w:rsidRPr="00EA3D91" w:rsidRDefault="00367167">
            <w:pPr>
              <w:jc w:val="center"/>
              <w:rPr>
                <w:rFonts w:ascii="Arial" w:hAnsi="Arial" w:cs="Arial"/>
                <w:sz w:val="22"/>
                <w:szCs w:val="22"/>
              </w:rPr>
            </w:pPr>
            <w:r w:rsidRPr="00EA3D91">
              <w:rPr>
                <w:rFonts w:ascii="Arial" w:hAnsi="Arial" w:cs="Arial"/>
                <w:sz w:val="22"/>
                <w:szCs w:val="22"/>
              </w:rPr>
              <w:t>% of CSE Cohort</w:t>
            </w:r>
          </w:p>
        </w:tc>
        <w:tc>
          <w:tcPr>
            <w:tcW w:w="1417" w:type="dxa"/>
            <w:shd w:val="clear" w:color="auto" w:fill="auto"/>
            <w:hideMark/>
          </w:tcPr>
          <w:p w14:paraId="64B56219" w14:textId="77777777" w:rsidR="00367167" w:rsidRPr="00EA3D91" w:rsidRDefault="00367167">
            <w:pPr>
              <w:jc w:val="center"/>
              <w:rPr>
                <w:rFonts w:ascii="Arial" w:hAnsi="Arial" w:cs="Arial"/>
                <w:sz w:val="22"/>
                <w:szCs w:val="22"/>
              </w:rPr>
            </w:pPr>
            <w:r w:rsidRPr="00EA3D91">
              <w:rPr>
                <w:rFonts w:ascii="Arial" w:hAnsi="Arial" w:cs="Arial"/>
                <w:sz w:val="22"/>
                <w:szCs w:val="22"/>
              </w:rPr>
              <w:t>No. of CSE RAs</w:t>
            </w:r>
          </w:p>
        </w:tc>
        <w:tc>
          <w:tcPr>
            <w:tcW w:w="1276" w:type="dxa"/>
            <w:shd w:val="clear" w:color="auto" w:fill="auto"/>
            <w:noWrap/>
            <w:hideMark/>
          </w:tcPr>
          <w:p w14:paraId="1D814787" w14:textId="77777777" w:rsidR="00367167" w:rsidRPr="00EA3D91" w:rsidRDefault="00367167">
            <w:pPr>
              <w:jc w:val="center"/>
              <w:rPr>
                <w:rFonts w:ascii="Arial" w:hAnsi="Arial" w:cs="Arial"/>
                <w:sz w:val="22"/>
                <w:szCs w:val="22"/>
              </w:rPr>
            </w:pPr>
            <w:r w:rsidRPr="00EA3D91">
              <w:rPr>
                <w:rFonts w:ascii="Arial" w:hAnsi="Arial" w:cs="Arial"/>
                <w:sz w:val="22"/>
                <w:szCs w:val="22"/>
              </w:rPr>
              <w:t>% of CSE Cohort</w:t>
            </w:r>
          </w:p>
        </w:tc>
      </w:tr>
      <w:tr w:rsidR="009216C3" w:rsidRPr="00F53239" w14:paraId="79A9AAB5" w14:textId="77777777" w:rsidTr="00EA3D91">
        <w:trPr>
          <w:trHeight w:val="389"/>
        </w:trPr>
        <w:tc>
          <w:tcPr>
            <w:tcW w:w="3397" w:type="dxa"/>
            <w:shd w:val="clear" w:color="auto" w:fill="auto"/>
            <w:vAlign w:val="center"/>
            <w:hideMark/>
          </w:tcPr>
          <w:p w14:paraId="7295841A" w14:textId="77777777" w:rsidR="00367167" w:rsidRPr="00EA3D91" w:rsidRDefault="00367167">
            <w:pPr>
              <w:rPr>
                <w:rFonts w:ascii="Arial" w:hAnsi="Arial" w:cs="Arial"/>
                <w:b/>
                <w:bCs/>
                <w:sz w:val="22"/>
                <w:szCs w:val="22"/>
              </w:rPr>
            </w:pPr>
            <w:r w:rsidRPr="00EA3D91">
              <w:rPr>
                <w:rFonts w:ascii="Arial" w:hAnsi="Arial" w:cs="Arial"/>
                <w:b/>
                <w:bCs/>
                <w:sz w:val="22"/>
                <w:szCs w:val="22"/>
              </w:rPr>
              <w:t>Peer Exploitation</w:t>
            </w:r>
          </w:p>
        </w:tc>
        <w:tc>
          <w:tcPr>
            <w:tcW w:w="1418" w:type="dxa"/>
            <w:shd w:val="clear" w:color="auto" w:fill="auto"/>
            <w:vAlign w:val="center"/>
            <w:hideMark/>
          </w:tcPr>
          <w:p w14:paraId="6CF9C1F8" w14:textId="77777777" w:rsidR="00367167" w:rsidRPr="00EA3D91" w:rsidRDefault="00367167">
            <w:pPr>
              <w:jc w:val="center"/>
              <w:rPr>
                <w:rFonts w:ascii="Arial" w:hAnsi="Arial" w:cs="Arial"/>
                <w:bCs/>
                <w:sz w:val="22"/>
                <w:szCs w:val="22"/>
              </w:rPr>
            </w:pPr>
            <w:r w:rsidRPr="00EA3D91">
              <w:rPr>
                <w:rFonts w:ascii="Arial" w:hAnsi="Arial" w:cs="Arial"/>
                <w:bCs/>
                <w:sz w:val="22"/>
                <w:szCs w:val="22"/>
              </w:rPr>
              <w:t>63</w:t>
            </w:r>
          </w:p>
        </w:tc>
        <w:tc>
          <w:tcPr>
            <w:tcW w:w="1276" w:type="dxa"/>
            <w:shd w:val="clear" w:color="auto" w:fill="auto"/>
            <w:noWrap/>
            <w:vAlign w:val="center"/>
            <w:hideMark/>
          </w:tcPr>
          <w:p w14:paraId="44932FEB" w14:textId="77777777" w:rsidR="00367167" w:rsidRPr="00EA3D91" w:rsidRDefault="00367167">
            <w:pPr>
              <w:jc w:val="center"/>
              <w:rPr>
                <w:rFonts w:ascii="Arial" w:hAnsi="Arial" w:cs="Arial"/>
                <w:sz w:val="22"/>
                <w:szCs w:val="22"/>
              </w:rPr>
            </w:pPr>
            <w:r w:rsidRPr="00EA3D91">
              <w:rPr>
                <w:rFonts w:ascii="Arial" w:hAnsi="Arial" w:cs="Arial"/>
                <w:sz w:val="22"/>
                <w:szCs w:val="22"/>
              </w:rPr>
              <w:t>45%</w:t>
            </w:r>
          </w:p>
        </w:tc>
        <w:tc>
          <w:tcPr>
            <w:tcW w:w="1417" w:type="dxa"/>
            <w:shd w:val="clear" w:color="auto" w:fill="auto"/>
            <w:noWrap/>
            <w:vAlign w:val="center"/>
            <w:hideMark/>
          </w:tcPr>
          <w:p w14:paraId="5DA228B4" w14:textId="77777777" w:rsidR="00367167" w:rsidRPr="00EA3D91" w:rsidRDefault="00367167">
            <w:pPr>
              <w:jc w:val="center"/>
              <w:rPr>
                <w:rFonts w:ascii="Arial" w:hAnsi="Arial" w:cs="Arial"/>
                <w:sz w:val="22"/>
                <w:szCs w:val="22"/>
              </w:rPr>
            </w:pPr>
            <w:r w:rsidRPr="00EA3D91">
              <w:rPr>
                <w:rFonts w:ascii="Arial" w:hAnsi="Arial" w:cs="Arial"/>
                <w:sz w:val="22"/>
                <w:szCs w:val="22"/>
              </w:rPr>
              <w:t>31</w:t>
            </w:r>
          </w:p>
        </w:tc>
        <w:tc>
          <w:tcPr>
            <w:tcW w:w="1276" w:type="dxa"/>
            <w:shd w:val="clear" w:color="auto" w:fill="auto"/>
            <w:noWrap/>
            <w:vAlign w:val="center"/>
            <w:hideMark/>
          </w:tcPr>
          <w:p w14:paraId="31007588" w14:textId="77777777" w:rsidR="00367167" w:rsidRPr="00EA3D91" w:rsidRDefault="00367167">
            <w:pPr>
              <w:jc w:val="center"/>
              <w:rPr>
                <w:rFonts w:ascii="Arial" w:hAnsi="Arial" w:cs="Arial"/>
                <w:sz w:val="22"/>
                <w:szCs w:val="22"/>
              </w:rPr>
            </w:pPr>
            <w:r w:rsidRPr="00EA3D91">
              <w:rPr>
                <w:rFonts w:ascii="Arial" w:hAnsi="Arial" w:cs="Arial"/>
                <w:sz w:val="22"/>
                <w:szCs w:val="22"/>
              </w:rPr>
              <w:t>43%</w:t>
            </w:r>
          </w:p>
        </w:tc>
      </w:tr>
      <w:tr w:rsidR="009216C3" w:rsidRPr="00F53239" w14:paraId="79694674" w14:textId="77777777" w:rsidTr="00EA3D91">
        <w:trPr>
          <w:trHeight w:val="423"/>
        </w:trPr>
        <w:tc>
          <w:tcPr>
            <w:tcW w:w="3397" w:type="dxa"/>
            <w:shd w:val="clear" w:color="auto" w:fill="auto"/>
            <w:vAlign w:val="center"/>
            <w:hideMark/>
          </w:tcPr>
          <w:p w14:paraId="7D06ECD1" w14:textId="77777777" w:rsidR="00367167" w:rsidRPr="00EA3D91" w:rsidRDefault="00367167">
            <w:pPr>
              <w:rPr>
                <w:rFonts w:ascii="Arial" w:hAnsi="Arial" w:cs="Arial"/>
                <w:b/>
                <w:bCs/>
                <w:sz w:val="22"/>
                <w:szCs w:val="22"/>
              </w:rPr>
            </w:pPr>
            <w:r w:rsidRPr="00EA3D91">
              <w:rPr>
                <w:rFonts w:ascii="Arial" w:hAnsi="Arial" w:cs="Arial"/>
                <w:b/>
                <w:bCs/>
                <w:sz w:val="22"/>
                <w:szCs w:val="22"/>
              </w:rPr>
              <w:t>Inappropriate Relationship</w:t>
            </w:r>
          </w:p>
        </w:tc>
        <w:tc>
          <w:tcPr>
            <w:tcW w:w="1418" w:type="dxa"/>
            <w:shd w:val="clear" w:color="auto" w:fill="auto"/>
            <w:vAlign w:val="center"/>
            <w:hideMark/>
          </w:tcPr>
          <w:p w14:paraId="0DB812ED" w14:textId="77777777" w:rsidR="00367167" w:rsidRPr="00EA3D91" w:rsidRDefault="00367167">
            <w:pPr>
              <w:jc w:val="center"/>
              <w:rPr>
                <w:rFonts w:ascii="Arial" w:hAnsi="Arial" w:cs="Arial"/>
                <w:bCs/>
                <w:sz w:val="22"/>
                <w:szCs w:val="22"/>
              </w:rPr>
            </w:pPr>
            <w:r w:rsidRPr="00EA3D91">
              <w:rPr>
                <w:rFonts w:ascii="Arial" w:hAnsi="Arial" w:cs="Arial"/>
                <w:bCs/>
                <w:sz w:val="22"/>
                <w:szCs w:val="22"/>
              </w:rPr>
              <w:t>36</w:t>
            </w:r>
          </w:p>
        </w:tc>
        <w:tc>
          <w:tcPr>
            <w:tcW w:w="1276" w:type="dxa"/>
            <w:shd w:val="clear" w:color="auto" w:fill="auto"/>
            <w:noWrap/>
            <w:vAlign w:val="center"/>
            <w:hideMark/>
          </w:tcPr>
          <w:p w14:paraId="69BAD175" w14:textId="77777777" w:rsidR="00367167" w:rsidRPr="00EA3D91" w:rsidRDefault="00367167">
            <w:pPr>
              <w:jc w:val="center"/>
              <w:rPr>
                <w:rFonts w:ascii="Arial" w:hAnsi="Arial" w:cs="Arial"/>
                <w:sz w:val="22"/>
                <w:szCs w:val="22"/>
              </w:rPr>
            </w:pPr>
            <w:r w:rsidRPr="00EA3D91">
              <w:rPr>
                <w:rFonts w:ascii="Arial" w:hAnsi="Arial" w:cs="Arial"/>
                <w:sz w:val="22"/>
                <w:szCs w:val="22"/>
              </w:rPr>
              <w:t>25%</w:t>
            </w:r>
          </w:p>
        </w:tc>
        <w:tc>
          <w:tcPr>
            <w:tcW w:w="1417" w:type="dxa"/>
            <w:shd w:val="clear" w:color="auto" w:fill="auto"/>
            <w:noWrap/>
            <w:vAlign w:val="center"/>
            <w:hideMark/>
          </w:tcPr>
          <w:p w14:paraId="3F025AA8" w14:textId="77777777" w:rsidR="00367167" w:rsidRPr="00EA3D91" w:rsidRDefault="00367167">
            <w:pPr>
              <w:jc w:val="center"/>
              <w:rPr>
                <w:rFonts w:ascii="Arial" w:hAnsi="Arial" w:cs="Arial"/>
                <w:sz w:val="22"/>
                <w:szCs w:val="22"/>
              </w:rPr>
            </w:pPr>
            <w:r w:rsidRPr="00EA3D91">
              <w:rPr>
                <w:rFonts w:ascii="Arial" w:hAnsi="Arial" w:cs="Arial"/>
                <w:sz w:val="22"/>
                <w:szCs w:val="22"/>
              </w:rPr>
              <w:t>23</w:t>
            </w:r>
          </w:p>
        </w:tc>
        <w:tc>
          <w:tcPr>
            <w:tcW w:w="1276" w:type="dxa"/>
            <w:shd w:val="clear" w:color="auto" w:fill="auto"/>
            <w:noWrap/>
            <w:vAlign w:val="center"/>
            <w:hideMark/>
          </w:tcPr>
          <w:p w14:paraId="585CC11C" w14:textId="77777777" w:rsidR="00367167" w:rsidRPr="00EA3D91" w:rsidRDefault="00367167">
            <w:pPr>
              <w:jc w:val="center"/>
              <w:rPr>
                <w:rFonts w:ascii="Arial" w:hAnsi="Arial" w:cs="Arial"/>
                <w:sz w:val="22"/>
                <w:szCs w:val="22"/>
              </w:rPr>
            </w:pPr>
            <w:r w:rsidRPr="00EA3D91">
              <w:rPr>
                <w:rFonts w:ascii="Arial" w:hAnsi="Arial" w:cs="Arial"/>
                <w:sz w:val="22"/>
                <w:szCs w:val="22"/>
              </w:rPr>
              <w:t>31%</w:t>
            </w:r>
          </w:p>
        </w:tc>
      </w:tr>
      <w:tr w:rsidR="009216C3" w:rsidRPr="00F53239" w14:paraId="24754D9C" w14:textId="77777777" w:rsidTr="00EA3D91">
        <w:trPr>
          <w:trHeight w:val="415"/>
        </w:trPr>
        <w:tc>
          <w:tcPr>
            <w:tcW w:w="3397" w:type="dxa"/>
            <w:shd w:val="clear" w:color="auto" w:fill="auto"/>
            <w:vAlign w:val="center"/>
          </w:tcPr>
          <w:p w14:paraId="56C0D6F0" w14:textId="77777777" w:rsidR="00367167" w:rsidRPr="00EA3D91" w:rsidRDefault="00367167">
            <w:pPr>
              <w:rPr>
                <w:rFonts w:ascii="Arial" w:hAnsi="Arial" w:cs="Arial"/>
                <w:b/>
                <w:bCs/>
                <w:sz w:val="22"/>
                <w:szCs w:val="22"/>
              </w:rPr>
            </w:pPr>
            <w:r w:rsidRPr="00EA3D91">
              <w:rPr>
                <w:rFonts w:ascii="Arial" w:hAnsi="Arial" w:cs="Arial"/>
                <w:b/>
                <w:bCs/>
                <w:sz w:val="22"/>
                <w:szCs w:val="22"/>
              </w:rPr>
              <w:t>Online Exploitation</w:t>
            </w:r>
          </w:p>
        </w:tc>
        <w:tc>
          <w:tcPr>
            <w:tcW w:w="1418" w:type="dxa"/>
            <w:shd w:val="clear" w:color="auto" w:fill="auto"/>
            <w:vAlign w:val="center"/>
          </w:tcPr>
          <w:p w14:paraId="3F028656" w14:textId="77777777" w:rsidR="00367167" w:rsidRPr="00EA3D91" w:rsidRDefault="00367167">
            <w:pPr>
              <w:jc w:val="center"/>
              <w:rPr>
                <w:rFonts w:ascii="Arial" w:hAnsi="Arial" w:cs="Arial"/>
                <w:bCs/>
                <w:sz w:val="22"/>
                <w:szCs w:val="22"/>
              </w:rPr>
            </w:pPr>
            <w:r w:rsidRPr="00EA3D91">
              <w:rPr>
                <w:rFonts w:ascii="Arial" w:hAnsi="Arial" w:cs="Arial"/>
                <w:bCs/>
                <w:sz w:val="22"/>
                <w:szCs w:val="22"/>
              </w:rPr>
              <w:t>35</w:t>
            </w:r>
          </w:p>
        </w:tc>
        <w:tc>
          <w:tcPr>
            <w:tcW w:w="1276" w:type="dxa"/>
            <w:shd w:val="clear" w:color="auto" w:fill="auto"/>
            <w:noWrap/>
            <w:vAlign w:val="center"/>
          </w:tcPr>
          <w:p w14:paraId="5EE86037" w14:textId="77777777" w:rsidR="00367167" w:rsidRPr="00EA3D91" w:rsidRDefault="00367167">
            <w:pPr>
              <w:jc w:val="center"/>
              <w:rPr>
                <w:rFonts w:ascii="Arial" w:hAnsi="Arial" w:cs="Arial"/>
                <w:sz w:val="22"/>
                <w:szCs w:val="22"/>
              </w:rPr>
            </w:pPr>
            <w:r w:rsidRPr="00EA3D91">
              <w:rPr>
                <w:rFonts w:ascii="Arial" w:hAnsi="Arial" w:cs="Arial"/>
                <w:sz w:val="22"/>
                <w:szCs w:val="22"/>
              </w:rPr>
              <w:t>24%</w:t>
            </w:r>
          </w:p>
        </w:tc>
        <w:tc>
          <w:tcPr>
            <w:tcW w:w="1417" w:type="dxa"/>
            <w:shd w:val="clear" w:color="auto" w:fill="auto"/>
            <w:noWrap/>
            <w:vAlign w:val="center"/>
          </w:tcPr>
          <w:p w14:paraId="13C0090E" w14:textId="77777777" w:rsidR="00367167" w:rsidRPr="00EA3D91" w:rsidRDefault="00367167">
            <w:pPr>
              <w:jc w:val="center"/>
              <w:rPr>
                <w:rFonts w:ascii="Arial" w:hAnsi="Arial" w:cs="Arial"/>
                <w:sz w:val="22"/>
                <w:szCs w:val="22"/>
              </w:rPr>
            </w:pPr>
            <w:r w:rsidRPr="00EA3D91">
              <w:rPr>
                <w:rFonts w:ascii="Arial" w:hAnsi="Arial" w:cs="Arial"/>
                <w:sz w:val="22"/>
                <w:szCs w:val="22"/>
              </w:rPr>
              <w:t>11</w:t>
            </w:r>
          </w:p>
        </w:tc>
        <w:tc>
          <w:tcPr>
            <w:tcW w:w="1276" w:type="dxa"/>
            <w:shd w:val="clear" w:color="auto" w:fill="auto"/>
            <w:noWrap/>
            <w:vAlign w:val="center"/>
          </w:tcPr>
          <w:p w14:paraId="49282737" w14:textId="77777777" w:rsidR="00367167" w:rsidRPr="00EA3D91" w:rsidRDefault="00367167">
            <w:pPr>
              <w:jc w:val="center"/>
              <w:rPr>
                <w:rFonts w:ascii="Arial" w:hAnsi="Arial" w:cs="Arial"/>
                <w:sz w:val="22"/>
                <w:szCs w:val="22"/>
              </w:rPr>
            </w:pPr>
            <w:r w:rsidRPr="00EA3D91">
              <w:rPr>
                <w:rFonts w:ascii="Arial" w:hAnsi="Arial" w:cs="Arial"/>
                <w:sz w:val="22"/>
                <w:szCs w:val="22"/>
              </w:rPr>
              <w:t>15%</w:t>
            </w:r>
          </w:p>
        </w:tc>
      </w:tr>
      <w:tr w:rsidR="009216C3" w:rsidRPr="00F53239" w14:paraId="4C5A24DE" w14:textId="77777777" w:rsidTr="00EA3D91">
        <w:trPr>
          <w:trHeight w:val="419"/>
        </w:trPr>
        <w:tc>
          <w:tcPr>
            <w:tcW w:w="3397" w:type="dxa"/>
            <w:shd w:val="clear" w:color="auto" w:fill="auto"/>
            <w:vAlign w:val="center"/>
          </w:tcPr>
          <w:p w14:paraId="432F3157" w14:textId="77777777" w:rsidR="00367167" w:rsidRPr="00EA3D91" w:rsidRDefault="00367167">
            <w:pPr>
              <w:rPr>
                <w:rFonts w:ascii="Arial" w:hAnsi="Arial" w:cs="Arial"/>
                <w:b/>
                <w:bCs/>
                <w:sz w:val="22"/>
                <w:szCs w:val="22"/>
              </w:rPr>
            </w:pPr>
            <w:r w:rsidRPr="00EA3D91">
              <w:rPr>
                <w:rFonts w:ascii="Arial" w:hAnsi="Arial" w:cs="Arial"/>
                <w:b/>
                <w:bCs/>
                <w:sz w:val="22"/>
                <w:szCs w:val="22"/>
              </w:rPr>
              <w:t>Organised Exploitation</w:t>
            </w:r>
          </w:p>
        </w:tc>
        <w:tc>
          <w:tcPr>
            <w:tcW w:w="1418" w:type="dxa"/>
            <w:shd w:val="clear" w:color="auto" w:fill="auto"/>
            <w:vAlign w:val="center"/>
          </w:tcPr>
          <w:p w14:paraId="04849E04" w14:textId="77777777" w:rsidR="00367167" w:rsidRPr="00EA3D91" w:rsidRDefault="00367167">
            <w:pPr>
              <w:jc w:val="center"/>
              <w:rPr>
                <w:rFonts w:ascii="Arial" w:hAnsi="Arial" w:cs="Arial"/>
                <w:bCs/>
                <w:sz w:val="22"/>
                <w:szCs w:val="22"/>
              </w:rPr>
            </w:pPr>
            <w:r w:rsidRPr="00EA3D91">
              <w:rPr>
                <w:rFonts w:ascii="Arial" w:hAnsi="Arial" w:cs="Arial"/>
                <w:bCs/>
                <w:sz w:val="22"/>
                <w:szCs w:val="22"/>
              </w:rPr>
              <w:t>9</w:t>
            </w:r>
          </w:p>
        </w:tc>
        <w:tc>
          <w:tcPr>
            <w:tcW w:w="1276" w:type="dxa"/>
            <w:shd w:val="clear" w:color="auto" w:fill="auto"/>
            <w:noWrap/>
            <w:vAlign w:val="center"/>
          </w:tcPr>
          <w:p w14:paraId="6EAEB6E6" w14:textId="77777777" w:rsidR="00367167" w:rsidRPr="00EA3D91" w:rsidRDefault="00367167">
            <w:pPr>
              <w:jc w:val="center"/>
              <w:rPr>
                <w:rFonts w:ascii="Arial" w:hAnsi="Arial" w:cs="Arial"/>
                <w:sz w:val="22"/>
                <w:szCs w:val="22"/>
              </w:rPr>
            </w:pPr>
            <w:r w:rsidRPr="00EA3D91">
              <w:rPr>
                <w:rFonts w:ascii="Arial" w:hAnsi="Arial" w:cs="Arial"/>
                <w:sz w:val="22"/>
                <w:szCs w:val="22"/>
              </w:rPr>
              <w:t>6%</w:t>
            </w:r>
          </w:p>
        </w:tc>
        <w:tc>
          <w:tcPr>
            <w:tcW w:w="1417" w:type="dxa"/>
            <w:shd w:val="clear" w:color="auto" w:fill="auto"/>
            <w:noWrap/>
            <w:vAlign w:val="center"/>
          </w:tcPr>
          <w:p w14:paraId="3FAB7F47" w14:textId="77777777" w:rsidR="00367167" w:rsidRPr="00EA3D91" w:rsidRDefault="00367167">
            <w:pPr>
              <w:jc w:val="center"/>
              <w:rPr>
                <w:rFonts w:ascii="Arial" w:hAnsi="Arial" w:cs="Arial"/>
                <w:sz w:val="22"/>
                <w:szCs w:val="22"/>
              </w:rPr>
            </w:pPr>
            <w:r w:rsidRPr="00EA3D91">
              <w:rPr>
                <w:rFonts w:ascii="Arial" w:hAnsi="Arial" w:cs="Arial"/>
                <w:sz w:val="22"/>
                <w:szCs w:val="22"/>
              </w:rPr>
              <w:t>8</w:t>
            </w:r>
          </w:p>
        </w:tc>
        <w:tc>
          <w:tcPr>
            <w:tcW w:w="1276" w:type="dxa"/>
            <w:shd w:val="clear" w:color="auto" w:fill="auto"/>
            <w:noWrap/>
            <w:vAlign w:val="center"/>
          </w:tcPr>
          <w:p w14:paraId="313EAC06" w14:textId="77777777" w:rsidR="00367167" w:rsidRPr="00EA3D91" w:rsidRDefault="00367167">
            <w:pPr>
              <w:jc w:val="center"/>
              <w:rPr>
                <w:rFonts w:ascii="Arial" w:hAnsi="Arial" w:cs="Arial"/>
                <w:sz w:val="22"/>
                <w:szCs w:val="22"/>
              </w:rPr>
            </w:pPr>
            <w:r w:rsidRPr="00EA3D91">
              <w:rPr>
                <w:rFonts w:ascii="Arial" w:hAnsi="Arial" w:cs="Arial"/>
                <w:sz w:val="22"/>
                <w:szCs w:val="22"/>
              </w:rPr>
              <w:t>11%</w:t>
            </w:r>
          </w:p>
        </w:tc>
      </w:tr>
    </w:tbl>
    <w:p w14:paraId="39452573" w14:textId="77777777" w:rsidR="00AA16AC" w:rsidRPr="006011CA" w:rsidRDefault="00AA16AC" w:rsidP="00AA16AC">
      <w:pPr>
        <w:jc w:val="both"/>
        <w:rPr>
          <w:rFonts w:ascii="Arial" w:hAnsi="Arial" w:cs="Arial"/>
        </w:rPr>
      </w:pPr>
    </w:p>
    <w:p w14:paraId="2CBA8D96" w14:textId="409ED3D5" w:rsidR="00367167" w:rsidRPr="00B6428E" w:rsidRDefault="00367167" w:rsidP="00367167">
      <w:pPr>
        <w:rPr>
          <w:rFonts w:ascii="Arial" w:hAnsi="Arial" w:cs="Arial"/>
        </w:rPr>
      </w:pPr>
      <w:r w:rsidRPr="00B6428E">
        <w:rPr>
          <w:rFonts w:ascii="Arial" w:hAnsi="Arial" w:cs="Arial"/>
        </w:rPr>
        <w:t xml:space="preserve">2016/17 has reflected the same trend in prevalence of each model, with a decrease in the proportion of online exploitation. The higher figures in 2015/16 were impacted by there being a larger number of assessments where multiple </w:t>
      </w:r>
      <w:r w:rsidR="00643DDD">
        <w:rPr>
          <w:rFonts w:ascii="Arial" w:hAnsi="Arial" w:cs="Arial"/>
        </w:rPr>
        <w:t>types of CSE models per individual child</w:t>
      </w:r>
      <w:r w:rsidRPr="00B6428E">
        <w:rPr>
          <w:rFonts w:ascii="Arial" w:hAnsi="Arial" w:cs="Arial"/>
        </w:rPr>
        <w:t xml:space="preserve"> were selected</w:t>
      </w:r>
      <w:r w:rsidR="007F05F4">
        <w:rPr>
          <w:rFonts w:ascii="Arial" w:hAnsi="Arial" w:cs="Arial"/>
        </w:rPr>
        <w:t xml:space="preserve">, </w:t>
      </w:r>
      <w:r w:rsidRPr="00B6428E">
        <w:rPr>
          <w:rFonts w:ascii="Arial" w:hAnsi="Arial" w:cs="Arial"/>
        </w:rPr>
        <w:t>34 compared to 9 in 2016/17.</w:t>
      </w:r>
    </w:p>
    <w:p w14:paraId="0BD6810C" w14:textId="77777777" w:rsidR="00026D0E" w:rsidRPr="00B6428E" w:rsidRDefault="00026D0E" w:rsidP="00367167">
      <w:pPr>
        <w:rPr>
          <w:rFonts w:ascii="Arial" w:hAnsi="Arial" w:cs="Arial"/>
        </w:rPr>
      </w:pPr>
    </w:p>
    <w:p w14:paraId="1C2CD81A" w14:textId="77777777" w:rsidR="005F3E3F" w:rsidRDefault="00026D0E" w:rsidP="00367167">
      <w:pPr>
        <w:rPr>
          <w:rFonts w:ascii="Arial" w:hAnsi="Arial" w:cs="Arial"/>
        </w:rPr>
      </w:pPr>
      <w:r w:rsidRPr="00B6428E">
        <w:rPr>
          <w:rFonts w:ascii="Arial" w:hAnsi="Arial" w:cs="Arial"/>
        </w:rPr>
        <w:t xml:space="preserve">Partnership working is key to delivering the best outcomes for children who go missing or are at risk of CSE. </w:t>
      </w:r>
    </w:p>
    <w:p w14:paraId="3F215CC3" w14:textId="4AF35D06" w:rsidR="00026D0E" w:rsidRPr="00B6428E" w:rsidRDefault="00026D0E" w:rsidP="00367167">
      <w:pPr>
        <w:rPr>
          <w:rFonts w:ascii="Arial" w:hAnsi="Arial" w:cs="Arial"/>
        </w:rPr>
      </w:pPr>
      <w:r w:rsidRPr="00B6428E">
        <w:rPr>
          <w:rFonts w:ascii="Arial" w:hAnsi="Arial" w:cs="Arial"/>
        </w:rPr>
        <w:lastRenderedPageBreak/>
        <w:t>The following agencies all made referrals to MASH relating to CSE in 2016/17:</w:t>
      </w:r>
    </w:p>
    <w:p w14:paraId="7DF06F8A" w14:textId="77777777" w:rsidR="00026D0E" w:rsidRPr="00B6428E" w:rsidRDefault="00026D0E" w:rsidP="00367167">
      <w:pPr>
        <w:rPr>
          <w:rFonts w:ascii="Arial" w:hAnsi="Arial" w:cs="Arial"/>
        </w:rPr>
      </w:pPr>
    </w:p>
    <w:p w14:paraId="0BF40503" w14:textId="77777777" w:rsidR="00026D0E" w:rsidRPr="00B6428E" w:rsidRDefault="00026D0E" w:rsidP="00026D0E">
      <w:pPr>
        <w:numPr>
          <w:ilvl w:val="0"/>
          <w:numId w:val="17"/>
        </w:numPr>
        <w:rPr>
          <w:rFonts w:ascii="Arial" w:hAnsi="Arial" w:cs="Arial"/>
        </w:rPr>
      </w:pPr>
      <w:r w:rsidRPr="00B6428E">
        <w:rPr>
          <w:rFonts w:ascii="Arial" w:hAnsi="Arial" w:cs="Arial"/>
        </w:rPr>
        <w:t>Police</w:t>
      </w:r>
    </w:p>
    <w:p w14:paraId="2B70EB94" w14:textId="77777777" w:rsidR="00026D0E" w:rsidRPr="00B6428E" w:rsidRDefault="00026D0E" w:rsidP="00026D0E">
      <w:pPr>
        <w:numPr>
          <w:ilvl w:val="0"/>
          <w:numId w:val="17"/>
        </w:numPr>
        <w:rPr>
          <w:rFonts w:ascii="Arial" w:hAnsi="Arial" w:cs="Arial"/>
        </w:rPr>
      </w:pPr>
      <w:r w:rsidRPr="00B6428E">
        <w:rPr>
          <w:rFonts w:ascii="Arial" w:hAnsi="Arial" w:cs="Arial"/>
        </w:rPr>
        <w:t>School</w:t>
      </w:r>
    </w:p>
    <w:p w14:paraId="260A5C0B" w14:textId="77777777" w:rsidR="00026D0E" w:rsidRPr="00B6428E" w:rsidRDefault="00026D0E" w:rsidP="00026D0E">
      <w:pPr>
        <w:numPr>
          <w:ilvl w:val="0"/>
          <w:numId w:val="17"/>
        </w:numPr>
        <w:rPr>
          <w:rFonts w:ascii="Arial" w:hAnsi="Arial" w:cs="Arial"/>
        </w:rPr>
      </w:pPr>
      <w:r w:rsidRPr="00B6428E">
        <w:rPr>
          <w:rFonts w:ascii="Arial" w:hAnsi="Arial" w:cs="Arial"/>
        </w:rPr>
        <w:t>Voluntary Sector</w:t>
      </w:r>
    </w:p>
    <w:p w14:paraId="7679CC36" w14:textId="77777777" w:rsidR="00026D0E" w:rsidRPr="00B6428E" w:rsidRDefault="00026D0E" w:rsidP="00026D0E">
      <w:pPr>
        <w:numPr>
          <w:ilvl w:val="0"/>
          <w:numId w:val="17"/>
        </w:numPr>
        <w:rPr>
          <w:rFonts w:ascii="Arial" w:hAnsi="Arial" w:cs="Arial"/>
        </w:rPr>
      </w:pPr>
      <w:r w:rsidRPr="00B6428E">
        <w:rPr>
          <w:rFonts w:ascii="Arial" w:hAnsi="Arial" w:cs="Arial"/>
        </w:rPr>
        <w:t>GP</w:t>
      </w:r>
    </w:p>
    <w:p w14:paraId="399C38FE" w14:textId="77777777" w:rsidR="00026D0E" w:rsidRPr="00B6428E" w:rsidRDefault="00026D0E" w:rsidP="00026D0E">
      <w:pPr>
        <w:numPr>
          <w:ilvl w:val="0"/>
          <w:numId w:val="17"/>
        </w:numPr>
        <w:rPr>
          <w:rFonts w:ascii="Arial" w:hAnsi="Arial" w:cs="Arial"/>
        </w:rPr>
      </w:pPr>
      <w:r w:rsidRPr="00B6428E">
        <w:rPr>
          <w:rFonts w:ascii="Arial" w:hAnsi="Arial" w:cs="Arial"/>
        </w:rPr>
        <w:t>Family</w:t>
      </w:r>
    </w:p>
    <w:p w14:paraId="3943280A" w14:textId="77777777" w:rsidR="00026D0E" w:rsidRPr="00B6428E" w:rsidRDefault="00026D0E" w:rsidP="00026D0E">
      <w:pPr>
        <w:numPr>
          <w:ilvl w:val="0"/>
          <w:numId w:val="17"/>
        </w:numPr>
        <w:rPr>
          <w:rFonts w:ascii="Arial" w:hAnsi="Arial" w:cs="Arial"/>
        </w:rPr>
      </w:pPr>
      <w:r w:rsidRPr="00B6428E">
        <w:rPr>
          <w:rFonts w:ascii="Arial" w:hAnsi="Arial" w:cs="Arial"/>
        </w:rPr>
        <w:t>National Crime Agency</w:t>
      </w:r>
    </w:p>
    <w:p w14:paraId="6063D136" w14:textId="77777777" w:rsidR="00026D0E" w:rsidRPr="00B6428E" w:rsidRDefault="00026D0E" w:rsidP="00026D0E">
      <w:pPr>
        <w:numPr>
          <w:ilvl w:val="0"/>
          <w:numId w:val="17"/>
        </w:numPr>
        <w:rPr>
          <w:rFonts w:ascii="Arial" w:hAnsi="Arial" w:cs="Arial"/>
        </w:rPr>
      </w:pPr>
      <w:r w:rsidRPr="00B6428E">
        <w:rPr>
          <w:rFonts w:ascii="Arial" w:hAnsi="Arial" w:cs="Arial"/>
        </w:rPr>
        <w:t>Other local authority</w:t>
      </w:r>
    </w:p>
    <w:p w14:paraId="705DECB1" w14:textId="77777777" w:rsidR="00026D0E" w:rsidRPr="00B6428E" w:rsidRDefault="00026D0E" w:rsidP="00026D0E">
      <w:pPr>
        <w:numPr>
          <w:ilvl w:val="0"/>
          <w:numId w:val="17"/>
        </w:numPr>
        <w:rPr>
          <w:rFonts w:ascii="Arial" w:hAnsi="Arial" w:cs="Arial"/>
        </w:rPr>
      </w:pPr>
      <w:r w:rsidRPr="00B6428E">
        <w:rPr>
          <w:rFonts w:ascii="Arial" w:hAnsi="Arial" w:cs="Arial"/>
        </w:rPr>
        <w:t>Camden Social Services</w:t>
      </w:r>
    </w:p>
    <w:p w14:paraId="5E4E279A" w14:textId="77777777" w:rsidR="00026D0E" w:rsidRPr="00B6428E" w:rsidRDefault="00026D0E" w:rsidP="00026D0E">
      <w:pPr>
        <w:numPr>
          <w:ilvl w:val="0"/>
          <w:numId w:val="17"/>
        </w:numPr>
        <w:rPr>
          <w:rFonts w:ascii="Arial" w:hAnsi="Arial" w:cs="Arial"/>
        </w:rPr>
      </w:pPr>
      <w:r w:rsidRPr="00B6428E">
        <w:rPr>
          <w:rFonts w:ascii="Arial" w:hAnsi="Arial" w:cs="Arial"/>
        </w:rPr>
        <w:t>Health (e.g. Hospitals)</w:t>
      </w:r>
    </w:p>
    <w:p w14:paraId="299B9137" w14:textId="77777777" w:rsidR="00F53239" w:rsidRDefault="00F53239" w:rsidP="002A0C66">
      <w:pPr>
        <w:pStyle w:val="Default"/>
        <w:jc w:val="both"/>
        <w:rPr>
          <w:b/>
        </w:rPr>
      </w:pPr>
    </w:p>
    <w:p w14:paraId="0DF7D77B" w14:textId="581E9DE0" w:rsidR="00610C8E" w:rsidRPr="003B384D" w:rsidRDefault="003B384D" w:rsidP="002A0C66">
      <w:pPr>
        <w:pStyle w:val="Default"/>
        <w:jc w:val="both"/>
        <w:rPr>
          <w:b/>
        </w:rPr>
      </w:pPr>
      <w:r w:rsidRPr="003B384D">
        <w:rPr>
          <w:b/>
        </w:rPr>
        <w:t xml:space="preserve">The Proposed </w:t>
      </w:r>
      <w:r w:rsidR="00B6428E">
        <w:rPr>
          <w:b/>
        </w:rPr>
        <w:t xml:space="preserve">New </w:t>
      </w:r>
      <w:r w:rsidRPr="003B384D">
        <w:rPr>
          <w:b/>
        </w:rPr>
        <w:t>Commissioned Service:</w:t>
      </w:r>
    </w:p>
    <w:p w14:paraId="78123B48" w14:textId="77777777" w:rsidR="002A0C66" w:rsidRDefault="002A0C66" w:rsidP="002A0C66">
      <w:pPr>
        <w:rPr>
          <w:rFonts w:ascii="Arial" w:hAnsi="Arial" w:cs="Arial"/>
          <w:b/>
        </w:rPr>
      </w:pPr>
    </w:p>
    <w:p w14:paraId="6E7942CC" w14:textId="77777777" w:rsidR="00B6428E" w:rsidRPr="006C57E4" w:rsidRDefault="00B6428E" w:rsidP="002A0C66">
      <w:pPr>
        <w:rPr>
          <w:rFonts w:ascii="Arial" w:hAnsi="Arial" w:cs="Arial"/>
        </w:rPr>
      </w:pPr>
      <w:r w:rsidRPr="006C57E4">
        <w:rPr>
          <w:rFonts w:ascii="Arial" w:hAnsi="Arial" w:cs="Arial"/>
        </w:rPr>
        <w:t>It is proposed that the new service is commissioned as a single contract delivering both CSE Support and Return Home Interviews as follows:</w:t>
      </w:r>
    </w:p>
    <w:p w14:paraId="3D047FE0" w14:textId="481AEFBF" w:rsidR="00B6428E" w:rsidRPr="00E5256D" w:rsidRDefault="00B6428E" w:rsidP="002A0C66">
      <w:pPr>
        <w:rPr>
          <w:rFonts w:ascii="Arial" w:hAnsi="Arial" w:cs="Arial"/>
          <w: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auto"/>
        <w:tblLook w:val="00A0" w:firstRow="1" w:lastRow="0" w:firstColumn="1" w:lastColumn="0" w:noHBand="0" w:noVBand="0"/>
      </w:tblPr>
      <w:tblGrid>
        <w:gridCol w:w="2405"/>
        <w:gridCol w:w="5925"/>
      </w:tblGrid>
      <w:tr w:rsidR="002A0C66" w:rsidRPr="00C60CA9" w14:paraId="2E7FB4F6" w14:textId="77777777" w:rsidTr="00EA3D91">
        <w:trPr>
          <w:trHeight w:val="80"/>
        </w:trPr>
        <w:tc>
          <w:tcPr>
            <w:tcW w:w="2405" w:type="dxa"/>
            <w:shd w:val="clear" w:color="C0C0C0" w:fill="FABF8F"/>
          </w:tcPr>
          <w:p w14:paraId="70AA8046" w14:textId="77777777" w:rsidR="002A0C66" w:rsidRPr="00E5256D" w:rsidRDefault="002A0C66" w:rsidP="00C97492">
            <w:pPr>
              <w:rPr>
                <w:rFonts w:ascii="Arial" w:hAnsi="Arial" w:cs="Arial"/>
                <w:b/>
                <w:bCs/>
              </w:rPr>
            </w:pPr>
            <w:r w:rsidRPr="00E5256D">
              <w:rPr>
                <w:rFonts w:ascii="Arial" w:hAnsi="Arial" w:cs="Arial"/>
                <w:b/>
                <w:bCs/>
              </w:rPr>
              <w:t>Title</w:t>
            </w:r>
          </w:p>
          <w:p w14:paraId="5807FDB5" w14:textId="77777777" w:rsidR="002A0C66" w:rsidRPr="00E5256D" w:rsidRDefault="002A0C66" w:rsidP="00C97492">
            <w:pPr>
              <w:rPr>
                <w:rFonts w:ascii="Arial" w:hAnsi="Arial" w:cs="Arial"/>
                <w:b/>
                <w:bCs/>
              </w:rPr>
            </w:pPr>
          </w:p>
        </w:tc>
        <w:tc>
          <w:tcPr>
            <w:tcW w:w="5925" w:type="dxa"/>
            <w:shd w:val="clear" w:color="C0C0C0" w:fill="FABF8F"/>
          </w:tcPr>
          <w:p w14:paraId="459CE165" w14:textId="77777777" w:rsidR="002A0C66" w:rsidRPr="00E5256D" w:rsidRDefault="002A0C66" w:rsidP="00C97492">
            <w:pPr>
              <w:rPr>
                <w:rFonts w:ascii="Arial" w:hAnsi="Arial" w:cs="Arial"/>
                <w:b/>
                <w:bCs/>
              </w:rPr>
            </w:pPr>
            <w:r w:rsidRPr="00E5256D">
              <w:rPr>
                <w:rFonts w:ascii="Arial" w:hAnsi="Arial" w:cs="Arial"/>
                <w:b/>
                <w:bCs/>
              </w:rPr>
              <w:t>Service details</w:t>
            </w:r>
          </w:p>
        </w:tc>
      </w:tr>
      <w:tr w:rsidR="002A0C66" w:rsidRPr="00C60CA9" w14:paraId="5B0746FF" w14:textId="77777777" w:rsidTr="00EA3D91">
        <w:tc>
          <w:tcPr>
            <w:tcW w:w="2405" w:type="dxa"/>
            <w:shd w:val="clear" w:color="C0C0C0" w:fill="auto"/>
          </w:tcPr>
          <w:p w14:paraId="744E0FF7" w14:textId="77777777" w:rsidR="002A0C66" w:rsidRPr="00C60CA9" w:rsidRDefault="00B24A64" w:rsidP="00B24A64">
            <w:pPr>
              <w:rPr>
                <w:rFonts w:ascii="Arial" w:hAnsi="Arial" w:cs="Arial"/>
                <w:bCs/>
                <w:color w:val="000000"/>
              </w:rPr>
            </w:pPr>
            <w:r>
              <w:rPr>
                <w:rFonts w:ascii="Arial" w:hAnsi="Arial" w:cs="Arial"/>
                <w:bCs/>
                <w:color w:val="000000"/>
              </w:rPr>
              <w:t xml:space="preserve">CSE Support </w:t>
            </w:r>
          </w:p>
        </w:tc>
        <w:tc>
          <w:tcPr>
            <w:tcW w:w="5925" w:type="dxa"/>
            <w:shd w:val="clear" w:color="C0C0C0" w:fill="auto"/>
          </w:tcPr>
          <w:p w14:paraId="71C76552" w14:textId="77777777" w:rsidR="002A0C66" w:rsidRDefault="00B24A64" w:rsidP="00C97492">
            <w:pPr>
              <w:numPr>
                <w:ilvl w:val="0"/>
                <w:numId w:val="12"/>
              </w:numPr>
              <w:rPr>
                <w:rFonts w:ascii="Arial" w:hAnsi="Arial" w:cs="Arial"/>
              </w:rPr>
            </w:pPr>
            <w:r>
              <w:rPr>
                <w:rFonts w:ascii="Arial" w:hAnsi="Arial" w:cs="Arial"/>
              </w:rPr>
              <w:t>1-1 Support for young people identified as being at risk of CSE</w:t>
            </w:r>
          </w:p>
          <w:p w14:paraId="0986FEE4" w14:textId="77777777" w:rsidR="00B24A64" w:rsidRDefault="00B24A64" w:rsidP="00C97492">
            <w:pPr>
              <w:numPr>
                <w:ilvl w:val="0"/>
                <w:numId w:val="12"/>
              </w:numPr>
              <w:rPr>
                <w:rFonts w:ascii="Arial" w:hAnsi="Arial" w:cs="Arial"/>
              </w:rPr>
            </w:pPr>
            <w:r>
              <w:rPr>
                <w:rFonts w:ascii="Arial" w:hAnsi="Arial" w:cs="Arial"/>
              </w:rPr>
              <w:t>Engagement in strategy and MASE (Multi-agency Sexual Exploitation Meetings) to care plan for children.</w:t>
            </w:r>
          </w:p>
          <w:p w14:paraId="17EF867E" w14:textId="4C6C5A76" w:rsidR="002A0C66" w:rsidRPr="00F53239" w:rsidRDefault="00B24A64" w:rsidP="00EA3D91">
            <w:pPr>
              <w:numPr>
                <w:ilvl w:val="0"/>
                <w:numId w:val="12"/>
              </w:numPr>
              <w:rPr>
                <w:rFonts w:ascii="Arial" w:hAnsi="Arial" w:cs="Arial"/>
              </w:rPr>
            </w:pPr>
            <w:r>
              <w:rPr>
                <w:rFonts w:ascii="Arial" w:hAnsi="Arial" w:cs="Arial"/>
              </w:rPr>
              <w:t>Delivery of workforce development sessions to the Camden Workforce</w:t>
            </w:r>
          </w:p>
        </w:tc>
      </w:tr>
      <w:tr w:rsidR="002A0C66" w:rsidRPr="00C60CA9" w14:paraId="707A2137" w14:textId="77777777" w:rsidTr="00EA3D91">
        <w:tc>
          <w:tcPr>
            <w:tcW w:w="2405" w:type="dxa"/>
            <w:shd w:val="clear" w:color="C0C0C0" w:fill="auto"/>
          </w:tcPr>
          <w:p w14:paraId="413B7975" w14:textId="77777777" w:rsidR="002A0C66" w:rsidRPr="00C60CA9" w:rsidRDefault="00B24A64" w:rsidP="00C97492">
            <w:pPr>
              <w:rPr>
                <w:rFonts w:ascii="Arial" w:hAnsi="Arial" w:cs="Arial"/>
                <w:bCs/>
                <w:color w:val="000000"/>
              </w:rPr>
            </w:pPr>
            <w:r>
              <w:rPr>
                <w:rFonts w:ascii="Arial" w:hAnsi="Arial" w:cs="Arial"/>
                <w:bCs/>
                <w:color w:val="000000"/>
              </w:rPr>
              <w:t>Return Home Interviews</w:t>
            </w:r>
          </w:p>
        </w:tc>
        <w:tc>
          <w:tcPr>
            <w:tcW w:w="5925" w:type="dxa"/>
            <w:shd w:val="clear" w:color="C0C0C0" w:fill="auto"/>
          </w:tcPr>
          <w:p w14:paraId="21AF48A9" w14:textId="77777777" w:rsidR="002A0C66" w:rsidRDefault="00B24A64" w:rsidP="00C97492">
            <w:pPr>
              <w:numPr>
                <w:ilvl w:val="0"/>
                <w:numId w:val="13"/>
              </w:numPr>
              <w:rPr>
                <w:rFonts w:ascii="Arial" w:hAnsi="Arial" w:cs="Arial"/>
              </w:rPr>
            </w:pPr>
            <w:r>
              <w:rPr>
                <w:rFonts w:ascii="Arial" w:hAnsi="Arial" w:cs="Arial"/>
              </w:rPr>
              <w:t>1:1 interviews for young people who have been reported missing</w:t>
            </w:r>
          </w:p>
          <w:p w14:paraId="5C8335FD" w14:textId="77777777" w:rsidR="00B24A64" w:rsidRDefault="00B24A64" w:rsidP="00C97492">
            <w:pPr>
              <w:numPr>
                <w:ilvl w:val="0"/>
                <w:numId w:val="13"/>
              </w:numPr>
              <w:rPr>
                <w:rFonts w:ascii="Arial" w:hAnsi="Arial" w:cs="Arial"/>
              </w:rPr>
            </w:pPr>
            <w:r>
              <w:rPr>
                <w:rFonts w:ascii="Arial" w:hAnsi="Arial" w:cs="Arial"/>
              </w:rPr>
              <w:t>Assertive outreach for engagement in community venues including home and school</w:t>
            </w:r>
          </w:p>
          <w:p w14:paraId="30BB0666" w14:textId="77777777" w:rsidR="00B24A64" w:rsidRDefault="00B24A64" w:rsidP="00C97492">
            <w:pPr>
              <w:numPr>
                <w:ilvl w:val="0"/>
                <w:numId w:val="13"/>
              </w:numPr>
              <w:rPr>
                <w:rFonts w:ascii="Arial" w:hAnsi="Arial" w:cs="Arial"/>
              </w:rPr>
            </w:pPr>
            <w:r>
              <w:rPr>
                <w:rFonts w:ascii="Arial" w:hAnsi="Arial" w:cs="Arial"/>
              </w:rPr>
              <w:t>Intelligence gathering to support the safety of children and young people</w:t>
            </w:r>
          </w:p>
          <w:p w14:paraId="11F14894" w14:textId="77777777" w:rsidR="00B24A64" w:rsidRPr="00E5256D" w:rsidRDefault="00B24A64" w:rsidP="00C97492">
            <w:pPr>
              <w:numPr>
                <w:ilvl w:val="0"/>
                <w:numId w:val="13"/>
              </w:numPr>
              <w:rPr>
                <w:rFonts w:ascii="Arial" w:hAnsi="Arial" w:cs="Arial"/>
              </w:rPr>
            </w:pPr>
            <w:r>
              <w:rPr>
                <w:rFonts w:ascii="Arial" w:hAnsi="Arial" w:cs="Arial"/>
              </w:rPr>
              <w:t xml:space="preserve">Ensuring information and interviews are recorded and </w:t>
            </w:r>
            <w:r w:rsidR="008542F2">
              <w:rPr>
                <w:rFonts w:ascii="Arial" w:hAnsi="Arial" w:cs="Arial"/>
              </w:rPr>
              <w:t>shared</w:t>
            </w:r>
          </w:p>
        </w:tc>
      </w:tr>
    </w:tbl>
    <w:p w14:paraId="185937D0" w14:textId="77777777" w:rsidR="00D06FD6" w:rsidRDefault="00D06FD6" w:rsidP="002A0C66">
      <w:pPr>
        <w:jc w:val="both"/>
        <w:rPr>
          <w:rFonts w:ascii="Arial" w:hAnsi="Arial" w:cs="Arial"/>
        </w:rPr>
      </w:pPr>
    </w:p>
    <w:p w14:paraId="31BEF1B7" w14:textId="77777777" w:rsidR="00026D0E" w:rsidRDefault="00026D0E" w:rsidP="002A0C66">
      <w:pPr>
        <w:jc w:val="both"/>
        <w:rPr>
          <w:rFonts w:ascii="Arial" w:hAnsi="Arial" w:cs="Arial"/>
        </w:rPr>
      </w:pPr>
      <w:r>
        <w:rPr>
          <w:rFonts w:ascii="Arial" w:hAnsi="Arial" w:cs="Arial"/>
        </w:rPr>
        <w:t>The proposed budget for this CSE / Missing service is £110,000 per annum.</w:t>
      </w:r>
    </w:p>
    <w:p w14:paraId="3532B76F" w14:textId="77777777" w:rsidR="00F53239" w:rsidRDefault="00F53239" w:rsidP="00F53239">
      <w:pPr>
        <w:jc w:val="both"/>
        <w:rPr>
          <w:rFonts w:ascii="Arial" w:hAnsi="Arial" w:cs="Arial"/>
        </w:rPr>
      </w:pPr>
    </w:p>
    <w:p w14:paraId="6008CB32" w14:textId="1463013A" w:rsidR="00F53239" w:rsidRPr="007F1634" w:rsidRDefault="00F53239" w:rsidP="00F53239">
      <w:pPr>
        <w:jc w:val="both"/>
        <w:rPr>
          <w:rFonts w:ascii="Arial" w:hAnsi="Arial" w:cs="Arial"/>
        </w:rPr>
      </w:pPr>
      <w:r>
        <w:rPr>
          <w:rFonts w:ascii="Arial" w:hAnsi="Arial" w:cs="Arial"/>
        </w:rPr>
        <w:t>Organisations will be required to bid for both elements of the service</w:t>
      </w:r>
      <w:r w:rsidRPr="007F1634">
        <w:rPr>
          <w:rFonts w:ascii="Arial" w:hAnsi="Arial" w:cs="Arial"/>
        </w:rPr>
        <w:t>. The Council will welcome partnership bids, partic</w:t>
      </w:r>
      <w:r>
        <w:rPr>
          <w:rFonts w:ascii="Arial" w:hAnsi="Arial" w:cs="Arial"/>
        </w:rPr>
        <w:t xml:space="preserve">ularly those involving VCS </w:t>
      </w:r>
      <w:r w:rsidRPr="007F1634">
        <w:rPr>
          <w:rFonts w:ascii="Arial" w:hAnsi="Arial" w:cs="Arial"/>
        </w:rPr>
        <w:t>and specialist providers.</w:t>
      </w:r>
    </w:p>
    <w:p w14:paraId="7385E466" w14:textId="22C8BC82" w:rsidR="00F53239" w:rsidRDefault="00F53239">
      <w:pPr>
        <w:rPr>
          <w:rFonts w:ascii="Arial" w:hAnsi="Arial" w:cs="Arial"/>
          <w:b/>
          <w:color w:val="000000"/>
        </w:rPr>
      </w:pPr>
    </w:p>
    <w:p w14:paraId="4A07D62D" w14:textId="75A0F235" w:rsidR="00026D0E" w:rsidRDefault="005F3E3F" w:rsidP="00026D0E">
      <w:pPr>
        <w:pStyle w:val="Default"/>
        <w:jc w:val="both"/>
        <w:rPr>
          <w:b/>
        </w:rPr>
      </w:pPr>
      <w:r>
        <w:rPr>
          <w:b/>
        </w:rPr>
        <w:t>Current capacity and delivery</w:t>
      </w:r>
    </w:p>
    <w:p w14:paraId="3A78C9C6" w14:textId="77777777" w:rsidR="005F3E3F" w:rsidRDefault="005F3E3F" w:rsidP="00026D0E">
      <w:pPr>
        <w:pStyle w:val="Default"/>
        <w:jc w:val="both"/>
        <w:rPr>
          <w:b/>
        </w:rPr>
      </w:pPr>
    </w:p>
    <w:p w14:paraId="182A578C" w14:textId="035ADC4E" w:rsidR="00EC6E4E" w:rsidRPr="00EC6E4E" w:rsidRDefault="00EC6E4E" w:rsidP="00026D0E">
      <w:pPr>
        <w:pStyle w:val="Default"/>
        <w:jc w:val="both"/>
        <w:rPr>
          <w:b/>
        </w:rPr>
      </w:pPr>
      <w:r>
        <w:rPr>
          <w:b/>
        </w:rPr>
        <w:t>CSE:</w:t>
      </w:r>
    </w:p>
    <w:p w14:paraId="29B04DDF" w14:textId="77777777" w:rsidR="00026D0E" w:rsidRDefault="00026D0E" w:rsidP="00026D0E">
      <w:pPr>
        <w:pStyle w:val="Default"/>
        <w:jc w:val="both"/>
      </w:pPr>
    </w:p>
    <w:p w14:paraId="6BA82F76" w14:textId="77777777" w:rsidR="00026D0E" w:rsidRDefault="00026D0E" w:rsidP="00026D0E">
      <w:pPr>
        <w:pStyle w:val="Default"/>
        <w:jc w:val="both"/>
      </w:pPr>
      <w:r>
        <w:t>The current provider has achieved the following outputs for CSE delivery in 2016/17:</w:t>
      </w:r>
    </w:p>
    <w:p w14:paraId="2E31BEB3" w14:textId="77777777" w:rsidR="00026D0E" w:rsidRDefault="00026D0E" w:rsidP="00026D0E">
      <w:pPr>
        <w:pStyle w:val="Default"/>
        <w:jc w:val="both"/>
      </w:pPr>
    </w:p>
    <w:p w14:paraId="456DA42E" w14:textId="77777777" w:rsidR="00026D0E" w:rsidRDefault="00026D0E" w:rsidP="00026D0E">
      <w:pPr>
        <w:pStyle w:val="Default"/>
        <w:numPr>
          <w:ilvl w:val="0"/>
          <w:numId w:val="15"/>
        </w:numPr>
        <w:jc w:val="both"/>
      </w:pPr>
      <w:r>
        <w:lastRenderedPageBreak/>
        <w:t>One to one CSE support for 16 young people</w:t>
      </w:r>
    </w:p>
    <w:p w14:paraId="1A4059AC" w14:textId="77777777" w:rsidR="00026D0E" w:rsidRDefault="00026D0E" w:rsidP="00026D0E">
      <w:pPr>
        <w:pStyle w:val="Default"/>
        <w:numPr>
          <w:ilvl w:val="0"/>
          <w:numId w:val="15"/>
        </w:numPr>
        <w:jc w:val="both"/>
      </w:pPr>
      <w:r>
        <w:t>7 training sessions for the Camden workforce</w:t>
      </w:r>
    </w:p>
    <w:p w14:paraId="31BCD09C" w14:textId="77777777" w:rsidR="00026D0E" w:rsidRDefault="00026D0E" w:rsidP="00026D0E">
      <w:pPr>
        <w:pStyle w:val="Default"/>
        <w:numPr>
          <w:ilvl w:val="0"/>
          <w:numId w:val="15"/>
        </w:numPr>
        <w:jc w:val="both"/>
      </w:pPr>
      <w:r>
        <w:t>Attendance at MASE and CSCB subgroup regularly and strategy meetings when required</w:t>
      </w:r>
    </w:p>
    <w:p w14:paraId="339BC232" w14:textId="77777777" w:rsidR="00026D0E" w:rsidRDefault="00026D0E" w:rsidP="00026D0E">
      <w:pPr>
        <w:pStyle w:val="Default"/>
        <w:jc w:val="both"/>
      </w:pPr>
    </w:p>
    <w:p w14:paraId="7975C39D" w14:textId="55227E69" w:rsidR="00026D0E" w:rsidRPr="00EC6E4E" w:rsidRDefault="00026D0E" w:rsidP="00026D0E">
      <w:pPr>
        <w:pStyle w:val="Default"/>
        <w:jc w:val="both"/>
        <w:rPr>
          <w:b/>
        </w:rPr>
      </w:pPr>
      <w:r w:rsidRPr="00EC6E4E">
        <w:rPr>
          <w:b/>
        </w:rPr>
        <w:t>Missing / Return Home Interviews</w:t>
      </w:r>
    </w:p>
    <w:p w14:paraId="35DE5ADE" w14:textId="77777777" w:rsidR="00026D0E" w:rsidRDefault="00026D0E" w:rsidP="00026D0E">
      <w:pPr>
        <w:pStyle w:val="Default"/>
        <w:jc w:val="both"/>
      </w:pPr>
    </w:p>
    <w:p w14:paraId="2E50C1CE" w14:textId="77777777" w:rsidR="00026D0E" w:rsidRDefault="00026D0E" w:rsidP="00026D0E">
      <w:pPr>
        <w:pStyle w:val="Default"/>
        <w:jc w:val="both"/>
      </w:pPr>
      <w:r>
        <w:t>In 2014/15 and 2015/16, the following RHI’s were undertaken by the commissioned service.</w:t>
      </w:r>
    </w:p>
    <w:p w14:paraId="6B27B66D" w14:textId="77777777" w:rsidR="00026D0E" w:rsidRDefault="00026D0E" w:rsidP="00026D0E">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519"/>
        <w:gridCol w:w="1519"/>
        <w:gridCol w:w="1519"/>
        <w:gridCol w:w="1519"/>
        <w:gridCol w:w="1096"/>
      </w:tblGrid>
      <w:tr w:rsidR="00026D0E" w:rsidRPr="000D6808" w14:paraId="05238518" w14:textId="77777777" w:rsidTr="00754FED">
        <w:tc>
          <w:tcPr>
            <w:tcW w:w="1511" w:type="dxa"/>
            <w:shd w:val="clear" w:color="auto" w:fill="auto"/>
          </w:tcPr>
          <w:p w14:paraId="6D8E7572" w14:textId="77777777" w:rsidR="00026D0E" w:rsidRPr="000D6808" w:rsidRDefault="00026D0E" w:rsidP="00754FED">
            <w:pPr>
              <w:rPr>
                <w:rFonts w:ascii="Arial" w:hAnsi="Arial" w:cs="Arial"/>
              </w:rPr>
            </w:pPr>
            <w:r w:rsidRPr="000D6808">
              <w:rPr>
                <w:rFonts w:ascii="Arial" w:hAnsi="Arial" w:cs="Arial"/>
              </w:rPr>
              <w:t>YEAR</w:t>
            </w:r>
          </w:p>
        </w:tc>
        <w:tc>
          <w:tcPr>
            <w:tcW w:w="1716" w:type="dxa"/>
            <w:shd w:val="clear" w:color="auto" w:fill="auto"/>
          </w:tcPr>
          <w:p w14:paraId="0D3C8E61" w14:textId="77777777" w:rsidR="00026D0E" w:rsidRPr="000D6808" w:rsidRDefault="00026D0E" w:rsidP="00754FED">
            <w:pPr>
              <w:rPr>
                <w:rFonts w:ascii="Arial" w:hAnsi="Arial" w:cs="Arial"/>
              </w:rPr>
            </w:pPr>
            <w:r w:rsidRPr="000D6808">
              <w:rPr>
                <w:rFonts w:ascii="Arial" w:hAnsi="Arial" w:cs="Arial"/>
              </w:rPr>
              <w:t>QUARTER 1</w:t>
            </w:r>
          </w:p>
        </w:tc>
        <w:tc>
          <w:tcPr>
            <w:tcW w:w="1715" w:type="dxa"/>
            <w:shd w:val="clear" w:color="auto" w:fill="auto"/>
          </w:tcPr>
          <w:p w14:paraId="672ECB5E" w14:textId="77777777" w:rsidR="00026D0E" w:rsidRPr="000D6808" w:rsidRDefault="00026D0E" w:rsidP="00754FED">
            <w:pPr>
              <w:rPr>
                <w:rFonts w:ascii="Arial" w:hAnsi="Arial" w:cs="Arial"/>
              </w:rPr>
            </w:pPr>
            <w:r w:rsidRPr="000D6808">
              <w:rPr>
                <w:rFonts w:ascii="Arial" w:hAnsi="Arial" w:cs="Arial"/>
              </w:rPr>
              <w:t>QUARTER 2</w:t>
            </w:r>
          </w:p>
        </w:tc>
        <w:tc>
          <w:tcPr>
            <w:tcW w:w="1715" w:type="dxa"/>
            <w:shd w:val="clear" w:color="auto" w:fill="auto"/>
          </w:tcPr>
          <w:p w14:paraId="093CD4D4" w14:textId="77777777" w:rsidR="00026D0E" w:rsidRPr="000D6808" w:rsidRDefault="00026D0E" w:rsidP="00754FED">
            <w:pPr>
              <w:rPr>
                <w:rFonts w:ascii="Arial" w:hAnsi="Arial" w:cs="Arial"/>
              </w:rPr>
            </w:pPr>
            <w:r w:rsidRPr="000D6808">
              <w:rPr>
                <w:rFonts w:ascii="Arial" w:hAnsi="Arial" w:cs="Arial"/>
              </w:rPr>
              <w:t>QUARTER 3</w:t>
            </w:r>
          </w:p>
        </w:tc>
        <w:tc>
          <w:tcPr>
            <w:tcW w:w="1715" w:type="dxa"/>
            <w:shd w:val="clear" w:color="auto" w:fill="auto"/>
          </w:tcPr>
          <w:p w14:paraId="7DBD9045" w14:textId="77777777" w:rsidR="00026D0E" w:rsidRPr="000D6808" w:rsidRDefault="00026D0E" w:rsidP="00754FED">
            <w:pPr>
              <w:rPr>
                <w:rFonts w:ascii="Arial" w:hAnsi="Arial" w:cs="Arial"/>
              </w:rPr>
            </w:pPr>
            <w:r w:rsidRPr="000D6808">
              <w:rPr>
                <w:rFonts w:ascii="Arial" w:hAnsi="Arial" w:cs="Arial"/>
              </w:rPr>
              <w:t>QUARTER 4</w:t>
            </w:r>
          </w:p>
        </w:tc>
        <w:tc>
          <w:tcPr>
            <w:tcW w:w="1256" w:type="dxa"/>
            <w:shd w:val="clear" w:color="auto" w:fill="auto"/>
          </w:tcPr>
          <w:p w14:paraId="6C549D4D" w14:textId="77777777" w:rsidR="00026D0E" w:rsidRPr="000D6808" w:rsidRDefault="00026D0E" w:rsidP="00754FED">
            <w:pPr>
              <w:rPr>
                <w:rFonts w:ascii="Arial" w:hAnsi="Arial" w:cs="Arial"/>
              </w:rPr>
            </w:pPr>
            <w:r w:rsidRPr="000D6808">
              <w:rPr>
                <w:rFonts w:ascii="Arial" w:hAnsi="Arial" w:cs="Arial"/>
              </w:rPr>
              <w:t>TOTAL</w:t>
            </w:r>
          </w:p>
        </w:tc>
      </w:tr>
      <w:tr w:rsidR="00026D0E" w:rsidRPr="000D6808" w14:paraId="675AC594" w14:textId="77777777" w:rsidTr="00754FED">
        <w:tc>
          <w:tcPr>
            <w:tcW w:w="1511" w:type="dxa"/>
            <w:shd w:val="clear" w:color="auto" w:fill="auto"/>
          </w:tcPr>
          <w:p w14:paraId="3EB58F68" w14:textId="77777777" w:rsidR="00026D0E" w:rsidRPr="000D6808" w:rsidRDefault="00026D0E" w:rsidP="00754FED">
            <w:pPr>
              <w:rPr>
                <w:rFonts w:ascii="Arial" w:hAnsi="Arial" w:cs="Arial"/>
              </w:rPr>
            </w:pPr>
            <w:r w:rsidRPr="000D6808">
              <w:rPr>
                <w:rFonts w:ascii="Arial" w:hAnsi="Arial" w:cs="Arial"/>
              </w:rPr>
              <w:t>2014-15</w:t>
            </w:r>
          </w:p>
        </w:tc>
        <w:tc>
          <w:tcPr>
            <w:tcW w:w="1716" w:type="dxa"/>
            <w:shd w:val="clear" w:color="auto" w:fill="auto"/>
          </w:tcPr>
          <w:p w14:paraId="564B70A1" w14:textId="77777777" w:rsidR="00026D0E" w:rsidRPr="000D6808" w:rsidRDefault="00026D0E" w:rsidP="00754FED">
            <w:pPr>
              <w:rPr>
                <w:rFonts w:ascii="Arial" w:hAnsi="Arial" w:cs="Arial"/>
              </w:rPr>
            </w:pPr>
            <w:r w:rsidRPr="000D6808">
              <w:rPr>
                <w:rFonts w:ascii="Arial" w:hAnsi="Arial" w:cs="Arial"/>
              </w:rPr>
              <w:t>25</w:t>
            </w:r>
          </w:p>
        </w:tc>
        <w:tc>
          <w:tcPr>
            <w:tcW w:w="1715" w:type="dxa"/>
            <w:shd w:val="clear" w:color="auto" w:fill="auto"/>
          </w:tcPr>
          <w:p w14:paraId="272CC740" w14:textId="77777777" w:rsidR="00026D0E" w:rsidRPr="000D6808" w:rsidRDefault="00026D0E" w:rsidP="00754FED">
            <w:pPr>
              <w:rPr>
                <w:rFonts w:ascii="Arial" w:hAnsi="Arial" w:cs="Arial"/>
              </w:rPr>
            </w:pPr>
            <w:r w:rsidRPr="000D6808">
              <w:rPr>
                <w:rFonts w:ascii="Arial" w:hAnsi="Arial" w:cs="Arial"/>
              </w:rPr>
              <w:t>26</w:t>
            </w:r>
          </w:p>
        </w:tc>
        <w:tc>
          <w:tcPr>
            <w:tcW w:w="1715" w:type="dxa"/>
            <w:shd w:val="clear" w:color="auto" w:fill="auto"/>
          </w:tcPr>
          <w:p w14:paraId="7BE4B844" w14:textId="77777777" w:rsidR="00026D0E" w:rsidRPr="000D6808" w:rsidRDefault="00026D0E" w:rsidP="00754FED">
            <w:pPr>
              <w:rPr>
                <w:rFonts w:ascii="Arial" w:hAnsi="Arial" w:cs="Arial"/>
              </w:rPr>
            </w:pPr>
            <w:r w:rsidRPr="000D6808">
              <w:rPr>
                <w:rFonts w:ascii="Arial" w:hAnsi="Arial" w:cs="Arial"/>
              </w:rPr>
              <w:t>40</w:t>
            </w:r>
          </w:p>
        </w:tc>
        <w:tc>
          <w:tcPr>
            <w:tcW w:w="1715" w:type="dxa"/>
            <w:shd w:val="clear" w:color="auto" w:fill="auto"/>
          </w:tcPr>
          <w:p w14:paraId="107DF6A0" w14:textId="77777777" w:rsidR="00026D0E" w:rsidRPr="000D6808" w:rsidRDefault="00026D0E" w:rsidP="00754FED">
            <w:pPr>
              <w:rPr>
                <w:rFonts w:ascii="Arial" w:hAnsi="Arial" w:cs="Arial"/>
              </w:rPr>
            </w:pPr>
            <w:r w:rsidRPr="000D6808">
              <w:rPr>
                <w:rFonts w:ascii="Arial" w:hAnsi="Arial" w:cs="Arial"/>
              </w:rPr>
              <w:t>52</w:t>
            </w:r>
          </w:p>
        </w:tc>
        <w:tc>
          <w:tcPr>
            <w:tcW w:w="1256" w:type="dxa"/>
            <w:shd w:val="clear" w:color="auto" w:fill="auto"/>
          </w:tcPr>
          <w:p w14:paraId="4B6B1D95" w14:textId="77777777" w:rsidR="00026D0E" w:rsidRPr="000D6808" w:rsidRDefault="00026D0E" w:rsidP="00754FED">
            <w:pPr>
              <w:rPr>
                <w:rFonts w:ascii="Arial" w:hAnsi="Arial" w:cs="Arial"/>
              </w:rPr>
            </w:pPr>
            <w:r w:rsidRPr="000D6808">
              <w:rPr>
                <w:rFonts w:ascii="Arial" w:hAnsi="Arial" w:cs="Arial"/>
              </w:rPr>
              <w:t>143</w:t>
            </w:r>
          </w:p>
        </w:tc>
      </w:tr>
      <w:tr w:rsidR="00026D0E" w:rsidRPr="000D6808" w14:paraId="33C86FC1" w14:textId="77777777" w:rsidTr="00754FED">
        <w:tc>
          <w:tcPr>
            <w:tcW w:w="1511" w:type="dxa"/>
            <w:shd w:val="clear" w:color="auto" w:fill="auto"/>
          </w:tcPr>
          <w:p w14:paraId="205AA08D" w14:textId="77777777" w:rsidR="00026D0E" w:rsidRPr="000D6808" w:rsidRDefault="00026D0E" w:rsidP="00754FED">
            <w:pPr>
              <w:rPr>
                <w:rFonts w:ascii="Arial" w:hAnsi="Arial" w:cs="Arial"/>
              </w:rPr>
            </w:pPr>
            <w:r w:rsidRPr="000D6808">
              <w:rPr>
                <w:rFonts w:ascii="Arial" w:hAnsi="Arial" w:cs="Arial"/>
              </w:rPr>
              <w:t>2015-16</w:t>
            </w:r>
          </w:p>
        </w:tc>
        <w:tc>
          <w:tcPr>
            <w:tcW w:w="1716" w:type="dxa"/>
            <w:shd w:val="clear" w:color="auto" w:fill="auto"/>
          </w:tcPr>
          <w:p w14:paraId="4FCDF645" w14:textId="77777777" w:rsidR="00026D0E" w:rsidRPr="000D6808" w:rsidRDefault="00026D0E" w:rsidP="00754FED">
            <w:pPr>
              <w:rPr>
                <w:rFonts w:ascii="Arial" w:hAnsi="Arial" w:cs="Arial"/>
              </w:rPr>
            </w:pPr>
            <w:r w:rsidRPr="000D6808">
              <w:rPr>
                <w:rFonts w:ascii="Arial" w:hAnsi="Arial" w:cs="Arial"/>
              </w:rPr>
              <w:t>79</w:t>
            </w:r>
          </w:p>
        </w:tc>
        <w:tc>
          <w:tcPr>
            <w:tcW w:w="1715" w:type="dxa"/>
            <w:shd w:val="clear" w:color="auto" w:fill="auto"/>
          </w:tcPr>
          <w:p w14:paraId="2B6DA5FC" w14:textId="77777777" w:rsidR="00026D0E" w:rsidRPr="000D6808" w:rsidRDefault="00026D0E" w:rsidP="00754FED">
            <w:pPr>
              <w:rPr>
                <w:rFonts w:ascii="Arial" w:hAnsi="Arial" w:cs="Arial"/>
              </w:rPr>
            </w:pPr>
            <w:r w:rsidRPr="000D6808">
              <w:rPr>
                <w:rFonts w:ascii="Arial" w:hAnsi="Arial" w:cs="Arial"/>
              </w:rPr>
              <w:t>60</w:t>
            </w:r>
          </w:p>
        </w:tc>
        <w:tc>
          <w:tcPr>
            <w:tcW w:w="1715" w:type="dxa"/>
            <w:shd w:val="clear" w:color="auto" w:fill="auto"/>
          </w:tcPr>
          <w:p w14:paraId="2885841F" w14:textId="77777777" w:rsidR="00026D0E" w:rsidRPr="000D6808" w:rsidRDefault="00026D0E" w:rsidP="00754FED">
            <w:pPr>
              <w:rPr>
                <w:rFonts w:ascii="Arial" w:hAnsi="Arial" w:cs="Arial"/>
              </w:rPr>
            </w:pPr>
            <w:r w:rsidRPr="000D6808">
              <w:rPr>
                <w:rFonts w:ascii="Arial" w:hAnsi="Arial" w:cs="Arial"/>
              </w:rPr>
              <w:t>48</w:t>
            </w:r>
          </w:p>
        </w:tc>
        <w:tc>
          <w:tcPr>
            <w:tcW w:w="1715" w:type="dxa"/>
            <w:shd w:val="clear" w:color="auto" w:fill="auto"/>
          </w:tcPr>
          <w:p w14:paraId="252A6F5B" w14:textId="77777777" w:rsidR="00026D0E" w:rsidRPr="000D6808" w:rsidRDefault="00026D0E" w:rsidP="00754FED">
            <w:pPr>
              <w:rPr>
                <w:rFonts w:ascii="Arial" w:hAnsi="Arial" w:cs="Arial"/>
              </w:rPr>
            </w:pPr>
            <w:r w:rsidRPr="000D6808">
              <w:rPr>
                <w:rFonts w:ascii="Arial" w:hAnsi="Arial" w:cs="Arial"/>
              </w:rPr>
              <w:t>51</w:t>
            </w:r>
          </w:p>
        </w:tc>
        <w:tc>
          <w:tcPr>
            <w:tcW w:w="1256" w:type="dxa"/>
            <w:shd w:val="clear" w:color="auto" w:fill="auto"/>
          </w:tcPr>
          <w:p w14:paraId="67FEC495" w14:textId="77777777" w:rsidR="00026D0E" w:rsidRPr="000D6808" w:rsidRDefault="00026D0E" w:rsidP="00754FED">
            <w:pPr>
              <w:rPr>
                <w:rFonts w:ascii="Arial" w:hAnsi="Arial" w:cs="Arial"/>
              </w:rPr>
            </w:pPr>
            <w:r w:rsidRPr="000D6808">
              <w:rPr>
                <w:rFonts w:ascii="Arial" w:hAnsi="Arial" w:cs="Arial"/>
              </w:rPr>
              <w:t>238</w:t>
            </w:r>
          </w:p>
        </w:tc>
      </w:tr>
    </w:tbl>
    <w:p w14:paraId="2B7420F9" w14:textId="77777777" w:rsidR="00026D0E" w:rsidRDefault="00026D0E" w:rsidP="00026D0E">
      <w:pPr>
        <w:pStyle w:val="Default"/>
        <w:jc w:val="both"/>
      </w:pPr>
    </w:p>
    <w:p w14:paraId="2121AC7A" w14:textId="56A5916A" w:rsidR="000E4CB3" w:rsidRDefault="000E4CB3" w:rsidP="00026D0E">
      <w:pPr>
        <w:pStyle w:val="Default"/>
        <w:jc w:val="both"/>
      </w:pPr>
      <w:r>
        <w:t xml:space="preserve">In 2016/17, the provider undertook Return Home interviews for 62% of all the children reported missing over the year. </w:t>
      </w:r>
    </w:p>
    <w:p w14:paraId="0D791369" w14:textId="059E2D85" w:rsidR="002F1BAE" w:rsidRDefault="002F1BAE" w:rsidP="00026D0E">
      <w:pPr>
        <w:pStyle w:val="Default"/>
        <w:jc w:val="both"/>
      </w:pPr>
    </w:p>
    <w:p w14:paraId="3D20CFE5" w14:textId="77777777" w:rsidR="002F1BAE" w:rsidRPr="00FB1683" w:rsidRDefault="002F1BAE" w:rsidP="002F1BAE">
      <w:pPr>
        <w:spacing w:after="120"/>
        <w:jc w:val="both"/>
        <w:rPr>
          <w:rFonts w:ascii="Arial" w:hAnsi="Arial" w:cs="Arial"/>
          <w:b/>
        </w:rPr>
      </w:pPr>
      <w:r w:rsidRPr="00FB1683">
        <w:rPr>
          <w:rFonts w:ascii="Arial" w:hAnsi="Arial" w:cs="Arial"/>
          <w:b/>
        </w:rPr>
        <w:t>Statutory Information and Guidance</w:t>
      </w:r>
    </w:p>
    <w:p w14:paraId="64865CC7" w14:textId="0CE429D4" w:rsidR="002F1BAE" w:rsidRDefault="002F1BAE" w:rsidP="00026D0E">
      <w:pPr>
        <w:pStyle w:val="Default"/>
        <w:jc w:val="both"/>
      </w:pPr>
    </w:p>
    <w:p w14:paraId="577A9B7F" w14:textId="5BD5C4BE" w:rsidR="002F1BAE" w:rsidRDefault="002F1BAE" w:rsidP="002F1BAE">
      <w:pPr>
        <w:spacing w:after="120"/>
        <w:jc w:val="both"/>
        <w:rPr>
          <w:rFonts w:ascii="Arial" w:hAnsi="Arial" w:cs="Arial"/>
        </w:rPr>
      </w:pPr>
      <w:r w:rsidRPr="00E918BE">
        <w:rPr>
          <w:rFonts w:ascii="Arial" w:hAnsi="Arial" w:cs="Arial"/>
        </w:rPr>
        <w:t>The service will help the Council meet its statutory duties under the Children Act.</w:t>
      </w:r>
    </w:p>
    <w:p w14:paraId="7B0E4D18" w14:textId="77777777" w:rsidR="002F1BAE" w:rsidRDefault="002F1BAE" w:rsidP="002F1BAE">
      <w:pPr>
        <w:pStyle w:val="ListParagraph"/>
        <w:widowControl w:val="0"/>
        <w:spacing w:before="120" w:after="120" w:line="276" w:lineRule="auto"/>
        <w:ind w:left="0"/>
        <w:contextualSpacing/>
        <w:jc w:val="both"/>
        <w:outlineLvl w:val="1"/>
        <w:rPr>
          <w:rFonts w:ascii="Arial" w:hAnsi="Arial" w:cs="Arial"/>
          <w:iCs/>
          <w:kern w:val="32"/>
          <w:szCs w:val="28"/>
        </w:rPr>
      </w:pPr>
      <w:r w:rsidRPr="0044072E">
        <w:rPr>
          <w:rFonts w:ascii="Arial" w:hAnsi="Arial" w:cs="Arial"/>
          <w:iCs/>
          <w:kern w:val="32"/>
          <w:szCs w:val="28"/>
        </w:rPr>
        <w:t>Section 13 of the Children Act 2004 requires local authorities and other named statutory partners to make arrangements to ensure that their functions are discharged with a view to safeguarding and promoting the welfare of children. This includes planning to prevent children from going missing and to protect them when they do.</w:t>
      </w:r>
    </w:p>
    <w:p w14:paraId="6EB08C56" w14:textId="77777777" w:rsidR="002F1BAE" w:rsidRDefault="002F1BAE" w:rsidP="002F1BAE">
      <w:pPr>
        <w:pStyle w:val="ListParagraph"/>
        <w:widowControl w:val="0"/>
        <w:spacing w:before="120" w:after="120" w:line="276" w:lineRule="auto"/>
        <w:ind w:left="0"/>
        <w:contextualSpacing/>
        <w:jc w:val="both"/>
        <w:outlineLvl w:val="1"/>
        <w:rPr>
          <w:rFonts w:ascii="Arial" w:hAnsi="Arial" w:cs="Arial"/>
          <w:iCs/>
          <w:kern w:val="32"/>
          <w:szCs w:val="28"/>
        </w:rPr>
      </w:pPr>
    </w:p>
    <w:p w14:paraId="0604B628" w14:textId="2D165461" w:rsidR="002F1BAE" w:rsidRPr="00B173CE" w:rsidRDefault="00F94B40" w:rsidP="002F1BAE">
      <w:pPr>
        <w:pStyle w:val="ListParagraph"/>
        <w:widowControl w:val="0"/>
        <w:spacing w:before="120" w:after="120" w:line="276" w:lineRule="auto"/>
        <w:ind w:left="0"/>
        <w:contextualSpacing/>
        <w:jc w:val="both"/>
        <w:outlineLvl w:val="1"/>
        <w:rPr>
          <w:rFonts w:ascii="Arial" w:hAnsi="Arial" w:cs="Tahoma"/>
        </w:rPr>
      </w:pPr>
      <w:r>
        <w:rPr>
          <w:rFonts w:ascii="Arial" w:hAnsi="Arial" w:cs="Tahoma"/>
        </w:rPr>
        <w:t xml:space="preserve">Home Office guidance, in line with recommendations from the Home Office Select Committee </w:t>
      </w:r>
      <w:r w:rsidR="002F1BAE" w:rsidRPr="00B173CE">
        <w:rPr>
          <w:rFonts w:ascii="Arial" w:hAnsi="Arial" w:cs="Tahoma"/>
        </w:rPr>
        <w:t>states that:</w:t>
      </w:r>
    </w:p>
    <w:p w14:paraId="7DCCDA32" w14:textId="77777777" w:rsidR="002F1BAE" w:rsidRDefault="002F1BAE" w:rsidP="002F1BAE">
      <w:pPr>
        <w:pStyle w:val="ListParagraph"/>
        <w:widowControl w:val="0"/>
        <w:spacing w:before="120" w:after="120" w:line="276" w:lineRule="auto"/>
        <w:ind w:left="0"/>
        <w:contextualSpacing/>
        <w:jc w:val="both"/>
        <w:outlineLvl w:val="1"/>
        <w:rPr>
          <w:rFonts w:ascii="Arial" w:hAnsi="Arial" w:cs="Tahoma"/>
          <w:color w:val="FF0000"/>
        </w:rPr>
      </w:pPr>
    </w:p>
    <w:p w14:paraId="36DB9CD0" w14:textId="7894CC15" w:rsidR="002F1BAE" w:rsidRPr="005F3E3F" w:rsidRDefault="002F1BAE" w:rsidP="002F1BAE">
      <w:pPr>
        <w:pStyle w:val="ListParagraph"/>
        <w:widowControl w:val="0"/>
        <w:spacing w:before="120" w:after="120" w:line="276" w:lineRule="auto"/>
        <w:ind w:left="0"/>
        <w:contextualSpacing/>
        <w:jc w:val="both"/>
        <w:outlineLvl w:val="1"/>
        <w:rPr>
          <w:rFonts w:ascii="Arial" w:hAnsi="Arial" w:cs="Arial"/>
          <w:b/>
          <w:i/>
          <w:iCs/>
          <w:kern w:val="32"/>
          <w:szCs w:val="28"/>
        </w:rPr>
      </w:pPr>
      <w:r w:rsidRPr="005F3E3F">
        <w:rPr>
          <w:rFonts w:ascii="Arial" w:hAnsi="Arial" w:cs="Tahoma"/>
          <w:b/>
          <w:i/>
        </w:rPr>
        <w:t>All missing children w</w:t>
      </w:r>
      <w:r w:rsidR="00F94B40" w:rsidRPr="005F3E3F">
        <w:rPr>
          <w:rFonts w:ascii="Arial" w:hAnsi="Arial" w:cs="Tahoma"/>
          <w:b/>
          <w:i/>
        </w:rPr>
        <w:t>ill have</w:t>
      </w:r>
      <w:r w:rsidRPr="005F3E3F">
        <w:rPr>
          <w:rFonts w:ascii="Arial" w:hAnsi="Arial" w:cs="Tahoma"/>
          <w:b/>
          <w:i/>
        </w:rPr>
        <w:t xml:space="preserve"> an independent return </w:t>
      </w:r>
      <w:r w:rsidR="00F94B40" w:rsidRPr="005F3E3F">
        <w:rPr>
          <w:rFonts w:ascii="Arial" w:hAnsi="Arial" w:cs="Tahoma"/>
          <w:b/>
          <w:i/>
        </w:rPr>
        <w:t xml:space="preserve">home </w:t>
      </w:r>
      <w:r w:rsidRPr="005F3E3F">
        <w:rPr>
          <w:rFonts w:ascii="Arial" w:hAnsi="Arial" w:cs="Tahoma"/>
          <w:b/>
          <w:i/>
        </w:rPr>
        <w:t>interview within 72 hours of their return.</w:t>
      </w:r>
    </w:p>
    <w:p w14:paraId="44F1DE10" w14:textId="4955E606" w:rsidR="00D06FD6" w:rsidRPr="00026D0E" w:rsidRDefault="005F3E3F" w:rsidP="002A0C66">
      <w:pPr>
        <w:jc w:val="both"/>
        <w:rPr>
          <w:rFonts w:ascii="Arial" w:hAnsi="Arial" w:cs="Arial"/>
          <w:b/>
        </w:rPr>
      </w:pPr>
      <w:r>
        <w:rPr>
          <w:rFonts w:ascii="Arial" w:hAnsi="Arial" w:cs="Arial"/>
          <w:b/>
        </w:rPr>
        <w:t>Other local developments</w:t>
      </w:r>
    </w:p>
    <w:p w14:paraId="06C035E3" w14:textId="7F6657CB" w:rsidR="00C03CEA" w:rsidRDefault="00C03CEA" w:rsidP="00EA3D91">
      <w:pPr>
        <w:spacing w:before="120"/>
        <w:rPr>
          <w:rFonts w:ascii="Arial" w:hAnsi="Arial" w:cs="Arial"/>
          <w:lang w:eastAsia="en-US"/>
        </w:rPr>
      </w:pPr>
      <w:r w:rsidRPr="00115A4B">
        <w:rPr>
          <w:rFonts w:ascii="Arial" w:hAnsi="Arial" w:cs="Arial"/>
          <w:lang w:eastAsia="en-US"/>
        </w:rPr>
        <w:t xml:space="preserve">The Child House pilot for victims of Child Sexual Abuse and CSE will be established in North Central London and based in Camden. </w:t>
      </w:r>
    </w:p>
    <w:p w14:paraId="14430694" w14:textId="77777777" w:rsidR="005F3E3F" w:rsidRPr="00115A4B" w:rsidRDefault="005F3E3F" w:rsidP="00EA3D91">
      <w:pPr>
        <w:spacing w:before="120"/>
        <w:rPr>
          <w:rFonts w:ascii="Arial" w:hAnsi="Arial" w:cs="Arial"/>
          <w:lang w:eastAsia="en-US"/>
        </w:rPr>
      </w:pPr>
    </w:p>
    <w:p w14:paraId="16E0089A" w14:textId="77777777" w:rsidR="00C03CEA" w:rsidRDefault="00C03CEA" w:rsidP="00C03CEA">
      <w:pPr>
        <w:jc w:val="both"/>
        <w:rPr>
          <w:rFonts w:ascii="Arial" w:hAnsi="Arial" w:cs="Arial"/>
        </w:rPr>
      </w:pPr>
      <w:r w:rsidRPr="00115A4B">
        <w:rPr>
          <w:rFonts w:ascii="Arial" w:hAnsi="Arial" w:cs="Arial"/>
          <w:lang w:eastAsia="en-US"/>
        </w:rPr>
        <w:t>There will clearly be strong links and pathways that will need to be established between the Child House and the CSE and Missing service.</w:t>
      </w:r>
      <w:r w:rsidR="00026D0E">
        <w:rPr>
          <w:rFonts w:ascii="Arial" w:hAnsi="Arial" w:cs="Arial"/>
          <w:lang w:eastAsia="en-US"/>
        </w:rPr>
        <w:t xml:space="preserve"> These links will need to be considered as part of any bid to deliver services and further information on the Child House will made provided to interested organisations when available.</w:t>
      </w:r>
    </w:p>
    <w:p w14:paraId="2BB6CC32" w14:textId="77777777" w:rsidR="00D06FD6" w:rsidRDefault="00D06FD6" w:rsidP="002A0C66">
      <w:pPr>
        <w:jc w:val="both"/>
        <w:rPr>
          <w:rFonts w:ascii="Arial" w:hAnsi="Arial" w:cs="Arial"/>
        </w:rPr>
      </w:pPr>
    </w:p>
    <w:p w14:paraId="6EF9DAAF" w14:textId="77777777" w:rsidR="002A0C66" w:rsidRPr="007F1634" w:rsidRDefault="002A0C66" w:rsidP="002A0C66">
      <w:pPr>
        <w:jc w:val="both"/>
        <w:rPr>
          <w:rFonts w:ascii="Arial" w:hAnsi="Arial" w:cs="Arial"/>
        </w:rPr>
      </w:pPr>
    </w:p>
    <w:p w14:paraId="7D119184" w14:textId="01F15106" w:rsidR="002A0C66" w:rsidRPr="00EA3D91" w:rsidRDefault="002A0C66" w:rsidP="002A0C66">
      <w:pPr>
        <w:jc w:val="both"/>
        <w:rPr>
          <w:rFonts w:ascii="Arial" w:hAnsi="Arial" w:cs="Arial"/>
          <w:b/>
        </w:rPr>
      </w:pPr>
    </w:p>
    <w:p w14:paraId="260862BA" w14:textId="77777777" w:rsidR="002A0C66" w:rsidRPr="007F1634" w:rsidRDefault="002A0C66" w:rsidP="002A0C66">
      <w:pPr>
        <w:jc w:val="both"/>
        <w:rPr>
          <w:rFonts w:ascii="Arial" w:hAnsi="Arial" w:cs="Arial"/>
        </w:rPr>
      </w:pPr>
      <w:r w:rsidRPr="007F1634">
        <w:rPr>
          <w:rFonts w:ascii="Arial" w:hAnsi="Arial" w:cs="Arial"/>
        </w:rPr>
        <w:lastRenderedPageBreak/>
        <w:t>We would like to receive feedback on the following areas and any other comments that you may have. Organisations will have the opportunity to ask questions on the specifications once the procurement process is underway.</w:t>
      </w:r>
    </w:p>
    <w:p w14:paraId="2AC03118" w14:textId="77777777" w:rsidR="002A0C66" w:rsidRDefault="002A0C66" w:rsidP="002A0C66">
      <w:pPr>
        <w:rPr>
          <w:rFonts w:ascii="Arial" w:hAnsi="Arial" w:cs="Arial"/>
          <w:b/>
          <w:u w:val="single"/>
        </w:rPr>
      </w:pPr>
    </w:p>
    <w:p w14:paraId="2A28300D" w14:textId="77777777" w:rsidR="002A0C66" w:rsidRPr="00997FAA" w:rsidRDefault="002A0C66" w:rsidP="002A0C66">
      <w:pPr>
        <w:rPr>
          <w:rFonts w:ascii="Arial" w:hAnsi="Arial" w:cs="Arial"/>
          <w:b/>
        </w:rPr>
      </w:pPr>
      <w:r w:rsidRPr="00860357">
        <w:rPr>
          <w:rFonts w:ascii="Arial" w:hAnsi="Arial" w:cs="Arial"/>
          <w:b/>
          <w:u w:val="single"/>
        </w:rPr>
        <w:t>QUESTIONS</w:t>
      </w:r>
    </w:p>
    <w:p w14:paraId="62C81D64" w14:textId="77777777" w:rsidR="002A0C66" w:rsidRDefault="002A0C66" w:rsidP="002A0C66">
      <w:pPr>
        <w:rPr>
          <w:rFonts w:ascii="Arial" w:hAnsi="Arial" w:cs="Arial"/>
        </w:rPr>
      </w:pPr>
    </w:p>
    <w:p w14:paraId="321C67C9" w14:textId="77777777" w:rsidR="002A0C66" w:rsidRPr="007F1634" w:rsidRDefault="002A0C66" w:rsidP="002A0C6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A0C66" w:rsidRPr="007F1634" w14:paraId="6ACDB6C1" w14:textId="77777777" w:rsidTr="00C97492">
        <w:tc>
          <w:tcPr>
            <w:tcW w:w="8522" w:type="dxa"/>
            <w:shd w:val="clear" w:color="auto" w:fill="FABF8F"/>
          </w:tcPr>
          <w:p w14:paraId="06C6576D" w14:textId="39B9370C" w:rsidR="002A0C66" w:rsidRDefault="00607D03" w:rsidP="002A0C66">
            <w:pPr>
              <w:numPr>
                <w:ilvl w:val="0"/>
                <w:numId w:val="3"/>
              </w:numPr>
              <w:tabs>
                <w:tab w:val="clear" w:pos="720"/>
                <w:tab w:val="num" w:pos="360"/>
                <w:tab w:val="num" w:pos="644"/>
              </w:tabs>
              <w:ind w:left="644" w:hanging="720"/>
              <w:jc w:val="both"/>
              <w:rPr>
                <w:rFonts w:ascii="Arial" w:hAnsi="Arial" w:cs="Arial"/>
              </w:rPr>
            </w:pPr>
            <w:r>
              <w:rPr>
                <w:rFonts w:ascii="Arial" w:hAnsi="Arial" w:cs="Arial"/>
              </w:rPr>
              <w:t xml:space="preserve">What is your </w:t>
            </w:r>
            <w:r w:rsidR="002A0C66" w:rsidRPr="007F1634">
              <w:rPr>
                <w:rFonts w:ascii="Arial" w:hAnsi="Arial" w:cs="Arial"/>
              </w:rPr>
              <w:t>level of interest in bidding f</w:t>
            </w:r>
            <w:r w:rsidR="00B24A64">
              <w:rPr>
                <w:rFonts w:ascii="Arial" w:hAnsi="Arial" w:cs="Arial"/>
              </w:rPr>
              <w:t>or this service?</w:t>
            </w:r>
          </w:p>
          <w:p w14:paraId="02149611" w14:textId="77777777" w:rsidR="002A0C66" w:rsidRPr="007F1634" w:rsidRDefault="002A0C66" w:rsidP="00C97492">
            <w:pPr>
              <w:ind w:left="720"/>
              <w:jc w:val="both"/>
              <w:rPr>
                <w:rFonts w:ascii="Arial" w:hAnsi="Arial" w:cs="Arial"/>
              </w:rPr>
            </w:pPr>
            <w:r>
              <w:rPr>
                <w:rFonts w:ascii="Arial" w:hAnsi="Arial" w:cs="Arial"/>
              </w:rPr>
              <w:t xml:space="preserve"> </w:t>
            </w:r>
          </w:p>
        </w:tc>
      </w:tr>
      <w:tr w:rsidR="002A0C66" w:rsidRPr="007F1634" w14:paraId="54DE76BB" w14:textId="77777777" w:rsidTr="00C97492">
        <w:tc>
          <w:tcPr>
            <w:tcW w:w="8522" w:type="dxa"/>
            <w:tcBorders>
              <w:bottom w:val="single" w:sz="4" w:space="0" w:color="auto"/>
            </w:tcBorders>
            <w:shd w:val="clear" w:color="auto" w:fill="auto"/>
          </w:tcPr>
          <w:p w14:paraId="70E90D3D" w14:textId="77777777" w:rsidR="002A0C66" w:rsidRPr="007F1634" w:rsidRDefault="002A0C66" w:rsidP="00C97492">
            <w:pPr>
              <w:rPr>
                <w:rFonts w:ascii="Arial" w:hAnsi="Arial" w:cs="Arial"/>
              </w:rPr>
            </w:pPr>
          </w:p>
          <w:p w14:paraId="14E7354A" w14:textId="77777777" w:rsidR="002A0C66" w:rsidRDefault="002A0C66" w:rsidP="00C97492">
            <w:pPr>
              <w:rPr>
                <w:rFonts w:ascii="Arial" w:hAnsi="Arial" w:cs="Arial"/>
              </w:rPr>
            </w:pPr>
          </w:p>
          <w:p w14:paraId="04F40990" w14:textId="77777777" w:rsidR="002A0C66" w:rsidRDefault="002A0C66" w:rsidP="00C97492">
            <w:pPr>
              <w:rPr>
                <w:rFonts w:ascii="Arial" w:hAnsi="Arial" w:cs="Arial"/>
              </w:rPr>
            </w:pPr>
          </w:p>
          <w:p w14:paraId="211F9D33" w14:textId="77777777" w:rsidR="002A0C66" w:rsidRPr="007F1634" w:rsidRDefault="002A0C66" w:rsidP="00C97492">
            <w:pPr>
              <w:rPr>
                <w:rFonts w:ascii="Arial" w:hAnsi="Arial" w:cs="Arial"/>
              </w:rPr>
            </w:pPr>
          </w:p>
        </w:tc>
      </w:tr>
      <w:tr w:rsidR="00607D03" w:rsidRPr="007F1634" w14:paraId="1DBFC079" w14:textId="77777777" w:rsidTr="00C97492">
        <w:tc>
          <w:tcPr>
            <w:tcW w:w="8522" w:type="dxa"/>
            <w:shd w:val="clear" w:color="auto" w:fill="FABF8F"/>
          </w:tcPr>
          <w:p w14:paraId="7693C37E" w14:textId="77777777" w:rsidR="00607D03" w:rsidRPr="007F1634" w:rsidRDefault="00607D03" w:rsidP="002A0C66">
            <w:pPr>
              <w:numPr>
                <w:ilvl w:val="0"/>
                <w:numId w:val="3"/>
              </w:numPr>
              <w:tabs>
                <w:tab w:val="clear" w:pos="720"/>
                <w:tab w:val="num" w:pos="360"/>
                <w:tab w:val="num" w:pos="644"/>
              </w:tabs>
              <w:ind w:left="360"/>
              <w:rPr>
                <w:rFonts w:ascii="Arial" w:hAnsi="Arial" w:cs="Arial"/>
              </w:rPr>
            </w:pPr>
            <w:r>
              <w:rPr>
                <w:rFonts w:ascii="Arial" w:hAnsi="Arial" w:cs="Arial"/>
              </w:rPr>
              <w:t>Do you have experience of delivering</w:t>
            </w:r>
            <w:r w:rsidRPr="00F21739">
              <w:rPr>
                <w:rFonts w:ascii="Arial" w:hAnsi="Arial" w:cs="Arial"/>
              </w:rPr>
              <w:t xml:space="preserve"> </w:t>
            </w:r>
            <w:r>
              <w:rPr>
                <w:rFonts w:ascii="Arial" w:hAnsi="Arial" w:cs="Arial"/>
              </w:rPr>
              <w:t xml:space="preserve">CSE support or return home interview services?  If so, please give further details  </w:t>
            </w:r>
          </w:p>
        </w:tc>
      </w:tr>
      <w:tr w:rsidR="00607D03" w:rsidRPr="007F1634" w14:paraId="33A759E7" w14:textId="77777777" w:rsidTr="0007123D">
        <w:tc>
          <w:tcPr>
            <w:tcW w:w="8522" w:type="dxa"/>
            <w:shd w:val="clear" w:color="auto" w:fill="auto"/>
          </w:tcPr>
          <w:p w14:paraId="604793A2" w14:textId="77777777" w:rsidR="00607D03" w:rsidRDefault="00607D03" w:rsidP="005F2B45">
            <w:pPr>
              <w:tabs>
                <w:tab w:val="num" w:pos="720"/>
              </w:tabs>
              <w:ind w:left="360"/>
              <w:rPr>
                <w:rFonts w:ascii="Arial" w:hAnsi="Arial" w:cs="Arial"/>
              </w:rPr>
            </w:pPr>
          </w:p>
          <w:p w14:paraId="34F7981A" w14:textId="6A600ABE" w:rsidR="00607D03" w:rsidRDefault="00607D03" w:rsidP="005F2B45">
            <w:pPr>
              <w:tabs>
                <w:tab w:val="num" w:pos="720"/>
              </w:tabs>
              <w:ind w:left="360"/>
              <w:rPr>
                <w:rFonts w:ascii="Arial" w:hAnsi="Arial" w:cs="Arial"/>
              </w:rPr>
            </w:pPr>
          </w:p>
          <w:p w14:paraId="018916F5" w14:textId="77777777" w:rsidR="005F3E3F" w:rsidRDefault="005F3E3F" w:rsidP="005F2B45">
            <w:pPr>
              <w:tabs>
                <w:tab w:val="num" w:pos="720"/>
              </w:tabs>
              <w:ind w:left="360"/>
              <w:rPr>
                <w:rFonts w:ascii="Arial" w:hAnsi="Arial" w:cs="Arial"/>
              </w:rPr>
            </w:pPr>
          </w:p>
          <w:p w14:paraId="1992E6A7" w14:textId="77777777" w:rsidR="00607D03" w:rsidRDefault="00607D03" w:rsidP="005F2B45">
            <w:pPr>
              <w:tabs>
                <w:tab w:val="num" w:pos="720"/>
              </w:tabs>
              <w:ind w:left="360"/>
              <w:rPr>
                <w:rFonts w:ascii="Arial" w:hAnsi="Arial" w:cs="Arial"/>
              </w:rPr>
            </w:pPr>
          </w:p>
        </w:tc>
      </w:tr>
      <w:tr w:rsidR="00607D03" w:rsidRPr="007F1634" w14:paraId="083A8B04" w14:textId="77777777" w:rsidTr="00C97492">
        <w:tc>
          <w:tcPr>
            <w:tcW w:w="8522" w:type="dxa"/>
            <w:shd w:val="clear" w:color="auto" w:fill="FABF8F"/>
          </w:tcPr>
          <w:p w14:paraId="3630C677" w14:textId="77777777" w:rsidR="00607D03" w:rsidRPr="007F1634" w:rsidRDefault="00607D03" w:rsidP="002A0C66">
            <w:pPr>
              <w:numPr>
                <w:ilvl w:val="0"/>
                <w:numId w:val="3"/>
              </w:numPr>
              <w:tabs>
                <w:tab w:val="clear" w:pos="720"/>
                <w:tab w:val="num" w:pos="360"/>
                <w:tab w:val="num" w:pos="644"/>
              </w:tabs>
              <w:ind w:left="360"/>
              <w:rPr>
                <w:rFonts w:ascii="Arial" w:hAnsi="Arial" w:cs="Arial"/>
              </w:rPr>
            </w:pPr>
            <w:r w:rsidRPr="007F1634">
              <w:rPr>
                <w:rFonts w:ascii="Arial" w:hAnsi="Arial" w:cs="Arial"/>
              </w:rPr>
              <w:t>What would you see as the key delivery challeng</w:t>
            </w:r>
            <w:r>
              <w:rPr>
                <w:rFonts w:ascii="Arial" w:hAnsi="Arial" w:cs="Arial"/>
              </w:rPr>
              <w:t>es for this service?</w:t>
            </w:r>
          </w:p>
        </w:tc>
      </w:tr>
      <w:tr w:rsidR="002A0C66" w:rsidRPr="007F1634" w14:paraId="3B02A732" w14:textId="77777777" w:rsidTr="00C97492">
        <w:tc>
          <w:tcPr>
            <w:tcW w:w="8522" w:type="dxa"/>
            <w:tcBorders>
              <w:bottom w:val="single" w:sz="4" w:space="0" w:color="auto"/>
            </w:tcBorders>
            <w:shd w:val="clear" w:color="auto" w:fill="auto"/>
          </w:tcPr>
          <w:p w14:paraId="48F3CC61" w14:textId="77777777" w:rsidR="002A0C66" w:rsidRPr="007F1634" w:rsidRDefault="002A0C66" w:rsidP="00C97492">
            <w:pPr>
              <w:rPr>
                <w:rFonts w:ascii="Arial" w:hAnsi="Arial" w:cs="Arial"/>
              </w:rPr>
            </w:pPr>
          </w:p>
          <w:p w14:paraId="0B360878" w14:textId="77777777" w:rsidR="002A0C66" w:rsidRDefault="002A0C66" w:rsidP="00C97492">
            <w:pPr>
              <w:rPr>
                <w:rFonts w:ascii="Arial" w:hAnsi="Arial" w:cs="Arial"/>
              </w:rPr>
            </w:pPr>
          </w:p>
          <w:p w14:paraId="32EF9A5E" w14:textId="77777777" w:rsidR="002A0C66" w:rsidRDefault="002A0C66" w:rsidP="00C97492">
            <w:pPr>
              <w:rPr>
                <w:rFonts w:ascii="Arial" w:hAnsi="Arial" w:cs="Arial"/>
              </w:rPr>
            </w:pPr>
          </w:p>
          <w:p w14:paraId="2D01D986" w14:textId="77777777" w:rsidR="002A0C66" w:rsidRPr="007F1634" w:rsidRDefault="002A0C66" w:rsidP="00C97492">
            <w:pPr>
              <w:rPr>
                <w:rFonts w:ascii="Arial" w:hAnsi="Arial" w:cs="Arial"/>
              </w:rPr>
            </w:pPr>
          </w:p>
        </w:tc>
      </w:tr>
      <w:tr w:rsidR="00026D0E" w:rsidRPr="007F1634" w14:paraId="5A9BE6A1" w14:textId="77777777" w:rsidTr="00754FED">
        <w:tc>
          <w:tcPr>
            <w:tcW w:w="8522" w:type="dxa"/>
            <w:tcBorders>
              <w:bottom w:val="single" w:sz="4" w:space="0" w:color="auto"/>
            </w:tcBorders>
            <w:shd w:val="clear" w:color="auto" w:fill="F4B083"/>
          </w:tcPr>
          <w:p w14:paraId="6FD507DF" w14:textId="77777777" w:rsidR="00026D0E" w:rsidRPr="007F1634" w:rsidRDefault="00026D0E" w:rsidP="005F3E3F">
            <w:pPr>
              <w:numPr>
                <w:ilvl w:val="0"/>
                <w:numId w:val="3"/>
              </w:numPr>
              <w:tabs>
                <w:tab w:val="clear" w:pos="720"/>
                <w:tab w:val="num" w:pos="360"/>
                <w:tab w:val="num" w:pos="644"/>
              </w:tabs>
              <w:ind w:left="360"/>
              <w:rPr>
                <w:rFonts w:ascii="Arial" w:hAnsi="Arial" w:cs="Arial"/>
              </w:rPr>
            </w:pPr>
            <w:r>
              <w:rPr>
                <w:rFonts w:ascii="Arial" w:hAnsi="Arial" w:cs="Arial"/>
              </w:rPr>
              <w:t>What do you see as the key opportunities for service development and partnerships?</w:t>
            </w:r>
          </w:p>
        </w:tc>
      </w:tr>
      <w:tr w:rsidR="00026D0E" w:rsidRPr="007F1634" w14:paraId="4C7BC4C0" w14:textId="77777777" w:rsidTr="00C97492">
        <w:tc>
          <w:tcPr>
            <w:tcW w:w="8522" w:type="dxa"/>
            <w:tcBorders>
              <w:bottom w:val="single" w:sz="4" w:space="0" w:color="auto"/>
            </w:tcBorders>
            <w:shd w:val="clear" w:color="auto" w:fill="auto"/>
          </w:tcPr>
          <w:p w14:paraId="29EB88A1" w14:textId="77777777" w:rsidR="00026D0E" w:rsidRDefault="00026D0E" w:rsidP="00C97492">
            <w:pPr>
              <w:rPr>
                <w:rFonts w:ascii="Arial" w:hAnsi="Arial" w:cs="Arial"/>
              </w:rPr>
            </w:pPr>
          </w:p>
          <w:p w14:paraId="4BE54FAB" w14:textId="77777777" w:rsidR="00026D0E" w:rsidRDefault="00026D0E" w:rsidP="00C97492">
            <w:pPr>
              <w:rPr>
                <w:rFonts w:ascii="Arial" w:hAnsi="Arial" w:cs="Arial"/>
              </w:rPr>
            </w:pPr>
          </w:p>
          <w:p w14:paraId="372E4264" w14:textId="77777777" w:rsidR="00026D0E" w:rsidRDefault="00026D0E" w:rsidP="00C97492">
            <w:pPr>
              <w:rPr>
                <w:rFonts w:ascii="Arial" w:hAnsi="Arial" w:cs="Arial"/>
              </w:rPr>
            </w:pPr>
          </w:p>
          <w:p w14:paraId="04B5C60E" w14:textId="77777777" w:rsidR="00026D0E" w:rsidRPr="007F1634" w:rsidRDefault="00026D0E" w:rsidP="00C97492">
            <w:pPr>
              <w:rPr>
                <w:rFonts w:ascii="Arial" w:hAnsi="Arial" w:cs="Arial"/>
              </w:rPr>
            </w:pPr>
          </w:p>
        </w:tc>
      </w:tr>
      <w:tr w:rsidR="002A0C66" w:rsidRPr="007F1634" w14:paraId="528E9911" w14:textId="77777777" w:rsidTr="00C97492">
        <w:tc>
          <w:tcPr>
            <w:tcW w:w="8522" w:type="dxa"/>
            <w:shd w:val="clear" w:color="auto" w:fill="FABF8F"/>
          </w:tcPr>
          <w:p w14:paraId="4337E665" w14:textId="434A9FED" w:rsidR="002A0C66" w:rsidRPr="007F1634" w:rsidRDefault="00607D03" w:rsidP="005F2B45">
            <w:pPr>
              <w:numPr>
                <w:ilvl w:val="0"/>
                <w:numId w:val="3"/>
              </w:numPr>
              <w:tabs>
                <w:tab w:val="clear" w:pos="720"/>
                <w:tab w:val="num" w:pos="360"/>
                <w:tab w:val="num" w:pos="644"/>
              </w:tabs>
              <w:ind w:left="360"/>
              <w:rPr>
                <w:rFonts w:ascii="Arial" w:hAnsi="Arial" w:cs="Arial"/>
              </w:rPr>
            </w:pPr>
            <w:r>
              <w:rPr>
                <w:rFonts w:ascii="Arial" w:hAnsi="Arial" w:cs="Arial"/>
              </w:rPr>
              <w:t xml:space="preserve">Will you be considering </w:t>
            </w:r>
            <w:r w:rsidR="002A0C66" w:rsidRPr="007F1634">
              <w:rPr>
                <w:rFonts w:ascii="Arial" w:hAnsi="Arial" w:cs="Arial"/>
              </w:rPr>
              <w:t>work</w:t>
            </w:r>
            <w:r>
              <w:rPr>
                <w:rFonts w:ascii="Arial" w:hAnsi="Arial" w:cs="Arial"/>
              </w:rPr>
              <w:t xml:space="preserve">ing </w:t>
            </w:r>
            <w:r w:rsidR="002A0C66" w:rsidRPr="007F1634">
              <w:rPr>
                <w:rFonts w:ascii="Arial" w:hAnsi="Arial" w:cs="Arial"/>
              </w:rPr>
              <w:t>in a partnership model to deliver the</w:t>
            </w:r>
            <w:r w:rsidR="002A0C66">
              <w:rPr>
                <w:rFonts w:ascii="Arial" w:hAnsi="Arial" w:cs="Arial"/>
              </w:rPr>
              <w:t>se</w:t>
            </w:r>
            <w:r w:rsidR="002A0C66" w:rsidRPr="007F1634">
              <w:rPr>
                <w:rFonts w:ascii="Arial" w:hAnsi="Arial" w:cs="Arial"/>
              </w:rPr>
              <w:t xml:space="preserve"> services</w:t>
            </w:r>
            <w:r>
              <w:rPr>
                <w:rFonts w:ascii="Arial" w:hAnsi="Arial" w:cs="Arial"/>
              </w:rPr>
              <w:t xml:space="preserve"> with other providers</w:t>
            </w:r>
            <w:r w:rsidR="002A0C66" w:rsidRPr="007F1634">
              <w:rPr>
                <w:rFonts w:ascii="Arial" w:hAnsi="Arial" w:cs="Arial"/>
              </w:rPr>
              <w:t>?</w:t>
            </w:r>
          </w:p>
        </w:tc>
      </w:tr>
      <w:tr w:rsidR="002A0C66" w:rsidRPr="00CE3B00" w14:paraId="073B8147" w14:textId="77777777" w:rsidTr="00C97492">
        <w:tc>
          <w:tcPr>
            <w:tcW w:w="8522" w:type="dxa"/>
            <w:tcBorders>
              <w:bottom w:val="single" w:sz="4" w:space="0" w:color="auto"/>
            </w:tcBorders>
            <w:shd w:val="clear" w:color="auto" w:fill="auto"/>
          </w:tcPr>
          <w:p w14:paraId="4392FBFD" w14:textId="77777777" w:rsidR="002A0C66" w:rsidRDefault="002A0C66" w:rsidP="00C97492">
            <w:pPr>
              <w:rPr>
                <w:rFonts w:ascii="Arial" w:hAnsi="Arial" w:cs="Arial"/>
              </w:rPr>
            </w:pPr>
          </w:p>
          <w:p w14:paraId="78D9F871" w14:textId="77777777" w:rsidR="002A0C66" w:rsidRDefault="002A0C66" w:rsidP="00C97492">
            <w:pPr>
              <w:rPr>
                <w:rFonts w:ascii="Arial" w:hAnsi="Arial" w:cs="Arial"/>
              </w:rPr>
            </w:pPr>
          </w:p>
          <w:p w14:paraId="3B535577" w14:textId="77777777" w:rsidR="002A0C66" w:rsidRPr="00CE3B00" w:rsidRDefault="002A0C66" w:rsidP="00C97492">
            <w:pPr>
              <w:rPr>
                <w:rFonts w:ascii="Arial" w:hAnsi="Arial" w:cs="Arial"/>
              </w:rPr>
            </w:pPr>
          </w:p>
          <w:p w14:paraId="07028881" w14:textId="77777777" w:rsidR="002A0C66" w:rsidRPr="00CE3B00" w:rsidRDefault="002A0C66" w:rsidP="00C97492">
            <w:pPr>
              <w:rPr>
                <w:rFonts w:ascii="Arial" w:hAnsi="Arial" w:cs="Arial"/>
              </w:rPr>
            </w:pPr>
          </w:p>
        </w:tc>
      </w:tr>
      <w:tr w:rsidR="00607D03" w:rsidRPr="00CE3B00" w14:paraId="2A6C281F" w14:textId="77777777" w:rsidTr="005F2B45">
        <w:tc>
          <w:tcPr>
            <w:tcW w:w="8522" w:type="dxa"/>
            <w:shd w:val="clear" w:color="auto" w:fill="F4B083" w:themeFill="accent2" w:themeFillTint="99"/>
          </w:tcPr>
          <w:p w14:paraId="7F2E331F" w14:textId="77777777" w:rsidR="00607D03" w:rsidRDefault="00607D03" w:rsidP="00607D03">
            <w:pPr>
              <w:numPr>
                <w:ilvl w:val="0"/>
                <w:numId w:val="3"/>
              </w:numPr>
              <w:tabs>
                <w:tab w:val="clear" w:pos="720"/>
                <w:tab w:val="num" w:pos="426"/>
                <w:tab w:val="num" w:pos="644"/>
              </w:tabs>
              <w:ind w:left="426" w:hanging="426"/>
              <w:rPr>
                <w:rFonts w:ascii="Arial" w:hAnsi="Arial" w:cs="Arial"/>
              </w:rPr>
            </w:pPr>
            <w:r>
              <w:rPr>
                <w:rFonts w:ascii="Arial" w:hAnsi="Arial" w:cs="Arial"/>
              </w:rPr>
              <w:t>Can you comment on the feasibility of delivering the service within the maximum budget set out above?</w:t>
            </w:r>
          </w:p>
        </w:tc>
      </w:tr>
      <w:tr w:rsidR="00607D03" w:rsidRPr="00CE3B00" w14:paraId="0809C9D1" w14:textId="77777777" w:rsidTr="00607D03">
        <w:tc>
          <w:tcPr>
            <w:tcW w:w="8522" w:type="dxa"/>
            <w:shd w:val="clear" w:color="auto" w:fill="auto"/>
          </w:tcPr>
          <w:p w14:paraId="124BEA7B" w14:textId="77777777" w:rsidR="00607D03" w:rsidRDefault="00607D03" w:rsidP="006C57E4">
            <w:pPr>
              <w:tabs>
                <w:tab w:val="num" w:pos="720"/>
              </w:tabs>
              <w:ind w:left="426"/>
              <w:rPr>
                <w:rFonts w:ascii="Arial" w:hAnsi="Arial" w:cs="Arial"/>
              </w:rPr>
            </w:pPr>
          </w:p>
          <w:p w14:paraId="056F3386" w14:textId="77777777" w:rsidR="00607D03" w:rsidRDefault="00607D03" w:rsidP="006C57E4">
            <w:pPr>
              <w:tabs>
                <w:tab w:val="num" w:pos="720"/>
              </w:tabs>
              <w:ind w:left="426"/>
              <w:rPr>
                <w:rFonts w:ascii="Arial" w:hAnsi="Arial" w:cs="Arial"/>
              </w:rPr>
            </w:pPr>
          </w:p>
          <w:p w14:paraId="1618500F" w14:textId="77777777" w:rsidR="00607D03" w:rsidRDefault="00607D03" w:rsidP="006C57E4">
            <w:pPr>
              <w:tabs>
                <w:tab w:val="num" w:pos="720"/>
              </w:tabs>
              <w:ind w:left="426"/>
              <w:rPr>
                <w:rFonts w:ascii="Arial" w:hAnsi="Arial" w:cs="Arial"/>
              </w:rPr>
            </w:pPr>
          </w:p>
          <w:p w14:paraId="238031F8" w14:textId="77777777" w:rsidR="00607D03" w:rsidRDefault="00607D03" w:rsidP="006C57E4">
            <w:pPr>
              <w:tabs>
                <w:tab w:val="num" w:pos="720"/>
              </w:tabs>
              <w:ind w:left="426"/>
              <w:rPr>
                <w:rFonts w:ascii="Arial" w:hAnsi="Arial" w:cs="Arial"/>
              </w:rPr>
            </w:pPr>
          </w:p>
        </w:tc>
      </w:tr>
      <w:tr w:rsidR="00607D03" w:rsidRPr="00CE3B00" w14:paraId="05F9BFEB" w14:textId="77777777" w:rsidTr="00607D03">
        <w:tc>
          <w:tcPr>
            <w:tcW w:w="8522" w:type="dxa"/>
            <w:shd w:val="clear" w:color="auto" w:fill="F4B083" w:themeFill="accent2" w:themeFillTint="99"/>
          </w:tcPr>
          <w:p w14:paraId="7A901EC7" w14:textId="55D15127" w:rsidR="00607D03" w:rsidRDefault="00607D03" w:rsidP="006C57E4">
            <w:pPr>
              <w:numPr>
                <w:ilvl w:val="0"/>
                <w:numId w:val="3"/>
              </w:numPr>
              <w:tabs>
                <w:tab w:val="clear" w:pos="720"/>
                <w:tab w:val="num" w:pos="426"/>
                <w:tab w:val="num" w:pos="644"/>
              </w:tabs>
              <w:ind w:left="426" w:hanging="426"/>
              <w:rPr>
                <w:rFonts w:ascii="Arial" w:hAnsi="Arial" w:cs="Arial"/>
              </w:rPr>
            </w:pPr>
            <w:r>
              <w:rPr>
                <w:rFonts w:ascii="Arial" w:hAnsi="Arial" w:cs="Arial"/>
              </w:rPr>
              <w:t>In what ways do you think this service could deliver addi</w:t>
            </w:r>
            <w:r w:rsidR="005F3E3F">
              <w:rPr>
                <w:rFonts w:ascii="Arial" w:hAnsi="Arial" w:cs="Arial"/>
              </w:rPr>
              <w:t>tional social value to Camden? E</w:t>
            </w:r>
            <w:r>
              <w:rPr>
                <w:rFonts w:ascii="Arial" w:hAnsi="Arial" w:cs="Arial"/>
              </w:rPr>
              <w:t>.g. addition benefits to the Camden economy, environment or community</w:t>
            </w:r>
            <w:r w:rsidR="002F0162">
              <w:rPr>
                <w:rFonts w:ascii="Arial" w:hAnsi="Arial" w:cs="Arial"/>
              </w:rPr>
              <w:t>.</w:t>
            </w:r>
          </w:p>
        </w:tc>
      </w:tr>
      <w:tr w:rsidR="002A0C66" w:rsidRPr="00CE3B00" w14:paraId="7B14E0AB" w14:textId="77777777" w:rsidTr="00C97492">
        <w:tc>
          <w:tcPr>
            <w:tcW w:w="8522" w:type="dxa"/>
            <w:tcBorders>
              <w:bottom w:val="single" w:sz="4" w:space="0" w:color="auto"/>
            </w:tcBorders>
            <w:shd w:val="clear" w:color="auto" w:fill="auto"/>
          </w:tcPr>
          <w:p w14:paraId="59444527" w14:textId="77777777" w:rsidR="002A0C66" w:rsidRDefault="002A0C66" w:rsidP="00C97492">
            <w:pPr>
              <w:jc w:val="both"/>
              <w:rPr>
                <w:rFonts w:ascii="Arial" w:hAnsi="Arial" w:cs="Arial"/>
                <w:sz w:val="22"/>
                <w:szCs w:val="22"/>
              </w:rPr>
            </w:pPr>
          </w:p>
          <w:p w14:paraId="2B1DDE82" w14:textId="77777777" w:rsidR="002A0C66" w:rsidRDefault="002A0C66" w:rsidP="00C97492">
            <w:pPr>
              <w:jc w:val="both"/>
              <w:rPr>
                <w:rFonts w:ascii="Arial" w:hAnsi="Arial" w:cs="Arial"/>
                <w:sz w:val="22"/>
                <w:szCs w:val="22"/>
              </w:rPr>
            </w:pPr>
          </w:p>
          <w:p w14:paraId="33EDE5F0" w14:textId="77777777" w:rsidR="002A0C66" w:rsidRDefault="002A0C66" w:rsidP="00C97492">
            <w:pPr>
              <w:jc w:val="both"/>
              <w:rPr>
                <w:rFonts w:ascii="Arial" w:hAnsi="Arial" w:cs="Arial"/>
                <w:sz w:val="22"/>
                <w:szCs w:val="22"/>
              </w:rPr>
            </w:pPr>
          </w:p>
          <w:p w14:paraId="489AF151" w14:textId="77777777" w:rsidR="002A0C66" w:rsidRDefault="002A0C66" w:rsidP="00C97492">
            <w:pPr>
              <w:jc w:val="both"/>
              <w:rPr>
                <w:rFonts w:ascii="Arial" w:hAnsi="Arial" w:cs="Arial"/>
                <w:sz w:val="22"/>
                <w:szCs w:val="22"/>
              </w:rPr>
            </w:pPr>
          </w:p>
          <w:p w14:paraId="5EEB11C0" w14:textId="77777777" w:rsidR="002A0C66" w:rsidRPr="00F90DA3" w:rsidRDefault="002A0C66" w:rsidP="00C97492">
            <w:pPr>
              <w:jc w:val="both"/>
              <w:rPr>
                <w:rFonts w:ascii="Arial" w:hAnsi="Arial" w:cs="Arial"/>
                <w:sz w:val="22"/>
                <w:szCs w:val="22"/>
              </w:rPr>
            </w:pPr>
          </w:p>
        </w:tc>
      </w:tr>
      <w:tr w:rsidR="002A0C66" w:rsidRPr="00CE3B00" w14:paraId="25C9E8B5" w14:textId="77777777" w:rsidTr="00C97492">
        <w:tc>
          <w:tcPr>
            <w:tcW w:w="8522" w:type="dxa"/>
            <w:shd w:val="clear" w:color="auto" w:fill="FABF8F"/>
          </w:tcPr>
          <w:p w14:paraId="6AFBEBDE" w14:textId="26EE6179" w:rsidR="002A0C66" w:rsidRPr="00EA3D91" w:rsidRDefault="002A0C66" w:rsidP="00EA3D91">
            <w:pPr>
              <w:pStyle w:val="ListParagraph"/>
              <w:numPr>
                <w:ilvl w:val="0"/>
                <w:numId w:val="3"/>
              </w:numPr>
              <w:tabs>
                <w:tab w:val="clear" w:pos="720"/>
                <w:tab w:val="num" w:pos="457"/>
              </w:tabs>
              <w:ind w:hanging="688"/>
              <w:rPr>
                <w:rFonts w:ascii="Arial" w:hAnsi="Arial" w:cs="Arial"/>
              </w:rPr>
            </w:pPr>
            <w:r w:rsidRPr="00EA3D91">
              <w:rPr>
                <w:rFonts w:ascii="Arial" w:hAnsi="Arial" w:cs="Arial"/>
              </w:rPr>
              <w:lastRenderedPageBreak/>
              <w:t>Do you have any other comments?</w:t>
            </w:r>
          </w:p>
          <w:p w14:paraId="5D948547" w14:textId="77777777" w:rsidR="002A0C66" w:rsidRPr="00CE3B00" w:rsidRDefault="002A0C66" w:rsidP="00C97492">
            <w:pPr>
              <w:rPr>
                <w:rFonts w:ascii="Arial" w:hAnsi="Arial" w:cs="Arial"/>
              </w:rPr>
            </w:pPr>
          </w:p>
        </w:tc>
      </w:tr>
      <w:tr w:rsidR="00607D03" w:rsidRPr="00CE3B00" w14:paraId="0C0E2C6D" w14:textId="77777777" w:rsidTr="006C57E4">
        <w:tc>
          <w:tcPr>
            <w:tcW w:w="8522" w:type="dxa"/>
            <w:shd w:val="clear" w:color="auto" w:fill="auto"/>
          </w:tcPr>
          <w:p w14:paraId="4DF14184" w14:textId="77777777" w:rsidR="00607D03" w:rsidRDefault="00607D03" w:rsidP="006C57E4">
            <w:pPr>
              <w:tabs>
                <w:tab w:val="num" w:pos="720"/>
              </w:tabs>
              <w:ind w:left="426"/>
              <w:rPr>
                <w:rFonts w:ascii="Arial" w:hAnsi="Arial" w:cs="Arial"/>
              </w:rPr>
            </w:pPr>
          </w:p>
          <w:p w14:paraId="3B6B5605" w14:textId="77777777" w:rsidR="00607D03" w:rsidRDefault="00607D03" w:rsidP="006C57E4">
            <w:pPr>
              <w:tabs>
                <w:tab w:val="num" w:pos="720"/>
              </w:tabs>
              <w:ind w:left="426"/>
              <w:rPr>
                <w:rFonts w:ascii="Arial" w:hAnsi="Arial" w:cs="Arial"/>
              </w:rPr>
            </w:pPr>
          </w:p>
          <w:p w14:paraId="1FCFDB54" w14:textId="77777777" w:rsidR="00607D03" w:rsidRDefault="00607D03" w:rsidP="006C57E4">
            <w:pPr>
              <w:tabs>
                <w:tab w:val="num" w:pos="720"/>
              </w:tabs>
              <w:ind w:left="426"/>
              <w:rPr>
                <w:rFonts w:ascii="Arial" w:hAnsi="Arial" w:cs="Arial"/>
              </w:rPr>
            </w:pPr>
          </w:p>
          <w:p w14:paraId="041DF35F" w14:textId="77777777" w:rsidR="00607D03" w:rsidRPr="005B6B38" w:rsidRDefault="00607D03" w:rsidP="006C57E4">
            <w:pPr>
              <w:tabs>
                <w:tab w:val="num" w:pos="720"/>
              </w:tabs>
              <w:ind w:left="426"/>
              <w:rPr>
                <w:rFonts w:ascii="Arial" w:hAnsi="Arial" w:cs="Arial"/>
              </w:rPr>
            </w:pPr>
          </w:p>
        </w:tc>
      </w:tr>
      <w:tr w:rsidR="00607D03" w:rsidRPr="00CE3B00" w14:paraId="06912FF0" w14:textId="77777777" w:rsidTr="00C97492">
        <w:tc>
          <w:tcPr>
            <w:tcW w:w="8522" w:type="dxa"/>
            <w:shd w:val="clear" w:color="auto" w:fill="FABF8F"/>
          </w:tcPr>
          <w:p w14:paraId="16CB0BD2" w14:textId="2222D513" w:rsidR="00607D03" w:rsidRPr="005B6B38" w:rsidRDefault="00607D03" w:rsidP="002A0C66">
            <w:pPr>
              <w:numPr>
                <w:ilvl w:val="0"/>
                <w:numId w:val="3"/>
              </w:numPr>
              <w:tabs>
                <w:tab w:val="clear" w:pos="720"/>
                <w:tab w:val="num" w:pos="426"/>
                <w:tab w:val="num" w:pos="644"/>
              </w:tabs>
              <w:ind w:left="426"/>
              <w:rPr>
                <w:rFonts w:ascii="Arial" w:hAnsi="Arial" w:cs="Arial"/>
              </w:rPr>
            </w:pPr>
            <w:r w:rsidRPr="00CE3B00">
              <w:rPr>
                <w:rFonts w:ascii="Arial" w:hAnsi="Arial" w:cs="Arial"/>
              </w:rPr>
              <w:t>Would you be willing to meet with us to discuss your views about this proposed procurement further?</w:t>
            </w:r>
            <w:r w:rsidR="00F53239">
              <w:rPr>
                <w:rFonts w:ascii="Arial" w:hAnsi="Arial" w:cs="Arial"/>
              </w:rPr>
              <w:t xml:space="preserve"> (If so</w:t>
            </w:r>
            <w:r w:rsidR="002F0162">
              <w:rPr>
                <w:rFonts w:ascii="Arial" w:hAnsi="Arial" w:cs="Arial"/>
              </w:rPr>
              <w:t>,</w:t>
            </w:r>
            <w:r w:rsidR="00F53239">
              <w:rPr>
                <w:rFonts w:ascii="Arial" w:hAnsi="Arial" w:cs="Arial"/>
              </w:rPr>
              <w:t xml:space="preserve"> please provide contact details).</w:t>
            </w:r>
          </w:p>
        </w:tc>
      </w:tr>
      <w:tr w:rsidR="002A0C66" w:rsidRPr="00CE3B00" w14:paraId="65F08500" w14:textId="77777777" w:rsidTr="00C97492">
        <w:tc>
          <w:tcPr>
            <w:tcW w:w="8522" w:type="dxa"/>
            <w:shd w:val="clear" w:color="auto" w:fill="FFFFFF"/>
          </w:tcPr>
          <w:p w14:paraId="0AE8C9F4" w14:textId="77777777" w:rsidR="002A0C66" w:rsidRDefault="002A0C66" w:rsidP="00C97492">
            <w:pPr>
              <w:ind w:left="426"/>
              <w:rPr>
                <w:rFonts w:ascii="Arial" w:hAnsi="Arial" w:cs="Arial"/>
              </w:rPr>
            </w:pPr>
          </w:p>
          <w:p w14:paraId="1F985F39" w14:textId="77777777" w:rsidR="002A0C66" w:rsidRDefault="002A0C66" w:rsidP="00C97492">
            <w:pPr>
              <w:ind w:left="426"/>
              <w:rPr>
                <w:rFonts w:ascii="Arial" w:hAnsi="Arial" w:cs="Arial"/>
              </w:rPr>
            </w:pPr>
          </w:p>
          <w:p w14:paraId="3389CF6C" w14:textId="77777777" w:rsidR="002A0C66" w:rsidRDefault="002A0C66" w:rsidP="00C97492">
            <w:pPr>
              <w:ind w:left="426"/>
              <w:rPr>
                <w:rFonts w:ascii="Arial" w:hAnsi="Arial" w:cs="Arial"/>
              </w:rPr>
            </w:pPr>
          </w:p>
          <w:p w14:paraId="48E7212D" w14:textId="77777777" w:rsidR="002A0C66" w:rsidRPr="00CE3B00" w:rsidRDefault="002A0C66" w:rsidP="00C97492">
            <w:pPr>
              <w:ind w:left="426"/>
              <w:rPr>
                <w:rFonts w:ascii="Arial" w:hAnsi="Arial" w:cs="Arial"/>
              </w:rPr>
            </w:pPr>
          </w:p>
        </w:tc>
      </w:tr>
    </w:tbl>
    <w:p w14:paraId="572B400B" w14:textId="77777777" w:rsidR="002A0C66" w:rsidRPr="00CE3B00" w:rsidRDefault="002A0C66" w:rsidP="002A0C66">
      <w:pPr>
        <w:rPr>
          <w:rFonts w:ascii="Arial" w:hAnsi="Arial" w:cs="Arial"/>
        </w:rPr>
      </w:pPr>
    </w:p>
    <w:p w14:paraId="7775B593" w14:textId="77777777" w:rsidR="005F3E3F" w:rsidRDefault="005F3E3F" w:rsidP="005F3E3F">
      <w:pPr>
        <w:rPr>
          <w:rFonts w:ascii="Arial" w:hAnsi="Arial" w:cs="Arial"/>
        </w:rPr>
      </w:pPr>
      <w:r>
        <w:rPr>
          <w:rFonts w:ascii="Arial" w:hAnsi="Arial" w:cs="Arial"/>
        </w:rPr>
        <w:t>We would be grateful if responses to these questions could be submitted to Jennie Mackeith, Strategic Commissioning Manager, by 1</w:t>
      </w:r>
      <w:r>
        <w:rPr>
          <w:rFonts w:ascii="Arial" w:hAnsi="Arial" w:cs="Arial"/>
          <w:vertAlign w:val="superscript"/>
        </w:rPr>
        <w:t>st</w:t>
      </w:r>
      <w:r>
        <w:rPr>
          <w:rFonts w:ascii="Arial" w:hAnsi="Arial" w:cs="Arial"/>
        </w:rPr>
        <w:t xml:space="preserve"> February 2018. </w:t>
      </w:r>
    </w:p>
    <w:p w14:paraId="79C3BF87" w14:textId="77777777" w:rsidR="005F3E3F" w:rsidRDefault="005F3E3F" w:rsidP="005F3E3F">
      <w:pPr>
        <w:rPr>
          <w:rFonts w:ascii="Arial" w:hAnsi="Arial" w:cs="Arial"/>
        </w:rPr>
      </w:pPr>
    </w:p>
    <w:p w14:paraId="659787C4" w14:textId="77777777" w:rsidR="005F3E3F" w:rsidRDefault="005F3E3F" w:rsidP="005F3E3F">
      <w:pPr>
        <w:rPr>
          <w:rStyle w:val="Hyperlink"/>
        </w:rPr>
      </w:pPr>
      <w:r>
        <w:rPr>
          <w:rFonts w:ascii="Arial" w:hAnsi="Arial" w:cs="Arial"/>
        </w:rPr>
        <w:t xml:space="preserve">Responses should be sent by email to </w:t>
      </w:r>
      <w:hyperlink r:id="rId12" w:history="1">
        <w:r>
          <w:rPr>
            <w:rStyle w:val="Hyperlink"/>
            <w:rFonts w:ascii="Arial" w:hAnsi="Arial" w:cs="Arial"/>
          </w:rPr>
          <w:t>Jennie.mackeith@camden.gov.uk</w:t>
        </w:r>
      </w:hyperlink>
    </w:p>
    <w:p w14:paraId="01404F6F" w14:textId="77777777" w:rsidR="005F3E3F" w:rsidRDefault="005F3E3F" w:rsidP="005F3E3F"/>
    <w:p w14:paraId="1B341803" w14:textId="27ECCFB1" w:rsidR="005F3E3F" w:rsidRDefault="005F3E3F" w:rsidP="005F3E3F">
      <w:pPr>
        <w:rPr>
          <w:rFonts w:ascii="Arial" w:hAnsi="Arial" w:cs="Arial"/>
        </w:rPr>
      </w:pPr>
      <w:r>
        <w:rPr>
          <w:rFonts w:ascii="Arial" w:hAnsi="Arial" w:cs="Arial"/>
        </w:rPr>
        <w:t>Face-</w:t>
      </w:r>
      <w:r>
        <w:rPr>
          <w:rFonts w:ascii="Arial" w:hAnsi="Arial" w:cs="Arial"/>
        </w:rPr>
        <w:t>to</w:t>
      </w:r>
      <w:r>
        <w:rPr>
          <w:rFonts w:ascii="Arial" w:hAnsi="Arial" w:cs="Arial"/>
        </w:rPr>
        <w:t>-F</w:t>
      </w:r>
      <w:r>
        <w:rPr>
          <w:rFonts w:ascii="Arial" w:hAnsi="Arial" w:cs="Arial"/>
        </w:rPr>
        <w:t xml:space="preserve">ace meetings will be available during February if you wish to discuss further. </w:t>
      </w:r>
    </w:p>
    <w:p w14:paraId="3889F7E5" w14:textId="77777777" w:rsidR="005F3E3F" w:rsidRDefault="005F3E3F" w:rsidP="005F3E3F">
      <w:pPr>
        <w:rPr>
          <w:rFonts w:ascii="Arial" w:hAnsi="Arial" w:cs="Arial"/>
        </w:rPr>
      </w:pPr>
    </w:p>
    <w:p w14:paraId="1FF7D224" w14:textId="77777777" w:rsidR="005F3E3F" w:rsidRDefault="005F3E3F" w:rsidP="005F3E3F">
      <w:pPr>
        <w:rPr>
          <w:rFonts w:ascii="Arial" w:hAnsi="Arial" w:cs="Arial"/>
        </w:rPr>
      </w:pPr>
      <w:r>
        <w:rPr>
          <w:rFonts w:ascii="Arial" w:hAnsi="Arial" w:cs="Arial"/>
        </w:rPr>
        <w:t>Following this market testing exercise, the Council expects to run a procurement exercise with the following indicative timescale, which we reserve the right to amend:</w:t>
      </w:r>
    </w:p>
    <w:p w14:paraId="014564E1" w14:textId="77777777" w:rsidR="005F3E3F" w:rsidRDefault="005F3E3F" w:rsidP="005F3E3F">
      <w:pPr>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6"/>
        <w:gridCol w:w="2600"/>
      </w:tblGrid>
      <w:tr w:rsidR="005F3E3F" w14:paraId="5ACEDA1F"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5E3BCF3F" w14:textId="77777777" w:rsidR="005F3E3F" w:rsidRDefault="005F3E3F">
            <w:pPr>
              <w:rPr>
                <w:rFonts w:ascii="Arial" w:hAnsi="Arial" w:cs="Arial"/>
              </w:rPr>
            </w:pPr>
            <w:r>
              <w:rPr>
                <w:rFonts w:ascii="Arial" w:hAnsi="Arial" w:cs="Arial"/>
              </w:rPr>
              <w:t xml:space="preserve">Tender advert placed on EU Supply </w:t>
            </w:r>
          </w:p>
        </w:tc>
        <w:tc>
          <w:tcPr>
            <w:tcW w:w="2654" w:type="dxa"/>
            <w:tcBorders>
              <w:top w:val="single" w:sz="4" w:space="0" w:color="auto"/>
              <w:left w:val="single" w:sz="4" w:space="0" w:color="auto"/>
              <w:bottom w:val="single" w:sz="4" w:space="0" w:color="auto"/>
              <w:right w:val="single" w:sz="4" w:space="0" w:color="auto"/>
            </w:tcBorders>
            <w:hideMark/>
          </w:tcPr>
          <w:p w14:paraId="378A96FB" w14:textId="77777777" w:rsidR="005F3E3F" w:rsidRDefault="005F3E3F">
            <w:pPr>
              <w:rPr>
                <w:rFonts w:ascii="Arial" w:hAnsi="Arial" w:cs="Arial"/>
              </w:rPr>
            </w:pPr>
            <w:r>
              <w:rPr>
                <w:rFonts w:ascii="Arial" w:hAnsi="Arial" w:cs="Arial"/>
              </w:rPr>
              <w:t>Early April 2018</w:t>
            </w:r>
          </w:p>
        </w:tc>
      </w:tr>
      <w:tr w:rsidR="005F3E3F" w14:paraId="67923BEC"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4C92C747" w14:textId="77777777" w:rsidR="005F3E3F" w:rsidRDefault="005F3E3F">
            <w:pPr>
              <w:rPr>
                <w:rFonts w:ascii="Arial" w:hAnsi="Arial" w:cs="Arial"/>
              </w:rPr>
            </w:pPr>
            <w:r>
              <w:rPr>
                <w:rFonts w:ascii="Arial" w:hAnsi="Arial" w:cs="Arial"/>
              </w:rPr>
              <w:t>Deadline for submissions of tenders</w:t>
            </w:r>
          </w:p>
        </w:tc>
        <w:tc>
          <w:tcPr>
            <w:tcW w:w="2654" w:type="dxa"/>
            <w:tcBorders>
              <w:top w:val="single" w:sz="4" w:space="0" w:color="auto"/>
              <w:left w:val="single" w:sz="4" w:space="0" w:color="auto"/>
              <w:bottom w:val="single" w:sz="4" w:space="0" w:color="auto"/>
              <w:right w:val="single" w:sz="4" w:space="0" w:color="auto"/>
            </w:tcBorders>
            <w:hideMark/>
          </w:tcPr>
          <w:p w14:paraId="35F3DDD6" w14:textId="17630425" w:rsidR="005F3E3F" w:rsidRDefault="005F3E3F">
            <w:pPr>
              <w:rPr>
                <w:rFonts w:ascii="Arial" w:hAnsi="Arial" w:cs="Arial"/>
              </w:rPr>
            </w:pPr>
            <w:r>
              <w:rPr>
                <w:rFonts w:ascii="Arial" w:hAnsi="Arial" w:cs="Arial"/>
              </w:rPr>
              <w:t>Mid-</w:t>
            </w:r>
            <w:r>
              <w:rPr>
                <w:rFonts w:ascii="Arial" w:hAnsi="Arial" w:cs="Arial"/>
              </w:rPr>
              <w:t>June 2018</w:t>
            </w:r>
          </w:p>
        </w:tc>
      </w:tr>
      <w:tr w:rsidR="005F3E3F" w14:paraId="2B225E75"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7011BD20" w14:textId="77777777" w:rsidR="005F3E3F" w:rsidRDefault="005F3E3F">
            <w:pPr>
              <w:rPr>
                <w:rFonts w:ascii="Arial" w:hAnsi="Arial" w:cs="Arial"/>
              </w:rPr>
            </w:pPr>
            <w:r>
              <w:rPr>
                <w:rFonts w:ascii="Arial" w:hAnsi="Arial" w:cs="Arial"/>
              </w:rPr>
              <w:t>Tender presentations and evaluation</w:t>
            </w:r>
          </w:p>
        </w:tc>
        <w:tc>
          <w:tcPr>
            <w:tcW w:w="2654" w:type="dxa"/>
            <w:tcBorders>
              <w:top w:val="single" w:sz="4" w:space="0" w:color="auto"/>
              <w:left w:val="single" w:sz="4" w:space="0" w:color="auto"/>
              <w:bottom w:val="single" w:sz="4" w:space="0" w:color="auto"/>
              <w:right w:val="single" w:sz="4" w:space="0" w:color="auto"/>
            </w:tcBorders>
            <w:hideMark/>
          </w:tcPr>
          <w:p w14:paraId="73916025" w14:textId="29842936" w:rsidR="005F3E3F" w:rsidRDefault="005F3E3F">
            <w:pPr>
              <w:rPr>
                <w:rFonts w:ascii="Arial" w:hAnsi="Arial" w:cs="Arial"/>
              </w:rPr>
            </w:pPr>
            <w:r>
              <w:rPr>
                <w:rFonts w:ascii="Arial" w:hAnsi="Arial" w:cs="Arial"/>
              </w:rPr>
              <w:t>Mid-</w:t>
            </w:r>
            <w:r>
              <w:rPr>
                <w:rFonts w:ascii="Arial" w:hAnsi="Arial" w:cs="Arial"/>
              </w:rPr>
              <w:t>June 2018</w:t>
            </w:r>
          </w:p>
        </w:tc>
      </w:tr>
      <w:tr w:rsidR="005F3E3F" w14:paraId="30C08407"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608E8173" w14:textId="77777777" w:rsidR="005F3E3F" w:rsidRDefault="005F3E3F">
            <w:pPr>
              <w:rPr>
                <w:rFonts w:ascii="Arial" w:hAnsi="Arial" w:cs="Arial"/>
              </w:rPr>
            </w:pPr>
            <w:r>
              <w:rPr>
                <w:rFonts w:ascii="Arial" w:hAnsi="Arial" w:cs="Arial"/>
              </w:rPr>
              <w:t>Award of contract</w:t>
            </w:r>
          </w:p>
        </w:tc>
        <w:tc>
          <w:tcPr>
            <w:tcW w:w="2654" w:type="dxa"/>
            <w:tcBorders>
              <w:top w:val="single" w:sz="4" w:space="0" w:color="auto"/>
              <w:left w:val="single" w:sz="4" w:space="0" w:color="auto"/>
              <w:bottom w:val="single" w:sz="4" w:space="0" w:color="auto"/>
              <w:right w:val="single" w:sz="4" w:space="0" w:color="auto"/>
            </w:tcBorders>
            <w:hideMark/>
          </w:tcPr>
          <w:p w14:paraId="5608F58A" w14:textId="77777777" w:rsidR="005F3E3F" w:rsidRDefault="005F3E3F">
            <w:pPr>
              <w:rPr>
                <w:rFonts w:ascii="Arial" w:hAnsi="Arial" w:cs="Arial"/>
              </w:rPr>
            </w:pPr>
            <w:r>
              <w:rPr>
                <w:rFonts w:ascii="Arial" w:hAnsi="Arial" w:cs="Arial"/>
              </w:rPr>
              <w:t>Early July 2018</w:t>
            </w:r>
          </w:p>
        </w:tc>
      </w:tr>
      <w:tr w:rsidR="005F3E3F" w14:paraId="6C80C314"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6495D2AA" w14:textId="77777777" w:rsidR="005F3E3F" w:rsidRDefault="005F3E3F">
            <w:pPr>
              <w:rPr>
                <w:rFonts w:ascii="Arial" w:hAnsi="Arial" w:cs="Arial"/>
              </w:rPr>
            </w:pPr>
            <w:r>
              <w:rPr>
                <w:rFonts w:ascii="Arial" w:hAnsi="Arial" w:cs="Arial"/>
              </w:rPr>
              <w:t>Contract start</w:t>
            </w:r>
          </w:p>
        </w:tc>
        <w:tc>
          <w:tcPr>
            <w:tcW w:w="2654" w:type="dxa"/>
            <w:tcBorders>
              <w:top w:val="single" w:sz="4" w:space="0" w:color="auto"/>
              <w:left w:val="single" w:sz="4" w:space="0" w:color="auto"/>
              <w:bottom w:val="single" w:sz="4" w:space="0" w:color="auto"/>
              <w:right w:val="single" w:sz="4" w:space="0" w:color="auto"/>
            </w:tcBorders>
            <w:hideMark/>
          </w:tcPr>
          <w:p w14:paraId="62BFA098" w14:textId="77777777" w:rsidR="005F3E3F" w:rsidRDefault="005F3E3F">
            <w:pPr>
              <w:rPr>
                <w:rFonts w:ascii="Arial" w:hAnsi="Arial" w:cs="Arial"/>
              </w:rPr>
            </w:pPr>
            <w:r>
              <w:rPr>
                <w:rFonts w:ascii="Arial" w:hAnsi="Arial" w:cs="Arial"/>
              </w:rPr>
              <w:t>November 1</w:t>
            </w:r>
            <w:r>
              <w:rPr>
                <w:rFonts w:ascii="Arial" w:hAnsi="Arial" w:cs="Arial"/>
                <w:vertAlign w:val="superscript"/>
              </w:rPr>
              <w:t>st</w:t>
            </w:r>
            <w:r>
              <w:rPr>
                <w:rFonts w:ascii="Arial" w:hAnsi="Arial" w:cs="Arial"/>
              </w:rPr>
              <w:t xml:space="preserve"> 2018</w:t>
            </w:r>
          </w:p>
        </w:tc>
      </w:tr>
    </w:tbl>
    <w:p w14:paraId="22C8CAA2" w14:textId="77777777" w:rsidR="005F3E3F" w:rsidRDefault="005F3E3F" w:rsidP="005F3E3F">
      <w:pPr>
        <w:rPr>
          <w:rFonts w:ascii="Arial" w:hAnsi="Arial" w:cs="Arial"/>
          <w:lang w:val="en"/>
        </w:rPr>
      </w:pPr>
    </w:p>
    <w:p w14:paraId="0C125FC7" w14:textId="5CAB1303" w:rsidR="005F3E3F" w:rsidRDefault="005F3E3F" w:rsidP="005F3E3F">
      <w:pPr>
        <w:rPr>
          <w:rStyle w:val="FollowedHyperlink"/>
        </w:rPr>
      </w:pPr>
      <w:r w:rsidRPr="005F3E3F">
        <w:rPr>
          <w:rFonts w:ascii="Arial" w:hAnsi="Arial" w:cs="Arial"/>
          <w:lang w:val="en"/>
        </w:rPr>
        <w:t xml:space="preserve">If you are interested in this or any of our advertised contract </w:t>
      </w:r>
      <w:r w:rsidRPr="005F3E3F">
        <w:rPr>
          <w:rStyle w:val="FollowedHyperlink"/>
          <w:rFonts w:ascii="Arial" w:hAnsi="Arial" w:cs="Arial"/>
          <w:color w:val="auto"/>
        </w:rPr>
        <w:t xml:space="preserve">notices, please register on the Councils e-tendering system, </w:t>
      </w:r>
      <w:r>
        <w:rPr>
          <w:rStyle w:val="FollowedHyperlink"/>
          <w:rFonts w:ascii="Arial" w:hAnsi="Arial" w:cs="Arial"/>
          <w:color w:val="auto"/>
        </w:rPr>
        <w:t>EU</w:t>
      </w:r>
      <w:r w:rsidRPr="005F3E3F">
        <w:rPr>
          <w:rStyle w:val="FollowedHyperlink"/>
          <w:rFonts w:ascii="Arial" w:hAnsi="Arial" w:cs="Arial"/>
          <w:color w:val="auto"/>
        </w:rPr>
        <w:t xml:space="preserve"> </w:t>
      </w:r>
      <w:r>
        <w:rPr>
          <w:rStyle w:val="FollowedHyperlink"/>
          <w:rFonts w:ascii="Arial" w:hAnsi="Arial" w:cs="Arial"/>
          <w:color w:val="auto"/>
        </w:rPr>
        <w:t>S</w:t>
      </w:r>
      <w:r w:rsidRPr="005F3E3F">
        <w:rPr>
          <w:rStyle w:val="FollowedHyperlink"/>
          <w:rFonts w:ascii="Arial" w:hAnsi="Arial" w:cs="Arial"/>
          <w:color w:val="auto"/>
        </w:rPr>
        <w:t xml:space="preserve">upply </w:t>
      </w:r>
      <w:r w:rsidRPr="005F3E3F">
        <w:rPr>
          <w:rStyle w:val="Hyperlink"/>
        </w:rPr>
        <w:t>(</w:t>
      </w:r>
      <w:hyperlink r:id="rId13" w:history="1">
        <w:r>
          <w:rPr>
            <w:rStyle w:val="Hyperlink"/>
            <w:rFonts w:ascii="Arial" w:hAnsi="Arial" w:cs="Arial"/>
          </w:rPr>
          <w:t>https://www.eu-supply.com</w:t>
        </w:r>
      </w:hyperlink>
      <w:r w:rsidRPr="005F3E3F">
        <w:rPr>
          <w:rStyle w:val="Hyperlink"/>
        </w:rPr>
        <w:t>) -</w:t>
      </w:r>
      <w:hyperlink r:id="rId14" w:history="1">
        <w:r>
          <w:rPr>
            <w:rStyle w:val="Hyperlink"/>
            <w:rFonts w:ascii="Arial" w:hAnsi="Arial" w:cs="Arial"/>
          </w:rPr>
          <w:t>register online</w:t>
        </w:r>
      </w:hyperlink>
      <w:r>
        <w:rPr>
          <w:rFonts w:ascii="Arial" w:hAnsi="Arial" w:cs="Arial"/>
          <w:lang w:val="en"/>
        </w:rPr>
        <w:t xml:space="preserve">.  </w:t>
      </w:r>
      <w:r w:rsidRPr="005F3E3F">
        <w:rPr>
          <w:rStyle w:val="FollowedHyperlink"/>
          <w:rFonts w:ascii="Arial" w:hAnsi="Arial" w:cs="Arial"/>
          <w:color w:val="auto"/>
        </w:rPr>
        <w:t xml:space="preserve">See the link below for more information: </w:t>
      </w:r>
    </w:p>
    <w:p w14:paraId="37F10E3D" w14:textId="77777777" w:rsidR="005F3E3F" w:rsidRDefault="005F3E3F" w:rsidP="005F3E3F">
      <w:pPr>
        <w:pStyle w:val="Heading2"/>
        <w:rPr>
          <w:rStyle w:val="FollowedHyperlink"/>
          <w:rFonts w:ascii="Arial" w:hAnsi="Arial" w:cs="Arial"/>
          <w:b w:val="0"/>
          <w:bCs w:val="0"/>
          <w:sz w:val="24"/>
          <w:szCs w:val="24"/>
        </w:rPr>
      </w:pPr>
      <w:hyperlink r:id="rId15" w:history="1">
        <w:r>
          <w:rPr>
            <w:rStyle w:val="Hyperlink"/>
            <w:rFonts w:ascii="Arial" w:hAnsi="Arial" w:cs="Arial"/>
            <w:b w:val="0"/>
            <w:sz w:val="24"/>
            <w:szCs w:val="24"/>
            <w:lang w:val="en"/>
          </w:rPr>
          <w:t>www.camden.gov.uk/ccm/navigation/business/tenders-and-contracts/</w:t>
        </w:r>
      </w:hyperlink>
    </w:p>
    <w:p w14:paraId="35BC15CC" w14:textId="77777777" w:rsidR="005F3E3F" w:rsidRPr="005F3E3F" w:rsidRDefault="005F3E3F" w:rsidP="005F3E3F">
      <w:pPr>
        <w:pStyle w:val="Heading2"/>
        <w:rPr>
          <w:rStyle w:val="FollowedHyperlink"/>
          <w:rFonts w:ascii="Arial" w:hAnsi="Arial" w:cs="Arial"/>
          <w:b w:val="0"/>
          <w:bCs w:val="0"/>
          <w:color w:val="auto"/>
          <w:sz w:val="24"/>
          <w:szCs w:val="24"/>
        </w:rPr>
      </w:pPr>
      <w:r w:rsidRPr="005F3E3F">
        <w:rPr>
          <w:rStyle w:val="FollowedHyperlink"/>
          <w:rFonts w:ascii="Arial" w:hAnsi="Arial" w:cs="Arial"/>
          <w:b w:val="0"/>
          <w:bCs w:val="0"/>
          <w:color w:val="auto"/>
          <w:sz w:val="24"/>
          <w:szCs w:val="24"/>
        </w:rPr>
        <w:t>Tenders will also be advertised in on the following websites, please see links below:</w:t>
      </w:r>
    </w:p>
    <w:p w14:paraId="0B9D1292" w14:textId="77777777" w:rsidR="005F3E3F" w:rsidRDefault="005F3E3F" w:rsidP="005F3E3F">
      <w:pPr>
        <w:pStyle w:val="Heading2"/>
      </w:pPr>
      <w:hyperlink r:id="rId16" w:history="1">
        <w:r>
          <w:rPr>
            <w:rStyle w:val="Hyperlink"/>
            <w:rFonts w:ascii="Arial" w:hAnsi="Arial" w:cs="Arial"/>
            <w:b w:val="0"/>
            <w:sz w:val="24"/>
            <w:szCs w:val="24"/>
          </w:rPr>
          <w:t>www.competefor.com</w:t>
        </w:r>
      </w:hyperlink>
    </w:p>
    <w:p w14:paraId="23DE2E40" w14:textId="2A054025" w:rsidR="005F3E3F" w:rsidRDefault="005F3E3F" w:rsidP="005F3E3F">
      <w:hyperlink r:id="rId17" w:history="1">
        <w:r>
          <w:rPr>
            <w:rStyle w:val="Hyperlink"/>
            <w:rFonts w:ascii="Arial" w:hAnsi="Arial" w:cs="Arial"/>
          </w:rPr>
          <w:t>https://www.gov.uk/contracts-finder</w:t>
        </w:r>
      </w:hyperlink>
    </w:p>
    <w:p w14:paraId="267A8E0E" w14:textId="4A2B3CD8" w:rsidR="005F3E3F" w:rsidRDefault="005F3E3F" w:rsidP="005F3E3F"/>
    <w:p w14:paraId="77C9F9AA" w14:textId="1A7BEEBD" w:rsidR="002F0162" w:rsidRDefault="002F0162" w:rsidP="005F3E3F"/>
    <w:p w14:paraId="1F82856E" w14:textId="6D458C59" w:rsidR="002F0162" w:rsidRDefault="002F0162" w:rsidP="005F3E3F"/>
    <w:p w14:paraId="202625CC" w14:textId="7284D980" w:rsidR="002F0162" w:rsidRDefault="002F0162" w:rsidP="005F3E3F"/>
    <w:p w14:paraId="6D98EDE5" w14:textId="1EEB67B3" w:rsidR="002F0162" w:rsidRDefault="002F0162" w:rsidP="005F3E3F"/>
    <w:p w14:paraId="47F5FB18" w14:textId="42AEA2FB" w:rsidR="002F0162" w:rsidRDefault="002F0162" w:rsidP="005F3E3F"/>
    <w:p w14:paraId="40AF5A2A" w14:textId="77777777" w:rsidR="002F0162" w:rsidRDefault="002F0162" w:rsidP="005F3E3F"/>
    <w:p w14:paraId="1DA12478" w14:textId="77777777" w:rsidR="005F3E3F" w:rsidRDefault="005F3E3F" w:rsidP="005F3E3F">
      <w:pPr>
        <w:jc w:val="both"/>
        <w:rPr>
          <w:b/>
        </w:rPr>
      </w:pPr>
      <w:r>
        <w:rPr>
          <w:rFonts w:ascii="Arial" w:hAnsi="Arial" w:cs="Arial"/>
          <w:b/>
        </w:rPr>
        <w:lastRenderedPageBreak/>
        <w:t>Note</w:t>
      </w:r>
    </w:p>
    <w:p w14:paraId="4A00D38E" w14:textId="77777777" w:rsidR="005F3E3F" w:rsidRDefault="005F3E3F" w:rsidP="005F3E3F">
      <w:pPr>
        <w:jc w:val="both"/>
        <w:rPr>
          <w:rFonts w:ascii="Arial" w:hAnsi="Arial" w:cs="Arial"/>
          <w:b/>
        </w:rPr>
      </w:pPr>
    </w:p>
    <w:p w14:paraId="1CC0BEC3" w14:textId="77777777" w:rsidR="005F3E3F" w:rsidRDefault="005F3E3F" w:rsidP="005F3E3F">
      <w:pPr>
        <w:jc w:val="both"/>
        <w:rPr>
          <w:rFonts w:ascii="Arial" w:hAnsi="Arial" w:cs="Arial"/>
        </w:rPr>
      </w:pPr>
      <w:r>
        <w:rPr>
          <w:rFonts w:ascii="Arial" w:hAnsi="Arial" w:cs="Arial"/>
        </w:rPr>
        <w:t>Interested parties will not be prejudiced by any response or failure to respond to this soft market testing/sounding exercise. A response to this notice does not guarantee any invitation to participate in any future public procurement process that the Council may conduct.</w:t>
      </w:r>
    </w:p>
    <w:p w14:paraId="2962FFF4" w14:textId="77777777" w:rsidR="005F3E3F" w:rsidRDefault="005F3E3F" w:rsidP="005F3E3F">
      <w:pPr>
        <w:jc w:val="both"/>
        <w:rPr>
          <w:rFonts w:ascii="Arial" w:hAnsi="Arial" w:cs="Arial"/>
        </w:rPr>
      </w:pPr>
    </w:p>
    <w:p w14:paraId="5602078F" w14:textId="77777777" w:rsidR="005F3E3F" w:rsidRDefault="005F3E3F" w:rsidP="005F3E3F">
      <w:pPr>
        <w:jc w:val="both"/>
        <w:rPr>
          <w:rFonts w:ascii="Arial" w:hAnsi="Arial" w:cs="Arial"/>
        </w:rPr>
      </w:pPr>
      <w:r>
        <w:rPr>
          <w:rFonts w:ascii="Arial" w:hAnsi="Arial" w:cs="Arial"/>
        </w:rPr>
        <w:t>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will be carried out strictly in accordance with the provisions of the Public Contracts Regulations 2015.</w:t>
      </w:r>
    </w:p>
    <w:p w14:paraId="26E8E393" w14:textId="77777777" w:rsidR="005F3E3F" w:rsidRDefault="005F3E3F" w:rsidP="005F3E3F">
      <w:pPr>
        <w:jc w:val="both"/>
        <w:rPr>
          <w:rFonts w:ascii="Arial" w:hAnsi="Arial" w:cs="Arial"/>
        </w:rPr>
      </w:pPr>
    </w:p>
    <w:p w14:paraId="4F6F4416" w14:textId="77777777" w:rsidR="005F3E3F" w:rsidRDefault="005F3E3F" w:rsidP="005F3E3F">
      <w:pPr>
        <w:jc w:val="both"/>
        <w:rPr>
          <w:rFonts w:ascii="Arial" w:hAnsi="Arial" w:cs="Arial"/>
        </w:rPr>
      </w:pPr>
      <w:r>
        <w:rPr>
          <w:rFonts w:ascii="Arial" w:hAnsi="Arial" w:cs="Arial"/>
        </w:rPr>
        <w:t xml:space="preserve">Any responses provided will </w:t>
      </w:r>
      <w:r>
        <w:rPr>
          <w:rFonts w:ascii="Arial" w:hAnsi="Arial" w:cs="Arial"/>
          <w:u w:val="single"/>
        </w:rPr>
        <w:t>not</w:t>
      </w:r>
      <w:r>
        <w:rPr>
          <w:rFonts w:ascii="Arial" w:hAnsi="Arial" w:cs="Arial"/>
        </w:rPr>
        <w:t xml:space="preserve"> be treated as commercially confidential and may be used by the Council in the final service specifications used for the contracts but no organisation will be individually identified.</w:t>
      </w:r>
    </w:p>
    <w:p w14:paraId="7A93D6FB" w14:textId="77777777" w:rsidR="005F3E3F" w:rsidRDefault="005F3E3F" w:rsidP="005F3E3F">
      <w:pPr>
        <w:pStyle w:val="Heading2"/>
        <w:rPr>
          <w:rFonts w:ascii="Arial" w:hAnsi="Arial" w:cs="Arial"/>
          <w:sz w:val="24"/>
          <w:szCs w:val="24"/>
          <w:u w:val="single"/>
        </w:rPr>
      </w:pPr>
    </w:p>
    <w:p w14:paraId="14AB56F8" w14:textId="77777777" w:rsidR="005F3E3F" w:rsidRDefault="005F3E3F" w:rsidP="005F3E3F">
      <w:pPr>
        <w:pStyle w:val="Heading2"/>
        <w:rPr>
          <w:rFonts w:ascii="Arial" w:hAnsi="Arial" w:cs="Arial"/>
          <w:sz w:val="24"/>
          <w:szCs w:val="24"/>
          <w:u w:val="single"/>
        </w:rPr>
      </w:pPr>
    </w:p>
    <w:p w14:paraId="0C341E45" w14:textId="77777777" w:rsidR="005F3E3F" w:rsidRDefault="005F3E3F" w:rsidP="005F3E3F">
      <w:pPr>
        <w:rPr>
          <w:rFonts w:ascii="Arial" w:hAnsi="Arial" w:cs="Arial"/>
        </w:rPr>
      </w:pPr>
    </w:p>
    <w:p w14:paraId="4C0EB32F" w14:textId="77777777" w:rsidR="002A0C66" w:rsidRPr="007F1634" w:rsidRDefault="002A0C66" w:rsidP="002A0C66">
      <w:pPr>
        <w:rPr>
          <w:rFonts w:ascii="Arial" w:hAnsi="Arial" w:cs="Arial"/>
        </w:rPr>
      </w:pPr>
    </w:p>
    <w:p w14:paraId="58DB41FF" w14:textId="77777777" w:rsidR="003F720B" w:rsidRDefault="003F720B" w:rsidP="002A0C66">
      <w:pPr>
        <w:pStyle w:val="Heading2"/>
        <w:rPr>
          <w:rFonts w:ascii="Arial" w:hAnsi="Arial" w:cs="Arial"/>
          <w:sz w:val="24"/>
          <w:szCs w:val="24"/>
          <w:u w:val="single"/>
        </w:rPr>
      </w:pPr>
    </w:p>
    <w:p w14:paraId="6E7FB26B" w14:textId="77777777" w:rsidR="002A0C66" w:rsidRPr="007F1634" w:rsidRDefault="002A0C66" w:rsidP="002A0C66">
      <w:pPr>
        <w:pStyle w:val="Heading2"/>
        <w:rPr>
          <w:rFonts w:ascii="Arial" w:hAnsi="Arial" w:cs="Arial"/>
          <w:sz w:val="24"/>
          <w:szCs w:val="24"/>
          <w:u w:val="single"/>
        </w:rPr>
      </w:pPr>
    </w:p>
    <w:p w14:paraId="33ECAA75" w14:textId="77777777" w:rsidR="002A0C66" w:rsidRPr="007F1634" w:rsidRDefault="002A0C66" w:rsidP="002A0C66">
      <w:pPr>
        <w:rPr>
          <w:rFonts w:ascii="Arial" w:hAnsi="Arial" w:cs="Arial"/>
        </w:rPr>
      </w:pPr>
    </w:p>
    <w:p w14:paraId="19542073" w14:textId="77777777" w:rsidR="00127F6D" w:rsidRPr="007F1634" w:rsidRDefault="00127F6D" w:rsidP="002A0C66">
      <w:pPr>
        <w:jc w:val="right"/>
        <w:rPr>
          <w:rFonts w:ascii="Arial" w:hAnsi="Arial" w:cs="Arial"/>
        </w:rPr>
      </w:pPr>
    </w:p>
    <w:sectPr w:rsidR="00127F6D" w:rsidRPr="007F16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7E82"/>
    <w:multiLevelType w:val="hybridMultilevel"/>
    <w:tmpl w:val="50D0BD5E"/>
    <w:lvl w:ilvl="0" w:tplc="E3F838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11D9B"/>
    <w:multiLevelType w:val="multilevel"/>
    <w:tmpl w:val="A2F4F11C"/>
    <w:lvl w:ilvl="0">
      <w:start w:val="1"/>
      <w:numFmt w:val="decimal"/>
      <w:lvlText w:val="%1"/>
      <w:lvlJc w:val="left"/>
      <w:pPr>
        <w:ind w:left="360" w:hanging="360"/>
      </w:pPr>
      <w:rPr>
        <w:rFonts w:ascii="Arial" w:hAnsi="Arial" w:cs="Arial" w:hint="default"/>
      </w:rPr>
    </w:lvl>
    <w:lvl w:ilvl="1">
      <w:start w:val="1"/>
      <w:numFmt w:val="decimal"/>
      <w:lvlText w:val="%1.%2"/>
      <w:lvlJc w:val="left"/>
      <w:pPr>
        <w:ind w:left="502" w:hanging="36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6C108E"/>
    <w:multiLevelType w:val="multilevel"/>
    <w:tmpl w:val="64E652F8"/>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8558E0"/>
    <w:multiLevelType w:val="hybridMultilevel"/>
    <w:tmpl w:val="978A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925DC"/>
    <w:multiLevelType w:val="hybridMultilevel"/>
    <w:tmpl w:val="82604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769D8"/>
    <w:multiLevelType w:val="hybridMultilevel"/>
    <w:tmpl w:val="B38ED9F6"/>
    <w:lvl w:ilvl="0" w:tplc="45D0B7A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01F0D"/>
    <w:multiLevelType w:val="hybridMultilevel"/>
    <w:tmpl w:val="78E6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D4BB0"/>
    <w:multiLevelType w:val="hybridMultilevel"/>
    <w:tmpl w:val="D53CE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8148F2"/>
    <w:multiLevelType w:val="hybridMultilevel"/>
    <w:tmpl w:val="D88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12086"/>
    <w:multiLevelType w:val="hybridMultilevel"/>
    <w:tmpl w:val="EA94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B373E"/>
    <w:multiLevelType w:val="hybridMultilevel"/>
    <w:tmpl w:val="033C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B302C"/>
    <w:multiLevelType w:val="hybridMultilevel"/>
    <w:tmpl w:val="8A263E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0D1003"/>
    <w:multiLevelType w:val="hybridMultilevel"/>
    <w:tmpl w:val="026E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E509A"/>
    <w:multiLevelType w:val="hybridMultilevel"/>
    <w:tmpl w:val="AB4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70DED"/>
    <w:multiLevelType w:val="hybridMultilevel"/>
    <w:tmpl w:val="CDBC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52188"/>
    <w:multiLevelType w:val="hybridMultilevel"/>
    <w:tmpl w:val="3192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245E00"/>
    <w:multiLevelType w:val="hybridMultilevel"/>
    <w:tmpl w:val="F42001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1"/>
  </w:num>
  <w:num w:numId="4">
    <w:abstractNumId w:val="2"/>
  </w:num>
  <w:num w:numId="5">
    <w:abstractNumId w:val="5"/>
  </w:num>
  <w:num w:numId="6">
    <w:abstractNumId w:val="4"/>
  </w:num>
  <w:num w:numId="7">
    <w:abstractNumId w:val="6"/>
  </w:num>
  <w:num w:numId="8">
    <w:abstractNumId w:val="7"/>
  </w:num>
  <w:num w:numId="9">
    <w:abstractNumId w:val="3"/>
  </w:num>
  <w:num w:numId="10">
    <w:abstractNumId w:val="15"/>
  </w:num>
  <w:num w:numId="11">
    <w:abstractNumId w:val="12"/>
  </w:num>
  <w:num w:numId="12">
    <w:abstractNumId w:val="8"/>
  </w:num>
  <w:num w:numId="13">
    <w:abstractNumId w:val="10"/>
  </w:num>
  <w:num w:numId="14">
    <w:abstractNumId w:val="1"/>
  </w:num>
  <w:num w:numId="15">
    <w:abstractNumId w:val="9"/>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8D"/>
    <w:rsid w:val="00011E9B"/>
    <w:rsid w:val="00020148"/>
    <w:rsid w:val="00026D0E"/>
    <w:rsid w:val="00045BF1"/>
    <w:rsid w:val="00070549"/>
    <w:rsid w:val="0007123D"/>
    <w:rsid w:val="000C1770"/>
    <w:rsid w:val="000E4CB3"/>
    <w:rsid w:val="000F1A09"/>
    <w:rsid w:val="000F2821"/>
    <w:rsid w:val="00127F6D"/>
    <w:rsid w:val="001C577C"/>
    <w:rsid w:val="001F7E61"/>
    <w:rsid w:val="002A0C66"/>
    <w:rsid w:val="002A2717"/>
    <w:rsid w:val="002E5E57"/>
    <w:rsid w:val="002F0162"/>
    <w:rsid w:val="002F1BAE"/>
    <w:rsid w:val="002F7E67"/>
    <w:rsid w:val="00367167"/>
    <w:rsid w:val="003B384D"/>
    <w:rsid w:val="003D32F0"/>
    <w:rsid w:val="003E623C"/>
    <w:rsid w:val="003F60D4"/>
    <w:rsid w:val="003F720B"/>
    <w:rsid w:val="004015A4"/>
    <w:rsid w:val="00445C2C"/>
    <w:rsid w:val="0045076D"/>
    <w:rsid w:val="00494879"/>
    <w:rsid w:val="004C4179"/>
    <w:rsid w:val="004D77F1"/>
    <w:rsid w:val="004E4F15"/>
    <w:rsid w:val="00563615"/>
    <w:rsid w:val="00564DA4"/>
    <w:rsid w:val="00572F7E"/>
    <w:rsid w:val="005F2B45"/>
    <w:rsid w:val="005F3E3F"/>
    <w:rsid w:val="006011CA"/>
    <w:rsid w:val="00604875"/>
    <w:rsid w:val="00607D03"/>
    <w:rsid w:val="00610C8E"/>
    <w:rsid w:val="00624B51"/>
    <w:rsid w:val="00630AA4"/>
    <w:rsid w:val="00643DDD"/>
    <w:rsid w:val="006875B4"/>
    <w:rsid w:val="00696B84"/>
    <w:rsid w:val="006B4726"/>
    <w:rsid w:val="006C57E4"/>
    <w:rsid w:val="00706A5A"/>
    <w:rsid w:val="007326A8"/>
    <w:rsid w:val="00736913"/>
    <w:rsid w:val="00754D63"/>
    <w:rsid w:val="00754FED"/>
    <w:rsid w:val="007D7153"/>
    <w:rsid w:val="007F05F4"/>
    <w:rsid w:val="007F1634"/>
    <w:rsid w:val="00824A36"/>
    <w:rsid w:val="008346A6"/>
    <w:rsid w:val="0084562B"/>
    <w:rsid w:val="008542F2"/>
    <w:rsid w:val="00867DBE"/>
    <w:rsid w:val="00884340"/>
    <w:rsid w:val="008C5E5B"/>
    <w:rsid w:val="009216C3"/>
    <w:rsid w:val="00947A35"/>
    <w:rsid w:val="00993579"/>
    <w:rsid w:val="009C0128"/>
    <w:rsid w:val="009E7EB1"/>
    <w:rsid w:val="00A168F4"/>
    <w:rsid w:val="00A22498"/>
    <w:rsid w:val="00A7261B"/>
    <w:rsid w:val="00AA16AC"/>
    <w:rsid w:val="00AB5599"/>
    <w:rsid w:val="00AB7D8D"/>
    <w:rsid w:val="00AF07F0"/>
    <w:rsid w:val="00AF5E54"/>
    <w:rsid w:val="00B173CE"/>
    <w:rsid w:val="00B1788B"/>
    <w:rsid w:val="00B24A64"/>
    <w:rsid w:val="00B27460"/>
    <w:rsid w:val="00B3064F"/>
    <w:rsid w:val="00B43770"/>
    <w:rsid w:val="00B56870"/>
    <w:rsid w:val="00B6428E"/>
    <w:rsid w:val="00B80E24"/>
    <w:rsid w:val="00BD698B"/>
    <w:rsid w:val="00BF08C2"/>
    <w:rsid w:val="00C03CEA"/>
    <w:rsid w:val="00C5498A"/>
    <w:rsid w:val="00C60CA9"/>
    <w:rsid w:val="00C64BCC"/>
    <w:rsid w:val="00C710EB"/>
    <w:rsid w:val="00C97492"/>
    <w:rsid w:val="00CB1F6A"/>
    <w:rsid w:val="00CE2909"/>
    <w:rsid w:val="00D06FD6"/>
    <w:rsid w:val="00D518AB"/>
    <w:rsid w:val="00DF70BF"/>
    <w:rsid w:val="00E051CA"/>
    <w:rsid w:val="00E17B4B"/>
    <w:rsid w:val="00E20D44"/>
    <w:rsid w:val="00E73826"/>
    <w:rsid w:val="00E918BE"/>
    <w:rsid w:val="00EA3D91"/>
    <w:rsid w:val="00EC6E4E"/>
    <w:rsid w:val="00EE5E2D"/>
    <w:rsid w:val="00EE708C"/>
    <w:rsid w:val="00F46C9D"/>
    <w:rsid w:val="00F53239"/>
    <w:rsid w:val="00F57DA4"/>
    <w:rsid w:val="00F94B40"/>
    <w:rsid w:val="00FA710B"/>
    <w:rsid w:val="00FD0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049EC"/>
  <w15:chartTrackingRefBased/>
  <w15:docId w15:val="{A47AA20F-86CE-4587-8C19-ED1E7EBB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qFormat/>
    <w:rsid w:val="00127F6D"/>
    <w:pPr>
      <w:spacing w:before="240" w:after="240"/>
      <w:outlineLvl w:val="1"/>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696B84"/>
    <w:pPr>
      <w:spacing w:after="160" w:line="240" w:lineRule="exact"/>
    </w:pPr>
    <w:rPr>
      <w:rFonts w:ascii="Verdana" w:hAnsi="Verdana"/>
      <w:sz w:val="20"/>
      <w:szCs w:val="20"/>
      <w:lang w:val="en-US" w:eastAsia="en-US"/>
    </w:rPr>
  </w:style>
  <w:style w:type="paragraph" w:customStyle="1" w:styleId="CharChar2">
    <w:name w:val="Char Char2"/>
    <w:basedOn w:val="Normal"/>
    <w:rsid w:val="00696B84"/>
    <w:pPr>
      <w:spacing w:after="160" w:line="240" w:lineRule="exact"/>
    </w:pPr>
    <w:rPr>
      <w:rFonts w:ascii="Verdana" w:hAnsi="Verdana"/>
      <w:sz w:val="20"/>
      <w:szCs w:val="20"/>
      <w:lang w:val="en-US" w:eastAsia="en-US"/>
    </w:rPr>
  </w:style>
  <w:style w:type="table" w:styleId="TableGrid">
    <w:name w:val="Table Grid"/>
    <w:basedOn w:val="TableNormal"/>
    <w:rsid w:val="0069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562B"/>
    <w:rPr>
      <w:color w:val="0000FF"/>
      <w:u w:val="single"/>
    </w:rPr>
  </w:style>
  <w:style w:type="paragraph" w:customStyle="1" w:styleId="B1">
    <w:name w:val="B1"/>
    <w:basedOn w:val="Normal"/>
    <w:rsid w:val="00947A35"/>
    <w:pPr>
      <w:keepNext/>
      <w:numPr>
        <w:numId w:val="4"/>
      </w:numPr>
      <w:spacing w:before="120" w:after="120"/>
      <w:jc w:val="both"/>
      <w:outlineLvl w:val="0"/>
    </w:pPr>
    <w:rPr>
      <w:rFonts w:ascii="Palatino Linotype" w:hAnsi="Palatino Linotype"/>
      <w:b/>
      <w:smallCaps/>
      <w:sz w:val="22"/>
      <w:lang w:eastAsia="en-US"/>
    </w:rPr>
  </w:style>
  <w:style w:type="paragraph" w:customStyle="1" w:styleId="B2">
    <w:name w:val="B2"/>
    <w:basedOn w:val="B1"/>
    <w:rsid w:val="00947A35"/>
    <w:pPr>
      <w:keepNext w:val="0"/>
      <w:numPr>
        <w:ilvl w:val="1"/>
      </w:numPr>
      <w:outlineLvl w:val="1"/>
    </w:pPr>
    <w:rPr>
      <w:b w:val="0"/>
      <w:smallCaps w:val="0"/>
    </w:rPr>
  </w:style>
  <w:style w:type="paragraph" w:customStyle="1" w:styleId="B3">
    <w:name w:val="B3"/>
    <w:basedOn w:val="B2"/>
    <w:rsid w:val="00947A35"/>
    <w:pPr>
      <w:numPr>
        <w:ilvl w:val="2"/>
      </w:numPr>
      <w:outlineLvl w:val="2"/>
    </w:pPr>
  </w:style>
  <w:style w:type="paragraph" w:customStyle="1" w:styleId="B4">
    <w:name w:val="B4"/>
    <w:basedOn w:val="B3"/>
    <w:rsid w:val="00947A35"/>
    <w:pPr>
      <w:numPr>
        <w:ilvl w:val="3"/>
      </w:numPr>
      <w:outlineLvl w:val="3"/>
    </w:pPr>
  </w:style>
  <w:style w:type="paragraph" w:customStyle="1" w:styleId="B5">
    <w:name w:val="B5"/>
    <w:basedOn w:val="B4"/>
    <w:rsid w:val="00947A35"/>
    <w:pPr>
      <w:numPr>
        <w:ilvl w:val="4"/>
      </w:numPr>
      <w:outlineLvl w:val="4"/>
    </w:pPr>
  </w:style>
  <w:style w:type="paragraph" w:styleId="BalloonText">
    <w:name w:val="Balloon Text"/>
    <w:basedOn w:val="Normal"/>
    <w:semiHidden/>
    <w:rsid w:val="00EE5E2D"/>
    <w:rPr>
      <w:rFonts w:ascii="Tahoma" w:hAnsi="Tahoma" w:cs="Tahoma"/>
      <w:sz w:val="16"/>
      <w:szCs w:val="16"/>
    </w:rPr>
  </w:style>
  <w:style w:type="character" w:styleId="FollowedHyperlink">
    <w:name w:val="FollowedHyperlink"/>
    <w:rsid w:val="00127F6D"/>
    <w:rPr>
      <w:color w:val="800080"/>
      <w:u w:val="single"/>
    </w:rPr>
  </w:style>
  <w:style w:type="paragraph" w:styleId="NormalWeb">
    <w:name w:val="Normal (Web)"/>
    <w:basedOn w:val="Normal"/>
    <w:rsid w:val="00127F6D"/>
    <w:pPr>
      <w:spacing w:before="100" w:beforeAutospacing="1" w:after="100" w:afterAutospacing="1"/>
    </w:pPr>
    <w:rPr>
      <w:sz w:val="22"/>
      <w:szCs w:val="22"/>
    </w:rPr>
  </w:style>
  <w:style w:type="character" w:styleId="CommentReference">
    <w:name w:val="annotation reference"/>
    <w:semiHidden/>
    <w:rsid w:val="00DF70BF"/>
    <w:rPr>
      <w:sz w:val="16"/>
      <w:szCs w:val="16"/>
    </w:rPr>
  </w:style>
  <w:style w:type="paragraph" w:styleId="CommentText">
    <w:name w:val="annotation text"/>
    <w:basedOn w:val="Normal"/>
    <w:semiHidden/>
    <w:rsid w:val="00DF70BF"/>
    <w:rPr>
      <w:sz w:val="20"/>
      <w:szCs w:val="20"/>
    </w:rPr>
  </w:style>
  <w:style w:type="paragraph" w:styleId="CommentSubject">
    <w:name w:val="annotation subject"/>
    <w:basedOn w:val="CommentText"/>
    <w:next w:val="CommentText"/>
    <w:semiHidden/>
    <w:rsid w:val="00DF70BF"/>
    <w:rPr>
      <w:b/>
      <w:bCs/>
    </w:rPr>
  </w:style>
  <w:style w:type="paragraph" w:customStyle="1" w:styleId="Default">
    <w:name w:val="Default"/>
    <w:rsid w:val="00045BF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B384D"/>
    <w:pPr>
      <w:ind w:left="720"/>
    </w:pPr>
    <w:rPr>
      <w:lang w:eastAsia="en-US"/>
    </w:rPr>
  </w:style>
  <w:style w:type="table" w:styleId="GridTable1Light">
    <w:name w:val="Grid Table 1 Light"/>
    <w:basedOn w:val="TableNormal"/>
    <w:uiPriority w:val="46"/>
    <w:rsid w:val="00AA16AC"/>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uiPriority w:val="99"/>
    <w:unhideWhenUsed/>
    <w:rsid w:val="00754D63"/>
    <w:rPr>
      <w:i/>
      <w:iCs/>
    </w:rPr>
  </w:style>
  <w:style w:type="paragraph" w:styleId="Revision">
    <w:name w:val="Revision"/>
    <w:hidden/>
    <w:uiPriority w:val="99"/>
    <w:semiHidden/>
    <w:rsid w:val="00EA3D91"/>
    <w:rPr>
      <w:sz w:val="24"/>
      <w:szCs w:val="24"/>
    </w:rPr>
  </w:style>
  <w:style w:type="character" w:customStyle="1" w:styleId="Heading2Char">
    <w:name w:val="Heading 2 Char"/>
    <w:basedOn w:val="DefaultParagraphFont"/>
    <w:link w:val="Heading2"/>
    <w:rsid w:val="005F3E3F"/>
    <w:rPr>
      <w:b/>
      <w:bCs/>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0362">
      <w:bodyDiv w:val="1"/>
      <w:marLeft w:val="0"/>
      <w:marRight w:val="0"/>
      <w:marTop w:val="0"/>
      <w:marBottom w:val="0"/>
      <w:divBdr>
        <w:top w:val="none" w:sz="0" w:space="0" w:color="auto"/>
        <w:left w:val="none" w:sz="0" w:space="0" w:color="auto"/>
        <w:bottom w:val="none" w:sz="0" w:space="0" w:color="auto"/>
        <w:right w:val="none" w:sz="0" w:space="0" w:color="auto"/>
      </w:divBdr>
      <w:divsChild>
        <w:div w:id="395593219">
          <w:marLeft w:val="0"/>
          <w:marRight w:val="0"/>
          <w:marTop w:val="0"/>
          <w:marBottom w:val="0"/>
          <w:divBdr>
            <w:top w:val="none" w:sz="0" w:space="0" w:color="auto"/>
            <w:left w:val="none" w:sz="0" w:space="0" w:color="auto"/>
            <w:bottom w:val="none" w:sz="0" w:space="0" w:color="auto"/>
            <w:right w:val="none" w:sz="0" w:space="0" w:color="auto"/>
          </w:divBdr>
          <w:divsChild>
            <w:div w:id="83914677">
              <w:marLeft w:val="0"/>
              <w:marRight w:val="0"/>
              <w:marTop w:val="0"/>
              <w:marBottom w:val="0"/>
              <w:divBdr>
                <w:top w:val="none" w:sz="0" w:space="0" w:color="auto"/>
                <w:left w:val="none" w:sz="0" w:space="0" w:color="auto"/>
                <w:bottom w:val="none" w:sz="0" w:space="0" w:color="auto"/>
                <w:right w:val="none" w:sz="0" w:space="0" w:color="auto"/>
              </w:divBdr>
              <w:divsChild>
                <w:div w:id="759911970">
                  <w:marLeft w:val="0"/>
                  <w:marRight w:val="0"/>
                  <w:marTop w:val="0"/>
                  <w:marBottom w:val="0"/>
                  <w:divBdr>
                    <w:top w:val="none" w:sz="0" w:space="0" w:color="auto"/>
                    <w:left w:val="none" w:sz="0" w:space="0" w:color="auto"/>
                    <w:bottom w:val="none" w:sz="0" w:space="0" w:color="auto"/>
                    <w:right w:val="none" w:sz="0" w:space="0" w:color="auto"/>
                  </w:divBdr>
                  <w:divsChild>
                    <w:div w:id="240992055">
                      <w:marLeft w:val="0"/>
                      <w:marRight w:val="0"/>
                      <w:marTop w:val="45"/>
                      <w:marBottom w:val="0"/>
                      <w:divBdr>
                        <w:top w:val="none" w:sz="0" w:space="0" w:color="auto"/>
                        <w:left w:val="none" w:sz="0" w:space="0" w:color="auto"/>
                        <w:bottom w:val="none" w:sz="0" w:space="0" w:color="auto"/>
                        <w:right w:val="none" w:sz="0" w:space="0" w:color="auto"/>
                      </w:divBdr>
                      <w:divsChild>
                        <w:div w:id="1673726176">
                          <w:marLeft w:val="0"/>
                          <w:marRight w:val="0"/>
                          <w:marTop w:val="0"/>
                          <w:marBottom w:val="0"/>
                          <w:divBdr>
                            <w:top w:val="none" w:sz="0" w:space="0" w:color="auto"/>
                            <w:left w:val="none" w:sz="0" w:space="0" w:color="auto"/>
                            <w:bottom w:val="none" w:sz="0" w:space="0" w:color="auto"/>
                            <w:right w:val="none" w:sz="0" w:space="0" w:color="auto"/>
                          </w:divBdr>
                          <w:divsChild>
                            <w:div w:id="1101991836">
                              <w:marLeft w:val="2070"/>
                              <w:marRight w:val="3960"/>
                              <w:marTop w:val="0"/>
                              <w:marBottom w:val="0"/>
                              <w:divBdr>
                                <w:top w:val="none" w:sz="0" w:space="0" w:color="auto"/>
                                <w:left w:val="none" w:sz="0" w:space="0" w:color="auto"/>
                                <w:bottom w:val="none" w:sz="0" w:space="0" w:color="auto"/>
                                <w:right w:val="none" w:sz="0" w:space="0" w:color="auto"/>
                              </w:divBdr>
                              <w:divsChild>
                                <w:div w:id="804742323">
                                  <w:marLeft w:val="0"/>
                                  <w:marRight w:val="0"/>
                                  <w:marTop w:val="0"/>
                                  <w:marBottom w:val="0"/>
                                  <w:divBdr>
                                    <w:top w:val="none" w:sz="0" w:space="0" w:color="auto"/>
                                    <w:left w:val="none" w:sz="0" w:space="0" w:color="auto"/>
                                    <w:bottom w:val="none" w:sz="0" w:space="0" w:color="auto"/>
                                    <w:right w:val="none" w:sz="0" w:space="0" w:color="auto"/>
                                  </w:divBdr>
                                  <w:divsChild>
                                    <w:div w:id="43019356">
                                      <w:marLeft w:val="0"/>
                                      <w:marRight w:val="0"/>
                                      <w:marTop w:val="0"/>
                                      <w:marBottom w:val="0"/>
                                      <w:divBdr>
                                        <w:top w:val="none" w:sz="0" w:space="0" w:color="auto"/>
                                        <w:left w:val="none" w:sz="0" w:space="0" w:color="auto"/>
                                        <w:bottom w:val="none" w:sz="0" w:space="0" w:color="auto"/>
                                        <w:right w:val="none" w:sz="0" w:space="0" w:color="auto"/>
                                      </w:divBdr>
                                      <w:divsChild>
                                        <w:div w:id="1480031080">
                                          <w:marLeft w:val="0"/>
                                          <w:marRight w:val="0"/>
                                          <w:marTop w:val="0"/>
                                          <w:marBottom w:val="0"/>
                                          <w:divBdr>
                                            <w:top w:val="none" w:sz="0" w:space="0" w:color="auto"/>
                                            <w:left w:val="none" w:sz="0" w:space="0" w:color="auto"/>
                                            <w:bottom w:val="none" w:sz="0" w:space="0" w:color="auto"/>
                                            <w:right w:val="none" w:sz="0" w:space="0" w:color="auto"/>
                                          </w:divBdr>
                                          <w:divsChild>
                                            <w:div w:id="85155615">
                                              <w:marLeft w:val="0"/>
                                              <w:marRight w:val="0"/>
                                              <w:marTop w:val="90"/>
                                              <w:marBottom w:val="0"/>
                                              <w:divBdr>
                                                <w:top w:val="none" w:sz="0" w:space="0" w:color="auto"/>
                                                <w:left w:val="none" w:sz="0" w:space="0" w:color="auto"/>
                                                <w:bottom w:val="none" w:sz="0" w:space="0" w:color="auto"/>
                                                <w:right w:val="none" w:sz="0" w:space="0" w:color="auto"/>
                                              </w:divBdr>
                                              <w:divsChild>
                                                <w:div w:id="840434948">
                                                  <w:marLeft w:val="0"/>
                                                  <w:marRight w:val="0"/>
                                                  <w:marTop w:val="0"/>
                                                  <w:marBottom w:val="0"/>
                                                  <w:divBdr>
                                                    <w:top w:val="none" w:sz="0" w:space="0" w:color="auto"/>
                                                    <w:left w:val="none" w:sz="0" w:space="0" w:color="auto"/>
                                                    <w:bottom w:val="none" w:sz="0" w:space="0" w:color="auto"/>
                                                    <w:right w:val="none" w:sz="0" w:space="0" w:color="auto"/>
                                                  </w:divBdr>
                                                  <w:divsChild>
                                                    <w:div w:id="462117709">
                                                      <w:marLeft w:val="0"/>
                                                      <w:marRight w:val="0"/>
                                                      <w:marTop w:val="0"/>
                                                      <w:marBottom w:val="0"/>
                                                      <w:divBdr>
                                                        <w:top w:val="none" w:sz="0" w:space="0" w:color="auto"/>
                                                        <w:left w:val="none" w:sz="0" w:space="0" w:color="auto"/>
                                                        <w:bottom w:val="none" w:sz="0" w:space="0" w:color="auto"/>
                                                        <w:right w:val="none" w:sz="0" w:space="0" w:color="auto"/>
                                                      </w:divBdr>
                                                      <w:divsChild>
                                                        <w:div w:id="1083723665">
                                                          <w:marLeft w:val="0"/>
                                                          <w:marRight w:val="0"/>
                                                          <w:marTop w:val="0"/>
                                                          <w:marBottom w:val="0"/>
                                                          <w:divBdr>
                                                            <w:top w:val="none" w:sz="0" w:space="0" w:color="auto"/>
                                                            <w:left w:val="none" w:sz="0" w:space="0" w:color="auto"/>
                                                            <w:bottom w:val="none" w:sz="0" w:space="0" w:color="auto"/>
                                                            <w:right w:val="none" w:sz="0" w:space="0" w:color="auto"/>
                                                          </w:divBdr>
                                                          <w:divsChild>
                                                            <w:div w:id="2101945905">
                                                              <w:marLeft w:val="0"/>
                                                              <w:marRight w:val="0"/>
                                                              <w:marTop w:val="0"/>
                                                              <w:marBottom w:val="390"/>
                                                              <w:divBdr>
                                                                <w:top w:val="none" w:sz="0" w:space="0" w:color="auto"/>
                                                                <w:left w:val="none" w:sz="0" w:space="0" w:color="auto"/>
                                                                <w:bottom w:val="none" w:sz="0" w:space="0" w:color="auto"/>
                                                                <w:right w:val="none" w:sz="0" w:space="0" w:color="auto"/>
                                                              </w:divBdr>
                                                              <w:divsChild>
                                                                <w:div w:id="1727604772">
                                                                  <w:marLeft w:val="0"/>
                                                                  <w:marRight w:val="0"/>
                                                                  <w:marTop w:val="0"/>
                                                                  <w:marBottom w:val="0"/>
                                                                  <w:divBdr>
                                                                    <w:top w:val="none" w:sz="0" w:space="0" w:color="auto"/>
                                                                    <w:left w:val="none" w:sz="0" w:space="0" w:color="auto"/>
                                                                    <w:bottom w:val="none" w:sz="0" w:space="0" w:color="auto"/>
                                                                    <w:right w:val="none" w:sz="0" w:space="0" w:color="auto"/>
                                                                  </w:divBdr>
                                                                  <w:divsChild>
                                                                    <w:div w:id="608590840">
                                                                      <w:marLeft w:val="0"/>
                                                                      <w:marRight w:val="0"/>
                                                                      <w:marTop w:val="0"/>
                                                                      <w:marBottom w:val="0"/>
                                                                      <w:divBdr>
                                                                        <w:top w:val="none" w:sz="0" w:space="0" w:color="auto"/>
                                                                        <w:left w:val="none" w:sz="0" w:space="0" w:color="auto"/>
                                                                        <w:bottom w:val="none" w:sz="0" w:space="0" w:color="auto"/>
                                                                        <w:right w:val="none" w:sz="0" w:space="0" w:color="auto"/>
                                                                      </w:divBdr>
                                                                      <w:divsChild>
                                                                        <w:div w:id="152183798">
                                                                          <w:marLeft w:val="0"/>
                                                                          <w:marRight w:val="0"/>
                                                                          <w:marTop w:val="0"/>
                                                                          <w:marBottom w:val="0"/>
                                                                          <w:divBdr>
                                                                            <w:top w:val="none" w:sz="0" w:space="0" w:color="auto"/>
                                                                            <w:left w:val="none" w:sz="0" w:space="0" w:color="auto"/>
                                                                            <w:bottom w:val="none" w:sz="0" w:space="0" w:color="auto"/>
                                                                            <w:right w:val="none" w:sz="0" w:space="0" w:color="auto"/>
                                                                          </w:divBdr>
                                                                          <w:divsChild>
                                                                            <w:div w:id="643706697">
                                                                              <w:marLeft w:val="0"/>
                                                                              <w:marRight w:val="0"/>
                                                                              <w:marTop w:val="0"/>
                                                                              <w:marBottom w:val="0"/>
                                                                              <w:divBdr>
                                                                                <w:top w:val="none" w:sz="0" w:space="0" w:color="auto"/>
                                                                                <w:left w:val="none" w:sz="0" w:space="0" w:color="auto"/>
                                                                                <w:bottom w:val="none" w:sz="0" w:space="0" w:color="auto"/>
                                                                                <w:right w:val="none" w:sz="0" w:space="0" w:color="auto"/>
                                                                              </w:divBdr>
                                                                              <w:divsChild>
                                                                                <w:div w:id="16656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u-suppl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Jennie.mackeith@camden.gov.uk" TargetMode="External"/><Relationship Id="rId17" Type="http://schemas.openxmlformats.org/officeDocument/2006/relationships/hyperlink" Target="https://www.gov.uk/contracts-finder" TargetMode="External"/><Relationship Id="rId2" Type="http://schemas.openxmlformats.org/officeDocument/2006/relationships/customXml" Target="../customXml/item2.xml"/><Relationship Id="rId16" Type="http://schemas.openxmlformats.org/officeDocument/2006/relationships/hyperlink" Target="http://www.competefor.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camden.gov.uk/ccm/navigation/business/tenders-and-contract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bcamden.eu-supply.com/pub/registercompany.asp?OID=1&amp;B=LBCA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Project_x0020_Owner xmlns="8756915e-0fdd-47d2-aaca-8999b2757507">
      <UserInfo>
        <DisplayName/>
        <AccountId>822</AccountId>
        <AccountType/>
      </UserInfo>
    </Project_x0020_Owner>
    <Category_x0020_Manager xmlns="8756915e-0fdd-47d2-aaca-8999b2757507">
      <UserInfo>
        <DisplayName/>
        <AccountId>22</AccountId>
        <AccountType/>
      </UserInfo>
    </Category_x0020_Manager>
    <TaxCatchAll xmlns="8756915e-0fdd-47d2-aaca-8999b2757507">
      <Value>214</Value>
    </TaxCatchAll>
    <f312f4adcfa049bab03cb2df9a691c63 xmlns="8756915e-0fdd-47d2-aaca-8999b2757507">
      <Terms xmlns="http://schemas.microsoft.com/office/infopath/2007/PartnerControls"/>
    </f312f4adcfa049bab03cb2df9a691c63>
    <DocumentSetDescription xmlns="http://schemas.microsoft.com/sharepoint/v3" xsi:nil="true"/>
    <kd6b2acd530545ee9a9b6a53b00417c5 xmlns="af39429f-7127-480a-9920-557e9b052e08">
      <Terms xmlns="http://schemas.microsoft.com/office/infopath/2007/PartnerControls"/>
    </kd6b2acd530545ee9a9b6a53b00417c5>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57f2a850-de09-4076-85ad-0add94ad9311</TermId>
        </TermInfo>
      </Terms>
    </h70b266846cd4abdb540aa7ea5f7e4c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17" ma:contentTypeDescription="Create a new document." ma:contentTypeScope="" ma:versionID="56b52d7193c839d42580c407e1b7dbc3">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db82bab1e2448193b2c11e343ec855d9"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85ff0d96-cbbc-4a93-81bf-dd27504ccb20"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C0D3-7883-4467-B179-148F09EC72A5}">
  <ds:schemaRefs>
    <ds:schemaRef ds:uri="http://purl.org/dc/dcmitype/"/>
    <ds:schemaRef ds:uri="af39429f-7127-480a-9920-557e9b052e08"/>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756915e-0fdd-47d2-aaca-8999b2757507"/>
    <ds:schemaRef ds:uri="http://schemas.microsoft.com/sharepoint/v3"/>
  </ds:schemaRefs>
</ds:datastoreItem>
</file>

<file path=customXml/itemProps2.xml><?xml version="1.0" encoding="utf-8"?>
<ds:datastoreItem xmlns:ds="http://schemas.openxmlformats.org/officeDocument/2006/customXml" ds:itemID="{18B51734-69E7-4AF6-82F9-5F9F7E228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F542E-F570-4918-9C8B-19FFEA2919DE}">
  <ds:schemaRefs>
    <ds:schemaRef ds:uri="http://schemas.microsoft.com/office/2006/metadata/longProperties"/>
  </ds:schemaRefs>
</ds:datastoreItem>
</file>

<file path=customXml/itemProps4.xml><?xml version="1.0" encoding="utf-8"?>
<ds:datastoreItem xmlns:ds="http://schemas.openxmlformats.org/officeDocument/2006/customXml" ds:itemID="{6D847063-0BCD-41CA-8EF0-45295ED02F3D}">
  <ds:schemaRefs>
    <ds:schemaRef ds:uri="Microsoft.SharePoint.Taxonomy.ContentTypeSync"/>
  </ds:schemaRefs>
</ds:datastoreItem>
</file>

<file path=customXml/itemProps5.xml><?xml version="1.0" encoding="utf-8"?>
<ds:datastoreItem xmlns:ds="http://schemas.openxmlformats.org/officeDocument/2006/customXml" ds:itemID="{55FC2AD0-4C85-473C-BFE1-743A1010D671}">
  <ds:schemaRefs>
    <ds:schemaRef ds:uri="http://schemas.microsoft.com/sharepoint/v3/contenttype/forms"/>
  </ds:schemaRefs>
</ds:datastoreItem>
</file>

<file path=customXml/itemProps6.xml><?xml version="1.0" encoding="utf-8"?>
<ds:datastoreItem xmlns:ds="http://schemas.openxmlformats.org/officeDocument/2006/customXml" ds:itemID="{BF360716-F0FC-4862-BAB2-DD8080B3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1562</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10259</CharactersWithSpaces>
  <SharedDoc>false</SharedDoc>
  <HLinks>
    <vt:vector size="36" baseType="variant">
      <vt:variant>
        <vt:i4>7405625</vt:i4>
      </vt:variant>
      <vt:variant>
        <vt:i4>15</vt:i4>
      </vt:variant>
      <vt:variant>
        <vt:i4>0</vt:i4>
      </vt:variant>
      <vt:variant>
        <vt:i4>5</vt:i4>
      </vt:variant>
      <vt:variant>
        <vt:lpwstr>https://www.contractsfinder.service.gov.uk/</vt:lpwstr>
      </vt:variant>
      <vt:variant>
        <vt:lpwstr/>
      </vt:variant>
      <vt:variant>
        <vt:i4>2359329</vt:i4>
      </vt:variant>
      <vt:variant>
        <vt:i4>12</vt:i4>
      </vt:variant>
      <vt:variant>
        <vt:i4>0</vt:i4>
      </vt:variant>
      <vt:variant>
        <vt:i4>5</vt:i4>
      </vt:variant>
      <vt:variant>
        <vt:lpwstr>http://www.competefor.com/</vt:lpwstr>
      </vt:variant>
      <vt:variant>
        <vt:lpwstr/>
      </vt:variant>
      <vt:variant>
        <vt:i4>7143522</vt:i4>
      </vt:variant>
      <vt:variant>
        <vt:i4>9</vt:i4>
      </vt:variant>
      <vt:variant>
        <vt:i4>0</vt:i4>
      </vt:variant>
      <vt:variant>
        <vt:i4>5</vt:i4>
      </vt:variant>
      <vt:variant>
        <vt:lpwstr>http://www.camden.gov.uk/ccm/navigation/business/tenders-and-contracts/</vt:lpwstr>
      </vt:variant>
      <vt:variant>
        <vt:lpwstr/>
      </vt:variant>
      <vt:variant>
        <vt:i4>7012470</vt:i4>
      </vt:variant>
      <vt:variant>
        <vt:i4>6</vt:i4>
      </vt:variant>
      <vt:variant>
        <vt:i4>0</vt:i4>
      </vt:variant>
      <vt:variant>
        <vt:i4>5</vt:i4>
      </vt:variant>
      <vt:variant>
        <vt:lpwstr>https://lbcamden.eu-supply.com/pub/registercompany.asp?OID=1&amp;B=LBCAMDEN</vt:lpwstr>
      </vt:variant>
      <vt:variant>
        <vt:lpwstr/>
      </vt:variant>
      <vt:variant>
        <vt:i4>3932282</vt:i4>
      </vt:variant>
      <vt:variant>
        <vt:i4>3</vt:i4>
      </vt:variant>
      <vt:variant>
        <vt:i4>0</vt:i4>
      </vt:variant>
      <vt:variant>
        <vt:i4>5</vt:i4>
      </vt:variant>
      <vt:variant>
        <vt:lpwstr>https://www.eu-supply.com/</vt:lpwstr>
      </vt:variant>
      <vt:variant>
        <vt:lpwstr/>
      </vt:variant>
      <vt:variant>
        <vt:i4>4522100</vt:i4>
      </vt:variant>
      <vt:variant>
        <vt:i4>0</vt:i4>
      </vt:variant>
      <vt:variant>
        <vt:i4>0</vt:i4>
      </vt:variant>
      <vt:variant>
        <vt:i4>5</vt:i4>
      </vt:variant>
      <vt:variant>
        <vt:lpwstr>mailto:Jennie.mackeith@camden.gov.uk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trising</dc:creator>
  <cp:keywords/>
  <cp:lastModifiedBy>Spencer, Stephen</cp:lastModifiedBy>
  <cp:revision>3</cp:revision>
  <cp:lastPrinted>2011-11-30T14:28:00Z</cp:lastPrinted>
  <dcterms:created xsi:type="dcterms:W3CDTF">2018-01-17T13:36:00Z</dcterms:created>
  <dcterms:modified xsi:type="dcterms:W3CDTF">2018-01-18T12:50:00Z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Market</vt:lpwstr>
  </property>
  <property fmtid="{D5CDD505-2E9C-101B-9397-08002B2CF9AE}" pid="3" name="Hub">
    <vt:lpwstr/>
  </property>
  <property fmtid="{D5CDD505-2E9C-101B-9397-08002B2CF9AE}" pid="4" name="Directorate">
    <vt:lpwstr>214;#Supporting People|57f2a850-de09-4076-85ad-0add94ad9311</vt:lpwstr>
  </property>
  <property fmtid="{D5CDD505-2E9C-101B-9397-08002B2CF9AE}" pid="5" name="display_urn:schemas-microsoft-com:office:office#Category_x0020_Manager">
    <vt:lpwstr>Walsh, Patrick (People Hub)</vt:lpwstr>
  </property>
  <property fmtid="{D5CDD505-2E9C-101B-9397-08002B2CF9AE}" pid="6" name="Tollgate Stage">
    <vt:lpwstr/>
  </property>
  <property fmtid="{D5CDD505-2E9C-101B-9397-08002B2CF9AE}" pid="7" name="ContentTypeId">
    <vt:lpwstr>0x010100A33CC7A28CC10741A759E05C57D64416</vt:lpwstr>
  </property>
  <property fmtid="{D5CDD505-2E9C-101B-9397-08002B2CF9AE}" pid="8" name="Document category">
    <vt:lpwstr/>
  </property>
  <property fmtid="{D5CDD505-2E9C-101B-9397-08002B2CF9AE}" pid="9" name="display_urn:schemas-microsoft-com:office:office#Project_x0020_Owner">
    <vt:lpwstr>Walsh, David</vt:lpwstr>
  </property>
</Properties>
</file>