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05032926"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cheme which will apply.</w:t>
      </w:r>
    </w:p>
    <w:p w14:paraId="04C883AF" w14:textId="77777777" w:rsidR="00882F16" w:rsidRDefault="00882F16" w:rsidP="00882F16">
      <w:pPr>
        <w:spacing w:line="240" w:lineRule="auto"/>
        <w:ind w:left="720"/>
        <w:contextualSpacing/>
        <w:jc w:val="both"/>
        <w:rPr>
          <w:rFonts w:eastAsia="Times New Roman" w:cs="Arial"/>
        </w:rPr>
      </w:pPr>
    </w:p>
    <w:p w14:paraId="22D0E7B2" w14:textId="02DB8D41"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186111">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B26B0B">
        <w:trPr>
          <w:trHeight w:val="379"/>
        </w:trPr>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B26B0B">
        <w:trPr>
          <w:trHeight w:val="379"/>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B26B0B">
        <w:trPr>
          <w:trHeight w:val="380"/>
        </w:trPr>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B26B0B">
        <w:trPr>
          <w:trHeight w:val="379"/>
        </w:trPr>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B26B0B">
        <w:trPr>
          <w:trHeight w:val="380"/>
        </w:trPr>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tcPr>
          <w:p w14:paraId="0870C9E1" w14:textId="48033C85" w:rsidR="001F0B62" w:rsidRDefault="004900F8" w:rsidP="00E7197A">
            <w:pPr>
              <w:spacing w:before="240" w:after="240" w:line="360" w:lineRule="auto"/>
              <w:contextualSpacing/>
              <w:jc w:val="both"/>
              <w:rPr>
                <w:rFonts w:cs="Arial"/>
              </w:rPr>
            </w:pPr>
            <w:r>
              <w:rPr>
                <w:rFonts w:cs="Arial"/>
              </w:rPr>
              <w:t>CAPABILITY</w:t>
            </w:r>
          </w:p>
        </w:tc>
      </w:tr>
      <w:tr w:rsidR="001F0B62" w14:paraId="55C01016" w14:textId="77777777" w:rsidTr="00B26B0B">
        <w:trPr>
          <w:trHeight w:val="379"/>
        </w:trPr>
        <w:tc>
          <w:tcPr>
            <w:tcW w:w="2961" w:type="dxa"/>
          </w:tcPr>
          <w:p w14:paraId="62ECA79C" w14:textId="7F52C14C" w:rsidR="001F0B62" w:rsidRDefault="001F0B62" w:rsidP="001F0B62">
            <w:pPr>
              <w:spacing w:before="240" w:after="240" w:line="360" w:lineRule="auto"/>
              <w:contextualSpacing/>
              <w:jc w:val="center"/>
              <w:rPr>
                <w:rFonts w:cs="Arial"/>
              </w:rPr>
            </w:pPr>
            <w:r>
              <w:rPr>
                <w:rFonts w:cs="Arial"/>
              </w:rPr>
              <w:t>5</w:t>
            </w:r>
          </w:p>
        </w:tc>
        <w:tc>
          <w:tcPr>
            <w:tcW w:w="5669" w:type="dxa"/>
          </w:tcPr>
          <w:p w14:paraId="2BE6F134" w14:textId="032E8EFA" w:rsidR="001F0B62" w:rsidRPr="004900F8" w:rsidRDefault="004900F8" w:rsidP="00E7197A">
            <w:pPr>
              <w:spacing w:before="240" w:after="240" w:line="360" w:lineRule="auto"/>
              <w:contextualSpacing/>
              <w:jc w:val="both"/>
              <w:rPr>
                <w:rFonts w:cs="Arial"/>
              </w:rPr>
            </w:pPr>
            <w:r w:rsidRPr="004900F8">
              <w:rPr>
                <w:rFonts w:cs="Arial"/>
              </w:rPr>
              <w:t>SERVICE DELIVERY</w:t>
            </w:r>
          </w:p>
        </w:tc>
      </w:tr>
      <w:tr w:rsidR="001F0B62" w14:paraId="318DFA23" w14:textId="77777777" w:rsidTr="00B26B0B">
        <w:trPr>
          <w:trHeight w:val="380"/>
        </w:trPr>
        <w:tc>
          <w:tcPr>
            <w:tcW w:w="2961" w:type="dxa"/>
          </w:tcPr>
          <w:p w14:paraId="2210A136" w14:textId="24CE7952" w:rsidR="001F0B62" w:rsidRDefault="001F0B62" w:rsidP="001F0B62">
            <w:pPr>
              <w:spacing w:before="240" w:after="240" w:line="360" w:lineRule="auto"/>
              <w:contextualSpacing/>
              <w:jc w:val="center"/>
              <w:rPr>
                <w:rFonts w:cs="Arial"/>
              </w:rPr>
            </w:pPr>
            <w:r>
              <w:rPr>
                <w:rFonts w:cs="Arial"/>
              </w:rPr>
              <w:t>6</w:t>
            </w:r>
          </w:p>
        </w:tc>
        <w:tc>
          <w:tcPr>
            <w:tcW w:w="5669" w:type="dxa"/>
          </w:tcPr>
          <w:p w14:paraId="730568AF" w14:textId="403B8669" w:rsidR="001F0B62" w:rsidRPr="004900F8" w:rsidRDefault="004900F8" w:rsidP="00E7197A">
            <w:pPr>
              <w:spacing w:before="240" w:after="240" w:line="360" w:lineRule="auto"/>
              <w:contextualSpacing/>
              <w:jc w:val="both"/>
              <w:rPr>
                <w:rFonts w:cs="Arial"/>
              </w:rPr>
            </w:pPr>
            <w:r w:rsidRPr="004900F8">
              <w:rPr>
                <w:rFonts w:cs="Arial"/>
              </w:rPr>
              <w:t>APPROACH</w:t>
            </w:r>
          </w:p>
        </w:tc>
      </w:tr>
      <w:tr w:rsidR="001F0B62" w14:paraId="40E3D890" w14:textId="77777777" w:rsidTr="00B26B0B">
        <w:trPr>
          <w:trHeight w:val="379"/>
        </w:trPr>
        <w:tc>
          <w:tcPr>
            <w:tcW w:w="2961" w:type="dxa"/>
          </w:tcPr>
          <w:p w14:paraId="3CC388C3" w14:textId="20110A3E" w:rsidR="001F0B62" w:rsidRDefault="001F0B62" w:rsidP="001F0B62">
            <w:pPr>
              <w:spacing w:before="240" w:after="240" w:line="360" w:lineRule="auto"/>
              <w:contextualSpacing/>
              <w:jc w:val="center"/>
              <w:rPr>
                <w:rFonts w:cs="Arial"/>
              </w:rPr>
            </w:pPr>
            <w:r>
              <w:rPr>
                <w:rFonts w:cs="Arial"/>
              </w:rPr>
              <w:t>7</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2787BEBB" w14:textId="77777777" w:rsidR="00751B94" w:rsidRPr="00C67CA1" w:rsidRDefault="00751B94" w:rsidP="004900F8">
      <w:pPr>
        <w:spacing w:line="240" w:lineRule="auto"/>
        <w:contextualSpacing/>
        <w:jc w:val="both"/>
        <w:rPr>
          <w:rFonts w:cs="Arial"/>
        </w:rPr>
      </w:pPr>
    </w:p>
    <w:p w14:paraId="0ACC27BD" w14:textId="0978A754" w:rsidR="00F24746" w:rsidRDefault="000A681A" w:rsidP="00751B94">
      <w:pPr>
        <w:numPr>
          <w:ilvl w:val="1"/>
          <w:numId w:val="7"/>
        </w:numPr>
        <w:spacing w:before="100" w:beforeAutospacing="1" w:after="100" w:afterAutospacing="1" w:line="240" w:lineRule="auto"/>
        <w:contextualSpacing/>
        <w:jc w:val="both"/>
        <w:rPr>
          <w:rFonts w:cs="Arial"/>
        </w:rPr>
      </w:pPr>
      <w:r>
        <w:rPr>
          <w:rFonts w:cs="Arial"/>
        </w:rPr>
        <w:t>Quality Evaluation Process</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lastRenderedPageBreak/>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51F37249" w:rsidR="00F24746" w:rsidRDefault="00F24746" w:rsidP="00FB7D56">
            <w:pPr>
              <w:spacing w:before="120" w:after="0" w:line="240" w:lineRule="auto"/>
              <w:ind w:left="78" w:hanging="78"/>
              <w:contextualSpacing/>
              <w:jc w:val="both"/>
              <w:rPr>
                <w:rFonts w:cs="Arial"/>
              </w:rPr>
            </w:pPr>
            <w:r w:rsidRPr="00901A0A">
              <w:t>A Good response that meets the requirements with good supporting evidence.  D</w:t>
            </w:r>
            <w:r w:rsidR="000A681A">
              <w:t>emonstrates good understanding.</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1FDAD320" w:rsidR="00F24746" w:rsidRDefault="00F24746" w:rsidP="00FB7D56">
            <w:pPr>
              <w:spacing w:before="120" w:after="0" w:line="240" w:lineRule="auto"/>
              <w:ind w:left="78" w:hanging="78"/>
              <w:contextualSpacing/>
              <w:jc w:val="both"/>
              <w:rPr>
                <w:rFonts w:cs="Arial"/>
              </w:rPr>
            </w:pPr>
            <w:r w:rsidRPr="00901A0A">
              <w:t>An Excellent comprehensive response that meets the requirements.  Indicates an excellent response with detailed supporting evidence and no weaknesses resulting</w:t>
            </w:r>
            <w:r w:rsidR="000A681A">
              <w:t xml:space="preserve"> in a high level of confidence.</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3AE24109"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0988A657" w:rsidR="00953729" w:rsidRDefault="000A681A" w:rsidP="00953729">
      <w:pPr>
        <w:numPr>
          <w:ilvl w:val="1"/>
          <w:numId w:val="7"/>
        </w:numPr>
        <w:spacing w:before="120" w:after="480" w:line="240" w:lineRule="auto"/>
        <w:contextualSpacing/>
        <w:jc w:val="both"/>
        <w:rPr>
          <w:rFonts w:cs="Arial"/>
        </w:rPr>
      </w:pPr>
      <w:r>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A621B44"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p>
    <w:p w14:paraId="5F1CCEC2" w14:textId="77777777" w:rsidR="00953729" w:rsidRPr="00953729" w:rsidRDefault="00953729" w:rsidP="00953729">
      <w:pPr>
        <w:spacing w:before="120" w:after="480" w:line="240" w:lineRule="auto"/>
        <w:contextualSpacing/>
        <w:jc w:val="both"/>
        <w:rPr>
          <w:rFonts w:cs="Arial"/>
        </w:rPr>
      </w:pPr>
    </w:p>
    <w:p w14:paraId="49FA1171" w14:textId="681219BE"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000A681A">
        <w:rPr>
          <w:rFonts w:cs="Arial"/>
        </w:rPr>
        <w:t>.</w:t>
      </w:r>
    </w:p>
    <w:p w14:paraId="3EF01D34" w14:textId="77777777" w:rsidR="00186111" w:rsidRPr="00384563" w:rsidRDefault="00186111" w:rsidP="00A621F1">
      <w:pPr>
        <w:spacing w:before="120" w:after="480" w:line="240" w:lineRule="auto"/>
        <w:contextualSpacing/>
        <w:jc w:val="both"/>
        <w:rPr>
          <w:rFonts w:cs="Arial"/>
        </w:rPr>
      </w:pP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670EC582" w:rsidR="00283A43"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in the </w:t>
      </w:r>
      <w:r w:rsidR="004900F8" w:rsidRPr="004900F8">
        <w:rPr>
          <w:rFonts w:cs="Arial"/>
        </w:rPr>
        <w:t>Price Schedule</w:t>
      </w:r>
      <w:r w:rsidR="00E7197A">
        <w:rPr>
          <w:rFonts w:cs="Arial"/>
        </w:rPr>
        <w:t xml:space="preserve"> </w:t>
      </w:r>
      <w:r w:rsidRPr="00283A43">
        <w:rPr>
          <w:rFonts w:cs="Arial"/>
        </w:rPr>
        <w:t>will be recorded and evaluated in accordance with the following process.</w:t>
      </w:r>
    </w:p>
    <w:p w14:paraId="481FD0ED" w14:textId="77777777" w:rsidR="009C0614" w:rsidRPr="00283A43" w:rsidRDefault="009C0614" w:rsidP="00E7197A">
      <w:pPr>
        <w:spacing w:before="120" w:after="480" w:line="240" w:lineRule="auto"/>
        <w:ind w:left="1418" w:hanging="567"/>
        <w:contextualSpacing/>
        <w:jc w:val="both"/>
        <w:rPr>
          <w:rFonts w:cs="Arial"/>
        </w:rPr>
      </w:pPr>
    </w:p>
    <w:p w14:paraId="1F226EB1" w14:textId="148FCBB3" w:rsidR="00283A43" w:rsidRPr="004900F8" w:rsidRDefault="00935ADB" w:rsidP="00E7197A">
      <w:pPr>
        <w:numPr>
          <w:ilvl w:val="2"/>
          <w:numId w:val="7"/>
        </w:numPr>
        <w:spacing w:before="120" w:after="480" w:line="240" w:lineRule="auto"/>
        <w:ind w:left="1418" w:hanging="567"/>
        <w:contextualSpacing/>
        <w:jc w:val="both"/>
        <w:rPr>
          <w:rFonts w:cs="Arial"/>
        </w:rPr>
      </w:pPr>
      <w:r>
        <w:rPr>
          <w:rFonts w:cs="Arial"/>
        </w:rPr>
        <w:t>Potential Providers’</w:t>
      </w:r>
      <w:r w:rsidR="00283A43" w:rsidRPr="00283A43">
        <w:rPr>
          <w:rFonts w:cs="Arial"/>
        </w:rPr>
        <w:t xml:space="preserve"> are required to </w:t>
      </w:r>
      <w:r w:rsidR="001F0B62" w:rsidRPr="004900F8">
        <w:rPr>
          <w:rFonts w:cs="Arial"/>
        </w:rPr>
        <w:t>provide a completed pricing schedule against the ‘Price’ Questionnaire</w:t>
      </w:r>
      <w:r w:rsidR="00283A43" w:rsidRPr="004900F8">
        <w:rPr>
          <w:rFonts w:cs="Arial"/>
        </w:rPr>
        <w:t xml:space="preserve"> within the e-Sourcing event</w:t>
      </w:r>
      <w:r w:rsidR="00E7197A" w:rsidRPr="004900F8">
        <w:rPr>
          <w:rFonts w:cs="Arial"/>
        </w:rPr>
        <w:t>.</w:t>
      </w:r>
    </w:p>
    <w:p w14:paraId="079EFD73" w14:textId="77777777" w:rsidR="009C0614" w:rsidRPr="00283A43" w:rsidRDefault="009C0614" w:rsidP="00E7197A">
      <w:pPr>
        <w:spacing w:before="120" w:after="480" w:line="240" w:lineRule="auto"/>
        <w:ind w:left="1418" w:hanging="567"/>
        <w:contextualSpacing/>
        <w:jc w:val="both"/>
        <w:rPr>
          <w:rFonts w:cs="Arial"/>
        </w:rPr>
      </w:pPr>
    </w:p>
    <w:p w14:paraId="6930A0F0" w14:textId="79CB103B"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28D7CFA9" w14:textId="77777777" w:rsidR="009C0614" w:rsidRPr="0032720C" w:rsidRDefault="009C0614" w:rsidP="00E7197A">
      <w:pPr>
        <w:spacing w:before="120" w:after="480" w:line="240" w:lineRule="auto"/>
        <w:ind w:left="1418" w:hanging="567"/>
        <w:contextualSpacing/>
        <w:jc w:val="both"/>
        <w:rPr>
          <w:rFonts w:cs="Arial"/>
        </w:rPr>
      </w:pPr>
    </w:p>
    <w:p w14:paraId="099AF4DA" w14:textId="75002D14"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 xml:space="preserve">The Potential Provider with the </w:t>
      </w:r>
      <w:r w:rsidRPr="004900F8">
        <w:rPr>
          <w:rFonts w:cs="Arial"/>
        </w:rPr>
        <w:t xml:space="preserve">lowest price </w:t>
      </w:r>
      <w:r w:rsidR="004900F8" w:rsidRPr="004900F8">
        <w:rPr>
          <w:rFonts w:cs="Arial"/>
        </w:rPr>
        <w:t xml:space="preserve">for </w:t>
      </w:r>
      <w:r w:rsidR="00AB1FEC" w:rsidRPr="004900F8">
        <w:rPr>
          <w:rFonts w:cs="Arial"/>
        </w:rPr>
        <w:t>the requirement</w:t>
      </w:r>
      <w:r w:rsidR="004900F8" w:rsidRPr="004900F8">
        <w:rPr>
          <w:rFonts w:cs="Arial"/>
        </w:rPr>
        <w:t xml:space="preserve"> </w:t>
      </w:r>
      <w:r w:rsidRPr="004900F8">
        <w:rPr>
          <w:rFonts w:cs="Arial"/>
        </w:rPr>
        <w:t>shall</w:t>
      </w:r>
      <w:r w:rsidRPr="0032720C">
        <w:rPr>
          <w:rFonts w:cs="Arial"/>
        </w:rPr>
        <w:t xml:space="preserve">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750"/>
        <w:gridCol w:w="1565"/>
        <w:gridCol w:w="2296"/>
        <w:gridCol w:w="2170"/>
        <w:gridCol w:w="1800"/>
      </w:tblGrid>
      <w:tr w:rsidR="001C0C3F" w14:paraId="7C4C3587" w14:textId="240FF77A" w:rsidTr="002128BA">
        <w:trPr>
          <w:trHeight w:val="254"/>
        </w:trPr>
        <w:tc>
          <w:tcPr>
            <w:tcW w:w="175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65" w:type="dxa"/>
            <w:shd w:val="clear" w:color="auto" w:fill="C6D9F1" w:themeFill="text2" w:themeFillTint="33"/>
          </w:tcPr>
          <w:p w14:paraId="00997531" w14:textId="0C5CB476" w:rsidR="001C0C3F" w:rsidRPr="00AB1FEC" w:rsidRDefault="001C0C3F" w:rsidP="001C0C3F">
            <w:pPr>
              <w:spacing w:before="120" w:after="480" w:line="240" w:lineRule="auto"/>
              <w:contextualSpacing/>
              <w:jc w:val="center"/>
              <w:rPr>
                <w:rFonts w:cs="Arial"/>
                <w:b/>
              </w:rPr>
            </w:pPr>
            <w:r w:rsidRPr="00AB1FEC">
              <w:rPr>
                <w:rFonts w:cs="Arial"/>
                <w:b/>
              </w:rPr>
              <w:t>Price Submited</w:t>
            </w:r>
          </w:p>
        </w:tc>
        <w:tc>
          <w:tcPr>
            <w:tcW w:w="2296"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17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00"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2128BA" w14:paraId="5575207C" w14:textId="738F4AE3" w:rsidTr="002128BA">
        <w:trPr>
          <w:trHeight w:val="254"/>
        </w:trPr>
        <w:tc>
          <w:tcPr>
            <w:tcW w:w="1750" w:type="dxa"/>
          </w:tcPr>
          <w:p w14:paraId="12AE7F82" w14:textId="2AD57C04" w:rsidR="002128BA" w:rsidRDefault="002128BA" w:rsidP="002128BA">
            <w:pPr>
              <w:spacing w:before="120" w:after="480" w:line="240" w:lineRule="auto"/>
              <w:contextualSpacing/>
              <w:jc w:val="center"/>
              <w:rPr>
                <w:rFonts w:cs="Arial"/>
              </w:rPr>
            </w:pPr>
            <w:r>
              <w:rPr>
                <w:rFonts w:cs="Arial"/>
              </w:rPr>
              <w:t>Potential Provider A</w:t>
            </w:r>
          </w:p>
        </w:tc>
        <w:tc>
          <w:tcPr>
            <w:tcW w:w="1565" w:type="dxa"/>
          </w:tcPr>
          <w:p w14:paraId="4B5E590B" w14:textId="05A723B7" w:rsidR="002128BA" w:rsidRDefault="002128BA" w:rsidP="002128BA">
            <w:pPr>
              <w:spacing w:before="120" w:after="480" w:line="240" w:lineRule="auto"/>
              <w:contextualSpacing/>
              <w:jc w:val="center"/>
              <w:rPr>
                <w:rFonts w:cs="Arial"/>
              </w:rPr>
            </w:pPr>
            <w:r>
              <w:rPr>
                <w:rFonts w:cs="Arial"/>
              </w:rPr>
              <w:t>£1,000</w:t>
            </w:r>
          </w:p>
        </w:tc>
        <w:tc>
          <w:tcPr>
            <w:tcW w:w="2296" w:type="dxa"/>
          </w:tcPr>
          <w:p w14:paraId="3E664629" w14:textId="78CBE66B" w:rsidR="002128BA" w:rsidRDefault="002128BA" w:rsidP="002128BA">
            <w:pPr>
              <w:spacing w:before="120" w:after="480" w:line="240" w:lineRule="auto"/>
              <w:contextualSpacing/>
              <w:jc w:val="center"/>
              <w:rPr>
                <w:rFonts w:cs="Arial"/>
              </w:rPr>
            </w:pPr>
            <w:r>
              <w:rPr>
                <w:rFonts w:cs="Arial"/>
              </w:rPr>
              <w:t>£1,000/£1,000 *100</w:t>
            </w:r>
          </w:p>
        </w:tc>
        <w:tc>
          <w:tcPr>
            <w:tcW w:w="2170" w:type="dxa"/>
          </w:tcPr>
          <w:p w14:paraId="7D8AEB63" w14:textId="2C07E491" w:rsidR="002128BA" w:rsidRDefault="002128BA" w:rsidP="002128BA">
            <w:pPr>
              <w:spacing w:before="120" w:after="480" w:line="240" w:lineRule="auto"/>
              <w:contextualSpacing/>
              <w:jc w:val="center"/>
              <w:rPr>
                <w:rFonts w:cs="Arial"/>
              </w:rPr>
            </w:pPr>
            <w:r>
              <w:rPr>
                <w:rFonts w:cs="Arial"/>
              </w:rPr>
              <w:t>100</w:t>
            </w:r>
          </w:p>
        </w:tc>
        <w:tc>
          <w:tcPr>
            <w:tcW w:w="1800" w:type="dxa"/>
          </w:tcPr>
          <w:p w14:paraId="5B38E5B1" w14:textId="40E502A0" w:rsidR="002128BA" w:rsidRDefault="002128BA" w:rsidP="002128BA">
            <w:pPr>
              <w:spacing w:before="120" w:after="480" w:line="240" w:lineRule="auto"/>
              <w:contextualSpacing/>
              <w:jc w:val="center"/>
              <w:rPr>
                <w:rFonts w:cs="Arial"/>
              </w:rPr>
            </w:pPr>
            <w:r>
              <w:rPr>
                <w:rFonts w:cs="Arial"/>
              </w:rPr>
              <w:t>100</w:t>
            </w:r>
          </w:p>
        </w:tc>
      </w:tr>
      <w:tr w:rsidR="002128BA" w14:paraId="2E2D222A" w14:textId="30D0A1A0" w:rsidTr="002128BA">
        <w:trPr>
          <w:trHeight w:val="106"/>
        </w:trPr>
        <w:tc>
          <w:tcPr>
            <w:tcW w:w="1750" w:type="dxa"/>
          </w:tcPr>
          <w:p w14:paraId="096C2811" w14:textId="251C3158" w:rsidR="002128BA" w:rsidRDefault="002128BA" w:rsidP="002128BA">
            <w:pPr>
              <w:spacing w:before="120" w:after="480" w:line="240" w:lineRule="auto"/>
              <w:contextualSpacing/>
              <w:jc w:val="center"/>
              <w:rPr>
                <w:rFonts w:cs="Arial"/>
              </w:rPr>
            </w:pPr>
            <w:r>
              <w:rPr>
                <w:rFonts w:cs="Arial"/>
              </w:rPr>
              <w:t>Potential Provider B</w:t>
            </w:r>
          </w:p>
        </w:tc>
        <w:tc>
          <w:tcPr>
            <w:tcW w:w="1565" w:type="dxa"/>
          </w:tcPr>
          <w:p w14:paraId="1549C0B0" w14:textId="68F7DBF4" w:rsidR="002128BA" w:rsidRDefault="002128BA" w:rsidP="002128BA">
            <w:pPr>
              <w:spacing w:before="120" w:after="480" w:line="240" w:lineRule="auto"/>
              <w:contextualSpacing/>
              <w:jc w:val="center"/>
              <w:rPr>
                <w:rFonts w:cs="Arial"/>
              </w:rPr>
            </w:pPr>
            <w:r>
              <w:rPr>
                <w:rFonts w:cs="Arial"/>
              </w:rPr>
              <w:t>£2,000</w:t>
            </w:r>
          </w:p>
        </w:tc>
        <w:tc>
          <w:tcPr>
            <w:tcW w:w="2296" w:type="dxa"/>
          </w:tcPr>
          <w:p w14:paraId="7BEC6368" w14:textId="53AC8EDA" w:rsidR="002128BA" w:rsidRDefault="002128BA" w:rsidP="002128BA">
            <w:pPr>
              <w:spacing w:before="120" w:after="480" w:line="240" w:lineRule="auto"/>
              <w:contextualSpacing/>
              <w:jc w:val="center"/>
              <w:rPr>
                <w:rFonts w:cs="Arial"/>
              </w:rPr>
            </w:pPr>
            <w:r>
              <w:rPr>
                <w:rFonts w:cs="Arial"/>
              </w:rPr>
              <w:t>£1,000/£2,000 *100</w:t>
            </w:r>
          </w:p>
        </w:tc>
        <w:tc>
          <w:tcPr>
            <w:tcW w:w="2170" w:type="dxa"/>
          </w:tcPr>
          <w:p w14:paraId="4971CF5E" w14:textId="579574A8" w:rsidR="002128BA" w:rsidRDefault="002128BA" w:rsidP="002128BA">
            <w:pPr>
              <w:spacing w:before="120" w:after="480" w:line="240" w:lineRule="auto"/>
              <w:contextualSpacing/>
              <w:jc w:val="center"/>
              <w:rPr>
                <w:rFonts w:cs="Arial"/>
              </w:rPr>
            </w:pPr>
            <w:r>
              <w:rPr>
                <w:rFonts w:cs="Arial"/>
              </w:rPr>
              <w:t>100</w:t>
            </w:r>
          </w:p>
        </w:tc>
        <w:tc>
          <w:tcPr>
            <w:tcW w:w="1800" w:type="dxa"/>
          </w:tcPr>
          <w:p w14:paraId="4ED5474C" w14:textId="1ADC9CB2" w:rsidR="002128BA" w:rsidRDefault="002128BA" w:rsidP="002128BA">
            <w:pPr>
              <w:spacing w:before="120" w:after="480" w:line="240" w:lineRule="auto"/>
              <w:contextualSpacing/>
              <w:jc w:val="center"/>
              <w:rPr>
                <w:rFonts w:cs="Arial"/>
              </w:rPr>
            </w:pPr>
            <w:r>
              <w:rPr>
                <w:rFonts w:cs="Arial"/>
              </w:rPr>
              <w:t>50</w:t>
            </w:r>
          </w:p>
        </w:tc>
      </w:tr>
      <w:tr w:rsidR="002128BA" w14:paraId="49786930" w14:textId="671D1615" w:rsidTr="002128BA">
        <w:trPr>
          <w:trHeight w:val="242"/>
        </w:trPr>
        <w:tc>
          <w:tcPr>
            <w:tcW w:w="1750" w:type="dxa"/>
          </w:tcPr>
          <w:p w14:paraId="14847702" w14:textId="4302FF20" w:rsidR="002128BA" w:rsidRDefault="002128BA" w:rsidP="002128BA">
            <w:pPr>
              <w:spacing w:before="120" w:after="480" w:line="240" w:lineRule="auto"/>
              <w:contextualSpacing/>
              <w:jc w:val="center"/>
              <w:rPr>
                <w:rFonts w:cs="Arial"/>
              </w:rPr>
            </w:pPr>
            <w:r>
              <w:rPr>
                <w:rFonts w:cs="Arial"/>
              </w:rPr>
              <w:t>Potential Provider C</w:t>
            </w:r>
          </w:p>
        </w:tc>
        <w:tc>
          <w:tcPr>
            <w:tcW w:w="1565" w:type="dxa"/>
          </w:tcPr>
          <w:p w14:paraId="38D641B9" w14:textId="2449AFC4" w:rsidR="002128BA" w:rsidRDefault="002128BA" w:rsidP="002128BA">
            <w:pPr>
              <w:spacing w:before="120" w:after="480" w:line="240" w:lineRule="auto"/>
              <w:contextualSpacing/>
              <w:jc w:val="center"/>
              <w:rPr>
                <w:rFonts w:cs="Arial"/>
              </w:rPr>
            </w:pPr>
            <w:r>
              <w:rPr>
                <w:rFonts w:cs="Arial"/>
              </w:rPr>
              <w:t>£2,500</w:t>
            </w:r>
          </w:p>
        </w:tc>
        <w:tc>
          <w:tcPr>
            <w:tcW w:w="2296" w:type="dxa"/>
          </w:tcPr>
          <w:p w14:paraId="606C3C6A" w14:textId="0FAFFC4A" w:rsidR="002128BA" w:rsidRDefault="002128BA" w:rsidP="002128BA">
            <w:pPr>
              <w:spacing w:before="120" w:after="480" w:line="240" w:lineRule="auto"/>
              <w:contextualSpacing/>
              <w:jc w:val="center"/>
              <w:rPr>
                <w:rFonts w:cs="Arial"/>
              </w:rPr>
            </w:pPr>
            <w:r>
              <w:rPr>
                <w:rFonts w:cs="Arial"/>
              </w:rPr>
              <w:t>£1,000/£2,500 *100</w:t>
            </w:r>
          </w:p>
        </w:tc>
        <w:tc>
          <w:tcPr>
            <w:tcW w:w="2170" w:type="dxa"/>
          </w:tcPr>
          <w:p w14:paraId="0EA42050" w14:textId="53F895F7" w:rsidR="002128BA" w:rsidRDefault="002128BA" w:rsidP="002128BA">
            <w:pPr>
              <w:spacing w:before="120" w:after="480" w:line="240" w:lineRule="auto"/>
              <w:contextualSpacing/>
              <w:jc w:val="center"/>
              <w:rPr>
                <w:rFonts w:cs="Arial"/>
              </w:rPr>
            </w:pPr>
            <w:r>
              <w:rPr>
                <w:rFonts w:cs="Arial"/>
              </w:rPr>
              <w:t>100</w:t>
            </w:r>
          </w:p>
        </w:tc>
        <w:tc>
          <w:tcPr>
            <w:tcW w:w="1800" w:type="dxa"/>
          </w:tcPr>
          <w:p w14:paraId="61E51DE9" w14:textId="452EB531" w:rsidR="002128BA" w:rsidRDefault="002128BA" w:rsidP="002128BA">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39B8592F" w14:textId="215D5FE5" w:rsidR="00E7197A" w:rsidRDefault="00E7197A" w:rsidP="00483DA4">
      <w:pPr>
        <w:numPr>
          <w:ilvl w:val="1"/>
          <w:numId w:val="7"/>
        </w:numPr>
        <w:spacing w:before="120" w:after="480" w:line="240" w:lineRule="auto"/>
        <w:contextualSpacing/>
        <w:jc w:val="both"/>
        <w:rPr>
          <w:rFonts w:cs="Arial"/>
        </w:rPr>
      </w:pPr>
      <w:r w:rsidRPr="00475A6A">
        <w:rPr>
          <w:rFonts w:cs="Arial"/>
        </w:rPr>
        <w:t>Final score</w:t>
      </w:r>
      <w:r w:rsidR="00654026" w:rsidRPr="00475A6A">
        <w:rPr>
          <w:rFonts w:cs="Arial"/>
        </w:rPr>
        <w:t xml:space="preserve"> </w:t>
      </w:r>
    </w:p>
    <w:p w14:paraId="3537D865" w14:textId="77777777" w:rsidR="00555F81" w:rsidRPr="00475A6A" w:rsidRDefault="00555F81" w:rsidP="00555F81">
      <w:pPr>
        <w:spacing w:before="120" w:after="480" w:line="240" w:lineRule="auto"/>
        <w:ind w:left="720"/>
        <w:contextualSpacing/>
        <w:jc w:val="both"/>
        <w:rPr>
          <w:rFonts w:cs="Arial"/>
        </w:rPr>
      </w:pPr>
    </w:p>
    <w:p w14:paraId="1C803FA6" w14:textId="195A27CF" w:rsidR="002128BA" w:rsidRDefault="00475A6A" w:rsidP="00015F9F">
      <w:pPr>
        <w:numPr>
          <w:ilvl w:val="2"/>
          <w:numId w:val="7"/>
        </w:numPr>
        <w:ind w:left="1418" w:hanging="567"/>
        <w:jc w:val="both"/>
        <w:rPr>
          <w:rFonts w:cs="Arial"/>
        </w:rPr>
      </w:pPr>
      <w:r w:rsidRPr="00475A6A">
        <w:rPr>
          <w:rFonts w:cs="Arial"/>
        </w:rPr>
        <w:t xml:space="preserve">The Quality Score will be added to the Price Score to determine </w:t>
      </w:r>
      <w:r w:rsidR="002128BA">
        <w:rPr>
          <w:rFonts w:cs="Arial"/>
        </w:rPr>
        <w:t>t</w:t>
      </w:r>
      <w:r w:rsidR="002128BA" w:rsidRPr="00E7197A">
        <w:rPr>
          <w:rFonts w:cs="Arial"/>
        </w:rPr>
        <w:t>he final score for each Potential Provider (“Final Score”)</w:t>
      </w:r>
      <w:r w:rsidR="002128BA">
        <w:rPr>
          <w:rFonts w:cs="Arial"/>
        </w:rPr>
        <w:t>.</w:t>
      </w:r>
    </w:p>
    <w:p w14:paraId="03FA4C7A" w14:textId="77777777" w:rsidR="00E14FE2" w:rsidRDefault="00E14FE2" w:rsidP="00E14FE2">
      <w:pPr>
        <w:ind w:left="1418"/>
        <w:jc w:val="both"/>
        <w:rPr>
          <w:rFonts w:cs="Arial"/>
        </w:rPr>
      </w:pPr>
    </w:p>
    <w:p w14:paraId="3454A0CA" w14:textId="77777777" w:rsidR="00E14FE2" w:rsidRPr="00015F9F" w:rsidRDefault="00E14FE2" w:rsidP="00E14FE2">
      <w:pPr>
        <w:ind w:left="1418"/>
        <w:jc w:val="both"/>
        <w:rPr>
          <w:rFonts w:cs="Arial"/>
        </w:rPr>
      </w:pPr>
    </w:p>
    <w:p w14:paraId="3EC60171" w14:textId="743CB628" w:rsidR="002128BA" w:rsidRDefault="002128BA" w:rsidP="00B26B0B">
      <w:pPr>
        <w:pStyle w:val="ListParagraph"/>
        <w:numPr>
          <w:ilvl w:val="0"/>
          <w:numId w:val="7"/>
        </w:numPr>
        <w:spacing w:after="0"/>
        <w:contextualSpacing/>
        <w:jc w:val="both"/>
        <w:rPr>
          <w:rFonts w:cs="Arial"/>
          <w:b/>
        </w:rPr>
      </w:pPr>
      <w:r w:rsidRPr="00B26B0B">
        <w:rPr>
          <w:rFonts w:cs="Arial"/>
          <w:b/>
        </w:rPr>
        <w:t>E</w:t>
      </w:r>
      <w:r>
        <w:rPr>
          <w:rFonts w:cs="Arial"/>
          <w:b/>
        </w:rPr>
        <w:t>VALUATION CRITERIA</w:t>
      </w:r>
    </w:p>
    <w:p w14:paraId="6912AE31" w14:textId="3435DE94" w:rsidR="00AB1FEC" w:rsidRDefault="00AB1FEC" w:rsidP="00B26B0B">
      <w:pPr>
        <w:spacing w:after="0" w:line="240" w:lineRule="auto"/>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2839CBF3"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w:t>
      </w:r>
      <w:r w:rsidR="000A681A">
        <w:rPr>
          <w:rFonts w:eastAsia="Times New Roman" w:cs="Arial"/>
        </w:rPr>
        <w:t>could affect the award process.</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219D5963" w:rsidR="00B52099" w:rsidRPr="00625CDE" w:rsidRDefault="00866358" w:rsidP="007E7FED">
            <w:pPr>
              <w:spacing w:before="60" w:after="60" w:line="240" w:lineRule="auto"/>
              <w:jc w:val="center"/>
              <w:rPr>
                <w:rFonts w:cs="Arial"/>
              </w:rPr>
            </w:pPr>
            <w:r w:rsidRPr="00625CDE">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04211F48" w:rsidR="001005DC" w:rsidRPr="00625CDE" w:rsidRDefault="00866358" w:rsidP="007E7FED">
            <w:pPr>
              <w:spacing w:before="60" w:after="60" w:line="240" w:lineRule="auto"/>
              <w:jc w:val="center"/>
              <w:rPr>
                <w:rFonts w:cs="Arial"/>
              </w:rPr>
            </w:pPr>
            <w:r w:rsidRPr="00625CDE">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436A69A7" w:rsidR="00BC2C3D" w:rsidRPr="00625CDE" w:rsidRDefault="00866358" w:rsidP="00CA4DDC">
            <w:pPr>
              <w:spacing w:before="60" w:after="60" w:line="240" w:lineRule="auto"/>
              <w:jc w:val="center"/>
              <w:rPr>
                <w:rFonts w:cs="Arial"/>
                <w:color w:val="000000"/>
              </w:rPr>
            </w:pPr>
            <w:r w:rsidRPr="00625CDE">
              <w:rPr>
                <w:rFonts w:cs="Arial"/>
                <w:color w:val="000000"/>
              </w:rPr>
              <w:t>1.3</w:t>
            </w:r>
          </w:p>
        </w:tc>
        <w:tc>
          <w:tcPr>
            <w:tcW w:w="5670" w:type="dxa"/>
            <w:tcBorders>
              <w:bottom w:val="single" w:sz="4" w:space="0" w:color="auto"/>
            </w:tcBorders>
            <w:shd w:val="clear" w:color="auto" w:fill="auto"/>
            <w:vAlign w:val="center"/>
          </w:tcPr>
          <w:p w14:paraId="340A50ED" w14:textId="4A640C45" w:rsidR="00BC2C3D" w:rsidRPr="00625CDE" w:rsidRDefault="00625CDE" w:rsidP="00E96246">
            <w:pPr>
              <w:spacing w:before="60" w:after="60" w:line="240" w:lineRule="auto"/>
              <w:rPr>
                <w:rFonts w:cs="Arial"/>
              </w:rPr>
            </w:pPr>
            <w:r w:rsidRPr="00625CDE">
              <w:rPr>
                <w:color w:val="000000" w:themeColor="text1"/>
              </w:rPr>
              <w:t>Do you agree, without caveats or limitations, that in the ev</w:t>
            </w:r>
            <w:r w:rsidR="009F7D0E">
              <w:rPr>
                <w:color w:val="000000" w:themeColor="text1"/>
              </w:rPr>
              <w:t xml:space="preserve">ent that you are successful </w:t>
            </w:r>
            <w:r w:rsidR="009F7D0E" w:rsidRPr="009F7D0E">
              <w:rPr>
                <w:color w:val="000000" w:themeColor="text1"/>
              </w:rPr>
              <w:t xml:space="preserve">the </w:t>
            </w:r>
            <w:r w:rsidR="00E96246">
              <w:rPr>
                <w:color w:val="000000" w:themeColor="text1"/>
              </w:rPr>
              <w:t xml:space="preserve">Draft Contract Document </w:t>
            </w:r>
            <w:r w:rsidRPr="009F7D0E">
              <w:rPr>
                <w:color w:val="000000" w:themeColor="text1"/>
              </w:rPr>
              <w:t xml:space="preserve">within </w:t>
            </w:r>
            <w:r w:rsidR="002128BA" w:rsidRPr="009313DA">
              <w:rPr>
                <w:color w:val="000000" w:themeColor="text1"/>
              </w:rPr>
              <w:t xml:space="preserve">Crown Commercial Service’s Terms and Conditions within </w:t>
            </w:r>
            <w:r w:rsidRPr="009313DA">
              <w:rPr>
                <w:color w:val="000000" w:themeColor="text1"/>
              </w:rPr>
              <w:t>Appendix C</w:t>
            </w:r>
            <w:r w:rsidR="00E96246" w:rsidRPr="007D47A0">
              <w:rPr>
                <w:color w:val="000000" w:themeColor="text1"/>
              </w:rPr>
              <w:t xml:space="preserve"> </w:t>
            </w:r>
            <w:r w:rsidRPr="009F7D0E">
              <w:rPr>
                <w:color w:val="000000" w:themeColor="text1"/>
              </w:rPr>
              <w:t>will govern</w:t>
            </w:r>
            <w:r w:rsidRPr="00625CDE">
              <w:rPr>
                <w:color w:val="000000" w:themeColor="text1"/>
              </w:rPr>
              <w:t xml:space="preserve">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1FA9A6DB" w:rsidR="00930F24" w:rsidRPr="00625CDE" w:rsidRDefault="00930F24"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58F1CE4F"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w:t>
            </w:r>
            <w:r w:rsidR="0005514A">
              <w:rPr>
                <w:color w:val="000000" w:themeColor="text1"/>
              </w:rPr>
              <w:t>otified to the buyer in 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32646E73" w:rsidR="004F5DD4" w:rsidRPr="00147082" w:rsidRDefault="00041498" w:rsidP="004F5DD4">
            <w:pPr>
              <w:spacing w:before="60" w:after="60" w:line="240" w:lineRule="auto"/>
              <w:jc w:val="center"/>
              <w:rPr>
                <w:rFonts w:cs="Arial"/>
              </w:rPr>
            </w:pPr>
            <w:r w:rsidRPr="00147082">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34C1D840" w:rsidR="00BD1E75" w:rsidRPr="00147082" w:rsidRDefault="00BD1E75" w:rsidP="004F5DD4">
            <w:pPr>
              <w:spacing w:before="60" w:after="60" w:line="240" w:lineRule="auto"/>
              <w:jc w:val="center"/>
              <w:rPr>
                <w:rFonts w:cs="Arial"/>
              </w:rPr>
            </w:pPr>
            <w:r w:rsidRPr="00147082">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ion of any Contract Award and any ommissions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788AFECF" w:rsidR="00BD1E75" w:rsidRDefault="002275E1"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44A28111" w:rsidR="00FF05A6" w:rsidRDefault="00FF05A6"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56CE48E8" w:rsidR="00BD1E75" w:rsidRDefault="00737BFF" w:rsidP="002275E1">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382CC238" w:rsidR="000737FF" w:rsidRDefault="000737FF" w:rsidP="00737BFF">
            <w:pPr>
              <w:jc w:val="center"/>
            </w:pPr>
            <w:r>
              <w:t>3.</w:t>
            </w:r>
            <w:r w:rsidR="00737BFF">
              <w:t>4</w:t>
            </w:r>
          </w:p>
        </w:tc>
        <w:tc>
          <w:tcPr>
            <w:tcW w:w="5670" w:type="dxa"/>
            <w:shd w:val="clear" w:color="auto" w:fill="auto"/>
            <w:vAlign w:val="center"/>
          </w:tcPr>
          <w:p w14:paraId="3062F09C" w14:textId="2B85FE28"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w:t>
            </w:r>
            <w:r w:rsidR="0005514A">
              <w:t>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address(es)</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015F9F">
      <w:pPr>
        <w:pStyle w:val="ListParagraph"/>
        <w:numPr>
          <w:ilvl w:val="1"/>
          <w:numId w:val="7"/>
        </w:numPr>
        <w:spacing w:before="0"/>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015F9F">
      <w:pPr>
        <w:pStyle w:val="ListParagraph"/>
        <w:spacing w:before="0"/>
        <w:contextualSpacing/>
        <w:jc w:val="both"/>
        <w:rPr>
          <w:rFonts w:cs="Arial"/>
        </w:rPr>
      </w:pPr>
    </w:p>
    <w:p w14:paraId="05EDFA4A" w14:textId="3EE1D402" w:rsidR="00850BAA" w:rsidRPr="00850BAA" w:rsidRDefault="002F58AC" w:rsidP="00015F9F">
      <w:pPr>
        <w:pStyle w:val="ListParagraph"/>
        <w:numPr>
          <w:ilvl w:val="1"/>
          <w:numId w:val="7"/>
        </w:numPr>
        <w:spacing w:before="0"/>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015F9F">
      <w:pPr>
        <w:pStyle w:val="ListParagraph"/>
        <w:spacing w:before="0"/>
        <w:contextualSpacing/>
        <w:jc w:val="both"/>
        <w:rPr>
          <w:rFonts w:cs="Arial"/>
        </w:rPr>
      </w:pPr>
    </w:p>
    <w:p w14:paraId="771C8792" w14:textId="788F2ED5" w:rsidR="002F58AC" w:rsidRDefault="002F58AC" w:rsidP="00015F9F">
      <w:pPr>
        <w:pStyle w:val="ListParagraph"/>
        <w:numPr>
          <w:ilvl w:val="1"/>
          <w:numId w:val="7"/>
        </w:numPr>
        <w:spacing w:before="0"/>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015F9F">
      <w:pPr>
        <w:pStyle w:val="ListParagraph"/>
        <w:spacing w:before="0"/>
        <w:contextualSpacing/>
        <w:jc w:val="both"/>
        <w:rPr>
          <w:rFonts w:cs="Arial"/>
        </w:rPr>
      </w:pPr>
    </w:p>
    <w:p w14:paraId="10CE0ACC" w14:textId="73E9BE64" w:rsidR="008023F4" w:rsidRDefault="00737AA5" w:rsidP="00015F9F">
      <w:pPr>
        <w:pStyle w:val="ListParagraph"/>
        <w:numPr>
          <w:ilvl w:val="1"/>
          <w:numId w:val="7"/>
        </w:numPr>
        <w:spacing w:before="0"/>
        <w:contextualSpacing/>
        <w:jc w:val="both"/>
        <w:rPr>
          <w:rFonts w:cs="Arial"/>
        </w:rPr>
      </w:pPr>
      <w:r w:rsidRPr="009F7D0E">
        <w:rPr>
          <w:rFonts w:cs="Arial"/>
        </w:rPr>
        <w:t>Potential Providers</w:t>
      </w:r>
      <w:r w:rsidR="004F4B67" w:rsidRPr="009F7D0E">
        <w:rPr>
          <w:rFonts w:cs="Arial"/>
        </w:rPr>
        <w:t xml:space="preserve"> are able to provide attachments against each question</w:t>
      </w:r>
      <w:r w:rsidRPr="009F7D0E">
        <w:rPr>
          <w:rFonts w:cs="Arial"/>
        </w:rPr>
        <w:t xml:space="preserve">. </w:t>
      </w:r>
      <w:r w:rsidR="00D33192" w:rsidRPr="009F7D0E">
        <w:rPr>
          <w:rFonts w:cs="Arial"/>
        </w:rPr>
        <w:t>Q</w:t>
      </w:r>
      <w:r w:rsidRPr="009F7D0E">
        <w:rPr>
          <w:rFonts w:cs="Arial"/>
        </w:rPr>
        <w:t xml:space="preserve">uestion </w:t>
      </w:r>
      <w:r w:rsidR="00D33192" w:rsidRPr="009F7D0E">
        <w:rPr>
          <w:rFonts w:cs="Arial"/>
        </w:rPr>
        <w:t xml:space="preserve">text fields must be populated with detailed references to relevant attachments or sections within </w:t>
      </w:r>
      <w:r w:rsidR="00384563" w:rsidRPr="009F7D0E">
        <w:rPr>
          <w:rFonts w:cs="Arial"/>
        </w:rPr>
        <w:t xml:space="preserve">their </w:t>
      </w:r>
      <w:r w:rsidR="009F7D0E">
        <w:rPr>
          <w:rFonts w:cs="Arial"/>
        </w:rPr>
        <w:t>attachments.</w:t>
      </w:r>
    </w:p>
    <w:p w14:paraId="6939F15F" w14:textId="77777777" w:rsidR="000A681A" w:rsidRPr="000A681A" w:rsidRDefault="000A681A" w:rsidP="00015F9F">
      <w:pPr>
        <w:pStyle w:val="ListParagraph"/>
        <w:spacing w:before="0"/>
        <w:contextualSpacing/>
        <w:jc w:val="both"/>
        <w:rPr>
          <w:rFonts w:cs="Arial"/>
        </w:rPr>
      </w:pPr>
    </w:p>
    <w:p w14:paraId="015D81FC" w14:textId="59E5835B" w:rsidR="00925EC2" w:rsidRPr="008023F4" w:rsidRDefault="00D33192" w:rsidP="00015F9F">
      <w:pPr>
        <w:pStyle w:val="ListParagraph"/>
        <w:numPr>
          <w:ilvl w:val="1"/>
          <w:numId w:val="7"/>
        </w:numPr>
        <w:spacing w:before="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015F9F" w:rsidRDefault="008023F4" w:rsidP="00015F9F">
      <w:pPr>
        <w:pStyle w:val="ListParagraph"/>
        <w:spacing w:before="0"/>
        <w:contextualSpacing/>
        <w:jc w:val="both"/>
        <w:rPr>
          <w:rFonts w:cs="Arial"/>
        </w:rPr>
      </w:pPr>
    </w:p>
    <w:p w14:paraId="7B76385F" w14:textId="1EC1E1B4" w:rsidR="00925EC2" w:rsidRDefault="00D33192" w:rsidP="00015F9F">
      <w:pPr>
        <w:pStyle w:val="ListParagraph"/>
        <w:numPr>
          <w:ilvl w:val="1"/>
          <w:numId w:val="7"/>
        </w:numPr>
        <w:spacing w:before="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015F9F">
      <w:pPr>
        <w:pStyle w:val="ListParagraph"/>
        <w:spacing w:before="0"/>
        <w:contextualSpacing/>
        <w:jc w:val="both"/>
        <w:rPr>
          <w:rFonts w:cs="Arial"/>
        </w:rPr>
      </w:pPr>
    </w:p>
    <w:p w14:paraId="3A417F7D" w14:textId="57049260" w:rsidR="00D33192" w:rsidRPr="00D33192" w:rsidRDefault="00925EC2" w:rsidP="00015F9F">
      <w:pPr>
        <w:pStyle w:val="ListParagraph"/>
        <w:numPr>
          <w:ilvl w:val="1"/>
          <w:numId w:val="7"/>
        </w:numPr>
        <w:spacing w:before="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015F9F">
      <w:pPr>
        <w:pStyle w:val="ListParagraph"/>
        <w:spacing w:before="0"/>
        <w:contextualSpacing/>
        <w:jc w:val="both"/>
        <w:rPr>
          <w:rFonts w:cs="Arial"/>
        </w:rPr>
      </w:pPr>
    </w:p>
    <w:p w14:paraId="3D14E2E4" w14:textId="1DA1E8E5" w:rsidR="00457950" w:rsidRDefault="00925EC2" w:rsidP="00015F9F">
      <w:pPr>
        <w:pStyle w:val="ListParagraph"/>
        <w:numPr>
          <w:ilvl w:val="1"/>
          <w:numId w:val="7"/>
        </w:numPr>
        <w:spacing w:before="0"/>
        <w:contextualSpacing/>
        <w:jc w:val="both"/>
        <w:rPr>
          <w:rFonts w:cs="Arial"/>
        </w:rPr>
      </w:pPr>
      <w:r w:rsidRPr="00925EC2">
        <w:rPr>
          <w:rFonts w:cs="Arial"/>
        </w:rPr>
        <w:t>Potential providers will be marked in accordance with the marking scheme at Section 2.</w:t>
      </w:r>
    </w:p>
    <w:p w14:paraId="690C9BAB" w14:textId="77777777" w:rsidR="00015F9F" w:rsidRPr="00015F9F" w:rsidRDefault="00015F9F" w:rsidP="00015F9F">
      <w:pPr>
        <w:pStyle w:val="ListParagraph"/>
        <w:spacing w:before="0"/>
        <w:contextualSpacing/>
        <w:jc w:val="both"/>
        <w:rPr>
          <w:rFonts w:cs="Arial"/>
        </w:rPr>
      </w:pPr>
    </w:p>
    <w:p w14:paraId="6C64909C" w14:textId="6DD5B8BF" w:rsidR="00015F9F" w:rsidRPr="008C6704" w:rsidRDefault="00015F9F" w:rsidP="00015F9F">
      <w:pPr>
        <w:pStyle w:val="ListParagraph"/>
        <w:numPr>
          <w:ilvl w:val="1"/>
          <w:numId w:val="7"/>
        </w:numPr>
        <w:spacing w:before="0"/>
        <w:contextualSpacing/>
        <w:jc w:val="both"/>
        <w:rPr>
          <w:rFonts w:cs="Arial"/>
        </w:rPr>
      </w:pPr>
      <w:r>
        <w:rPr>
          <w:rFonts w:cs="Arial"/>
        </w:rPr>
        <w:t>The page limit per attachment is 1</w:t>
      </w:r>
      <w:r w:rsidR="005F5F7D">
        <w:rPr>
          <w:rFonts w:cs="Arial"/>
        </w:rPr>
        <w:t>5</w:t>
      </w:r>
      <w:r>
        <w:rPr>
          <w:rFonts w:cs="Arial"/>
        </w:rPr>
        <w:t xml:space="preserve"> Sides of A4</w:t>
      </w:r>
      <w:r w:rsidR="005F5F7D">
        <w:rPr>
          <w:rFonts w:cs="Arial"/>
        </w:rPr>
        <w:t>, please note that this is inclusive of diagrams, graphs and pictures</w:t>
      </w:r>
      <w:r>
        <w:rPr>
          <w:rFonts w:cs="Arial"/>
        </w:rPr>
        <w:t xml:space="preserve"> (excluding CV’s). Attachments must be submitted in PDF format and be in Arial font size 11. An attache</w:t>
      </w:r>
      <w:r w:rsidR="00E172D6">
        <w:rPr>
          <w:rFonts w:cs="Arial"/>
        </w:rPr>
        <w:t>d (Excel) Price schedul</w:t>
      </w:r>
      <w:r>
        <w:rPr>
          <w:rFonts w:cs="Arial"/>
        </w:rPr>
        <w:t>e is permitted, any additional documents submitted will not be taken into consideration.</w:t>
      </w:r>
    </w:p>
    <w:p w14:paraId="7758E782" w14:textId="77777777" w:rsidR="002A4292" w:rsidRPr="008C6704" w:rsidRDefault="002A4292" w:rsidP="00015F9F">
      <w:pPr>
        <w:pStyle w:val="ListParagraph"/>
        <w:spacing w:before="0"/>
        <w:contextualSpacing/>
        <w:jc w:val="both"/>
        <w:rPr>
          <w:rFonts w:cs="Arial"/>
        </w:rPr>
      </w:pPr>
    </w:p>
    <w:p w14:paraId="5538D352" w14:textId="49BE1A32" w:rsidR="002A4292" w:rsidRPr="008C6704" w:rsidRDefault="002A4292" w:rsidP="005F5F7D">
      <w:pPr>
        <w:pStyle w:val="ListParagraph"/>
        <w:numPr>
          <w:ilvl w:val="1"/>
          <w:numId w:val="7"/>
        </w:numPr>
        <w:spacing w:before="0"/>
        <w:contextualSpacing/>
        <w:rPr>
          <w:rFonts w:cs="Arial"/>
        </w:rPr>
      </w:pPr>
      <w:r w:rsidRPr="008C6704">
        <w:rPr>
          <w:rFonts w:cs="Arial"/>
        </w:rPr>
        <w:t>Suppliers should set out their responses in 3 attachments:</w:t>
      </w:r>
      <w:r w:rsidRPr="008C6704">
        <w:rPr>
          <w:rFonts w:cs="Arial"/>
        </w:rPr>
        <w:br/>
      </w:r>
    </w:p>
    <w:p w14:paraId="3A49CA12" w14:textId="77777777" w:rsidR="002A4292" w:rsidRPr="008C6704" w:rsidRDefault="002A4292" w:rsidP="002A4292">
      <w:pPr>
        <w:pStyle w:val="ListParagraph"/>
        <w:numPr>
          <w:ilvl w:val="0"/>
          <w:numId w:val="17"/>
        </w:numPr>
        <w:spacing w:after="0"/>
        <w:contextualSpacing/>
        <w:jc w:val="both"/>
        <w:rPr>
          <w:rFonts w:cs="Arial"/>
          <w:b/>
        </w:rPr>
      </w:pPr>
      <w:r w:rsidRPr="008C6704">
        <w:rPr>
          <w:rFonts w:cs="Arial"/>
          <w:b/>
        </w:rPr>
        <w:t>Attachment 1 – Questionnaire 1, 2 and 3 (Mandatory Questions) in PDF format uploaded at Questionnaire 1 only.</w:t>
      </w:r>
    </w:p>
    <w:p w14:paraId="3BD9F4E6" w14:textId="77777777" w:rsidR="002A4292" w:rsidRPr="008C6704" w:rsidRDefault="002A4292" w:rsidP="002A4292">
      <w:pPr>
        <w:pStyle w:val="ListParagraph"/>
        <w:spacing w:after="0"/>
        <w:ind w:left="1440"/>
        <w:contextualSpacing/>
        <w:jc w:val="both"/>
        <w:rPr>
          <w:rFonts w:cs="Arial"/>
          <w:b/>
        </w:rPr>
      </w:pPr>
    </w:p>
    <w:p w14:paraId="723B5085" w14:textId="519F2DC6" w:rsidR="002A4292" w:rsidRDefault="00015F9F" w:rsidP="00015F9F">
      <w:pPr>
        <w:pStyle w:val="ListParagraph"/>
        <w:numPr>
          <w:ilvl w:val="0"/>
          <w:numId w:val="17"/>
        </w:numPr>
        <w:spacing w:after="0"/>
        <w:contextualSpacing/>
        <w:jc w:val="both"/>
        <w:rPr>
          <w:rFonts w:cs="Arial"/>
          <w:b/>
        </w:rPr>
      </w:pPr>
      <w:r>
        <w:rPr>
          <w:rFonts w:cs="Arial"/>
          <w:b/>
        </w:rPr>
        <w:t xml:space="preserve">Atachment 2 – Questionnaire 4, </w:t>
      </w:r>
      <w:r w:rsidR="002A4292" w:rsidRPr="008C6704">
        <w:rPr>
          <w:rFonts w:cs="Arial"/>
          <w:b/>
        </w:rPr>
        <w:t>5</w:t>
      </w:r>
      <w:r>
        <w:rPr>
          <w:rFonts w:cs="Arial"/>
          <w:b/>
        </w:rPr>
        <w:t xml:space="preserve"> and 6</w:t>
      </w:r>
      <w:r w:rsidR="002A4292" w:rsidRPr="008C6704">
        <w:rPr>
          <w:rFonts w:cs="Arial"/>
          <w:b/>
        </w:rPr>
        <w:t xml:space="preserve"> (Quality Questions) in PDF format uploaded at Questionnaire 4 only.</w:t>
      </w:r>
    </w:p>
    <w:p w14:paraId="62ABD686" w14:textId="77777777" w:rsidR="00015F9F" w:rsidRPr="00015F9F" w:rsidRDefault="00015F9F" w:rsidP="00015F9F">
      <w:pPr>
        <w:spacing w:after="0"/>
        <w:contextualSpacing/>
        <w:jc w:val="both"/>
        <w:rPr>
          <w:rFonts w:cs="Arial"/>
          <w:b/>
        </w:rPr>
      </w:pPr>
    </w:p>
    <w:p w14:paraId="21116A62" w14:textId="54119AE1" w:rsidR="002A4292" w:rsidRPr="008C6704" w:rsidRDefault="002A4292" w:rsidP="002A4292">
      <w:pPr>
        <w:pStyle w:val="ListParagraph"/>
        <w:numPr>
          <w:ilvl w:val="0"/>
          <w:numId w:val="17"/>
        </w:numPr>
        <w:spacing w:after="0"/>
        <w:contextualSpacing/>
        <w:jc w:val="both"/>
        <w:rPr>
          <w:rFonts w:cs="Arial"/>
          <w:b/>
        </w:rPr>
      </w:pPr>
      <w:r w:rsidRPr="008C6704">
        <w:rPr>
          <w:rFonts w:cs="Arial"/>
          <w:b/>
        </w:rPr>
        <w:t xml:space="preserve">Attachment 3 – </w:t>
      </w:r>
      <w:bookmarkStart w:id="0" w:name="_GoBack"/>
      <w:bookmarkEnd w:id="0"/>
      <w:r w:rsidRPr="008C6704">
        <w:rPr>
          <w:rFonts w:cs="Arial"/>
          <w:b/>
        </w:rPr>
        <w:t xml:space="preserve">Questionnaire </w:t>
      </w:r>
      <w:r w:rsidR="00015F9F">
        <w:rPr>
          <w:rFonts w:cs="Arial"/>
          <w:b/>
        </w:rPr>
        <w:t>7</w:t>
      </w:r>
      <w:r w:rsidRPr="008C6704">
        <w:rPr>
          <w:rFonts w:cs="Arial"/>
          <w:b/>
        </w:rPr>
        <w:t xml:space="preserve"> (Appendix E – Pricing Schedule) in an Excel file, uploaded at quest</w:t>
      </w:r>
      <w:r w:rsidR="00015F9F">
        <w:rPr>
          <w:rFonts w:cs="Arial"/>
          <w:b/>
        </w:rPr>
        <w:t>ion level within Questionnaire 7</w:t>
      </w:r>
      <w:r w:rsidRPr="008C6704">
        <w:rPr>
          <w:rFonts w:cs="Arial"/>
          <w:b/>
        </w:rPr>
        <w:t xml:space="preserve"> only. </w:t>
      </w:r>
    </w:p>
    <w:p w14:paraId="519FBFE7" w14:textId="77777777" w:rsidR="00457950" w:rsidRPr="00457950" w:rsidRDefault="00457950" w:rsidP="00457950">
      <w:pPr>
        <w:spacing w:after="0"/>
        <w:contextualSpacing/>
        <w:jc w:val="both"/>
        <w:rPr>
          <w:rFonts w:cs="Arial"/>
        </w:rPr>
      </w:pP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27B7BAAD" w:rsidR="006A087F" w:rsidRPr="006A087F" w:rsidRDefault="00EF32A2" w:rsidP="00EF32A2">
            <w:pPr>
              <w:rPr>
                <w:b/>
                <w:color w:val="FFFFFF" w:themeColor="background1"/>
              </w:rPr>
            </w:pPr>
            <w:r>
              <w:rPr>
                <w:b/>
                <w:color w:val="FFFFFF" w:themeColor="background1"/>
              </w:rPr>
              <w:t>QUESTIONNAIRE 4 – CAPABILITY</w:t>
            </w:r>
            <w:r w:rsidR="006A087F" w:rsidRPr="006A087F">
              <w:rPr>
                <w:b/>
                <w:color w:val="FFFFFF" w:themeColor="background1"/>
              </w:rPr>
              <w:t xml:space="preserve"> </w:t>
            </w:r>
          </w:p>
        </w:tc>
        <w:tc>
          <w:tcPr>
            <w:tcW w:w="2551" w:type="dxa"/>
            <w:gridSpan w:val="2"/>
            <w:shd w:val="clear" w:color="auto" w:fill="0D0D0D" w:themeFill="text1" w:themeFillTint="F2"/>
          </w:tcPr>
          <w:p w14:paraId="1290A9B6" w14:textId="7BD3E676" w:rsidR="006A087F" w:rsidRPr="006A087F" w:rsidRDefault="006A087F" w:rsidP="006A087F">
            <w:pPr>
              <w:jc w:val="right"/>
              <w:rPr>
                <w:b/>
                <w:color w:val="FFFFFF" w:themeColor="background1"/>
              </w:rPr>
            </w:pPr>
            <w:r w:rsidRPr="006A087F">
              <w:rPr>
                <w:b/>
                <w:color w:val="FFFFFF" w:themeColor="background1"/>
              </w:rPr>
              <w:t xml:space="preserve">Weighting </w:t>
            </w:r>
            <w:r w:rsidRPr="00EF32A2">
              <w:rPr>
                <w:b/>
                <w:color w:val="FFFFFF" w:themeColor="background1"/>
              </w:rPr>
              <w:t xml:space="preserve">– </w:t>
            </w:r>
            <w:r w:rsidR="00EF32A2" w:rsidRPr="00EF32A2">
              <w:rPr>
                <w:b/>
                <w:color w:val="FFFFFF" w:themeColor="background1"/>
              </w:rPr>
              <w:t>35</w:t>
            </w:r>
            <w:r w:rsidRPr="006A087F">
              <w:rPr>
                <w:b/>
                <w:color w:val="FFFFFF" w:themeColor="background1"/>
              </w:rPr>
              <w:t xml:space="preserve"> %</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3AE95139" w:rsidR="00F10B85" w:rsidRPr="00F10B85" w:rsidRDefault="002A4292" w:rsidP="002A4292">
            <w:pPr>
              <w:jc w:val="center"/>
            </w:pPr>
            <w:r>
              <w:t xml:space="preserve">Weighting </w:t>
            </w:r>
            <w:r w:rsidR="00F10B85" w:rsidRPr="00F10B85">
              <w:t>%</w:t>
            </w:r>
          </w:p>
        </w:tc>
      </w:tr>
      <w:tr w:rsidR="00F10B85" w14:paraId="2CD4CB9A" w14:textId="77777777" w:rsidTr="00F10B85">
        <w:tc>
          <w:tcPr>
            <w:tcW w:w="1170" w:type="dxa"/>
          </w:tcPr>
          <w:p w14:paraId="304B1B86" w14:textId="16BE28F9" w:rsidR="00F10B85" w:rsidRDefault="006A087F" w:rsidP="006A087F">
            <w:pPr>
              <w:jc w:val="center"/>
            </w:pPr>
            <w:r>
              <w:t>4.1</w:t>
            </w:r>
          </w:p>
        </w:tc>
        <w:tc>
          <w:tcPr>
            <w:tcW w:w="4212" w:type="dxa"/>
          </w:tcPr>
          <w:p w14:paraId="73E1A01D" w14:textId="1520AD81" w:rsidR="005A6F9D" w:rsidRDefault="00616065">
            <w:r w:rsidRPr="00616065">
              <w:t>P</w:t>
            </w:r>
            <w:r w:rsidR="00186111">
              <w:t>otential providers should p</w:t>
            </w:r>
            <w:r w:rsidRPr="00616065">
              <w:t xml:space="preserve">rovide </w:t>
            </w:r>
            <w:r w:rsidR="005A6F9D">
              <w:t>an organisational chart detailing the structure of the delivery team. The chart should include details of reporting lines, escalation routes and a detailed resource plan providing information on how each individuals time would be dedicated to the project.</w:t>
            </w:r>
          </w:p>
          <w:p w14:paraId="4C6BB02E" w14:textId="0CD0AAD0" w:rsidR="000D499A" w:rsidRPr="001C219D" w:rsidRDefault="00616065">
            <w:r>
              <w:t>CVs</w:t>
            </w:r>
            <w:r w:rsidRPr="00616065">
              <w:t xml:space="preserve"> </w:t>
            </w:r>
            <w:r w:rsidR="005A6F9D">
              <w:t xml:space="preserve">for the staff </w:t>
            </w:r>
            <w:r w:rsidR="000D499A">
              <w:t xml:space="preserve">(maximum 2 sides per person) </w:t>
            </w:r>
            <w:r w:rsidRPr="00616065">
              <w:t xml:space="preserve">who </w:t>
            </w:r>
            <w:r w:rsidR="005A6F9D">
              <w:t>will</w:t>
            </w:r>
            <w:r w:rsidR="005A6F9D" w:rsidRPr="00616065">
              <w:t xml:space="preserve"> </w:t>
            </w:r>
            <w:r w:rsidRPr="00616065">
              <w:t>be working on</w:t>
            </w:r>
            <w:r w:rsidR="00E172D6">
              <w:t xml:space="preserve"> p</w:t>
            </w:r>
            <w:r w:rsidR="005A6F9D">
              <w:t xml:space="preserve">roject oversight and quality control </w:t>
            </w:r>
            <w:r w:rsidR="00AD1F7B">
              <w:t>w</w:t>
            </w:r>
            <w:r w:rsidR="00213F06">
              <w:t xml:space="preserve">ill also be required. </w:t>
            </w:r>
          </w:p>
        </w:tc>
        <w:tc>
          <w:tcPr>
            <w:tcW w:w="1417" w:type="dxa"/>
          </w:tcPr>
          <w:p w14:paraId="5A52C002" w14:textId="55E7F99A" w:rsidR="00F10B85" w:rsidRPr="00616065" w:rsidRDefault="00616065" w:rsidP="006A087F">
            <w:pPr>
              <w:jc w:val="center"/>
            </w:pPr>
            <w:r w:rsidRPr="00616065">
              <w:t>50</w:t>
            </w:r>
          </w:p>
        </w:tc>
        <w:tc>
          <w:tcPr>
            <w:tcW w:w="1271" w:type="dxa"/>
          </w:tcPr>
          <w:p w14:paraId="339CEAC3" w14:textId="7BBA4DD9" w:rsidR="00F10B85" w:rsidRPr="00616065" w:rsidRDefault="006A087F" w:rsidP="006A087F">
            <w:pPr>
              <w:jc w:val="center"/>
            </w:pPr>
            <w:r w:rsidRPr="00616065">
              <w:t>100</w:t>
            </w:r>
          </w:p>
        </w:tc>
        <w:tc>
          <w:tcPr>
            <w:tcW w:w="1280" w:type="dxa"/>
          </w:tcPr>
          <w:p w14:paraId="25E7131B" w14:textId="3277FBCA" w:rsidR="00F10B85" w:rsidRPr="00843FD0" w:rsidRDefault="004973B4" w:rsidP="006A087F">
            <w:pPr>
              <w:jc w:val="center"/>
            </w:pPr>
            <w:r>
              <w:t>2</w:t>
            </w:r>
            <w:r w:rsidR="00616065" w:rsidRPr="00843FD0">
              <w:t>0</w:t>
            </w:r>
            <w:r w:rsidR="006A087F" w:rsidRPr="00843FD0">
              <w:t>%</w:t>
            </w:r>
          </w:p>
        </w:tc>
      </w:tr>
      <w:tr w:rsidR="00F10B85" w14:paraId="5549B292" w14:textId="77777777" w:rsidTr="00F10B85">
        <w:tc>
          <w:tcPr>
            <w:tcW w:w="1170" w:type="dxa"/>
          </w:tcPr>
          <w:p w14:paraId="7A938FC9" w14:textId="76703451" w:rsidR="00F10B85" w:rsidRDefault="006A087F" w:rsidP="006A087F">
            <w:pPr>
              <w:jc w:val="center"/>
            </w:pPr>
            <w:r>
              <w:t>4.2</w:t>
            </w:r>
          </w:p>
        </w:tc>
        <w:tc>
          <w:tcPr>
            <w:tcW w:w="4212" w:type="dxa"/>
          </w:tcPr>
          <w:p w14:paraId="2BD7D3B3" w14:textId="1655DEC9" w:rsidR="00F10B85" w:rsidRDefault="00186111" w:rsidP="00186111">
            <w:r>
              <w:t>Potential providers should s</w:t>
            </w:r>
            <w:r w:rsidR="001C219D" w:rsidRPr="001C219D">
              <w:t xml:space="preserve">et out details of </w:t>
            </w:r>
            <w:r>
              <w:t>their</w:t>
            </w:r>
            <w:r w:rsidRPr="001C219D">
              <w:t xml:space="preserve"> </w:t>
            </w:r>
            <w:r w:rsidR="001C219D" w:rsidRPr="001C219D">
              <w:t xml:space="preserve">experience and understanding of </w:t>
            </w:r>
            <w:r w:rsidR="000E7176">
              <w:t>electricity  modelling</w:t>
            </w:r>
            <w:r w:rsidR="001C219D" w:rsidRPr="001C219D">
              <w:t>, and relate thi</w:t>
            </w:r>
            <w:r w:rsidR="001C219D">
              <w:t>s experience to the</w:t>
            </w:r>
            <w:r w:rsidR="001C219D" w:rsidRPr="001C219D">
              <w:t xml:space="preserve"> particular challenges the </w:t>
            </w:r>
            <w:r w:rsidR="001C219D">
              <w:t>NIC</w:t>
            </w:r>
            <w:r w:rsidR="001C219D" w:rsidRPr="001C219D">
              <w:t xml:space="preserve"> is seeking to address – set out in Appendix B –  Statement of Requirements</w:t>
            </w:r>
            <w:r w:rsidR="001C219D">
              <w:t>.</w:t>
            </w:r>
          </w:p>
          <w:p w14:paraId="09FFFEBE" w14:textId="2D6E56AA" w:rsidR="006B6F24" w:rsidRPr="006A087F" w:rsidRDefault="006B6F24" w:rsidP="00186111">
            <w:pPr>
              <w:rPr>
                <w:highlight w:val="yellow"/>
              </w:rPr>
            </w:pPr>
          </w:p>
        </w:tc>
        <w:tc>
          <w:tcPr>
            <w:tcW w:w="1417" w:type="dxa"/>
          </w:tcPr>
          <w:p w14:paraId="3CDC8814" w14:textId="3E604EB7" w:rsidR="00F10B85" w:rsidRPr="006A087F" w:rsidRDefault="001C219D" w:rsidP="006A087F">
            <w:pPr>
              <w:jc w:val="center"/>
              <w:rPr>
                <w:highlight w:val="yellow"/>
              </w:rPr>
            </w:pPr>
            <w:r w:rsidRPr="001C219D">
              <w:t>50</w:t>
            </w:r>
          </w:p>
        </w:tc>
        <w:tc>
          <w:tcPr>
            <w:tcW w:w="1271" w:type="dxa"/>
          </w:tcPr>
          <w:p w14:paraId="735D44EC" w14:textId="732D0981" w:rsidR="00F10B85" w:rsidRDefault="006A087F" w:rsidP="006A087F">
            <w:pPr>
              <w:jc w:val="center"/>
            </w:pPr>
            <w:r>
              <w:t>100</w:t>
            </w:r>
          </w:p>
        </w:tc>
        <w:tc>
          <w:tcPr>
            <w:tcW w:w="1280" w:type="dxa"/>
          </w:tcPr>
          <w:p w14:paraId="5C2A13E2" w14:textId="400337AB" w:rsidR="00F10B85" w:rsidRPr="00843FD0" w:rsidRDefault="004973B4" w:rsidP="006A087F">
            <w:pPr>
              <w:jc w:val="center"/>
            </w:pPr>
            <w:r>
              <w:t>3</w:t>
            </w:r>
            <w:r w:rsidR="00616065" w:rsidRPr="00843FD0">
              <w:t>0</w:t>
            </w:r>
            <w:r w:rsidR="006A087F" w:rsidRPr="00843FD0">
              <w:t>%</w:t>
            </w:r>
          </w:p>
        </w:tc>
      </w:tr>
      <w:tr w:rsidR="00431A1D" w14:paraId="20D19897" w14:textId="77777777" w:rsidTr="00F10B85">
        <w:tc>
          <w:tcPr>
            <w:tcW w:w="1170" w:type="dxa"/>
          </w:tcPr>
          <w:p w14:paraId="69C2BF91" w14:textId="05B56BF3" w:rsidR="00431A1D" w:rsidRDefault="00431A1D" w:rsidP="006A087F">
            <w:pPr>
              <w:jc w:val="center"/>
            </w:pPr>
            <w:r>
              <w:t>4.3</w:t>
            </w:r>
          </w:p>
        </w:tc>
        <w:tc>
          <w:tcPr>
            <w:tcW w:w="4212" w:type="dxa"/>
          </w:tcPr>
          <w:p w14:paraId="29CE0BFC" w14:textId="73DB3239" w:rsidR="00657647" w:rsidRDefault="00431A1D">
            <w:pPr>
              <w:rPr>
                <w:color w:val="000000" w:themeColor="text1"/>
              </w:rPr>
            </w:pPr>
            <w:r w:rsidRPr="00F626B7">
              <w:rPr>
                <w:color w:val="000000" w:themeColor="text1"/>
              </w:rPr>
              <w:t xml:space="preserve">Potential providers </w:t>
            </w:r>
            <w:r w:rsidR="003A33C3">
              <w:rPr>
                <w:color w:val="000000" w:themeColor="text1"/>
              </w:rPr>
              <w:t>MUST</w:t>
            </w:r>
            <w:r w:rsidR="00716EDF" w:rsidRPr="00F626B7">
              <w:rPr>
                <w:color w:val="000000" w:themeColor="text1"/>
              </w:rPr>
              <w:t xml:space="preserve"> have the </w:t>
            </w:r>
            <w:r w:rsidR="004973B4">
              <w:rPr>
                <w:color w:val="000000" w:themeColor="text1"/>
              </w:rPr>
              <w:t>models that enable</w:t>
            </w:r>
            <w:r w:rsidR="004973B4" w:rsidRPr="00F626B7">
              <w:rPr>
                <w:color w:val="000000" w:themeColor="text1"/>
              </w:rPr>
              <w:t xml:space="preserve"> </w:t>
            </w:r>
            <w:r w:rsidR="004973B4">
              <w:rPr>
                <w:color w:val="000000" w:themeColor="text1"/>
              </w:rPr>
              <w:t>them to</w:t>
            </w:r>
            <w:r w:rsidR="00657647">
              <w:rPr>
                <w:color w:val="000000" w:themeColor="text1"/>
              </w:rPr>
              <w:t>:</w:t>
            </w:r>
          </w:p>
          <w:p w14:paraId="35F5EE3E" w14:textId="6F9AFDAE" w:rsidR="00657647" w:rsidRDefault="00657647" w:rsidP="00657647">
            <w:pPr>
              <w:pStyle w:val="ListParagraph"/>
              <w:numPr>
                <w:ilvl w:val="0"/>
                <w:numId w:val="18"/>
              </w:numPr>
              <w:rPr>
                <w:color w:val="000000" w:themeColor="text1"/>
              </w:rPr>
            </w:pPr>
            <w:r>
              <w:rPr>
                <w:color w:val="000000" w:themeColor="text1"/>
              </w:rPr>
              <w:t>model</w:t>
            </w:r>
            <w:r w:rsidR="00716EDF" w:rsidRPr="00657647">
              <w:rPr>
                <w:color w:val="000000" w:themeColor="text1"/>
              </w:rPr>
              <w:t xml:space="preserve"> the whole </w:t>
            </w:r>
            <w:r w:rsidR="00D85FB8" w:rsidRPr="00657647">
              <w:rPr>
                <w:color w:val="000000" w:themeColor="text1"/>
              </w:rPr>
              <w:t>power</w:t>
            </w:r>
            <w:r w:rsidR="00716EDF" w:rsidRPr="00657647">
              <w:rPr>
                <w:color w:val="000000" w:themeColor="text1"/>
              </w:rPr>
              <w:t xml:space="preserve"> system costs </w:t>
            </w:r>
            <w:r w:rsidR="00482340" w:rsidRPr="00657647">
              <w:rPr>
                <w:color w:val="000000" w:themeColor="text1"/>
              </w:rPr>
              <w:t>reflecting system integration</w:t>
            </w:r>
            <w:r>
              <w:rPr>
                <w:color w:val="000000" w:themeColor="text1"/>
              </w:rPr>
              <w:t xml:space="preserve"> costs</w:t>
            </w:r>
          </w:p>
          <w:p w14:paraId="20141428" w14:textId="2802E02B" w:rsidR="00657647" w:rsidRDefault="00657647" w:rsidP="00657647">
            <w:pPr>
              <w:pStyle w:val="ListParagraph"/>
              <w:numPr>
                <w:ilvl w:val="0"/>
                <w:numId w:val="18"/>
              </w:numPr>
              <w:rPr>
                <w:color w:val="000000" w:themeColor="text1"/>
              </w:rPr>
            </w:pPr>
            <w:r>
              <w:rPr>
                <w:color w:val="000000" w:themeColor="text1"/>
              </w:rPr>
              <w:t>incorporat</w:t>
            </w:r>
            <w:r w:rsidR="004973B4">
              <w:rPr>
                <w:color w:val="000000" w:themeColor="text1"/>
              </w:rPr>
              <w:t>e</w:t>
            </w:r>
            <w:r>
              <w:rPr>
                <w:color w:val="000000" w:themeColor="text1"/>
              </w:rPr>
              <w:t xml:space="preserve"> power system flexibility (deman</w:t>
            </w:r>
            <w:r w:rsidR="00CA7A49">
              <w:rPr>
                <w:color w:val="000000" w:themeColor="text1"/>
              </w:rPr>
              <w:t>d-side response; energy storage;</w:t>
            </w:r>
            <w:r>
              <w:rPr>
                <w:color w:val="000000" w:themeColor="text1"/>
              </w:rPr>
              <w:t xml:space="preserve"> interconnectors)</w:t>
            </w:r>
          </w:p>
          <w:p w14:paraId="64F6C165" w14:textId="5E14CE86" w:rsidR="00482340" w:rsidRPr="00DF2D43" w:rsidRDefault="00657647" w:rsidP="00DF2D43">
            <w:pPr>
              <w:pStyle w:val="ListParagraph"/>
              <w:numPr>
                <w:ilvl w:val="0"/>
                <w:numId w:val="18"/>
              </w:numPr>
              <w:rPr>
                <w:color w:val="000000" w:themeColor="text1"/>
              </w:rPr>
            </w:pPr>
            <w:r w:rsidRPr="00657647">
              <w:rPr>
                <w:color w:val="000000" w:themeColor="text1"/>
              </w:rPr>
              <w:t>control for carbon</w:t>
            </w:r>
            <w:r>
              <w:rPr>
                <w:color w:val="000000" w:themeColor="text1"/>
              </w:rPr>
              <w:t xml:space="preserve"> contraints; </w:t>
            </w:r>
            <w:r w:rsidRPr="00657647">
              <w:rPr>
                <w:color w:val="000000" w:themeColor="text1"/>
              </w:rPr>
              <w:t>security of supply</w:t>
            </w:r>
          </w:p>
          <w:p w14:paraId="0B02B050" w14:textId="75B7DB84" w:rsidR="00716EDF" w:rsidRPr="00F626B7" w:rsidRDefault="00716EDF">
            <w:pPr>
              <w:rPr>
                <w:color w:val="000000" w:themeColor="text1"/>
              </w:rPr>
            </w:pPr>
            <w:r w:rsidRPr="00F626B7">
              <w:rPr>
                <w:color w:val="000000" w:themeColor="text1"/>
              </w:rPr>
              <w:t xml:space="preserve">for: </w:t>
            </w:r>
          </w:p>
          <w:p w14:paraId="292A8F59" w14:textId="31139DDF" w:rsidR="00716EDF" w:rsidRPr="00F626B7" w:rsidRDefault="00716EDF" w:rsidP="00B26B0B">
            <w:pPr>
              <w:pStyle w:val="ListParagraph"/>
              <w:numPr>
                <w:ilvl w:val="0"/>
                <w:numId w:val="16"/>
              </w:numPr>
              <w:rPr>
                <w:color w:val="000000" w:themeColor="text1"/>
              </w:rPr>
            </w:pPr>
            <w:r w:rsidRPr="00F626B7">
              <w:rPr>
                <w:color w:val="000000" w:themeColor="text1"/>
              </w:rPr>
              <w:t xml:space="preserve">Marginal whole </w:t>
            </w:r>
            <w:r w:rsidR="00FA0289">
              <w:rPr>
                <w:color w:val="000000" w:themeColor="text1"/>
              </w:rPr>
              <w:t xml:space="preserve">power </w:t>
            </w:r>
            <w:r w:rsidRPr="00F626B7">
              <w:rPr>
                <w:color w:val="000000" w:themeColor="text1"/>
              </w:rPr>
              <w:t>system costs</w:t>
            </w:r>
          </w:p>
          <w:p w14:paraId="111E8187" w14:textId="02DCD7E7" w:rsidR="007D47A0" w:rsidRPr="00F626B7" w:rsidRDefault="00716EDF" w:rsidP="00B26B0B">
            <w:pPr>
              <w:pStyle w:val="ListParagraph"/>
              <w:numPr>
                <w:ilvl w:val="0"/>
                <w:numId w:val="16"/>
              </w:numPr>
              <w:rPr>
                <w:color w:val="000000" w:themeColor="text1"/>
              </w:rPr>
            </w:pPr>
            <w:r w:rsidRPr="00F626B7">
              <w:rPr>
                <w:color w:val="000000" w:themeColor="text1"/>
              </w:rPr>
              <w:t xml:space="preserve">Marginal costs for </w:t>
            </w:r>
            <w:r w:rsidR="00B26B0B" w:rsidRPr="00F626B7">
              <w:rPr>
                <w:color w:val="000000" w:themeColor="text1"/>
              </w:rPr>
              <w:t xml:space="preserve">the </w:t>
            </w:r>
            <w:r w:rsidRPr="00F626B7">
              <w:rPr>
                <w:color w:val="000000" w:themeColor="text1"/>
              </w:rPr>
              <w:t>different generation technologies</w:t>
            </w:r>
          </w:p>
          <w:p w14:paraId="5FD0CDFA" w14:textId="2B0DCE99" w:rsidR="007D47A0" w:rsidRPr="00F626B7" w:rsidRDefault="007D47A0" w:rsidP="00B26B0B">
            <w:pPr>
              <w:pStyle w:val="ListParagraph"/>
              <w:numPr>
                <w:ilvl w:val="0"/>
                <w:numId w:val="16"/>
              </w:numPr>
              <w:rPr>
                <w:color w:val="000000" w:themeColor="text1"/>
              </w:rPr>
            </w:pPr>
            <w:r w:rsidRPr="00F626B7">
              <w:rPr>
                <w:color w:val="000000" w:themeColor="text1"/>
              </w:rPr>
              <w:t>Average and peak electricity demand</w:t>
            </w:r>
          </w:p>
          <w:p w14:paraId="19CCD49A" w14:textId="77777777" w:rsidR="007D47A0" w:rsidRPr="00F626B7" w:rsidRDefault="007D47A0" w:rsidP="00B26B0B">
            <w:pPr>
              <w:pStyle w:val="ListParagraph"/>
              <w:numPr>
                <w:ilvl w:val="0"/>
                <w:numId w:val="16"/>
              </w:numPr>
              <w:rPr>
                <w:color w:val="000000" w:themeColor="text1"/>
              </w:rPr>
            </w:pPr>
            <w:r w:rsidRPr="00F626B7">
              <w:rPr>
                <w:color w:val="000000" w:themeColor="text1"/>
              </w:rPr>
              <w:t xml:space="preserve">Electricity generation capacity </w:t>
            </w:r>
          </w:p>
          <w:p w14:paraId="698389B7" w14:textId="0F97AA3A" w:rsidR="003A33C3" w:rsidRPr="00DF2D43" w:rsidRDefault="007D47A0" w:rsidP="00DF2D43">
            <w:pPr>
              <w:pStyle w:val="ListParagraph"/>
              <w:numPr>
                <w:ilvl w:val="0"/>
                <w:numId w:val="16"/>
              </w:numPr>
              <w:rPr>
                <w:color w:val="FF0000"/>
              </w:rPr>
            </w:pPr>
            <w:r w:rsidRPr="00F626B7">
              <w:rPr>
                <w:color w:val="000000" w:themeColor="text1"/>
              </w:rPr>
              <w:t>Electricity generation/fuel mix</w:t>
            </w:r>
          </w:p>
          <w:p w14:paraId="486A1CCE" w14:textId="77777777" w:rsidR="00DF2D43" w:rsidRPr="00DF2D43" w:rsidRDefault="00DF2D43" w:rsidP="00DF2D43">
            <w:pPr>
              <w:pStyle w:val="ListParagraph"/>
              <w:rPr>
                <w:color w:val="FF0000"/>
              </w:rPr>
            </w:pPr>
          </w:p>
          <w:p w14:paraId="6F3C2033" w14:textId="4E52BD06" w:rsidR="00716EDF" w:rsidRPr="00DF2D43" w:rsidRDefault="00B54316" w:rsidP="00F50DF8">
            <w:r w:rsidRPr="00DF2D43">
              <w:t>P</w:t>
            </w:r>
            <w:r w:rsidR="00DF2D43" w:rsidRPr="00DF2D43">
              <w:t xml:space="preserve">lease </w:t>
            </w:r>
            <w:r w:rsidRPr="00DF2D43">
              <w:t>confirm</w:t>
            </w:r>
            <w:r w:rsidR="00DF2D43" w:rsidRPr="00DF2D43">
              <w:t xml:space="preserve"> via a statement</w:t>
            </w:r>
            <w:r w:rsidRPr="00DF2D43">
              <w:t xml:space="preserve"> that you</w:t>
            </w:r>
            <w:r w:rsidR="00DF2D43" w:rsidRPr="00DF2D43">
              <w:t>r models</w:t>
            </w:r>
            <w:r w:rsidRPr="00DF2D43">
              <w:t xml:space="preserve"> meet all of the requirements </w:t>
            </w:r>
            <w:r w:rsidR="00DF2D43" w:rsidRPr="00DF2D43">
              <w:t>listed above. Additional details to support your statement will be used to attain marks above the 50 mark</w:t>
            </w:r>
            <w:r w:rsidR="00DF2D43">
              <w:t xml:space="preserve"> (meets the requirement) threshold.</w:t>
            </w:r>
          </w:p>
        </w:tc>
        <w:tc>
          <w:tcPr>
            <w:tcW w:w="1417" w:type="dxa"/>
          </w:tcPr>
          <w:p w14:paraId="70AC2E66" w14:textId="73F0CD0F" w:rsidR="00431A1D" w:rsidRPr="001C219D" w:rsidRDefault="00701B6B" w:rsidP="006A087F">
            <w:pPr>
              <w:jc w:val="center"/>
            </w:pPr>
            <w:r>
              <w:t>50</w:t>
            </w:r>
          </w:p>
        </w:tc>
        <w:tc>
          <w:tcPr>
            <w:tcW w:w="1271" w:type="dxa"/>
          </w:tcPr>
          <w:p w14:paraId="187CF239" w14:textId="1ABC26F8" w:rsidR="00431A1D" w:rsidRDefault="00701B6B" w:rsidP="006A087F">
            <w:pPr>
              <w:jc w:val="center"/>
            </w:pPr>
            <w:r>
              <w:t>100</w:t>
            </w:r>
          </w:p>
        </w:tc>
        <w:tc>
          <w:tcPr>
            <w:tcW w:w="1280" w:type="dxa"/>
          </w:tcPr>
          <w:p w14:paraId="0C652F3B" w14:textId="02358219" w:rsidR="00431A1D" w:rsidRPr="00B26B0B" w:rsidRDefault="004973B4" w:rsidP="006A087F">
            <w:pPr>
              <w:jc w:val="center"/>
              <w:rPr>
                <w:highlight w:val="yellow"/>
              </w:rPr>
            </w:pPr>
            <w:r w:rsidRPr="002C0E8D">
              <w:t>50%</w:t>
            </w:r>
          </w:p>
        </w:tc>
      </w:tr>
    </w:tbl>
    <w:p w14:paraId="3D2EB22B" w14:textId="05F30089"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47321396" w14:textId="77777777" w:rsidTr="00D33192">
        <w:tc>
          <w:tcPr>
            <w:tcW w:w="6799" w:type="dxa"/>
            <w:gridSpan w:val="3"/>
            <w:shd w:val="clear" w:color="auto" w:fill="0D0D0D" w:themeFill="text1" w:themeFillTint="F2"/>
          </w:tcPr>
          <w:p w14:paraId="1BB55076" w14:textId="2FB5FA3F" w:rsidR="00D33192" w:rsidRPr="006A087F" w:rsidRDefault="00D33192" w:rsidP="00D33192">
            <w:pPr>
              <w:rPr>
                <w:b/>
                <w:color w:val="FFFFFF" w:themeColor="background1"/>
              </w:rPr>
            </w:pPr>
            <w:r>
              <w:rPr>
                <w:b/>
                <w:color w:val="FFFFFF" w:themeColor="background1"/>
              </w:rPr>
              <w:t>QUESTIONNAIRE 5</w:t>
            </w:r>
            <w:r w:rsidR="00611D41">
              <w:rPr>
                <w:b/>
                <w:color w:val="FFFFFF" w:themeColor="background1"/>
              </w:rPr>
              <w:t xml:space="preserve"> – SERVICE DELIVERY</w:t>
            </w:r>
            <w:r w:rsidRPr="006A087F">
              <w:rPr>
                <w:b/>
                <w:color w:val="FFFFFF" w:themeColor="background1"/>
              </w:rPr>
              <w:t xml:space="preserve"> </w:t>
            </w:r>
          </w:p>
        </w:tc>
        <w:tc>
          <w:tcPr>
            <w:tcW w:w="2551" w:type="dxa"/>
            <w:gridSpan w:val="2"/>
            <w:shd w:val="clear" w:color="auto" w:fill="0D0D0D" w:themeFill="text1" w:themeFillTint="F2"/>
          </w:tcPr>
          <w:p w14:paraId="15DC8048" w14:textId="508FBE7E" w:rsidR="00D33192" w:rsidRPr="006A087F" w:rsidRDefault="001C219D" w:rsidP="00D33192">
            <w:pPr>
              <w:jc w:val="right"/>
              <w:rPr>
                <w:b/>
                <w:color w:val="FFFFFF" w:themeColor="background1"/>
              </w:rPr>
            </w:pPr>
            <w:r>
              <w:rPr>
                <w:b/>
                <w:color w:val="FFFFFF" w:themeColor="background1"/>
              </w:rPr>
              <w:t>Weighting – 15</w:t>
            </w:r>
            <w:r w:rsidR="00D33192" w:rsidRPr="006A087F">
              <w:rPr>
                <w:b/>
                <w:color w:val="FFFFFF" w:themeColor="background1"/>
              </w:rPr>
              <w:t xml:space="preserve"> %</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D33192">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4CC31895" w:rsidR="00D33192" w:rsidRPr="00F10B85" w:rsidRDefault="00D33192" w:rsidP="002A4292">
            <w:pPr>
              <w:jc w:val="center"/>
            </w:pPr>
            <w:r w:rsidRPr="00F10B85">
              <w:t>Weighting %</w:t>
            </w:r>
          </w:p>
        </w:tc>
      </w:tr>
      <w:tr w:rsidR="00D33192" w14:paraId="1A8F2DDA" w14:textId="77777777" w:rsidTr="00D33192">
        <w:tc>
          <w:tcPr>
            <w:tcW w:w="1170" w:type="dxa"/>
          </w:tcPr>
          <w:p w14:paraId="5C2943F1" w14:textId="3A29A125" w:rsidR="00D33192" w:rsidRDefault="00D33192" w:rsidP="00D33192">
            <w:pPr>
              <w:jc w:val="center"/>
            </w:pPr>
            <w:r>
              <w:t>5.1</w:t>
            </w:r>
          </w:p>
        </w:tc>
        <w:tc>
          <w:tcPr>
            <w:tcW w:w="4212" w:type="dxa"/>
          </w:tcPr>
          <w:p w14:paraId="6357FA9A" w14:textId="4FEB1A8C" w:rsidR="00611D41" w:rsidRPr="00611D41" w:rsidRDefault="00611D41" w:rsidP="00611D41">
            <w:r w:rsidRPr="00611D41">
              <w:t>P</w:t>
            </w:r>
            <w:r w:rsidR="00186111">
              <w:t>otential providers should p</w:t>
            </w:r>
            <w:r w:rsidRPr="00611D41">
              <w:t xml:space="preserve">rovide information about </w:t>
            </w:r>
            <w:r w:rsidR="00186111">
              <w:t>their</w:t>
            </w:r>
            <w:r w:rsidR="00186111" w:rsidRPr="00611D41">
              <w:t xml:space="preserve"> </w:t>
            </w:r>
            <w:r w:rsidRPr="00611D41">
              <w:t>organisation’s</w:t>
            </w:r>
            <w:r>
              <w:t xml:space="preserve"> </w:t>
            </w:r>
            <w:r w:rsidRPr="00611D41">
              <w:t xml:space="preserve">structure, ways of working, approach to resourcing and risk management, and any other relevant operational features to demonstrate </w:t>
            </w:r>
            <w:r w:rsidR="00186111">
              <w:t>their</w:t>
            </w:r>
            <w:r w:rsidR="00186111" w:rsidRPr="00611D41">
              <w:t xml:space="preserve"> </w:t>
            </w:r>
            <w:r w:rsidRPr="00611D41">
              <w:t>ability to deliver the workstreams set out in Appendix B Statement of Requirements.</w:t>
            </w:r>
            <w:r>
              <w:t xml:space="preserve"> </w:t>
            </w:r>
            <w:r w:rsidRPr="00611D41">
              <w:t>This should also cover</w:t>
            </w:r>
            <w:r w:rsidR="00186111">
              <w:t xml:space="preserve"> (but not be limited to)</w:t>
            </w:r>
            <w:r w:rsidRPr="00611D41">
              <w:t>:</w:t>
            </w:r>
          </w:p>
          <w:p w14:paraId="7740A5C3" w14:textId="77777777" w:rsidR="00611D41" w:rsidRDefault="00611D41" w:rsidP="00611D41">
            <w:pPr>
              <w:numPr>
                <w:ilvl w:val="0"/>
                <w:numId w:val="12"/>
              </w:numPr>
            </w:pPr>
            <w:r w:rsidRPr="00611D41">
              <w:t>Details of additional support staff with the necessary experience and qualifications that could be drafted in if the need arises, and how availability could be assured.</w:t>
            </w:r>
          </w:p>
          <w:p w14:paraId="362060F9" w14:textId="66BBA59A" w:rsidR="006B6F24" w:rsidRPr="00611D41" w:rsidRDefault="00611D41" w:rsidP="00BF50A4">
            <w:pPr>
              <w:numPr>
                <w:ilvl w:val="0"/>
                <w:numId w:val="12"/>
              </w:numPr>
            </w:pPr>
            <w:r w:rsidRPr="00611D41">
              <w:t>Details, including full names and contact details, of any sub-contrac</w:t>
            </w:r>
            <w:r w:rsidR="006B6F24">
              <w:t xml:space="preserve">ting entities. </w:t>
            </w:r>
            <w:r w:rsidR="00DA2CA0">
              <w:t xml:space="preserve">Please </w:t>
            </w:r>
            <w:r w:rsidRPr="00611D41">
              <w:t>detail the nature of the sub-contracting relationship(s) and how long this arrangement has been in place, and include any examples of recent successful projects as evidence of this existing relationship</w:t>
            </w:r>
            <w:r w:rsidR="00DA2CA0">
              <w:t>.</w:t>
            </w:r>
          </w:p>
        </w:tc>
        <w:tc>
          <w:tcPr>
            <w:tcW w:w="1417" w:type="dxa"/>
          </w:tcPr>
          <w:p w14:paraId="133503EE" w14:textId="0FDBF0C3" w:rsidR="00D33192" w:rsidRPr="00611D41" w:rsidRDefault="00611D41" w:rsidP="00611D41">
            <w:pPr>
              <w:jc w:val="center"/>
            </w:pPr>
            <w:r w:rsidRPr="00611D41">
              <w:t>50</w:t>
            </w:r>
          </w:p>
        </w:tc>
        <w:tc>
          <w:tcPr>
            <w:tcW w:w="1271" w:type="dxa"/>
          </w:tcPr>
          <w:p w14:paraId="73E48245" w14:textId="77777777" w:rsidR="00D33192" w:rsidRDefault="00D33192" w:rsidP="00D33192">
            <w:pPr>
              <w:jc w:val="center"/>
            </w:pPr>
            <w:r>
              <w:t>100</w:t>
            </w:r>
          </w:p>
        </w:tc>
        <w:tc>
          <w:tcPr>
            <w:tcW w:w="1280" w:type="dxa"/>
          </w:tcPr>
          <w:p w14:paraId="206695D7" w14:textId="3C64365D" w:rsidR="00D33192" w:rsidRDefault="00611D41" w:rsidP="00D33192">
            <w:pPr>
              <w:jc w:val="center"/>
            </w:pPr>
            <w:r w:rsidRPr="00611D41">
              <w:t>100</w:t>
            </w:r>
            <w:r w:rsidR="00D33192">
              <w:t>%</w:t>
            </w:r>
          </w:p>
        </w:tc>
      </w:tr>
    </w:tbl>
    <w:p w14:paraId="0FD28E9A" w14:textId="77777777" w:rsidR="00D33192" w:rsidRDefault="00D33192"/>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36E7C9DB" w14:textId="77777777" w:rsidTr="00D33192">
        <w:tc>
          <w:tcPr>
            <w:tcW w:w="6799" w:type="dxa"/>
            <w:gridSpan w:val="3"/>
            <w:shd w:val="clear" w:color="auto" w:fill="0D0D0D" w:themeFill="text1" w:themeFillTint="F2"/>
          </w:tcPr>
          <w:p w14:paraId="42942880" w14:textId="07F2FDAB" w:rsidR="00D33192" w:rsidRPr="006A087F" w:rsidRDefault="00D33192" w:rsidP="00611D41">
            <w:pPr>
              <w:rPr>
                <w:b/>
                <w:color w:val="FFFFFF" w:themeColor="background1"/>
              </w:rPr>
            </w:pPr>
            <w:r>
              <w:rPr>
                <w:b/>
                <w:color w:val="FFFFFF" w:themeColor="background1"/>
              </w:rPr>
              <w:t>QUESTIONNAIRE 6</w:t>
            </w:r>
            <w:r w:rsidRPr="006A087F">
              <w:rPr>
                <w:b/>
                <w:color w:val="FFFFFF" w:themeColor="background1"/>
              </w:rPr>
              <w:t xml:space="preserve"> – </w:t>
            </w:r>
            <w:r w:rsidR="00611D41">
              <w:rPr>
                <w:b/>
                <w:color w:val="FFFFFF" w:themeColor="background1"/>
              </w:rPr>
              <w:t>APPROACH</w:t>
            </w:r>
            <w:r w:rsidRPr="006A087F">
              <w:rPr>
                <w:b/>
                <w:color w:val="FFFFFF" w:themeColor="background1"/>
              </w:rPr>
              <w:t xml:space="preserve"> </w:t>
            </w:r>
          </w:p>
        </w:tc>
        <w:tc>
          <w:tcPr>
            <w:tcW w:w="2551" w:type="dxa"/>
            <w:gridSpan w:val="2"/>
            <w:shd w:val="clear" w:color="auto" w:fill="0D0D0D" w:themeFill="text1" w:themeFillTint="F2"/>
          </w:tcPr>
          <w:p w14:paraId="48E2912A" w14:textId="1D5F2104" w:rsidR="00D33192" w:rsidRPr="006A087F" w:rsidRDefault="00D33192" w:rsidP="00D33192">
            <w:pPr>
              <w:jc w:val="right"/>
              <w:rPr>
                <w:b/>
                <w:color w:val="FFFFFF" w:themeColor="background1"/>
              </w:rPr>
            </w:pPr>
            <w:r w:rsidRPr="006A087F">
              <w:rPr>
                <w:b/>
                <w:color w:val="FFFFFF" w:themeColor="background1"/>
              </w:rPr>
              <w:t xml:space="preserve">Weighting – </w:t>
            </w:r>
            <w:r w:rsidR="00611D41" w:rsidRPr="00611D41">
              <w:rPr>
                <w:b/>
                <w:color w:val="FFFFFF" w:themeColor="background1"/>
              </w:rPr>
              <w:t>30</w:t>
            </w:r>
            <w:r w:rsidRPr="006A087F">
              <w:rPr>
                <w:b/>
                <w:color w:val="FFFFFF" w:themeColor="background1"/>
              </w:rPr>
              <w:t xml:space="preserve"> %</w:t>
            </w:r>
          </w:p>
        </w:tc>
      </w:tr>
      <w:tr w:rsidR="00D33192" w14:paraId="735A7787" w14:textId="77777777" w:rsidTr="00D33192">
        <w:tc>
          <w:tcPr>
            <w:tcW w:w="9350" w:type="dxa"/>
            <w:gridSpan w:val="5"/>
          </w:tcPr>
          <w:p w14:paraId="7537A8FA" w14:textId="77777777" w:rsidR="00D33192" w:rsidRPr="00F10B85" w:rsidRDefault="00D33192" w:rsidP="00D33192">
            <w:pPr>
              <w:jc w:val="center"/>
              <w:rPr>
                <w:b/>
              </w:rPr>
            </w:pPr>
            <w:r w:rsidRPr="00F10B85">
              <w:rPr>
                <w:b/>
              </w:rPr>
              <w:t>All Potential Providers MUST answer ALL the following questions</w:t>
            </w:r>
          </w:p>
        </w:tc>
      </w:tr>
      <w:tr w:rsidR="00D33192" w14:paraId="7B34AADC" w14:textId="77777777" w:rsidTr="00D33192">
        <w:trPr>
          <w:trHeight w:val="1125"/>
        </w:trPr>
        <w:tc>
          <w:tcPr>
            <w:tcW w:w="1170" w:type="dxa"/>
            <w:shd w:val="clear" w:color="auto" w:fill="D9D9D9" w:themeFill="background1" w:themeFillShade="D9"/>
          </w:tcPr>
          <w:p w14:paraId="70A867DB"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07A53978" w14:textId="77777777" w:rsidR="00D33192" w:rsidRDefault="00D33192" w:rsidP="00D33192">
            <w:r>
              <w:t>Question</w:t>
            </w:r>
          </w:p>
        </w:tc>
        <w:tc>
          <w:tcPr>
            <w:tcW w:w="1417" w:type="dxa"/>
            <w:shd w:val="clear" w:color="auto" w:fill="D9D9D9" w:themeFill="background1" w:themeFillShade="D9"/>
          </w:tcPr>
          <w:p w14:paraId="689A5C46"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04D2E5AA"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29C16461" w14:textId="26E3BBB0" w:rsidR="00D33192" w:rsidRPr="00F10B85" w:rsidRDefault="002A4292" w:rsidP="00D33192">
            <w:pPr>
              <w:jc w:val="center"/>
            </w:pPr>
            <w:r>
              <w:t xml:space="preserve">Weighting </w:t>
            </w:r>
            <w:r w:rsidR="00D33192" w:rsidRPr="00F10B85">
              <w:t>%</w:t>
            </w:r>
          </w:p>
        </w:tc>
      </w:tr>
      <w:tr w:rsidR="00D33192" w14:paraId="3E87A764" w14:textId="77777777" w:rsidTr="00D33192">
        <w:tc>
          <w:tcPr>
            <w:tcW w:w="1170" w:type="dxa"/>
          </w:tcPr>
          <w:p w14:paraId="2E8BC105" w14:textId="31394AB8" w:rsidR="00D33192" w:rsidRPr="003C7872" w:rsidRDefault="00D33192" w:rsidP="00D33192">
            <w:pPr>
              <w:jc w:val="center"/>
            </w:pPr>
            <w:r w:rsidRPr="003C7872">
              <w:t>6.1</w:t>
            </w:r>
          </w:p>
        </w:tc>
        <w:tc>
          <w:tcPr>
            <w:tcW w:w="4212" w:type="dxa"/>
          </w:tcPr>
          <w:p w14:paraId="756FC2F0" w14:textId="55186194" w:rsidR="003C7872" w:rsidRPr="003C7872" w:rsidRDefault="00186111" w:rsidP="003C7872">
            <w:r>
              <w:t>Potential providers should s</w:t>
            </w:r>
            <w:r w:rsidR="003C7872" w:rsidRPr="003C7872">
              <w:t xml:space="preserve">et out </w:t>
            </w:r>
            <w:r>
              <w:t>their</w:t>
            </w:r>
            <w:r w:rsidRPr="003C7872">
              <w:t xml:space="preserve"> </w:t>
            </w:r>
            <w:r w:rsidR="003C7872" w:rsidRPr="003C7872">
              <w:t xml:space="preserve">proposed approach to and project plan for delivering against the </w:t>
            </w:r>
            <w:r w:rsidR="003F798A">
              <w:t>milestones</w:t>
            </w:r>
            <w:r w:rsidR="003C7872" w:rsidRPr="003C7872">
              <w:t xml:space="preserve"> set out in Appendix B – Statement of Requirements.  This should cover (but not be limited to):</w:t>
            </w:r>
          </w:p>
          <w:p w14:paraId="5B9674C3" w14:textId="23643C11" w:rsidR="003C7872" w:rsidRPr="003C7872" w:rsidRDefault="003C7872" w:rsidP="003C7872">
            <w:pPr>
              <w:numPr>
                <w:ilvl w:val="0"/>
                <w:numId w:val="13"/>
              </w:numPr>
            </w:pPr>
            <w:r w:rsidRPr="003C7872">
              <w:t xml:space="preserve">The approach </w:t>
            </w:r>
            <w:r w:rsidR="00186111">
              <w:t>they</w:t>
            </w:r>
            <w:r w:rsidR="00186111" w:rsidRPr="003C7872">
              <w:t xml:space="preserve"> </w:t>
            </w:r>
            <w:r w:rsidRPr="003C7872">
              <w:t>would take to project planning and management</w:t>
            </w:r>
            <w:r w:rsidR="003F798A">
              <w:t>.</w:t>
            </w:r>
          </w:p>
          <w:p w14:paraId="5DD506BF" w14:textId="417EB20A" w:rsidR="003F798A" w:rsidRDefault="003C7872" w:rsidP="003C7872">
            <w:pPr>
              <w:numPr>
                <w:ilvl w:val="0"/>
                <w:numId w:val="13"/>
              </w:numPr>
            </w:pPr>
            <w:r w:rsidRPr="003C7872">
              <w:t xml:space="preserve">The approach </w:t>
            </w:r>
            <w:r w:rsidR="00186111">
              <w:t>they</w:t>
            </w:r>
            <w:r w:rsidR="00186111" w:rsidRPr="003C7872">
              <w:t xml:space="preserve"> </w:t>
            </w:r>
            <w:r w:rsidRPr="003C7872">
              <w:t xml:space="preserve">would take to develop </w:t>
            </w:r>
            <w:r w:rsidR="00186111">
              <w:t>thei</w:t>
            </w:r>
            <w:r w:rsidR="00186111" w:rsidRPr="003C7872">
              <w:t xml:space="preserve">r </w:t>
            </w:r>
            <w:r w:rsidRPr="003C7872">
              <w:t>understanding of the issue and the relevant data and arguments</w:t>
            </w:r>
            <w:r w:rsidR="003F798A">
              <w:t>.</w:t>
            </w:r>
          </w:p>
          <w:p w14:paraId="4278A379" w14:textId="21D28F65" w:rsidR="006B6F24" w:rsidRPr="003C7872" w:rsidRDefault="003C7872" w:rsidP="00BF50A4">
            <w:pPr>
              <w:numPr>
                <w:ilvl w:val="0"/>
                <w:numId w:val="13"/>
              </w:numPr>
            </w:pPr>
            <w:r w:rsidRPr="003C7872">
              <w:t xml:space="preserve">The sources of data, research and expertise that </w:t>
            </w:r>
            <w:r w:rsidR="00186111">
              <w:t>they</w:t>
            </w:r>
            <w:r w:rsidRPr="003C7872">
              <w:t xml:space="preserve"> would envisage using to inform </w:t>
            </w:r>
            <w:r w:rsidR="00186111">
              <w:t>their</w:t>
            </w:r>
            <w:r w:rsidR="00186111" w:rsidRPr="003C7872">
              <w:t xml:space="preserve"> </w:t>
            </w:r>
            <w:r w:rsidRPr="003C7872">
              <w:t xml:space="preserve">advice and how </w:t>
            </w:r>
            <w:r w:rsidR="00186111">
              <w:t>they</w:t>
            </w:r>
            <w:r w:rsidR="00186111" w:rsidRPr="003C7872">
              <w:t xml:space="preserve"> </w:t>
            </w:r>
            <w:r w:rsidRPr="003C7872">
              <w:t xml:space="preserve">would present </w:t>
            </w:r>
            <w:r w:rsidR="00186111">
              <w:t>their</w:t>
            </w:r>
            <w:r w:rsidR="00186111" w:rsidRPr="003C7872">
              <w:t xml:space="preserve"> </w:t>
            </w:r>
            <w:r w:rsidRPr="003C7872">
              <w:t>conclusions</w:t>
            </w:r>
            <w:r w:rsidR="003F798A">
              <w:t>.</w:t>
            </w:r>
          </w:p>
        </w:tc>
        <w:tc>
          <w:tcPr>
            <w:tcW w:w="1417" w:type="dxa"/>
          </w:tcPr>
          <w:p w14:paraId="29243DD0" w14:textId="476CD938" w:rsidR="00D33192" w:rsidRPr="003C7872" w:rsidRDefault="003C7872" w:rsidP="00D33192">
            <w:pPr>
              <w:jc w:val="center"/>
            </w:pPr>
            <w:r>
              <w:t>50</w:t>
            </w:r>
          </w:p>
        </w:tc>
        <w:tc>
          <w:tcPr>
            <w:tcW w:w="1271" w:type="dxa"/>
          </w:tcPr>
          <w:p w14:paraId="6E641AC5" w14:textId="77777777" w:rsidR="00D33192" w:rsidRPr="003C7872" w:rsidRDefault="00D33192" w:rsidP="00D33192">
            <w:pPr>
              <w:jc w:val="center"/>
            </w:pPr>
            <w:r w:rsidRPr="003C7872">
              <w:t>100</w:t>
            </w:r>
          </w:p>
        </w:tc>
        <w:tc>
          <w:tcPr>
            <w:tcW w:w="1280" w:type="dxa"/>
          </w:tcPr>
          <w:p w14:paraId="1163D8FA" w14:textId="0F817409" w:rsidR="00D33192" w:rsidRPr="003C7872" w:rsidRDefault="003C7872" w:rsidP="00D33192">
            <w:pPr>
              <w:jc w:val="center"/>
            </w:pPr>
            <w:r>
              <w:t>100</w:t>
            </w:r>
            <w:r w:rsidR="00D33192" w:rsidRPr="003C7872">
              <w:t>%</w:t>
            </w:r>
          </w:p>
        </w:tc>
      </w:tr>
    </w:tbl>
    <w:p w14:paraId="54986297" w14:textId="77777777" w:rsidR="00B57738" w:rsidRDefault="00B57738"/>
    <w:tbl>
      <w:tblPr>
        <w:tblStyle w:val="TableGrid"/>
        <w:tblW w:w="9606" w:type="dxa"/>
        <w:tblLook w:val="04A0" w:firstRow="1" w:lastRow="0" w:firstColumn="1" w:lastColumn="0" w:noHBand="0" w:noVBand="1"/>
      </w:tblPr>
      <w:tblGrid>
        <w:gridCol w:w="1359"/>
        <w:gridCol w:w="5837"/>
        <w:gridCol w:w="2410"/>
      </w:tblGrid>
      <w:tr w:rsidR="000C1EA7" w14:paraId="234A8A1C" w14:textId="77777777" w:rsidTr="00831B96">
        <w:tc>
          <w:tcPr>
            <w:tcW w:w="7196" w:type="dxa"/>
            <w:gridSpan w:val="2"/>
            <w:shd w:val="clear" w:color="auto" w:fill="000000" w:themeFill="text1"/>
            <w:vAlign w:val="center"/>
          </w:tcPr>
          <w:p w14:paraId="077AA9BF" w14:textId="603C3CB2" w:rsidR="000C1EA7" w:rsidRPr="000C1EA7" w:rsidRDefault="000C1EA7" w:rsidP="00831B96">
            <w:pPr>
              <w:spacing w:before="240" w:line="240" w:lineRule="auto"/>
              <w:rPr>
                <w:b/>
                <w:color w:val="FFFFFF" w:themeColor="background1"/>
              </w:rPr>
            </w:pPr>
            <w:r w:rsidRPr="000C1EA7">
              <w:rPr>
                <w:b/>
                <w:color w:val="FFFFFF" w:themeColor="background1"/>
              </w:rPr>
              <w:t>Q</w:t>
            </w:r>
            <w:r w:rsidR="00336532">
              <w:rPr>
                <w:b/>
                <w:color w:val="FFFFFF" w:themeColor="background1"/>
              </w:rPr>
              <w:t>UESTIONNAIRE 7</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07CECAE6" w14:textId="4EC45309" w:rsidR="000C1EA7" w:rsidRPr="000C1EA7" w:rsidRDefault="000C1EA7" w:rsidP="00831B96">
            <w:pPr>
              <w:spacing w:before="240" w:line="240" w:lineRule="auto"/>
              <w:ind w:left="-391" w:firstLine="391"/>
              <w:jc w:val="right"/>
              <w:rPr>
                <w:b/>
                <w:color w:val="FFFFFF" w:themeColor="background1"/>
              </w:rPr>
            </w:pPr>
            <w:r w:rsidRPr="000C1EA7">
              <w:rPr>
                <w:b/>
                <w:color w:val="FFFFFF" w:themeColor="background1"/>
              </w:rPr>
              <w:t xml:space="preserve">Weighting </w:t>
            </w:r>
            <w:r w:rsidRPr="003F798A">
              <w:rPr>
                <w:b/>
                <w:color w:val="FFFFFF" w:themeColor="background1"/>
              </w:rPr>
              <w:t xml:space="preserve">– </w:t>
            </w:r>
            <w:r w:rsidR="003F798A">
              <w:rPr>
                <w:b/>
                <w:color w:val="FFFFFF" w:themeColor="background1"/>
              </w:rPr>
              <w:t>20</w:t>
            </w:r>
            <w:r w:rsidRPr="000C1EA7">
              <w:rPr>
                <w:b/>
                <w:color w:val="FFFFFF" w:themeColor="background1"/>
              </w:rPr>
              <w:t xml:space="preserve"> %</w:t>
            </w:r>
          </w:p>
        </w:tc>
      </w:tr>
      <w:tr w:rsidR="000C1EA7" w14:paraId="51749A94" w14:textId="77777777" w:rsidTr="00336532">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48C5E39B" w14:textId="61A7E6FC" w:rsidR="000C1EA7" w:rsidRDefault="000C1EA7" w:rsidP="00831B96">
            <w:pPr>
              <w:spacing w:after="0" w:line="240" w:lineRule="auto"/>
            </w:pPr>
            <w:r w:rsidRPr="00147082">
              <w:t xml:space="preserve">Potential Providers must enter costs within the </w:t>
            </w:r>
            <w:r w:rsidRPr="003F798A">
              <w:t xml:space="preserve">relevant Bid Fields </w:t>
            </w:r>
            <w:r w:rsidR="0070789D" w:rsidRPr="003F798A">
              <w:t>or upload the price schedule at the question level</w:t>
            </w:r>
            <w:r w:rsidR="0070789D" w:rsidRPr="00147082">
              <w:t xml:space="preserve"> </w:t>
            </w:r>
            <w:r w:rsidRPr="00147082">
              <w:t>on the e-Sourcing event.</w:t>
            </w:r>
          </w:p>
          <w:p w14:paraId="0169A5F3" w14:textId="77777777" w:rsidR="00943DAE" w:rsidRDefault="00943DAE" w:rsidP="00831B96">
            <w:pPr>
              <w:spacing w:after="0" w:line="240" w:lineRule="auto"/>
            </w:pPr>
          </w:p>
          <w:p w14:paraId="4D101A84" w14:textId="29CD2901" w:rsidR="00943DAE" w:rsidRDefault="00943DAE" w:rsidP="00831B96">
            <w:pPr>
              <w:spacing w:after="0" w:line="240" w:lineRule="auto"/>
            </w:pPr>
            <w:r>
              <w:t>Prices should be submitted in pounds Sterling inclusive of any expenses but exclusive of VAT.</w:t>
            </w:r>
          </w:p>
          <w:p w14:paraId="6AB992A3" w14:textId="77777777" w:rsidR="0070789D" w:rsidRPr="00147082" w:rsidRDefault="0070789D" w:rsidP="00831B96">
            <w:pPr>
              <w:spacing w:after="0" w:line="240" w:lineRule="auto"/>
            </w:pPr>
          </w:p>
          <w:p w14:paraId="61C804FF" w14:textId="232B3CC8"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6159C5A7" w14:textId="77777777" w:rsidTr="00831B96">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831B96">
        <w:tc>
          <w:tcPr>
            <w:tcW w:w="1359" w:type="dxa"/>
          </w:tcPr>
          <w:p w14:paraId="4C00877F" w14:textId="40C4BB04" w:rsidR="000C1EA7" w:rsidRDefault="00B57738" w:rsidP="00EC34AD">
            <w:pPr>
              <w:spacing w:line="240" w:lineRule="auto"/>
              <w:jc w:val="center"/>
            </w:pPr>
            <w:r>
              <w:t>7</w:t>
            </w:r>
            <w:r w:rsidR="00831B96">
              <w:t>.1</w:t>
            </w:r>
          </w:p>
        </w:tc>
        <w:tc>
          <w:tcPr>
            <w:tcW w:w="5837" w:type="dxa"/>
          </w:tcPr>
          <w:p w14:paraId="4B5B03FA" w14:textId="55747BD7" w:rsidR="000C1EA7" w:rsidRPr="00EC34AD" w:rsidRDefault="00943DAE" w:rsidP="003F798A">
            <w:pPr>
              <w:spacing w:line="240" w:lineRule="auto"/>
              <w:rPr>
                <w:highlight w:val="yellow"/>
              </w:rPr>
            </w:pPr>
            <w:r w:rsidRPr="003F798A">
              <w:t xml:space="preserve">Please confirm, by selecting ‘YES’ that you have </w:t>
            </w:r>
            <w:r w:rsidR="00F41778" w:rsidRPr="003F798A">
              <w:t>entered costs within the relevant Bid Fields or attached a completed Price Schedule t</w:t>
            </w:r>
            <w:r w:rsidR="003F798A">
              <w:t xml:space="preserve">o the response to this question. </w:t>
            </w:r>
            <w:r w:rsidR="00F41778" w:rsidRPr="003F798A">
              <w:t>In so doing, you are also confirming that prices offered are inclusive o</w:t>
            </w:r>
            <w:r w:rsidR="001C0C3F" w:rsidRPr="003F798A">
              <w:t>f any expenses, exclusive of VAT</w:t>
            </w:r>
            <w:r w:rsidR="003F798A">
              <w:t xml:space="preserve"> and firm for a period of </w:t>
            </w:r>
            <w:r w:rsidR="00F41778" w:rsidRPr="003F798A">
              <w:t>90 days following</w:t>
            </w:r>
            <w:r w:rsidR="00F41778">
              <w:t xml:space="preserve"> the Deadline for Submission.</w:t>
            </w:r>
          </w:p>
        </w:tc>
        <w:tc>
          <w:tcPr>
            <w:tcW w:w="2410" w:type="dxa"/>
          </w:tcPr>
          <w:p w14:paraId="7DB47CC9" w14:textId="25A34C71" w:rsidR="000C1EA7" w:rsidRDefault="00EC34AD" w:rsidP="00EC34AD">
            <w:pPr>
              <w:spacing w:line="240" w:lineRule="auto"/>
              <w:jc w:val="center"/>
            </w:pPr>
            <w:r>
              <w:t>100</w:t>
            </w:r>
          </w:p>
        </w:tc>
      </w:tr>
    </w:tbl>
    <w:p w14:paraId="2F81ED60" w14:textId="3AB45F5A" w:rsidR="00155E58" w:rsidRDefault="00155E58">
      <w:pPr>
        <w:spacing w:after="0" w:line="240" w:lineRule="auto"/>
      </w:pPr>
    </w:p>
    <w:p w14:paraId="27EB7364" w14:textId="77777777" w:rsidR="006F76A3" w:rsidRPr="00155E58" w:rsidRDefault="006F76A3" w:rsidP="000A681A">
      <w:pPr>
        <w:spacing w:after="0" w:line="240" w:lineRule="auto"/>
        <w:contextualSpacing/>
        <w:jc w:val="both"/>
        <w:rPr>
          <w:rFonts w:eastAsia="Times New Roman" w:cs="Arial"/>
          <w:b/>
        </w:rPr>
      </w:pPr>
    </w:p>
    <w:sectPr w:rsidR="006F76A3"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1AE3B" w14:textId="77777777" w:rsidR="008937D6" w:rsidRDefault="008937D6">
      <w:pPr>
        <w:spacing w:after="0" w:line="240" w:lineRule="auto"/>
      </w:pPr>
      <w:r>
        <w:separator/>
      </w:r>
    </w:p>
  </w:endnote>
  <w:endnote w:type="continuationSeparator" w:id="0">
    <w:p w14:paraId="03D08F2B" w14:textId="77777777" w:rsidR="008937D6" w:rsidRDefault="008937D6">
      <w:pPr>
        <w:spacing w:after="0" w:line="240" w:lineRule="auto"/>
      </w:pPr>
      <w:r>
        <w:continuationSeparator/>
      </w:r>
    </w:p>
  </w:endnote>
  <w:endnote w:type="continuationNotice" w:id="1">
    <w:p w14:paraId="73B37348" w14:textId="77777777" w:rsidR="008937D6" w:rsidRDefault="008937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8C6704" w:rsidRDefault="008C6704" w:rsidP="00BD4A1D">
    <w:pPr>
      <w:pStyle w:val="Footer"/>
      <w:pBdr>
        <w:top w:val="single" w:sz="6" w:space="1" w:color="auto"/>
      </w:pBdr>
      <w:tabs>
        <w:tab w:val="right" w:pos="8647"/>
      </w:tabs>
      <w:rPr>
        <w:sz w:val="16"/>
        <w:szCs w:val="16"/>
      </w:rPr>
    </w:pPr>
  </w:p>
  <w:p w14:paraId="34EEED2F" w14:textId="77777777" w:rsidR="008C6704" w:rsidRDefault="008C6704" w:rsidP="00C67CA1">
    <w:pPr>
      <w:pStyle w:val="Footer"/>
      <w:jc w:val="center"/>
    </w:pPr>
    <w:r>
      <w:t>OFFICIAL</w:t>
    </w:r>
  </w:p>
  <w:p w14:paraId="4D0E06AE" w14:textId="77777777" w:rsidR="008C6704" w:rsidRDefault="008C6704" w:rsidP="00C67CA1">
    <w:pPr>
      <w:pStyle w:val="Footer"/>
    </w:pPr>
    <w:r>
      <w:t>Appendix D – Response Guidance</w:t>
    </w:r>
  </w:p>
  <w:p w14:paraId="2E231C8D" w14:textId="028AAB0C" w:rsidR="008C6704" w:rsidRDefault="00DA2CA0" w:rsidP="00C67CA1">
    <w:pPr>
      <w:pStyle w:val="Footer"/>
    </w:pPr>
    <w:r>
      <w:t>Chris Dier</w:t>
    </w:r>
  </w:p>
  <w:p w14:paraId="65517834" w14:textId="5BFA64E3" w:rsidR="00E14FE2" w:rsidRDefault="00E14FE2" w:rsidP="00C67CA1">
    <w:pPr>
      <w:pStyle w:val="Footer"/>
    </w:pPr>
    <w:r>
      <w:rPr>
        <w:rFonts w:cs="Arial"/>
        <w:color w:val="222222"/>
        <w:sz w:val="19"/>
        <w:szCs w:val="19"/>
        <w:shd w:val="clear" w:color="auto" w:fill="FFFFFF"/>
      </w:rPr>
      <w:t>© Crown copyright 2016</w:t>
    </w:r>
  </w:p>
  <w:p w14:paraId="140B10D0" w14:textId="7956E73D" w:rsidR="008C6704" w:rsidRDefault="00B00780" w:rsidP="00C67CA1">
    <w:pPr>
      <w:pStyle w:val="Footer"/>
      <w:jc w:val="right"/>
    </w:pPr>
    <w:r>
      <w:t>V1.0</w:t>
    </w:r>
    <w:r w:rsidR="005A6F9D">
      <w:t xml:space="preserve"> </w:t>
    </w:r>
    <w:r w:rsidR="00E14FE2">
      <w:t>06</w:t>
    </w:r>
    <w:r w:rsidR="008C6704">
      <w:t>/1</w:t>
    </w:r>
    <w:r w:rsidR="005A6F9D">
      <w:t>1</w:t>
    </w:r>
    <w:r w:rsidR="008C6704">
      <w:t>/17</w:t>
    </w:r>
  </w:p>
  <w:p w14:paraId="0790A8E6" w14:textId="1ADE7F51" w:rsidR="008C6704" w:rsidRDefault="008937D6" w:rsidP="00C67CA1">
    <w:pPr>
      <w:pStyle w:val="Footer"/>
      <w:jc w:val="center"/>
    </w:pPr>
    <w:sdt>
      <w:sdtPr>
        <w:id w:val="-1105721636"/>
        <w:docPartObj>
          <w:docPartGallery w:val="Page Numbers (Bottom of Page)"/>
          <w:docPartUnique/>
        </w:docPartObj>
      </w:sdtPr>
      <w:sdtEndPr>
        <w:rPr>
          <w:noProof/>
        </w:rPr>
      </w:sdtEndPr>
      <w:sdtContent>
        <w:r w:rsidR="008C6704">
          <w:fldChar w:fldCharType="begin"/>
        </w:r>
        <w:r w:rsidR="008C6704">
          <w:instrText xml:space="preserve"> PAGE   \* MERGEFORMAT </w:instrText>
        </w:r>
        <w:r w:rsidR="008C6704">
          <w:fldChar w:fldCharType="separate"/>
        </w:r>
        <w:r>
          <w:rPr>
            <w:noProof/>
          </w:rPr>
          <w:t>1</w:t>
        </w:r>
        <w:r w:rsidR="008C6704">
          <w:rPr>
            <w:noProof/>
          </w:rPr>
          <w:fldChar w:fldCharType="end"/>
        </w:r>
      </w:sdtContent>
    </w:sdt>
  </w:p>
  <w:p w14:paraId="278CD5DE" w14:textId="77777777" w:rsidR="008C6704" w:rsidRDefault="008C67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8C6704" w:rsidRDefault="008C6704" w:rsidP="00CF7C82">
    <w:pPr>
      <w:pStyle w:val="Footer"/>
      <w:pBdr>
        <w:top w:val="single" w:sz="4" w:space="1" w:color="auto"/>
      </w:pBdr>
      <w:jc w:val="center"/>
    </w:pPr>
    <w:r>
      <w:t>OFFICIAL</w:t>
    </w:r>
  </w:p>
  <w:p w14:paraId="62072C58" w14:textId="3BD7C74C" w:rsidR="008C6704" w:rsidRDefault="008C6704" w:rsidP="00CF7C82">
    <w:pPr>
      <w:pStyle w:val="Footer"/>
      <w:pBdr>
        <w:top w:val="single" w:sz="4" w:space="1" w:color="auto"/>
      </w:pBdr>
    </w:pPr>
    <w:r>
      <w:t>Appendix D – Response Guidance</w:t>
    </w:r>
  </w:p>
  <w:p w14:paraId="46335F31" w14:textId="6FDBB77D" w:rsidR="008C6704" w:rsidRDefault="008C6704"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8C6704" w:rsidRDefault="008C6704" w:rsidP="00CF7C82">
    <w:pPr>
      <w:pStyle w:val="Footer"/>
      <w:pBdr>
        <w:top w:val="single" w:sz="4" w:space="1" w:color="auto"/>
      </w:pBdr>
      <w:jc w:val="right"/>
    </w:pPr>
    <w:r>
      <w:t>V0.6 19/11/15</w:t>
    </w:r>
  </w:p>
  <w:p w14:paraId="4DA9F036" w14:textId="4559D95A" w:rsidR="008C6704" w:rsidRDefault="008C6704" w:rsidP="00C67CA1">
    <w:pPr>
      <w:pStyle w:val="Footer"/>
      <w:jc w:val="center"/>
    </w:pPr>
  </w:p>
  <w:p w14:paraId="2A10DA50" w14:textId="77777777" w:rsidR="008C6704" w:rsidRDefault="008C6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4A522" w14:textId="77777777" w:rsidR="008937D6" w:rsidRDefault="008937D6">
      <w:pPr>
        <w:spacing w:after="0" w:line="240" w:lineRule="auto"/>
      </w:pPr>
      <w:r>
        <w:separator/>
      </w:r>
    </w:p>
  </w:footnote>
  <w:footnote w:type="continuationSeparator" w:id="0">
    <w:p w14:paraId="68162732" w14:textId="77777777" w:rsidR="008937D6" w:rsidRDefault="008937D6">
      <w:pPr>
        <w:spacing w:after="0" w:line="240" w:lineRule="auto"/>
      </w:pPr>
      <w:r>
        <w:continuationSeparator/>
      </w:r>
    </w:p>
  </w:footnote>
  <w:footnote w:type="continuationNotice" w:id="1">
    <w:p w14:paraId="26FDA904" w14:textId="77777777" w:rsidR="008937D6" w:rsidRDefault="008937D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8C6704" w:rsidRPr="002A4292" w:rsidRDefault="008C6704" w:rsidP="00C67CA1">
    <w:pPr>
      <w:pStyle w:val="Header"/>
      <w:spacing w:after="0"/>
      <w:jc w:val="center"/>
    </w:pPr>
    <w:r w:rsidRPr="002A4292">
      <w:rPr>
        <w:noProof/>
        <w:sz w:val="20"/>
        <w:szCs w:val="20"/>
        <w:lang w:eastAsia="en-GB"/>
      </w:rPr>
      <w:drawing>
        <wp:anchor distT="0" distB="0" distL="114300" distR="114300" simplePos="0" relativeHeight="251658241"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2A4292">
      <w:t>OFFICIAL</w:t>
    </w:r>
  </w:p>
  <w:p w14:paraId="24AFA076" w14:textId="0AB2D5C1" w:rsidR="008C6704" w:rsidRPr="002A4292" w:rsidRDefault="008C6704" w:rsidP="00625CDE">
    <w:pPr>
      <w:pStyle w:val="Header"/>
      <w:tabs>
        <w:tab w:val="left" w:pos="1884"/>
        <w:tab w:val="center" w:pos="4680"/>
      </w:tabs>
      <w:spacing w:after="0"/>
    </w:pPr>
    <w:r w:rsidRPr="002A4292">
      <w:rPr>
        <w:sz w:val="20"/>
        <w:szCs w:val="20"/>
      </w:rPr>
      <w:tab/>
    </w:r>
    <w:r w:rsidRPr="002A4292">
      <w:rPr>
        <w:sz w:val="20"/>
        <w:szCs w:val="20"/>
      </w:rPr>
      <w:tab/>
    </w:r>
    <w:r w:rsidRPr="002A4292">
      <w:t>Appendix D – Response Guidance</w:t>
    </w:r>
  </w:p>
  <w:p w14:paraId="114EBDD1" w14:textId="77777777" w:rsidR="00E14FE2" w:rsidRDefault="008C6704" w:rsidP="00F547BA">
    <w:pPr>
      <w:pStyle w:val="Header"/>
      <w:spacing w:after="0"/>
      <w:jc w:val="center"/>
      <w:rPr>
        <w:rFonts w:cs="Arial"/>
      </w:rPr>
    </w:pPr>
    <w:r w:rsidRPr="00015F9F">
      <w:rPr>
        <w:rFonts w:cs="Arial"/>
      </w:rPr>
      <w:t xml:space="preserve">The Provision of </w:t>
    </w:r>
    <w:r w:rsidR="00D85FB8">
      <w:rPr>
        <w:rFonts w:cs="Arial"/>
      </w:rPr>
      <w:t>Consultancy</w:t>
    </w:r>
    <w:r w:rsidR="00015F9F">
      <w:rPr>
        <w:rFonts w:cs="Arial"/>
      </w:rPr>
      <w:t xml:space="preserve"> for F</w:t>
    </w:r>
    <w:r w:rsidR="00482340">
      <w:rPr>
        <w:rFonts w:cs="Arial"/>
      </w:rPr>
      <w:t xml:space="preserve">uture Electricity Capacity and Costs </w:t>
    </w:r>
    <w:r w:rsidR="00E14FE2">
      <w:rPr>
        <w:rFonts w:cs="Arial"/>
      </w:rPr>
      <w:t xml:space="preserve">for </w:t>
    </w:r>
  </w:p>
  <w:p w14:paraId="0C747FF8" w14:textId="14D4BD64" w:rsidR="00015F9F" w:rsidRDefault="00E14FE2" w:rsidP="00F547BA">
    <w:pPr>
      <w:pStyle w:val="Header"/>
      <w:spacing w:after="0"/>
      <w:jc w:val="center"/>
      <w:rPr>
        <w:rFonts w:cs="Arial"/>
      </w:rPr>
    </w:pPr>
    <w:r>
      <w:rPr>
        <w:rFonts w:cs="Arial"/>
      </w:rPr>
      <w:t xml:space="preserve">The National Infrastrcuture Commission </w:t>
    </w:r>
  </w:p>
  <w:p w14:paraId="0C88C778" w14:textId="6C5E054A" w:rsidR="008C6704" w:rsidRPr="002A4292" w:rsidRDefault="008C6704" w:rsidP="00F547BA">
    <w:pPr>
      <w:pStyle w:val="Header"/>
      <w:spacing w:after="0"/>
      <w:jc w:val="center"/>
      <w:rPr>
        <w:sz w:val="20"/>
        <w:szCs w:val="20"/>
        <w:highlight w:val="yellow"/>
      </w:rPr>
    </w:pPr>
    <w:r w:rsidRPr="002A4292">
      <w:rPr>
        <w:rFonts w:cs="Arial"/>
      </w:rPr>
      <w:t>Contract Reference: CCCC17B26</w:t>
    </w:r>
  </w:p>
  <w:p w14:paraId="648AC685" w14:textId="0BCE5282" w:rsidR="008C6704" w:rsidRDefault="008C6704">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A1A686"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8C6704" w:rsidRDefault="008C6704"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8C6704" w:rsidRDefault="008C6704" w:rsidP="00A840F2">
    <w:pPr>
      <w:pStyle w:val="Header"/>
      <w:spacing w:after="0"/>
      <w:jc w:val="center"/>
    </w:pPr>
    <w:r w:rsidRPr="00B51DFB">
      <w:t>Appendix D – Response Guidance</w:t>
    </w:r>
  </w:p>
  <w:p w14:paraId="5F46E552" w14:textId="2F08581A" w:rsidR="008C6704" w:rsidRPr="001F656C" w:rsidRDefault="008C6704"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8C6704" w:rsidRDefault="008C6704"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8C6704" w:rsidRPr="00F547BA" w:rsidRDefault="008C6704"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864158"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4A36E2"/>
    <w:multiLevelType w:val="hybridMultilevel"/>
    <w:tmpl w:val="5B7C16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801AC5"/>
    <w:multiLevelType w:val="hybridMultilevel"/>
    <w:tmpl w:val="6C706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EE2F0C"/>
    <w:multiLevelType w:val="hybridMultilevel"/>
    <w:tmpl w:val="4D7E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D16AF2"/>
    <w:multiLevelType w:val="hybridMultilevel"/>
    <w:tmpl w:val="09D0BE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58237BAB"/>
    <w:multiLevelType w:val="hybridMultilevel"/>
    <w:tmpl w:val="6A8E391A"/>
    <w:lvl w:ilvl="0" w:tplc="F30218C4">
      <w:start w:val="4"/>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13" w15:restartNumberingAfterBreak="0">
    <w:nsid w:val="5A646DC5"/>
    <w:multiLevelType w:val="hybridMultilevel"/>
    <w:tmpl w:val="E0CA3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E10821"/>
    <w:multiLevelType w:val="hybridMultilevel"/>
    <w:tmpl w:val="21146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C5DD5"/>
    <w:multiLevelType w:val="hybridMultilevel"/>
    <w:tmpl w:val="B2E6B22A"/>
    <w:lvl w:ilvl="0" w:tplc="99E696B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0"/>
  </w:num>
  <w:num w:numId="4">
    <w:abstractNumId w:val="5"/>
  </w:num>
  <w:num w:numId="5">
    <w:abstractNumId w:val="3"/>
  </w:num>
  <w:num w:numId="6">
    <w:abstractNumId w:val="17"/>
  </w:num>
  <w:num w:numId="7">
    <w:abstractNumId w:val="16"/>
  </w:num>
  <w:num w:numId="8">
    <w:abstractNumId w:val="1"/>
  </w:num>
  <w:num w:numId="9">
    <w:abstractNumId w:val="7"/>
  </w:num>
  <w:num w:numId="10">
    <w:abstractNumId w:val="14"/>
  </w:num>
  <w:num w:numId="11">
    <w:abstractNumId w:val="6"/>
  </w:num>
  <w:num w:numId="12">
    <w:abstractNumId w:val="13"/>
  </w:num>
  <w:num w:numId="13">
    <w:abstractNumId w:val="8"/>
  </w:num>
  <w:num w:numId="14">
    <w:abstractNumId w:val="19"/>
  </w:num>
  <w:num w:numId="15">
    <w:abstractNumId w:val="4"/>
  </w:num>
  <w:num w:numId="16">
    <w:abstractNumId w:val="20"/>
  </w:num>
  <w:num w:numId="17">
    <w:abstractNumId w:val="2"/>
  </w:num>
  <w:num w:numId="18">
    <w:abstractNumId w:val="9"/>
  </w:num>
  <w:num w:numId="19">
    <w:abstractNumId w:val="11"/>
  </w:num>
  <w:num w:numId="2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5F9F"/>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5514A"/>
    <w:rsid w:val="0006085F"/>
    <w:rsid w:val="0006231F"/>
    <w:rsid w:val="00063E41"/>
    <w:rsid w:val="000645CA"/>
    <w:rsid w:val="00065F51"/>
    <w:rsid w:val="00070B98"/>
    <w:rsid w:val="000720BD"/>
    <w:rsid w:val="00072B42"/>
    <w:rsid w:val="00073580"/>
    <w:rsid w:val="000737FF"/>
    <w:rsid w:val="000761EE"/>
    <w:rsid w:val="00077373"/>
    <w:rsid w:val="000824D8"/>
    <w:rsid w:val="000825D6"/>
    <w:rsid w:val="00090B7E"/>
    <w:rsid w:val="00096DCD"/>
    <w:rsid w:val="000975F3"/>
    <w:rsid w:val="00097A29"/>
    <w:rsid w:val="000A1EB4"/>
    <w:rsid w:val="000A599D"/>
    <w:rsid w:val="000A681A"/>
    <w:rsid w:val="000B5312"/>
    <w:rsid w:val="000C1EA7"/>
    <w:rsid w:val="000C3065"/>
    <w:rsid w:val="000C3D78"/>
    <w:rsid w:val="000C48C9"/>
    <w:rsid w:val="000C5B6F"/>
    <w:rsid w:val="000D0FDF"/>
    <w:rsid w:val="000D3530"/>
    <w:rsid w:val="000D499A"/>
    <w:rsid w:val="000D593C"/>
    <w:rsid w:val="000D6259"/>
    <w:rsid w:val="000D7AA8"/>
    <w:rsid w:val="000D7CB3"/>
    <w:rsid w:val="000D7EC9"/>
    <w:rsid w:val="000E2278"/>
    <w:rsid w:val="000E7176"/>
    <w:rsid w:val="000F11B7"/>
    <w:rsid w:val="000F273C"/>
    <w:rsid w:val="000F32D5"/>
    <w:rsid w:val="001005DC"/>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20C1"/>
    <w:rsid w:val="001545E8"/>
    <w:rsid w:val="001549E1"/>
    <w:rsid w:val="00155E58"/>
    <w:rsid w:val="001705E5"/>
    <w:rsid w:val="00174E62"/>
    <w:rsid w:val="00180997"/>
    <w:rsid w:val="00181392"/>
    <w:rsid w:val="00182847"/>
    <w:rsid w:val="0018399E"/>
    <w:rsid w:val="001856DB"/>
    <w:rsid w:val="00186111"/>
    <w:rsid w:val="00186894"/>
    <w:rsid w:val="00190D60"/>
    <w:rsid w:val="00195580"/>
    <w:rsid w:val="00195582"/>
    <w:rsid w:val="00195F8A"/>
    <w:rsid w:val="00197566"/>
    <w:rsid w:val="001A064A"/>
    <w:rsid w:val="001A778E"/>
    <w:rsid w:val="001B0C8B"/>
    <w:rsid w:val="001B1A63"/>
    <w:rsid w:val="001B4850"/>
    <w:rsid w:val="001B5640"/>
    <w:rsid w:val="001B7480"/>
    <w:rsid w:val="001C0C3F"/>
    <w:rsid w:val="001C0E37"/>
    <w:rsid w:val="001C219D"/>
    <w:rsid w:val="001D0F95"/>
    <w:rsid w:val="001D24E3"/>
    <w:rsid w:val="001D2ECD"/>
    <w:rsid w:val="001D2FD2"/>
    <w:rsid w:val="001D76A5"/>
    <w:rsid w:val="001E2B9B"/>
    <w:rsid w:val="001E314E"/>
    <w:rsid w:val="001E3A02"/>
    <w:rsid w:val="001E6B95"/>
    <w:rsid w:val="001E6F1D"/>
    <w:rsid w:val="001E7757"/>
    <w:rsid w:val="001F0B62"/>
    <w:rsid w:val="001F239C"/>
    <w:rsid w:val="001F2851"/>
    <w:rsid w:val="001F3DA3"/>
    <w:rsid w:val="001F4808"/>
    <w:rsid w:val="001F656C"/>
    <w:rsid w:val="001F7E70"/>
    <w:rsid w:val="00200C39"/>
    <w:rsid w:val="0020522C"/>
    <w:rsid w:val="002128BA"/>
    <w:rsid w:val="002129E4"/>
    <w:rsid w:val="00213F06"/>
    <w:rsid w:val="00216B6F"/>
    <w:rsid w:val="00216CEF"/>
    <w:rsid w:val="00216F98"/>
    <w:rsid w:val="00217410"/>
    <w:rsid w:val="002222E8"/>
    <w:rsid w:val="002245DD"/>
    <w:rsid w:val="002275E1"/>
    <w:rsid w:val="0022770A"/>
    <w:rsid w:val="00234863"/>
    <w:rsid w:val="00235853"/>
    <w:rsid w:val="0024010C"/>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A43"/>
    <w:rsid w:val="00284F46"/>
    <w:rsid w:val="00291E0B"/>
    <w:rsid w:val="00292542"/>
    <w:rsid w:val="00293C06"/>
    <w:rsid w:val="002975C3"/>
    <w:rsid w:val="002A08F9"/>
    <w:rsid w:val="002A0DEB"/>
    <w:rsid w:val="002A21F2"/>
    <w:rsid w:val="002A294C"/>
    <w:rsid w:val="002A325F"/>
    <w:rsid w:val="002A34C9"/>
    <w:rsid w:val="002A41F8"/>
    <w:rsid w:val="002A4292"/>
    <w:rsid w:val="002A7825"/>
    <w:rsid w:val="002A7DFA"/>
    <w:rsid w:val="002B0D65"/>
    <w:rsid w:val="002B1B43"/>
    <w:rsid w:val="002B1D40"/>
    <w:rsid w:val="002B5C91"/>
    <w:rsid w:val="002B6D1F"/>
    <w:rsid w:val="002B7CC2"/>
    <w:rsid w:val="002C053C"/>
    <w:rsid w:val="002C0E8D"/>
    <w:rsid w:val="002C13B1"/>
    <w:rsid w:val="002C2212"/>
    <w:rsid w:val="002C52C6"/>
    <w:rsid w:val="002C6F12"/>
    <w:rsid w:val="002C7DFE"/>
    <w:rsid w:val="002D1958"/>
    <w:rsid w:val="002D4568"/>
    <w:rsid w:val="002D4BEB"/>
    <w:rsid w:val="002D68E1"/>
    <w:rsid w:val="002E0C4A"/>
    <w:rsid w:val="002E1AC3"/>
    <w:rsid w:val="002E6422"/>
    <w:rsid w:val="002F090B"/>
    <w:rsid w:val="002F58AC"/>
    <w:rsid w:val="002F61DA"/>
    <w:rsid w:val="002F6D61"/>
    <w:rsid w:val="0030189F"/>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40D69"/>
    <w:rsid w:val="003437A0"/>
    <w:rsid w:val="00346F31"/>
    <w:rsid w:val="00351046"/>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A05C7"/>
    <w:rsid w:val="003A07EF"/>
    <w:rsid w:val="003A33C3"/>
    <w:rsid w:val="003A6612"/>
    <w:rsid w:val="003A6C28"/>
    <w:rsid w:val="003A7BDD"/>
    <w:rsid w:val="003B0D4D"/>
    <w:rsid w:val="003B26C6"/>
    <w:rsid w:val="003B2F0B"/>
    <w:rsid w:val="003B71BF"/>
    <w:rsid w:val="003C3F0E"/>
    <w:rsid w:val="003C516E"/>
    <w:rsid w:val="003C5620"/>
    <w:rsid w:val="003C6E58"/>
    <w:rsid w:val="003C7872"/>
    <w:rsid w:val="003D473E"/>
    <w:rsid w:val="003D5D04"/>
    <w:rsid w:val="003D7150"/>
    <w:rsid w:val="003D771B"/>
    <w:rsid w:val="003E14DA"/>
    <w:rsid w:val="003E4FA2"/>
    <w:rsid w:val="003F123A"/>
    <w:rsid w:val="003F43C3"/>
    <w:rsid w:val="003F5610"/>
    <w:rsid w:val="003F798A"/>
    <w:rsid w:val="004003A1"/>
    <w:rsid w:val="004003AF"/>
    <w:rsid w:val="00401A16"/>
    <w:rsid w:val="0040270D"/>
    <w:rsid w:val="00402A58"/>
    <w:rsid w:val="004037A0"/>
    <w:rsid w:val="00406859"/>
    <w:rsid w:val="00407555"/>
    <w:rsid w:val="00407784"/>
    <w:rsid w:val="00415647"/>
    <w:rsid w:val="00416B19"/>
    <w:rsid w:val="00420CF6"/>
    <w:rsid w:val="004227F3"/>
    <w:rsid w:val="00422CAA"/>
    <w:rsid w:val="004257BF"/>
    <w:rsid w:val="00426218"/>
    <w:rsid w:val="00427603"/>
    <w:rsid w:val="00431117"/>
    <w:rsid w:val="00431799"/>
    <w:rsid w:val="00431A1D"/>
    <w:rsid w:val="00431D7D"/>
    <w:rsid w:val="004323B0"/>
    <w:rsid w:val="004337D8"/>
    <w:rsid w:val="00435A66"/>
    <w:rsid w:val="00437C99"/>
    <w:rsid w:val="00437CE6"/>
    <w:rsid w:val="00440B48"/>
    <w:rsid w:val="00441940"/>
    <w:rsid w:val="004447E3"/>
    <w:rsid w:val="00450E44"/>
    <w:rsid w:val="004515C5"/>
    <w:rsid w:val="0045661C"/>
    <w:rsid w:val="0045699B"/>
    <w:rsid w:val="00457950"/>
    <w:rsid w:val="00457A8B"/>
    <w:rsid w:val="00457B2E"/>
    <w:rsid w:val="004621B5"/>
    <w:rsid w:val="0046408D"/>
    <w:rsid w:val="00464CB8"/>
    <w:rsid w:val="00466B74"/>
    <w:rsid w:val="00467F7B"/>
    <w:rsid w:val="00470459"/>
    <w:rsid w:val="00475A6A"/>
    <w:rsid w:val="004801B9"/>
    <w:rsid w:val="00482340"/>
    <w:rsid w:val="004825D4"/>
    <w:rsid w:val="00483DA4"/>
    <w:rsid w:val="00485A4C"/>
    <w:rsid w:val="00486FF0"/>
    <w:rsid w:val="004875BB"/>
    <w:rsid w:val="004900F8"/>
    <w:rsid w:val="0049111F"/>
    <w:rsid w:val="0049138F"/>
    <w:rsid w:val="0049349F"/>
    <w:rsid w:val="004951C2"/>
    <w:rsid w:val="0049644C"/>
    <w:rsid w:val="004973B4"/>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5F81"/>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1DD0"/>
    <w:rsid w:val="005A262B"/>
    <w:rsid w:val="005A4D39"/>
    <w:rsid w:val="005A576E"/>
    <w:rsid w:val="005A5DFA"/>
    <w:rsid w:val="005A6F9D"/>
    <w:rsid w:val="005A7683"/>
    <w:rsid w:val="005A7DCD"/>
    <w:rsid w:val="005B060B"/>
    <w:rsid w:val="005B08A1"/>
    <w:rsid w:val="005B3347"/>
    <w:rsid w:val="005B3B09"/>
    <w:rsid w:val="005B5F06"/>
    <w:rsid w:val="005C1BCB"/>
    <w:rsid w:val="005C3AD8"/>
    <w:rsid w:val="005C6DE2"/>
    <w:rsid w:val="005D3F34"/>
    <w:rsid w:val="005D494C"/>
    <w:rsid w:val="005D559B"/>
    <w:rsid w:val="005D5E5C"/>
    <w:rsid w:val="005E214B"/>
    <w:rsid w:val="005E6CCE"/>
    <w:rsid w:val="005F00A4"/>
    <w:rsid w:val="005F06F6"/>
    <w:rsid w:val="005F0AC6"/>
    <w:rsid w:val="005F15C6"/>
    <w:rsid w:val="005F4872"/>
    <w:rsid w:val="005F5459"/>
    <w:rsid w:val="005F5F7D"/>
    <w:rsid w:val="00602FA0"/>
    <w:rsid w:val="00603931"/>
    <w:rsid w:val="00603C18"/>
    <w:rsid w:val="00611D41"/>
    <w:rsid w:val="006128E3"/>
    <w:rsid w:val="006141B1"/>
    <w:rsid w:val="0061510F"/>
    <w:rsid w:val="00616065"/>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647"/>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978EF"/>
    <w:rsid w:val="006A082D"/>
    <w:rsid w:val="006A087F"/>
    <w:rsid w:val="006A1754"/>
    <w:rsid w:val="006A1D14"/>
    <w:rsid w:val="006A1E2C"/>
    <w:rsid w:val="006A2048"/>
    <w:rsid w:val="006A4594"/>
    <w:rsid w:val="006A56D6"/>
    <w:rsid w:val="006B06F1"/>
    <w:rsid w:val="006B6F24"/>
    <w:rsid w:val="006C4879"/>
    <w:rsid w:val="006C654D"/>
    <w:rsid w:val="006D118F"/>
    <w:rsid w:val="006D4BC8"/>
    <w:rsid w:val="006D65FA"/>
    <w:rsid w:val="006E07AA"/>
    <w:rsid w:val="006E19D5"/>
    <w:rsid w:val="006E447E"/>
    <w:rsid w:val="006E529B"/>
    <w:rsid w:val="006E6736"/>
    <w:rsid w:val="006E767C"/>
    <w:rsid w:val="006F1351"/>
    <w:rsid w:val="006F76A3"/>
    <w:rsid w:val="00701A4B"/>
    <w:rsid w:val="00701B6B"/>
    <w:rsid w:val="00701FD8"/>
    <w:rsid w:val="00703F08"/>
    <w:rsid w:val="007057DB"/>
    <w:rsid w:val="007065BF"/>
    <w:rsid w:val="0070789D"/>
    <w:rsid w:val="00710B4F"/>
    <w:rsid w:val="00711ABB"/>
    <w:rsid w:val="00712BEC"/>
    <w:rsid w:val="00714E0F"/>
    <w:rsid w:val="00716EDF"/>
    <w:rsid w:val="007205F1"/>
    <w:rsid w:val="00720C46"/>
    <w:rsid w:val="00722DC6"/>
    <w:rsid w:val="00723BBD"/>
    <w:rsid w:val="0072438C"/>
    <w:rsid w:val="0072796D"/>
    <w:rsid w:val="00730945"/>
    <w:rsid w:val="00731297"/>
    <w:rsid w:val="007317A4"/>
    <w:rsid w:val="00732D9D"/>
    <w:rsid w:val="0073382E"/>
    <w:rsid w:val="00735A17"/>
    <w:rsid w:val="007372BC"/>
    <w:rsid w:val="00737AA5"/>
    <w:rsid w:val="00737BFF"/>
    <w:rsid w:val="00737F01"/>
    <w:rsid w:val="00740BB9"/>
    <w:rsid w:val="00742172"/>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1E4E"/>
    <w:rsid w:val="007A297F"/>
    <w:rsid w:val="007A5099"/>
    <w:rsid w:val="007B571E"/>
    <w:rsid w:val="007C4247"/>
    <w:rsid w:val="007D06E1"/>
    <w:rsid w:val="007D3B6F"/>
    <w:rsid w:val="007D47A0"/>
    <w:rsid w:val="007D581A"/>
    <w:rsid w:val="007D5CE0"/>
    <w:rsid w:val="007D708A"/>
    <w:rsid w:val="007D76D9"/>
    <w:rsid w:val="007E086F"/>
    <w:rsid w:val="007E3156"/>
    <w:rsid w:val="007E5486"/>
    <w:rsid w:val="007E5A65"/>
    <w:rsid w:val="007E5B1D"/>
    <w:rsid w:val="007E5EBE"/>
    <w:rsid w:val="007E6BD6"/>
    <w:rsid w:val="007E74F3"/>
    <w:rsid w:val="007E7FED"/>
    <w:rsid w:val="007F0ECE"/>
    <w:rsid w:val="007F17C4"/>
    <w:rsid w:val="007F351D"/>
    <w:rsid w:val="007F6F16"/>
    <w:rsid w:val="008023F4"/>
    <w:rsid w:val="00802BA9"/>
    <w:rsid w:val="00803A7D"/>
    <w:rsid w:val="00807A48"/>
    <w:rsid w:val="008100A2"/>
    <w:rsid w:val="00816380"/>
    <w:rsid w:val="008168BB"/>
    <w:rsid w:val="00816DAA"/>
    <w:rsid w:val="00817D04"/>
    <w:rsid w:val="008206FA"/>
    <w:rsid w:val="008237FB"/>
    <w:rsid w:val="00823C32"/>
    <w:rsid w:val="00823ECA"/>
    <w:rsid w:val="008253B7"/>
    <w:rsid w:val="00830248"/>
    <w:rsid w:val="00831B96"/>
    <w:rsid w:val="00843FD0"/>
    <w:rsid w:val="008462FD"/>
    <w:rsid w:val="00850BAA"/>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92F1D"/>
    <w:rsid w:val="008937D6"/>
    <w:rsid w:val="00897C92"/>
    <w:rsid w:val="008A4AAC"/>
    <w:rsid w:val="008A5EA7"/>
    <w:rsid w:val="008B2127"/>
    <w:rsid w:val="008B4BA6"/>
    <w:rsid w:val="008C2012"/>
    <w:rsid w:val="008C57D0"/>
    <w:rsid w:val="008C6134"/>
    <w:rsid w:val="008C66F3"/>
    <w:rsid w:val="008C6704"/>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388"/>
    <w:rsid w:val="00926521"/>
    <w:rsid w:val="00930F24"/>
    <w:rsid w:val="009313DA"/>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634D2"/>
    <w:rsid w:val="0096729E"/>
    <w:rsid w:val="00971930"/>
    <w:rsid w:val="00975684"/>
    <w:rsid w:val="00976FDC"/>
    <w:rsid w:val="0098213A"/>
    <w:rsid w:val="00983FE8"/>
    <w:rsid w:val="00984866"/>
    <w:rsid w:val="0098600D"/>
    <w:rsid w:val="00986728"/>
    <w:rsid w:val="00987DA0"/>
    <w:rsid w:val="009957D7"/>
    <w:rsid w:val="00997E25"/>
    <w:rsid w:val="009A16FE"/>
    <w:rsid w:val="009A6515"/>
    <w:rsid w:val="009A6A26"/>
    <w:rsid w:val="009C0614"/>
    <w:rsid w:val="009C06D1"/>
    <w:rsid w:val="009C233A"/>
    <w:rsid w:val="009C2DAA"/>
    <w:rsid w:val="009C52BD"/>
    <w:rsid w:val="009C57C0"/>
    <w:rsid w:val="009C65C4"/>
    <w:rsid w:val="009C7697"/>
    <w:rsid w:val="009D0309"/>
    <w:rsid w:val="009D7EB1"/>
    <w:rsid w:val="009E0003"/>
    <w:rsid w:val="009E3C5A"/>
    <w:rsid w:val="009E6333"/>
    <w:rsid w:val="009E6781"/>
    <w:rsid w:val="009E7546"/>
    <w:rsid w:val="009F197D"/>
    <w:rsid w:val="009F1F4E"/>
    <w:rsid w:val="009F30C8"/>
    <w:rsid w:val="009F3E3D"/>
    <w:rsid w:val="009F4FFE"/>
    <w:rsid w:val="009F7D0E"/>
    <w:rsid w:val="00A10397"/>
    <w:rsid w:val="00A1094A"/>
    <w:rsid w:val="00A113E0"/>
    <w:rsid w:val="00A172B1"/>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3EC3"/>
    <w:rsid w:val="00A4661F"/>
    <w:rsid w:val="00A50A25"/>
    <w:rsid w:val="00A545F5"/>
    <w:rsid w:val="00A60669"/>
    <w:rsid w:val="00A6155D"/>
    <w:rsid w:val="00A61BAB"/>
    <w:rsid w:val="00A621F1"/>
    <w:rsid w:val="00A63D65"/>
    <w:rsid w:val="00A6666C"/>
    <w:rsid w:val="00A6718E"/>
    <w:rsid w:val="00A7484B"/>
    <w:rsid w:val="00A76194"/>
    <w:rsid w:val="00A820B6"/>
    <w:rsid w:val="00A83C37"/>
    <w:rsid w:val="00A840F2"/>
    <w:rsid w:val="00A842AD"/>
    <w:rsid w:val="00A8581B"/>
    <w:rsid w:val="00A9020C"/>
    <w:rsid w:val="00A93B28"/>
    <w:rsid w:val="00AA1526"/>
    <w:rsid w:val="00AA7578"/>
    <w:rsid w:val="00AB1205"/>
    <w:rsid w:val="00AB1FEC"/>
    <w:rsid w:val="00AB30CD"/>
    <w:rsid w:val="00AB6FCD"/>
    <w:rsid w:val="00AC04EA"/>
    <w:rsid w:val="00AC2F0C"/>
    <w:rsid w:val="00AC53F5"/>
    <w:rsid w:val="00AC6923"/>
    <w:rsid w:val="00AD1F7B"/>
    <w:rsid w:val="00AD2358"/>
    <w:rsid w:val="00AD69CE"/>
    <w:rsid w:val="00AD6C59"/>
    <w:rsid w:val="00AE3364"/>
    <w:rsid w:val="00AE54DE"/>
    <w:rsid w:val="00AF0837"/>
    <w:rsid w:val="00AF19B1"/>
    <w:rsid w:val="00AF3FE7"/>
    <w:rsid w:val="00AF4407"/>
    <w:rsid w:val="00AF7FDB"/>
    <w:rsid w:val="00B00780"/>
    <w:rsid w:val="00B05556"/>
    <w:rsid w:val="00B06F67"/>
    <w:rsid w:val="00B1061B"/>
    <w:rsid w:val="00B13794"/>
    <w:rsid w:val="00B14CD8"/>
    <w:rsid w:val="00B159D8"/>
    <w:rsid w:val="00B229BE"/>
    <w:rsid w:val="00B22F18"/>
    <w:rsid w:val="00B24C43"/>
    <w:rsid w:val="00B25991"/>
    <w:rsid w:val="00B26B0B"/>
    <w:rsid w:val="00B3292B"/>
    <w:rsid w:val="00B35E21"/>
    <w:rsid w:val="00B367AB"/>
    <w:rsid w:val="00B36DC7"/>
    <w:rsid w:val="00B37201"/>
    <w:rsid w:val="00B42952"/>
    <w:rsid w:val="00B461C3"/>
    <w:rsid w:val="00B469EC"/>
    <w:rsid w:val="00B51DFB"/>
    <w:rsid w:val="00B52099"/>
    <w:rsid w:val="00B54316"/>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B38CB"/>
    <w:rsid w:val="00BB6A1A"/>
    <w:rsid w:val="00BC0F65"/>
    <w:rsid w:val="00BC211E"/>
    <w:rsid w:val="00BC2C3D"/>
    <w:rsid w:val="00BC3FF8"/>
    <w:rsid w:val="00BD0604"/>
    <w:rsid w:val="00BD1E75"/>
    <w:rsid w:val="00BD1F93"/>
    <w:rsid w:val="00BD2D39"/>
    <w:rsid w:val="00BD4A1D"/>
    <w:rsid w:val="00BE09DA"/>
    <w:rsid w:val="00BE3474"/>
    <w:rsid w:val="00BE3A59"/>
    <w:rsid w:val="00BE4F5C"/>
    <w:rsid w:val="00BF0C66"/>
    <w:rsid w:val="00BF397C"/>
    <w:rsid w:val="00BF4481"/>
    <w:rsid w:val="00BF44F1"/>
    <w:rsid w:val="00BF50A4"/>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915"/>
    <w:rsid w:val="00C32E7E"/>
    <w:rsid w:val="00C345F6"/>
    <w:rsid w:val="00C362F1"/>
    <w:rsid w:val="00C36AAF"/>
    <w:rsid w:val="00C41DFC"/>
    <w:rsid w:val="00C4285A"/>
    <w:rsid w:val="00C43E2E"/>
    <w:rsid w:val="00C51311"/>
    <w:rsid w:val="00C52973"/>
    <w:rsid w:val="00C5316F"/>
    <w:rsid w:val="00C54286"/>
    <w:rsid w:val="00C62CA5"/>
    <w:rsid w:val="00C6498D"/>
    <w:rsid w:val="00C67CA1"/>
    <w:rsid w:val="00C70015"/>
    <w:rsid w:val="00C72792"/>
    <w:rsid w:val="00C74FA6"/>
    <w:rsid w:val="00C77FB4"/>
    <w:rsid w:val="00C808F1"/>
    <w:rsid w:val="00C811EA"/>
    <w:rsid w:val="00C82A5E"/>
    <w:rsid w:val="00C85623"/>
    <w:rsid w:val="00C86C6F"/>
    <w:rsid w:val="00C9235D"/>
    <w:rsid w:val="00CA4DDC"/>
    <w:rsid w:val="00CA5108"/>
    <w:rsid w:val="00CA60A8"/>
    <w:rsid w:val="00CA6E51"/>
    <w:rsid w:val="00CA757D"/>
    <w:rsid w:val="00CA7A49"/>
    <w:rsid w:val="00CA7DCD"/>
    <w:rsid w:val="00CB4C2D"/>
    <w:rsid w:val="00CB4E5B"/>
    <w:rsid w:val="00CB582F"/>
    <w:rsid w:val="00CB7580"/>
    <w:rsid w:val="00CC3AB1"/>
    <w:rsid w:val="00CC5CAF"/>
    <w:rsid w:val="00CC6483"/>
    <w:rsid w:val="00CC7B13"/>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27BBD"/>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77F35"/>
    <w:rsid w:val="00D802E0"/>
    <w:rsid w:val="00D8195F"/>
    <w:rsid w:val="00D82CF1"/>
    <w:rsid w:val="00D836FE"/>
    <w:rsid w:val="00D853B0"/>
    <w:rsid w:val="00D85FB8"/>
    <w:rsid w:val="00D864C5"/>
    <w:rsid w:val="00D90451"/>
    <w:rsid w:val="00D914C1"/>
    <w:rsid w:val="00D9514F"/>
    <w:rsid w:val="00D95171"/>
    <w:rsid w:val="00D97459"/>
    <w:rsid w:val="00DA2CA0"/>
    <w:rsid w:val="00DA3264"/>
    <w:rsid w:val="00DA7D13"/>
    <w:rsid w:val="00DB46CD"/>
    <w:rsid w:val="00DC05C2"/>
    <w:rsid w:val="00DC19D0"/>
    <w:rsid w:val="00DC1BA4"/>
    <w:rsid w:val="00DC272F"/>
    <w:rsid w:val="00DC6B36"/>
    <w:rsid w:val="00DD4F03"/>
    <w:rsid w:val="00DD6B29"/>
    <w:rsid w:val="00DD76C9"/>
    <w:rsid w:val="00DE31B2"/>
    <w:rsid w:val="00DE5A8D"/>
    <w:rsid w:val="00DE644F"/>
    <w:rsid w:val="00DF04D5"/>
    <w:rsid w:val="00DF2235"/>
    <w:rsid w:val="00DF2D43"/>
    <w:rsid w:val="00DF49F7"/>
    <w:rsid w:val="00DF5C5E"/>
    <w:rsid w:val="00E01B8F"/>
    <w:rsid w:val="00E029C6"/>
    <w:rsid w:val="00E14FE2"/>
    <w:rsid w:val="00E172D6"/>
    <w:rsid w:val="00E2022D"/>
    <w:rsid w:val="00E22728"/>
    <w:rsid w:val="00E237E3"/>
    <w:rsid w:val="00E23944"/>
    <w:rsid w:val="00E26FAF"/>
    <w:rsid w:val="00E30543"/>
    <w:rsid w:val="00E31C23"/>
    <w:rsid w:val="00E34EB2"/>
    <w:rsid w:val="00E3617C"/>
    <w:rsid w:val="00E45005"/>
    <w:rsid w:val="00E467E4"/>
    <w:rsid w:val="00E477CD"/>
    <w:rsid w:val="00E50F4E"/>
    <w:rsid w:val="00E5522D"/>
    <w:rsid w:val="00E65B51"/>
    <w:rsid w:val="00E65FAC"/>
    <w:rsid w:val="00E67E21"/>
    <w:rsid w:val="00E7196C"/>
    <w:rsid w:val="00E7197A"/>
    <w:rsid w:val="00E726A6"/>
    <w:rsid w:val="00E7283F"/>
    <w:rsid w:val="00E741EC"/>
    <w:rsid w:val="00E7450E"/>
    <w:rsid w:val="00E748DF"/>
    <w:rsid w:val="00E765A9"/>
    <w:rsid w:val="00E813B8"/>
    <w:rsid w:val="00E84314"/>
    <w:rsid w:val="00E867F9"/>
    <w:rsid w:val="00E87AF6"/>
    <w:rsid w:val="00E942A6"/>
    <w:rsid w:val="00E943B1"/>
    <w:rsid w:val="00E96246"/>
    <w:rsid w:val="00EA0B04"/>
    <w:rsid w:val="00EA3FA3"/>
    <w:rsid w:val="00EA53DA"/>
    <w:rsid w:val="00EA60D5"/>
    <w:rsid w:val="00EA6D87"/>
    <w:rsid w:val="00EB0005"/>
    <w:rsid w:val="00EB2C56"/>
    <w:rsid w:val="00EB3A97"/>
    <w:rsid w:val="00EB62F5"/>
    <w:rsid w:val="00EC34AD"/>
    <w:rsid w:val="00EC47DE"/>
    <w:rsid w:val="00EC6062"/>
    <w:rsid w:val="00EC798E"/>
    <w:rsid w:val="00ED6AD8"/>
    <w:rsid w:val="00EE340D"/>
    <w:rsid w:val="00EE37FD"/>
    <w:rsid w:val="00EE6CA7"/>
    <w:rsid w:val="00EF32A2"/>
    <w:rsid w:val="00EF46F7"/>
    <w:rsid w:val="00F012D1"/>
    <w:rsid w:val="00F02EF2"/>
    <w:rsid w:val="00F04FC3"/>
    <w:rsid w:val="00F05A6C"/>
    <w:rsid w:val="00F06D3A"/>
    <w:rsid w:val="00F078A3"/>
    <w:rsid w:val="00F105D5"/>
    <w:rsid w:val="00F10B85"/>
    <w:rsid w:val="00F128B0"/>
    <w:rsid w:val="00F13F38"/>
    <w:rsid w:val="00F15902"/>
    <w:rsid w:val="00F1625F"/>
    <w:rsid w:val="00F163F8"/>
    <w:rsid w:val="00F20826"/>
    <w:rsid w:val="00F20AA7"/>
    <w:rsid w:val="00F24746"/>
    <w:rsid w:val="00F27126"/>
    <w:rsid w:val="00F27D96"/>
    <w:rsid w:val="00F30531"/>
    <w:rsid w:val="00F30AE5"/>
    <w:rsid w:val="00F31AAE"/>
    <w:rsid w:val="00F34160"/>
    <w:rsid w:val="00F3752E"/>
    <w:rsid w:val="00F41778"/>
    <w:rsid w:val="00F42587"/>
    <w:rsid w:val="00F464DC"/>
    <w:rsid w:val="00F50DF8"/>
    <w:rsid w:val="00F50E8A"/>
    <w:rsid w:val="00F51A52"/>
    <w:rsid w:val="00F547BA"/>
    <w:rsid w:val="00F57725"/>
    <w:rsid w:val="00F60E7B"/>
    <w:rsid w:val="00F61245"/>
    <w:rsid w:val="00F626B7"/>
    <w:rsid w:val="00F63901"/>
    <w:rsid w:val="00F647A3"/>
    <w:rsid w:val="00F652F6"/>
    <w:rsid w:val="00F66A0B"/>
    <w:rsid w:val="00F67483"/>
    <w:rsid w:val="00F67B58"/>
    <w:rsid w:val="00F70748"/>
    <w:rsid w:val="00F71A8F"/>
    <w:rsid w:val="00F75278"/>
    <w:rsid w:val="00F763C1"/>
    <w:rsid w:val="00F767FB"/>
    <w:rsid w:val="00F76E9D"/>
    <w:rsid w:val="00F8401C"/>
    <w:rsid w:val="00F860F6"/>
    <w:rsid w:val="00F86718"/>
    <w:rsid w:val="00F8743E"/>
    <w:rsid w:val="00F94DAA"/>
    <w:rsid w:val="00F96D99"/>
    <w:rsid w:val="00FA0289"/>
    <w:rsid w:val="00FA4EDA"/>
    <w:rsid w:val="00FA6BB7"/>
    <w:rsid w:val="00FA76B5"/>
    <w:rsid w:val="00FA7AA2"/>
    <w:rsid w:val="00FB5D61"/>
    <w:rsid w:val="00FB7D56"/>
    <w:rsid w:val="00FC1B06"/>
    <w:rsid w:val="00FC5941"/>
    <w:rsid w:val="00FD071B"/>
    <w:rsid w:val="00FD0973"/>
    <w:rsid w:val="00FD5A1B"/>
    <w:rsid w:val="00FD783D"/>
    <w:rsid w:val="00FE34BC"/>
    <w:rsid w:val="00FE34C7"/>
    <w:rsid w:val="00FE3864"/>
    <w:rsid w:val="00FE4AE0"/>
    <w:rsid w:val="00FE5DAE"/>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 w:type="paragraph" w:styleId="ListNumber">
    <w:name w:val="List Number"/>
    <w:basedOn w:val="Normal"/>
    <w:rsid w:val="00E14FE2"/>
    <w:pPr>
      <w:numPr>
        <w:numId w:val="20"/>
      </w:numPr>
      <w:spacing w:after="0" w:line="240" w:lineRule="auto"/>
      <w:ind w:left="360"/>
    </w:pPr>
    <w:rPr>
      <w:rFonts w:eastAsia="SimSu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2.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3.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4.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C3B421FD-0669-4368-9F04-65941BF5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2342</Words>
  <Characters>13351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15662</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Silberman, Andrea - NIC</dc:creator>
  <cp:lastModifiedBy>Christopher Dier</cp:lastModifiedBy>
  <cp:revision>2</cp:revision>
  <dcterms:created xsi:type="dcterms:W3CDTF">2017-11-06T15:43:00Z</dcterms:created>
  <dcterms:modified xsi:type="dcterms:W3CDTF">2017-11-06T15:43:00Z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