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41" w:rsidRDefault="00495641">
      <w:pPr>
        <w:rPr>
          <w:b/>
        </w:rPr>
      </w:pPr>
      <w:bookmarkStart w:id="0" w:name="_GoBack"/>
      <w:bookmarkEnd w:id="0"/>
      <w:r>
        <w:rPr>
          <w:b/>
        </w:rPr>
        <w:tab/>
      </w:r>
      <w:r>
        <w:rPr>
          <w:b/>
        </w:rPr>
        <w:tab/>
      </w:r>
      <w:r>
        <w:rPr>
          <w:b/>
        </w:rPr>
        <w:tab/>
      </w:r>
      <w:r>
        <w:rPr>
          <w:b/>
        </w:rPr>
        <w:tab/>
      </w:r>
      <w:r>
        <w:rPr>
          <w:b/>
        </w:rPr>
        <w:tab/>
      </w:r>
      <w:r>
        <w:rPr>
          <w:noProof/>
          <w:lang w:eastAsia="en-GB"/>
        </w:rPr>
        <w:drawing>
          <wp:inline distT="0" distB="0" distL="0" distR="0" wp14:anchorId="1826AE71" wp14:editId="1EFEEDE2">
            <wp:extent cx="1147730" cy="67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567" cy="674888"/>
                    </a:xfrm>
                    <a:prstGeom prst="rect">
                      <a:avLst/>
                    </a:prstGeom>
                    <a:noFill/>
                    <a:ln>
                      <a:noFill/>
                    </a:ln>
                  </pic:spPr>
                </pic:pic>
              </a:graphicData>
            </a:graphic>
          </wp:inline>
        </w:drawing>
      </w:r>
    </w:p>
    <w:p w:rsidR="00D0592D" w:rsidRDefault="00E84390" w:rsidP="00D0592D">
      <w:pPr>
        <w:rPr>
          <w:rFonts w:cs="Arial"/>
          <w:b/>
          <w:u w:val="single"/>
        </w:rPr>
      </w:pPr>
      <w:r>
        <w:rPr>
          <w:b/>
        </w:rPr>
        <w:tab/>
      </w:r>
      <w:r>
        <w:rPr>
          <w:b/>
        </w:rPr>
        <w:tab/>
      </w:r>
      <w:r w:rsidR="00FD3C8F">
        <w:rPr>
          <w:b/>
        </w:rPr>
        <w:tab/>
      </w:r>
      <w:r w:rsidR="00FD3C8F">
        <w:rPr>
          <w:b/>
        </w:rPr>
        <w:tab/>
      </w:r>
      <w:r w:rsidR="00D0592D">
        <w:rPr>
          <w:rFonts w:cs="Arial"/>
          <w:b/>
          <w:u w:val="single"/>
        </w:rPr>
        <w:t>Tender for Property Maintenance in  Rural Area</w:t>
      </w:r>
    </w:p>
    <w:p w:rsidR="00366685" w:rsidRPr="00366685" w:rsidRDefault="00495641" w:rsidP="00D0592D">
      <w:pPr>
        <w:rPr>
          <w:rFonts w:cs="Arial"/>
          <w:b/>
          <w:u w:val="single"/>
        </w:rPr>
      </w:pPr>
      <w:r w:rsidRPr="00366685">
        <w:rPr>
          <w:rFonts w:cs="Arial"/>
          <w:b/>
          <w:u w:val="single"/>
        </w:rPr>
        <w:t>Corp</w:t>
      </w:r>
      <w:r w:rsidR="00366685" w:rsidRPr="00366685">
        <w:rPr>
          <w:rFonts w:cs="Arial"/>
          <w:b/>
          <w:u w:val="single"/>
        </w:rPr>
        <w:t>o</w:t>
      </w:r>
      <w:r w:rsidRPr="00366685">
        <w:rPr>
          <w:rFonts w:cs="Arial"/>
          <w:b/>
          <w:u w:val="single"/>
        </w:rPr>
        <w:t>rate Information</w:t>
      </w:r>
    </w:p>
    <w:p w:rsidR="00495641" w:rsidRPr="00366685" w:rsidRDefault="00495641" w:rsidP="00366685">
      <w:pPr>
        <w:spacing w:after="0"/>
        <w:rPr>
          <w:rFonts w:eastAsia="Times New Roman" w:cs="Arial"/>
          <w:b/>
          <w:bCs/>
          <w:i/>
          <w:lang w:eastAsia="en-GB"/>
        </w:rPr>
      </w:pPr>
      <w:r w:rsidRPr="00366685">
        <w:rPr>
          <w:rFonts w:eastAsia="Times New Roman" w:cs="Arial"/>
          <w:iCs/>
          <w:lang w:eastAsia="en-GB"/>
        </w:rPr>
        <w:t>East Midlands Housing Group (t/as emh group) is one of the largest providers of affordable homes and related services in the East Midlands, and has an excellent reputation for working with partners and stakeholders to meet the housing needs of the diverse communities it serves. Its head office is in Coalville, Leicestershire</w:t>
      </w:r>
      <w:r w:rsidRPr="00366685">
        <w:rPr>
          <w:rFonts w:eastAsia="Times New Roman" w:cs="Arial"/>
          <w:iCs/>
          <w:color w:val="1F497D"/>
          <w:lang w:eastAsia="en-GB"/>
        </w:rPr>
        <w:t>.</w:t>
      </w:r>
    </w:p>
    <w:p w:rsidR="00D0592D" w:rsidRDefault="00D0592D" w:rsidP="005D059E">
      <w:pPr>
        <w:spacing w:after="0"/>
        <w:rPr>
          <w:rFonts w:cs="Arial"/>
          <w:b/>
          <w:bCs/>
          <w:u w:val="single"/>
          <w:lang w:eastAsia="en-GB"/>
        </w:rPr>
      </w:pPr>
    </w:p>
    <w:p w:rsidR="005D059E" w:rsidRPr="00D0592D" w:rsidRDefault="00D0592D" w:rsidP="00D0592D">
      <w:pPr>
        <w:spacing w:after="0"/>
        <w:rPr>
          <w:rFonts w:cs="Arial"/>
          <w:lang w:eastAsia="en-GB"/>
        </w:rPr>
      </w:pPr>
      <w:r>
        <w:rPr>
          <w:rFonts w:cs="Arial"/>
          <w:bCs/>
          <w:lang w:eastAsia="en-GB"/>
        </w:rPr>
        <w:t xml:space="preserve">Amongst others, the group includes </w:t>
      </w:r>
      <w:r w:rsidR="005D059E" w:rsidRPr="00D0592D">
        <w:rPr>
          <w:rFonts w:cs="Arial"/>
          <w:bCs/>
          <w:lang w:eastAsia="en-GB"/>
        </w:rPr>
        <w:t>Midlands Rural Housing</w:t>
      </w:r>
      <w:r>
        <w:rPr>
          <w:rFonts w:cs="Arial"/>
          <w:lang w:eastAsia="en-GB"/>
        </w:rPr>
        <w:t>, a s</w:t>
      </w:r>
      <w:r w:rsidR="005D059E" w:rsidRPr="00366685">
        <w:rPr>
          <w:rFonts w:cs="Arial"/>
          <w:lang w:eastAsia="en-GB"/>
        </w:rPr>
        <w:t xml:space="preserve">pecialist </w:t>
      </w:r>
      <w:r w:rsidR="005D059E">
        <w:rPr>
          <w:rFonts w:cs="Arial"/>
          <w:lang w:eastAsia="en-GB"/>
        </w:rPr>
        <w:t xml:space="preserve">provider of bespoke rural development, management and maintenance services for 4 rural housing associations </w:t>
      </w:r>
      <w:r>
        <w:rPr>
          <w:rFonts w:cs="Arial"/>
          <w:lang w:eastAsia="en-GB"/>
        </w:rPr>
        <w:t xml:space="preserve"> (RHA’s) </w:t>
      </w:r>
      <w:r w:rsidR="005D059E">
        <w:rPr>
          <w:rFonts w:cs="Arial"/>
          <w:lang w:eastAsia="en-GB"/>
        </w:rPr>
        <w:t>in Leicestershire, Northamptonshire, Warwickshire and the Peak District</w:t>
      </w:r>
      <w:r w:rsidR="005D059E" w:rsidRPr="005D059E">
        <w:rPr>
          <w:rFonts w:cs="Arial"/>
          <w:b/>
          <w:u w:val="single"/>
          <w:lang w:eastAsia="en-GB"/>
        </w:rPr>
        <w:t xml:space="preserve"> </w:t>
      </w:r>
    </w:p>
    <w:p w:rsidR="00D0592D" w:rsidRDefault="00D0592D" w:rsidP="000E6100">
      <w:pPr>
        <w:spacing w:after="0"/>
        <w:rPr>
          <w:b/>
          <w:u w:val="single"/>
        </w:rPr>
      </w:pPr>
    </w:p>
    <w:p w:rsidR="00D0592D" w:rsidRPr="00D0592D" w:rsidRDefault="00D0592D" w:rsidP="000E6100">
      <w:pPr>
        <w:spacing w:after="0"/>
      </w:pPr>
      <w:r w:rsidRPr="00D0592D">
        <w:t xml:space="preserve">We are now issuing a public tender to provide property repair services to the RHA in the </w:t>
      </w:r>
      <w:r w:rsidR="00E15CFC">
        <w:t>P</w:t>
      </w:r>
      <w:r w:rsidRPr="00D0592D">
        <w:t>eak District of Derbyshire and surrounding areas</w:t>
      </w:r>
      <w:r w:rsidR="00C02F9D">
        <w:t xml:space="preserve"> (PDRHA)</w:t>
      </w:r>
      <w:r w:rsidR="00E15CFC">
        <w:t xml:space="preserve">. </w:t>
      </w:r>
    </w:p>
    <w:p w:rsidR="00D0592D" w:rsidRDefault="00D0592D" w:rsidP="000E6100">
      <w:pPr>
        <w:spacing w:after="0"/>
        <w:rPr>
          <w:b/>
          <w:u w:val="single"/>
        </w:rPr>
      </w:pPr>
    </w:p>
    <w:p w:rsidR="00D0592D" w:rsidRDefault="00D0592D" w:rsidP="000E6100">
      <w:pPr>
        <w:spacing w:after="0"/>
      </w:pPr>
      <w:r w:rsidRPr="00D0592D">
        <w:t>For further information on this organisation please see</w:t>
      </w:r>
      <w:r w:rsidR="00C6546B">
        <w:tab/>
      </w:r>
      <w:r w:rsidR="00C6546B">
        <w:tab/>
      </w:r>
      <w:hyperlink r:id="rId8" w:history="1">
        <w:r w:rsidRPr="00F81BC0">
          <w:rPr>
            <w:rStyle w:val="Hyperlink"/>
          </w:rPr>
          <w:t>http://www.peakdistrictrha.org.uk/</w:t>
        </w:r>
      </w:hyperlink>
    </w:p>
    <w:p w:rsidR="00D0592D" w:rsidRPr="00D0592D" w:rsidRDefault="00D0592D" w:rsidP="000E6100">
      <w:pPr>
        <w:spacing w:after="0"/>
      </w:pPr>
    </w:p>
    <w:p w:rsidR="00D0592D" w:rsidRDefault="00D0592D" w:rsidP="000E6100">
      <w:pPr>
        <w:spacing w:after="0"/>
        <w:rPr>
          <w:b/>
          <w:u w:val="single"/>
        </w:rPr>
      </w:pPr>
    </w:p>
    <w:p w:rsidR="00495641" w:rsidRDefault="00285977" w:rsidP="000E6100">
      <w:pPr>
        <w:spacing w:after="0"/>
        <w:rPr>
          <w:b/>
          <w:u w:val="single"/>
        </w:rPr>
      </w:pPr>
      <w:r>
        <w:rPr>
          <w:b/>
          <w:u w:val="single"/>
        </w:rPr>
        <w:t>Service</w:t>
      </w:r>
      <w:r w:rsidR="00495641">
        <w:rPr>
          <w:b/>
          <w:u w:val="single"/>
        </w:rPr>
        <w:t xml:space="preserve"> </w:t>
      </w:r>
      <w:r w:rsidR="00426862">
        <w:rPr>
          <w:b/>
          <w:u w:val="single"/>
        </w:rPr>
        <w:t>Requirements</w:t>
      </w:r>
    </w:p>
    <w:p w:rsidR="00923E58" w:rsidRDefault="00E15CFC" w:rsidP="00921107">
      <w:pPr>
        <w:spacing w:after="0"/>
      </w:pPr>
      <w:r w:rsidRPr="00E15CFC">
        <w:t xml:space="preserve">PDRHA manage 225 properties </w:t>
      </w:r>
      <w:r>
        <w:t>in rural areas of North Derbyshire into Staffordshire. The 4 main concentrations are in Ashbourne, Bakewell, Buxton and Matlock.</w:t>
      </w:r>
    </w:p>
    <w:p w:rsidR="00E15CFC" w:rsidRDefault="00E15CFC" w:rsidP="00921107">
      <w:pPr>
        <w:spacing w:after="0"/>
      </w:pPr>
      <w:r>
        <w:t>The requirement is to provide a range of property maintenance services including:</w:t>
      </w:r>
    </w:p>
    <w:p w:rsidR="00E15CFC" w:rsidRDefault="00E15CFC" w:rsidP="00E15CFC">
      <w:pPr>
        <w:pStyle w:val="ListParagraph"/>
        <w:numPr>
          <w:ilvl w:val="0"/>
          <w:numId w:val="11"/>
        </w:numPr>
        <w:spacing w:after="0"/>
      </w:pPr>
      <w:r>
        <w:t>Responsive Repairs (inc</w:t>
      </w:r>
      <w:r w:rsidR="00C02F9D">
        <w:t>l.</w:t>
      </w:r>
      <w:r>
        <w:t xml:space="preserve"> O</w:t>
      </w:r>
      <w:r w:rsidR="00C02F9D">
        <w:t>ut of Hours</w:t>
      </w:r>
      <w:r>
        <w:t>)</w:t>
      </w:r>
    </w:p>
    <w:p w:rsidR="00E15CFC" w:rsidRDefault="00E15CFC" w:rsidP="00E15CFC">
      <w:pPr>
        <w:pStyle w:val="ListParagraph"/>
        <w:numPr>
          <w:ilvl w:val="0"/>
          <w:numId w:val="11"/>
        </w:numPr>
        <w:spacing w:after="0"/>
      </w:pPr>
      <w:r>
        <w:t>Voids</w:t>
      </w:r>
    </w:p>
    <w:p w:rsidR="00E15CFC" w:rsidRDefault="00E15CFC" w:rsidP="00E15CFC">
      <w:pPr>
        <w:pStyle w:val="ListParagraph"/>
        <w:numPr>
          <w:ilvl w:val="0"/>
          <w:numId w:val="11"/>
        </w:numPr>
        <w:spacing w:after="0"/>
      </w:pPr>
      <w:r>
        <w:t>External Redecoration</w:t>
      </w:r>
    </w:p>
    <w:p w:rsidR="00E15CFC" w:rsidRDefault="00E15CFC" w:rsidP="00E15CFC">
      <w:pPr>
        <w:pStyle w:val="ListParagraph"/>
        <w:numPr>
          <w:ilvl w:val="0"/>
          <w:numId w:val="11"/>
        </w:numPr>
        <w:spacing w:after="0"/>
      </w:pPr>
      <w:r>
        <w:t>Window &amp; Door Replacement</w:t>
      </w:r>
    </w:p>
    <w:p w:rsidR="00E15CFC" w:rsidRDefault="00E15CFC" w:rsidP="00E15CFC">
      <w:pPr>
        <w:pStyle w:val="ListParagraph"/>
        <w:numPr>
          <w:ilvl w:val="0"/>
          <w:numId w:val="11"/>
        </w:numPr>
        <w:spacing w:after="0"/>
      </w:pPr>
      <w:r>
        <w:t>General Planned Maintenance</w:t>
      </w:r>
    </w:p>
    <w:p w:rsidR="00E15CFC" w:rsidRDefault="00E15CFC" w:rsidP="00E15CFC">
      <w:pPr>
        <w:spacing w:after="0"/>
      </w:pPr>
    </w:p>
    <w:p w:rsidR="00E15CFC" w:rsidRDefault="00E15CFC" w:rsidP="00E15CFC">
      <w:pPr>
        <w:spacing w:after="0"/>
      </w:pPr>
      <w:r>
        <w:t>Initially excluded, but will be considered on expiry of current contracts are:</w:t>
      </w:r>
    </w:p>
    <w:p w:rsidR="00E15CFC" w:rsidRDefault="00E15CFC" w:rsidP="00E15CFC">
      <w:pPr>
        <w:pStyle w:val="ListParagraph"/>
        <w:numPr>
          <w:ilvl w:val="0"/>
          <w:numId w:val="11"/>
        </w:numPr>
        <w:spacing w:after="0"/>
      </w:pPr>
      <w:r>
        <w:t xml:space="preserve">Kitchen </w:t>
      </w:r>
      <w:r w:rsidR="008D17F0">
        <w:t xml:space="preserve">&amp; Bathroom </w:t>
      </w:r>
      <w:r>
        <w:t>Replacement</w:t>
      </w:r>
    </w:p>
    <w:p w:rsidR="00E15CFC" w:rsidRDefault="00E15CFC" w:rsidP="00E15CFC">
      <w:pPr>
        <w:pStyle w:val="ListParagraph"/>
        <w:numPr>
          <w:ilvl w:val="0"/>
          <w:numId w:val="11"/>
        </w:numPr>
        <w:spacing w:after="0"/>
      </w:pPr>
      <w:r>
        <w:t>Gas Servicing, Repairs, Boiler Replacement</w:t>
      </w:r>
    </w:p>
    <w:p w:rsidR="00E15CFC" w:rsidRPr="00E15CFC" w:rsidRDefault="00E15CFC" w:rsidP="00E15CFC">
      <w:pPr>
        <w:pStyle w:val="ListParagraph"/>
        <w:numPr>
          <w:ilvl w:val="0"/>
          <w:numId w:val="11"/>
        </w:numPr>
        <w:spacing w:after="0"/>
      </w:pPr>
      <w:r>
        <w:t>EICR certification</w:t>
      </w:r>
    </w:p>
    <w:p w:rsidR="00923E58" w:rsidRDefault="00923E58" w:rsidP="00921107">
      <w:pPr>
        <w:spacing w:after="0"/>
        <w:rPr>
          <w:b/>
          <w:u w:val="single"/>
        </w:rPr>
      </w:pPr>
    </w:p>
    <w:p w:rsidR="00921107" w:rsidRDefault="00E15CFC" w:rsidP="00921107">
      <w:pPr>
        <w:spacing w:after="0"/>
        <w:rPr>
          <w:b/>
          <w:u w:val="single"/>
        </w:rPr>
      </w:pPr>
      <w:r>
        <w:rPr>
          <w:b/>
          <w:u w:val="single"/>
        </w:rPr>
        <w:t>Quantification and Contract Length</w:t>
      </w:r>
    </w:p>
    <w:p w:rsidR="00E15CFC" w:rsidRDefault="00E15CFC" w:rsidP="00FD3C8F">
      <w:pPr>
        <w:spacing w:after="0"/>
      </w:pPr>
      <w:r w:rsidRPr="00E15CFC">
        <w:t xml:space="preserve">Based on recent activity there are circa 700 </w:t>
      </w:r>
      <w:r w:rsidR="008D17F0">
        <w:t>Responsive and Void jobs per year and committed budgets allocated to planned and improvement works.</w:t>
      </w:r>
    </w:p>
    <w:p w:rsidR="008D17F0" w:rsidRPr="00E15CFC" w:rsidRDefault="008D17F0" w:rsidP="00FD3C8F">
      <w:pPr>
        <w:spacing w:after="0"/>
      </w:pPr>
      <w:r>
        <w:t>Historic spend is circa £140k pa.</w:t>
      </w:r>
    </w:p>
    <w:p w:rsidR="008D17F0" w:rsidRDefault="008D17F0" w:rsidP="000E6100">
      <w:pPr>
        <w:spacing w:after="0"/>
      </w:pPr>
    </w:p>
    <w:p w:rsidR="00285977" w:rsidRPr="00923E58" w:rsidRDefault="00923E58" w:rsidP="000E6100">
      <w:pPr>
        <w:spacing w:after="0"/>
      </w:pPr>
      <w:r w:rsidRPr="00923E58">
        <w:t>This work has previously been contracted ; the current agreement expires in March 2017. Previously only responsive repairs were included;</w:t>
      </w:r>
      <w:r>
        <w:t xml:space="preserve"> </w:t>
      </w:r>
      <w:r w:rsidRPr="00923E58">
        <w:t>the scope has now been extended to include the varieties of planned maintenance and improvements.</w:t>
      </w:r>
    </w:p>
    <w:p w:rsidR="00923E58" w:rsidRDefault="00923E58" w:rsidP="000E6100">
      <w:pPr>
        <w:spacing w:after="0"/>
      </w:pPr>
      <w:r>
        <w:t>The proposal is that we now award a new contract for 4 years with the option to extend for a further 2.</w:t>
      </w:r>
    </w:p>
    <w:p w:rsidR="00923E58" w:rsidRPr="00923E58" w:rsidRDefault="00923E58" w:rsidP="000E6100">
      <w:pPr>
        <w:spacing w:after="0"/>
      </w:pPr>
      <w:r>
        <w:t>The contract form will be JCT Measured Terms.</w:t>
      </w:r>
    </w:p>
    <w:p w:rsidR="00923E58" w:rsidRPr="00923E58" w:rsidRDefault="00923E58" w:rsidP="000E6100">
      <w:pPr>
        <w:spacing w:after="0"/>
      </w:pPr>
    </w:p>
    <w:p w:rsidR="00C57EEA" w:rsidRDefault="00C57EEA" w:rsidP="000E6100">
      <w:pPr>
        <w:spacing w:after="0"/>
      </w:pPr>
    </w:p>
    <w:p w:rsidR="008D17F0" w:rsidRPr="00923E58" w:rsidRDefault="008D17F0" w:rsidP="000E6100">
      <w:pPr>
        <w:spacing w:after="0"/>
      </w:pPr>
    </w:p>
    <w:p w:rsidR="00426862" w:rsidRPr="00285977" w:rsidRDefault="00426862" w:rsidP="000E6100">
      <w:pPr>
        <w:spacing w:after="0"/>
        <w:rPr>
          <w:b/>
          <w:u w:val="single"/>
        </w:rPr>
      </w:pPr>
      <w:r w:rsidRPr="00285977">
        <w:rPr>
          <w:b/>
          <w:u w:val="single"/>
        </w:rPr>
        <w:lastRenderedPageBreak/>
        <w:t>Tender Process</w:t>
      </w:r>
    </w:p>
    <w:p w:rsidR="00495641" w:rsidRPr="000E6100" w:rsidRDefault="000E6100" w:rsidP="000E6100">
      <w:pPr>
        <w:spacing w:after="0"/>
      </w:pPr>
      <w:r>
        <w:t>The process is being undertaken under the Public Contracts Regulations 2015 using the Restricted Procedures</w:t>
      </w:r>
    </w:p>
    <w:p w:rsidR="00495641" w:rsidRDefault="000E6100" w:rsidP="00921107">
      <w:pPr>
        <w:spacing w:after="120"/>
      </w:pPr>
      <w:r>
        <w:t>A notice ha</w:t>
      </w:r>
      <w:r w:rsidR="00285977">
        <w:t>s been made on the OJEU website and the opportunity is posted on the Governments Contract Finder platform</w:t>
      </w:r>
      <w:r w:rsidR="00921107">
        <w:t>.</w:t>
      </w:r>
    </w:p>
    <w:p w:rsidR="000E6100" w:rsidRDefault="00921107" w:rsidP="000E6100">
      <w:pPr>
        <w:spacing w:after="0"/>
      </w:pPr>
      <w:r>
        <w:t xml:space="preserve">The </w:t>
      </w:r>
      <w:r w:rsidR="000E6100">
        <w:t xml:space="preserve">Invitation to Tender will be based on PQQ submissions - it is proposed that </w:t>
      </w:r>
      <w:r w:rsidR="00AD4EE4">
        <w:t xml:space="preserve">up to </w:t>
      </w:r>
      <w:r w:rsidR="008D17F0">
        <w:t>8</w:t>
      </w:r>
      <w:r w:rsidR="000E6100">
        <w:t xml:space="preserve"> providers </w:t>
      </w:r>
      <w:r w:rsidR="00DA12AE">
        <w:t xml:space="preserve">with the most appropriate submissions </w:t>
      </w:r>
      <w:r w:rsidR="000E6100">
        <w:t>will be invited to tender.</w:t>
      </w:r>
    </w:p>
    <w:p w:rsidR="00FC5EB1" w:rsidRPr="000E6100" w:rsidRDefault="00FC5EB1" w:rsidP="000E6100">
      <w:pPr>
        <w:spacing w:after="0"/>
      </w:pPr>
    </w:p>
    <w:p w:rsidR="00495641" w:rsidRPr="008D17F0" w:rsidRDefault="000E6100" w:rsidP="00426862">
      <w:pPr>
        <w:spacing w:after="0"/>
        <w:rPr>
          <w:i/>
        </w:rPr>
      </w:pPr>
      <w:r w:rsidRPr="00C02F9D">
        <w:t xml:space="preserve">The tender evaluation will be made on a </w:t>
      </w:r>
      <w:r w:rsidR="008D17F0" w:rsidRPr="00C02F9D">
        <w:t>60</w:t>
      </w:r>
      <w:r w:rsidR="006F7954" w:rsidRPr="00C02F9D">
        <w:t>% price, 30% quality and 10% interview</w:t>
      </w:r>
      <w:r w:rsidR="00D138A8" w:rsidRPr="00C02F9D">
        <w:t>/</w:t>
      </w:r>
      <w:r w:rsidR="006F7954" w:rsidRPr="00C02F9D">
        <w:t>presentation.</w:t>
      </w:r>
    </w:p>
    <w:p w:rsidR="00DA12AE" w:rsidRPr="00DA12AE" w:rsidRDefault="00DA12AE" w:rsidP="00DA12AE">
      <w:pPr>
        <w:spacing w:after="0"/>
      </w:pPr>
      <w:r w:rsidRPr="00DA12AE">
        <w:t>The whole process will be managed through a web based portal.</w:t>
      </w:r>
    </w:p>
    <w:p w:rsidR="00DA12AE" w:rsidRDefault="00DA12AE" w:rsidP="00DA12AE">
      <w:pPr>
        <w:spacing w:after="0"/>
      </w:pPr>
      <w:r w:rsidRPr="00DA12AE">
        <w:t xml:space="preserve">You will need to register and access the appropriate public invitation. </w:t>
      </w:r>
    </w:p>
    <w:p w:rsidR="00DA12AE" w:rsidRDefault="00DA12AE" w:rsidP="00DA12AE">
      <w:pPr>
        <w:spacing w:after="0"/>
      </w:pPr>
      <w:r>
        <w:t>You can then access the PQQ documents – you will be required to accept the invitation prior to submission.</w:t>
      </w:r>
    </w:p>
    <w:p w:rsidR="00DA12AE" w:rsidRPr="00DA12AE" w:rsidRDefault="00DA12AE" w:rsidP="00DA12AE">
      <w:pPr>
        <w:spacing w:after="0"/>
      </w:pPr>
      <w:r>
        <w:t xml:space="preserve">The invitation will be open for a minimum of 30 days as required by PCR 2015 </w:t>
      </w:r>
    </w:p>
    <w:p w:rsidR="008831A6" w:rsidRPr="002B6134" w:rsidRDefault="008831A6">
      <w:pPr>
        <w:rPr>
          <w:b/>
          <w:u w:val="single"/>
        </w:rPr>
      </w:pPr>
    </w:p>
    <w:p w:rsidR="00EB14E7" w:rsidRPr="002B6134" w:rsidRDefault="00285977" w:rsidP="00C067E6">
      <w:pPr>
        <w:spacing w:after="0"/>
        <w:rPr>
          <w:b/>
          <w:u w:val="single"/>
        </w:rPr>
      </w:pPr>
      <w:r w:rsidRPr="002B6134">
        <w:rPr>
          <w:b/>
          <w:u w:val="single"/>
        </w:rPr>
        <w:t>Provider</w:t>
      </w:r>
      <w:r w:rsidR="005050C9" w:rsidRPr="002B6134">
        <w:rPr>
          <w:b/>
          <w:u w:val="single"/>
        </w:rPr>
        <w:t xml:space="preserve"> Specification</w:t>
      </w:r>
      <w:r w:rsidR="002B6134" w:rsidRPr="002B6134">
        <w:rPr>
          <w:b/>
          <w:u w:val="single"/>
        </w:rPr>
        <w:t>/Requirements</w:t>
      </w:r>
    </w:p>
    <w:p w:rsidR="002B6134" w:rsidRPr="00923E58" w:rsidRDefault="00923E58" w:rsidP="00C067E6">
      <w:pPr>
        <w:spacing w:after="0"/>
        <w:rPr>
          <w:b/>
          <w:u w:val="single"/>
        </w:rPr>
      </w:pPr>
      <w:r w:rsidRPr="00923E58">
        <w:rPr>
          <w:b/>
          <w:u w:val="single"/>
        </w:rPr>
        <w:t>PQQ</w:t>
      </w:r>
    </w:p>
    <w:p w:rsidR="00F96AB0" w:rsidRPr="00923E58" w:rsidRDefault="00923E58" w:rsidP="00DA12AE">
      <w:pPr>
        <w:spacing w:after="0"/>
      </w:pPr>
      <w:r w:rsidRPr="00923E58">
        <w:t xml:space="preserve">This will follow the current PCR requirements with </w:t>
      </w:r>
      <w:r w:rsidR="008D17F0">
        <w:t>specific capacity and capabilities.</w:t>
      </w:r>
    </w:p>
    <w:p w:rsidR="00923E58" w:rsidRDefault="00923E58" w:rsidP="00DA12AE">
      <w:pPr>
        <w:spacing w:after="0"/>
        <w:rPr>
          <w:b/>
        </w:rPr>
      </w:pPr>
    </w:p>
    <w:p w:rsidR="00923E58" w:rsidRPr="00923E58" w:rsidRDefault="00923E58" w:rsidP="00DA12AE">
      <w:pPr>
        <w:spacing w:after="0"/>
        <w:rPr>
          <w:b/>
          <w:u w:val="single"/>
        </w:rPr>
      </w:pPr>
      <w:r w:rsidRPr="00923E58">
        <w:rPr>
          <w:b/>
          <w:u w:val="single"/>
        </w:rPr>
        <w:t>Tender</w:t>
      </w:r>
    </w:p>
    <w:p w:rsidR="005050C9" w:rsidRPr="002B6134" w:rsidRDefault="002B6134" w:rsidP="00DA12AE">
      <w:pPr>
        <w:spacing w:after="0"/>
      </w:pPr>
      <w:r w:rsidRPr="002B6134">
        <w:t xml:space="preserve">The following will be assessed at the </w:t>
      </w:r>
      <w:r w:rsidR="00C067E6" w:rsidRPr="002B6134">
        <w:t xml:space="preserve">Tender Stage </w:t>
      </w:r>
    </w:p>
    <w:p w:rsidR="00EC7738" w:rsidRPr="002B6134" w:rsidRDefault="00C067E6" w:rsidP="00E63F43">
      <w:pPr>
        <w:pStyle w:val="ListParagraph"/>
        <w:numPr>
          <w:ilvl w:val="0"/>
          <w:numId w:val="8"/>
        </w:numPr>
        <w:spacing w:after="0"/>
      </w:pPr>
      <w:r w:rsidRPr="002B6134">
        <w:t>Pricing</w:t>
      </w:r>
      <w:r w:rsidR="007E5FA8" w:rsidRPr="002B6134">
        <w:t xml:space="preserve"> </w:t>
      </w:r>
      <w:r w:rsidR="00C02F9D">
        <w:t xml:space="preserve"> - (responsive repairs will be a variation to the NHF SOR V6.1)</w:t>
      </w:r>
    </w:p>
    <w:p w:rsidR="005050C9" w:rsidRPr="002B6134" w:rsidRDefault="007E5FA8" w:rsidP="00E63F43">
      <w:pPr>
        <w:pStyle w:val="ListParagraph"/>
        <w:numPr>
          <w:ilvl w:val="0"/>
          <w:numId w:val="8"/>
        </w:numPr>
        <w:spacing w:after="0"/>
      </w:pPr>
      <w:r w:rsidRPr="002B6134">
        <w:t xml:space="preserve">To further explore </w:t>
      </w:r>
      <w:r w:rsidR="002B6134">
        <w:t xml:space="preserve">capability, </w:t>
      </w:r>
      <w:r w:rsidR="00921107" w:rsidRPr="002B6134">
        <w:t>c</w:t>
      </w:r>
      <w:r w:rsidRPr="002B6134">
        <w:t xml:space="preserve">apacity and delivery </w:t>
      </w:r>
    </w:p>
    <w:p w:rsidR="00C067E6" w:rsidRDefault="008D17F0" w:rsidP="00E63F43">
      <w:pPr>
        <w:pStyle w:val="ListParagraph"/>
        <w:numPr>
          <w:ilvl w:val="0"/>
          <w:numId w:val="8"/>
        </w:numPr>
        <w:spacing w:after="0"/>
      </w:pPr>
      <w:r>
        <w:t>Working in Resident Properties</w:t>
      </w:r>
    </w:p>
    <w:p w:rsidR="008D17F0" w:rsidRPr="002B6134" w:rsidRDefault="008D17F0" w:rsidP="00E63F43">
      <w:pPr>
        <w:pStyle w:val="ListParagraph"/>
        <w:numPr>
          <w:ilvl w:val="0"/>
          <w:numId w:val="8"/>
        </w:numPr>
        <w:spacing w:after="0"/>
      </w:pPr>
      <w:r>
        <w:t>Performance Management</w:t>
      </w:r>
    </w:p>
    <w:p w:rsidR="007958BB" w:rsidRPr="002B6134" w:rsidRDefault="007958BB" w:rsidP="00DA12AE">
      <w:pPr>
        <w:spacing w:after="0"/>
        <w:rPr>
          <w:b/>
        </w:rPr>
      </w:pPr>
    </w:p>
    <w:p w:rsidR="00FD093B" w:rsidRDefault="00C74A33" w:rsidP="00381B5C">
      <w:r w:rsidRPr="002B6134">
        <w:t>Further Information may be obtained from</w:t>
      </w:r>
    </w:p>
    <w:p w:rsidR="00381B5C" w:rsidRDefault="00C02F9D" w:rsidP="00381B5C">
      <w:hyperlink r:id="rId9" w:history="1">
        <w:r w:rsidR="00C74A33" w:rsidRPr="00F534E0">
          <w:rPr>
            <w:rStyle w:val="Hyperlink"/>
          </w:rPr>
          <w:t>Bob.crabb@emhgroup.org.uk</w:t>
        </w:r>
      </w:hyperlink>
    </w:p>
    <w:sectPr w:rsidR="00381B5C" w:rsidSect="00495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49D5"/>
    <w:multiLevelType w:val="hybridMultilevel"/>
    <w:tmpl w:val="54800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E36DE3"/>
    <w:multiLevelType w:val="hybridMultilevel"/>
    <w:tmpl w:val="4B06A548"/>
    <w:lvl w:ilvl="0" w:tplc="7228EB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EB4FAE"/>
    <w:multiLevelType w:val="hybridMultilevel"/>
    <w:tmpl w:val="5B46164C"/>
    <w:lvl w:ilvl="0" w:tplc="AB927E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B4714F"/>
    <w:multiLevelType w:val="hybridMultilevel"/>
    <w:tmpl w:val="73806238"/>
    <w:lvl w:ilvl="0" w:tplc="47D04C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BB099A"/>
    <w:multiLevelType w:val="hybridMultilevel"/>
    <w:tmpl w:val="CFD60028"/>
    <w:lvl w:ilvl="0" w:tplc="8416B2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11002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56177C73"/>
    <w:multiLevelType w:val="hybridMultilevel"/>
    <w:tmpl w:val="28382EA8"/>
    <w:lvl w:ilvl="0" w:tplc="21B43C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A4101B"/>
    <w:multiLevelType w:val="hybridMultilevel"/>
    <w:tmpl w:val="2DF8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81203E"/>
    <w:multiLevelType w:val="hybridMultilevel"/>
    <w:tmpl w:val="096CB558"/>
    <w:lvl w:ilvl="0" w:tplc="C70CB6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076531"/>
    <w:multiLevelType w:val="hybridMultilevel"/>
    <w:tmpl w:val="10061552"/>
    <w:lvl w:ilvl="0" w:tplc="1FBE13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EE4381"/>
    <w:multiLevelType w:val="hybridMultilevel"/>
    <w:tmpl w:val="BD8C3018"/>
    <w:lvl w:ilvl="0" w:tplc="7228EB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8"/>
  </w:num>
  <w:num w:numId="5">
    <w:abstractNumId w:val="6"/>
  </w:num>
  <w:num w:numId="6">
    <w:abstractNumId w:val="5"/>
  </w:num>
  <w:num w:numId="7">
    <w:abstractNumId w:val="9"/>
  </w:num>
  <w:num w:numId="8">
    <w:abstractNumId w:val="10"/>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CB"/>
    <w:rsid w:val="00002FC3"/>
    <w:rsid w:val="00047598"/>
    <w:rsid w:val="00070CFE"/>
    <w:rsid w:val="000C4290"/>
    <w:rsid w:val="000C47DF"/>
    <w:rsid w:val="000E6100"/>
    <w:rsid w:val="00152CA6"/>
    <w:rsid w:val="00163059"/>
    <w:rsid w:val="00170D59"/>
    <w:rsid w:val="001773FE"/>
    <w:rsid w:val="00181894"/>
    <w:rsid w:val="002115DB"/>
    <w:rsid w:val="00213502"/>
    <w:rsid w:val="0023759B"/>
    <w:rsid w:val="00282C7B"/>
    <w:rsid w:val="00285977"/>
    <w:rsid w:val="00293390"/>
    <w:rsid w:val="002B6134"/>
    <w:rsid w:val="002B731F"/>
    <w:rsid w:val="002C2E87"/>
    <w:rsid w:val="002D62DD"/>
    <w:rsid w:val="003111BC"/>
    <w:rsid w:val="00323154"/>
    <w:rsid w:val="00355D21"/>
    <w:rsid w:val="00366685"/>
    <w:rsid w:val="00373B1F"/>
    <w:rsid w:val="00381B5C"/>
    <w:rsid w:val="003B1204"/>
    <w:rsid w:val="003F1985"/>
    <w:rsid w:val="00426862"/>
    <w:rsid w:val="00495641"/>
    <w:rsid w:val="00502DF5"/>
    <w:rsid w:val="005050C9"/>
    <w:rsid w:val="005513C3"/>
    <w:rsid w:val="005D059E"/>
    <w:rsid w:val="005E4C8D"/>
    <w:rsid w:val="0060037D"/>
    <w:rsid w:val="006074B2"/>
    <w:rsid w:val="006814C6"/>
    <w:rsid w:val="006835AB"/>
    <w:rsid w:val="006A1A83"/>
    <w:rsid w:val="006B31B4"/>
    <w:rsid w:val="006F7954"/>
    <w:rsid w:val="007012BA"/>
    <w:rsid w:val="007958BB"/>
    <w:rsid w:val="007C318B"/>
    <w:rsid w:val="007C5DF1"/>
    <w:rsid w:val="007D0975"/>
    <w:rsid w:val="007D5C20"/>
    <w:rsid w:val="007E0347"/>
    <w:rsid w:val="007E5FA8"/>
    <w:rsid w:val="007F3D0D"/>
    <w:rsid w:val="008014DF"/>
    <w:rsid w:val="00827AB0"/>
    <w:rsid w:val="00872757"/>
    <w:rsid w:val="008831A6"/>
    <w:rsid w:val="008D17F0"/>
    <w:rsid w:val="00921107"/>
    <w:rsid w:val="00923E58"/>
    <w:rsid w:val="00980654"/>
    <w:rsid w:val="00996BDA"/>
    <w:rsid w:val="009A67CD"/>
    <w:rsid w:val="009B22B5"/>
    <w:rsid w:val="00A33A10"/>
    <w:rsid w:val="00A912E7"/>
    <w:rsid w:val="00AA7ACE"/>
    <w:rsid w:val="00AD4AB3"/>
    <w:rsid w:val="00AD4EE4"/>
    <w:rsid w:val="00AF597D"/>
    <w:rsid w:val="00B82017"/>
    <w:rsid w:val="00BD3CCF"/>
    <w:rsid w:val="00C02F9D"/>
    <w:rsid w:val="00C067E6"/>
    <w:rsid w:val="00C57EEA"/>
    <w:rsid w:val="00C6546B"/>
    <w:rsid w:val="00C71ECB"/>
    <w:rsid w:val="00C74A33"/>
    <w:rsid w:val="00C95DA4"/>
    <w:rsid w:val="00CC0A3C"/>
    <w:rsid w:val="00CD28D6"/>
    <w:rsid w:val="00CD5473"/>
    <w:rsid w:val="00CF3B3C"/>
    <w:rsid w:val="00D025D1"/>
    <w:rsid w:val="00D0592D"/>
    <w:rsid w:val="00D138A8"/>
    <w:rsid w:val="00DA12AE"/>
    <w:rsid w:val="00E15CFC"/>
    <w:rsid w:val="00E63F43"/>
    <w:rsid w:val="00E84390"/>
    <w:rsid w:val="00E91DD3"/>
    <w:rsid w:val="00EB14E7"/>
    <w:rsid w:val="00EC7738"/>
    <w:rsid w:val="00F04988"/>
    <w:rsid w:val="00F25C7A"/>
    <w:rsid w:val="00F826E3"/>
    <w:rsid w:val="00F96AB0"/>
    <w:rsid w:val="00F97AC7"/>
    <w:rsid w:val="00FA2A33"/>
    <w:rsid w:val="00FB0EB2"/>
    <w:rsid w:val="00FB20B4"/>
    <w:rsid w:val="00FC5EB1"/>
    <w:rsid w:val="00FD093B"/>
    <w:rsid w:val="00FD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 w:type="character" w:styleId="FollowedHyperlink">
    <w:name w:val="FollowedHyperlink"/>
    <w:basedOn w:val="DefaultParagraphFont"/>
    <w:uiPriority w:val="99"/>
    <w:semiHidden/>
    <w:unhideWhenUsed/>
    <w:rsid w:val="00923E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 w:type="character" w:styleId="FollowedHyperlink">
    <w:name w:val="FollowedHyperlink"/>
    <w:basedOn w:val="DefaultParagraphFont"/>
    <w:uiPriority w:val="99"/>
    <w:semiHidden/>
    <w:unhideWhenUsed/>
    <w:rsid w:val="00923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kdistrictrha.org.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ob.crabb@emh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8D278-B4AF-4D1D-A0DD-699753D2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1F3A7539</Template>
  <TotalTime>384</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Pritti Allen</dc:creator>
  <cp:lastModifiedBy>Bob Crabb</cp:lastModifiedBy>
  <cp:revision>26</cp:revision>
  <cp:lastPrinted>2016-09-29T15:24:00Z</cp:lastPrinted>
  <dcterms:created xsi:type="dcterms:W3CDTF">2016-06-16T14:43:00Z</dcterms:created>
  <dcterms:modified xsi:type="dcterms:W3CDTF">2016-12-14T08:49:00Z</dcterms:modified>
</cp:coreProperties>
</file>