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AF02E5" w:rsidRDefault="00337BC4" w:rsidP="00AF02E5">
            <w:pPr>
              <w:pStyle w:val="Header"/>
              <w:tabs>
                <w:tab w:val="left" w:pos="0"/>
              </w:tabs>
              <w:spacing w:before="120" w:after="120"/>
              <w:jc w:val="both"/>
            </w:pPr>
            <w:r>
              <w:rPr>
                <w:rFonts w:asciiTheme="minorHAnsi" w:hAnsiTheme="minorHAnsi" w:cstheme="minorHAnsi"/>
                <w:b/>
                <w:iCs/>
                <w:color w:val="FFFFFF" w:themeColor="background1"/>
                <w:sz w:val="24"/>
              </w:rPr>
              <w:t xml:space="preserve">Title: </w:t>
            </w:r>
            <w:r w:rsidR="00AF4C0F" w:rsidRPr="002C62C2">
              <w:rPr>
                <w:rFonts w:asciiTheme="minorHAnsi" w:hAnsiTheme="minorHAnsi" w:cstheme="minorHAnsi"/>
                <w:b/>
                <w:iCs/>
                <w:color w:val="FFFFFF" w:themeColor="background1"/>
                <w:sz w:val="24"/>
              </w:rPr>
              <w:t>Provision of</w:t>
            </w:r>
            <w:r w:rsidR="00A728C4">
              <w:rPr>
                <w:rFonts w:asciiTheme="minorHAnsi" w:hAnsiTheme="minorHAnsi" w:cstheme="minorHAnsi"/>
                <w:b/>
                <w:iCs/>
                <w:color w:val="FFFFFF" w:themeColor="background1"/>
                <w:sz w:val="24"/>
              </w:rPr>
              <w:t xml:space="preserve"> Support to Generic Design Assessment</w:t>
            </w:r>
            <w:r w:rsidR="00F30CFC">
              <w:rPr>
                <w:rFonts w:asciiTheme="minorHAnsi" w:hAnsiTheme="minorHAnsi" w:cstheme="minorHAnsi"/>
                <w:b/>
                <w:iCs/>
                <w:color w:val="FFFFFF" w:themeColor="background1"/>
                <w:sz w:val="24"/>
              </w:rPr>
              <w:t xml:space="preserve"> (GDA)</w:t>
            </w:r>
            <w:r w:rsidR="00A728C4">
              <w:rPr>
                <w:rFonts w:asciiTheme="minorHAnsi" w:hAnsiTheme="minorHAnsi" w:cstheme="minorHAnsi"/>
                <w:b/>
                <w:iCs/>
                <w:color w:val="FFFFFF" w:themeColor="background1"/>
                <w:sz w:val="24"/>
              </w:rPr>
              <w:t xml:space="preserve"> for the UK HPR1000 on OPEX/OEF relating to design for decommissioning</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AF4C0F" w:rsidRPr="002C62C2" w:rsidRDefault="00A728C4" w:rsidP="00701951">
            <w:pPr>
              <w:pStyle w:val="TSNumberedParagraph11"/>
              <w:ind w:left="698" w:hanging="698"/>
              <w:jc w:val="both"/>
              <w:rPr>
                <w:rFonts w:asciiTheme="minorHAnsi" w:hAnsiTheme="minorHAnsi" w:cstheme="minorHAnsi"/>
              </w:rPr>
            </w:pPr>
            <w:r w:rsidRPr="00A728C4">
              <w:rPr>
                <w:rFonts w:asciiTheme="minorHAnsi" w:hAnsiTheme="minorHAnsi" w:cstheme="minorHAnsi"/>
              </w:rPr>
              <w:t>General Nuclear System Ltd (GNS) has been established to act on behalf of the three joint requesting parties (</w:t>
            </w:r>
            <w:r w:rsidR="00A87DAB">
              <w:rPr>
                <w:rFonts w:asciiTheme="minorHAnsi" w:hAnsiTheme="minorHAnsi" w:cstheme="minorHAnsi"/>
              </w:rPr>
              <w:t xml:space="preserve">RPs - </w:t>
            </w:r>
            <w:r w:rsidRPr="00A728C4">
              <w:rPr>
                <w:rFonts w:asciiTheme="minorHAnsi" w:hAnsiTheme="minorHAnsi" w:cstheme="minorHAnsi"/>
              </w:rPr>
              <w:t xml:space="preserve">China General Nuclear Power Corporation (CGN), </w:t>
            </w:r>
            <w:proofErr w:type="spellStart"/>
            <w:r w:rsidRPr="00A728C4">
              <w:rPr>
                <w:rFonts w:asciiTheme="minorHAnsi" w:hAnsiTheme="minorHAnsi" w:cstheme="minorHAnsi"/>
              </w:rPr>
              <w:t>Électricité</w:t>
            </w:r>
            <w:proofErr w:type="spellEnd"/>
            <w:r w:rsidRPr="00A728C4">
              <w:rPr>
                <w:rFonts w:asciiTheme="minorHAnsi" w:hAnsiTheme="minorHAnsi" w:cstheme="minorHAnsi"/>
              </w:rPr>
              <w:t xml:space="preserve"> de France (EDF) and General Nuclear International (GNI)) to implement the G</w:t>
            </w:r>
            <w:r>
              <w:rPr>
                <w:rFonts w:asciiTheme="minorHAnsi" w:hAnsiTheme="minorHAnsi" w:cstheme="minorHAnsi"/>
              </w:rPr>
              <w:t xml:space="preserve">eneric </w:t>
            </w:r>
            <w:r w:rsidRPr="00A728C4">
              <w:rPr>
                <w:rFonts w:asciiTheme="minorHAnsi" w:hAnsiTheme="minorHAnsi" w:cstheme="minorHAnsi"/>
              </w:rPr>
              <w:t>D</w:t>
            </w:r>
            <w:r>
              <w:rPr>
                <w:rFonts w:asciiTheme="minorHAnsi" w:hAnsiTheme="minorHAnsi" w:cstheme="minorHAnsi"/>
              </w:rPr>
              <w:t xml:space="preserve">esign </w:t>
            </w:r>
            <w:r w:rsidRPr="00A728C4">
              <w:rPr>
                <w:rFonts w:asciiTheme="minorHAnsi" w:hAnsiTheme="minorHAnsi" w:cstheme="minorHAnsi"/>
              </w:rPr>
              <w:t>A</w:t>
            </w:r>
            <w:r>
              <w:rPr>
                <w:rFonts w:asciiTheme="minorHAnsi" w:hAnsiTheme="minorHAnsi" w:cstheme="minorHAnsi"/>
              </w:rPr>
              <w:t>ssessment (GDA)</w:t>
            </w:r>
            <w:r w:rsidRPr="00A728C4">
              <w:rPr>
                <w:rFonts w:asciiTheme="minorHAnsi" w:hAnsiTheme="minorHAnsi" w:cstheme="minorHAnsi"/>
              </w:rPr>
              <w:t xml:space="preserve"> of the UK HPR1000 reactor. </w:t>
            </w:r>
            <w:r>
              <w:rPr>
                <w:rFonts w:asciiTheme="minorHAnsi" w:hAnsiTheme="minorHAnsi" w:cstheme="minorHAnsi"/>
              </w:rPr>
              <w:t>ONR is undertaking a phased</w:t>
            </w:r>
            <w:r w:rsidR="009C4F53">
              <w:rPr>
                <w:rFonts w:asciiTheme="minorHAnsi" w:hAnsiTheme="minorHAnsi" w:cstheme="minorHAnsi"/>
              </w:rPr>
              <w:t xml:space="preserve"> </w:t>
            </w:r>
            <w:r>
              <w:rPr>
                <w:rFonts w:asciiTheme="minorHAnsi" w:hAnsiTheme="minorHAnsi" w:cstheme="minorHAnsi"/>
              </w:rPr>
              <w:t>GDA</w:t>
            </w:r>
            <w:r w:rsidR="009C4F53">
              <w:rPr>
                <w:rFonts w:asciiTheme="minorHAnsi" w:hAnsiTheme="minorHAnsi" w:cstheme="minorHAnsi"/>
              </w:rPr>
              <w:t xml:space="preserve"> </w:t>
            </w:r>
            <w:r>
              <w:rPr>
                <w:rFonts w:asciiTheme="minorHAnsi" w:hAnsiTheme="minorHAnsi" w:cstheme="minorHAnsi"/>
              </w:rPr>
              <w:t>of the design of the HPR1000.  GNS</w:t>
            </w:r>
            <w:r w:rsidR="00AF24D7">
              <w:rPr>
                <w:rFonts w:asciiTheme="minorHAnsi" w:hAnsiTheme="minorHAnsi" w:cstheme="minorHAnsi"/>
              </w:rPr>
              <w:t>’s</w:t>
            </w:r>
            <w:r>
              <w:rPr>
                <w:rFonts w:asciiTheme="minorHAnsi" w:hAnsiTheme="minorHAnsi" w:cstheme="minorHAnsi"/>
              </w:rPr>
              <w:t xml:space="preserve"> submissions to ONR are similarly phased, aimed at providing increasing detail and evidence as the design is finalised and the UK’s regulatory requirements are better understood.</w:t>
            </w:r>
          </w:p>
          <w:p w:rsidR="002C62C2" w:rsidRPr="00F30CFC" w:rsidRDefault="00A728C4" w:rsidP="00701951">
            <w:pPr>
              <w:pStyle w:val="TSNumberedParagraph11"/>
              <w:ind w:left="698" w:hanging="698"/>
              <w:jc w:val="both"/>
              <w:rPr>
                <w:rFonts w:asciiTheme="minorHAnsi" w:hAnsiTheme="minorHAnsi"/>
              </w:rPr>
            </w:pPr>
            <w:r w:rsidRPr="00F30CFC">
              <w:rPr>
                <w:rFonts w:asciiTheme="minorHAnsi" w:hAnsiTheme="minorHAnsi"/>
              </w:rPr>
              <w:t>Step 3 of the GDA of the UK HPR1000 commenced in November 2018</w:t>
            </w:r>
            <w:r w:rsidR="00A77623" w:rsidRPr="00F30CFC">
              <w:rPr>
                <w:rFonts w:asciiTheme="minorHAnsi" w:hAnsiTheme="minorHAnsi"/>
              </w:rPr>
              <w:t>.  Following assessment of the Preliminary Safety Report</w:t>
            </w:r>
            <w:r w:rsidR="009C4F53" w:rsidRPr="00F30CFC">
              <w:rPr>
                <w:rFonts w:asciiTheme="minorHAnsi" w:hAnsiTheme="minorHAnsi"/>
              </w:rPr>
              <w:t xml:space="preserve"> (PSR)</w:t>
            </w:r>
            <w:r w:rsidR="00A77623" w:rsidRPr="00F30CFC">
              <w:rPr>
                <w:rFonts w:asciiTheme="minorHAnsi" w:hAnsiTheme="minorHAnsi"/>
              </w:rPr>
              <w:t xml:space="preserve"> in Step 2 and review of the documents planned to be submitted to ONR during Step 3, ONR has identified a need for Technical Support in the area of </w:t>
            </w:r>
            <w:r w:rsidR="00986E19" w:rsidRPr="00F30CFC">
              <w:rPr>
                <w:rFonts w:asciiTheme="minorHAnsi" w:hAnsiTheme="minorHAnsi"/>
              </w:rPr>
              <w:t>good practices and Operating Experience and Feedback (OEF)</w:t>
            </w:r>
            <w:r w:rsidR="00A77623" w:rsidRPr="00F30CFC">
              <w:rPr>
                <w:rFonts w:asciiTheme="minorHAnsi" w:hAnsiTheme="minorHAnsi"/>
              </w:rPr>
              <w:t xml:space="preserve"> relating to design for decommissioning.</w:t>
            </w:r>
            <w:r w:rsidR="009C4F53" w:rsidRPr="00F30CFC">
              <w:rPr>
                <w:rFonts w:asciiTheme="minorHAnsi" w:hAnsiTheme="minorHAnsi"/>
              </w:rPr>
              <w:t xml:space="preserve"> ONR’s Step 2 assessment report covering Radioactive Waste Management, Decommissioning and Spent Fuel Management is publically available on ONR’s website</w:t>
            </w:r>
            <w:r w:rsidR="00320400" w:rsidRPr="00F30CFC">
              <w:rPr>
                <w:rFonts w:asciiTheme="minorHAnsi" w:hAnsiTheme="minorHAnsi"/>
              </w:rPr>
              <w:t xml:space="preserve"> </w:t>
            </w:r>
            <w:r w:rsidR="00320400">
              <w:rPr>
                <w:rFonts w:asciiTheme="minorHAnsi" w:hAnsiTheme="minorHAnsi"/>
              </w:rPr>
              <w:t>(</w:t>
            </w:r>
            <w:hyperlink r:id="rId10" w:history="1">
              <w:r w:rsidR="00C911A3" w:rsidRPr="00FF3CB6">
                <w:rPr>
                  <w:rStyle w:val="Hyperlink"/>
                  <w:rFonts w:asciiTheme="minorHAnsi" w:hAnsiTheme="minorHAnsi" w:cstheme="minorHAnsi"/>
                </w:rPr>
                <w:t>http://www.onr.org.uk/new-reactors/uk-hpr1000/reports/ukhpr1000-step2-ar-18-016.pdf</w:t>
              </w:r>
            </w:hyperlink>
            <w:r w:rsidR="00C911A3">
              <w:rPr>
                <w:rFonts w:asciiTheme="minorHAnsi" w:hAnsiTheme="minorHAnsi" w:cstheme="minorHAnsi"/>
                <w:u w:val="single"/>
              </w:rPr>
              <w:t xml:space="preserve"> </w:t>
            </w:r>
            <w:r w:rsidR="00320400">
              <w:rPr>
                <w:rFonts w:asciiTheme="minorHAnsi" w:hAnsiTheme="minorHAnsi" w:cstheme="minorHAnsi"/>
              </w:rPr>
              <w:t>)</w:t>
            </w:r>
            <w:r w:rsidR="009C4F53" w:rsidRPr="00F30CFC">
              <w:rPr>
                <w:rFonts w:asciiTheme="minorHAnsi" w:hAnsiTheme="minorHAnsi"/>
              </w:rPr>
              <w:t>.</w:t>
            </w:r>
          </w:p>
          <w:p w:rsidR="00B25DBA" w:rsidRPr="00B25DBA" w:rsidRDefault="00B25DBA" w:rsidP="00701951">
            <w:pPr>
              <w:pStyle w:val="TSNumberedParagraph11"/>
              <w:tabs>
                <w:tab w:val="clear" w:pos="-31680"/>
                <w:tab w:val="left" w:pos="0"/>
              </w:tabs>
              <w:overflowPunct w:val="0"/>
              <w:autoSpaceDE w:val="0"/>
              <w:autoSpaceDN w:val="0"/>
              <w:adjustRightInd w:val="0"/>
              <w:ind w:left="698" w:hanging="698"/>
              <w:jc w:val="both"/>
              <w:textAlignment w:val="baseline"/>
              <w:rPr>
                <w:rFonts w:asciiTheme="minorHAnsi" w:hAnsiTheme="minorHAnsi" w:cstheme="minorHAnsi"/>
              </w:rPr>
            </w:pPr>
            <w:r>
              <w:rPr>
                <w:rFonts w:asciiTheme="minorHAnsi" w:hAnsiTheme="minorHAnsi" w:cstheme="minorHAnsi"/>
              </w:rPr>
              <w:t>Design for decommissioning is expected to address issues such as minimisation of activation and contamination physical controls to prevent the spread of contamination, features to facilitate decommissioning and reduce radiation do</w:t>
            </w:r>
            <w:r w:rsidR="00202843">
              <w:rPr>
                <w:rFonts w:asciiTheme="minorHAnsi" w:hAnsiTheme="minorHAnsi" w:cstheme="minorHAnsi"/>
              </w:rPr>
              <w:t>ses</w:t>
            </w:r>
            <w:r>
              <w:rPr>
                <w:rFonts w:asciiTheme="minorHAnsi" w:hAnsiTheme="minorHAnsi" w:cstheme="minorHAnsi"/>
              </w:rPr>
              <w:t xml:space="preserve"> to decommissioning workers</w:t>
            </w:r>
            <w:r w:rsidR="00202843">
              <w:rPr>
                <w:rFonts w:asciiTheme="minorHAnsi" w:hAnsiTheme="minorHAnsi" w:cstheme="minorHAnsi"/>
              </w:rPr>
              <w:t xml:space="preserve"> so far is reasonably practicable (SFAIRP)</w:t>
            </w:r>
            <w:r>
              <w:rPr>
                <w:rFonts w:asciiTheme="minorHAnsi" w:hAnsiTheme="minorHAnsi" w:cstheme="minorHAnsi"/>
              </w:rPr>
              <w:t xml:space="preserve"> in the future</w:t>
            </w:r>
            <w:r w:rsidR="00202843">
              <w:rPr>
                <w:rFonts w:asciiTheme="minorHAnsi" w:hAnsiTheme="minorHAnsi" w:cstheme="minorHAnsi"/>
              </w:rPr>
              <w:t>,</w:t>
            </w:r>
            <w:r>
              <w:rPr>
                <w:rFonts w:asciiTheme="minorHAnsi" w:hAnsiTheme="minorHAnsi" w:cstheme="minorHAnsi"/>
              </w:rPr>
              <w:t xml:space="preserve"> and measures to minimise the generation of radioactive waste</w:t>
            </w:r>
            <w:r w:rsidR="00986E19">
              <w:rPr>
                <w:rFonts w:asciiTheme="minorHAnsi" w:hAnsiTheme="minorHAnsi" w:cstheme="minorHAnsi"/>
              </w:rPr>
              <w:t>.</w:t>
            </w:r>
          </w:p>
          <w:p w:rsidR="00A77623" w:rsidRDefault="00A77623" w:rsidP="00701951">
            <w:pPr>
              <w:pStyle w:val="TSNumberedParagraph11"/>
              <w:tabs>
                <w:tab w:val="left" w:pos="0"/>
              </w:tabs>
              <w:overflowPunct w:val="0"/>
              <w:autoSpaceDE w:val="0"/>
              <w:autoSpaceDN w:val="0"/>
              <w:adjustRightInd w:val="0"/>
              <w:ind w:left="698" w:hanging="698"/>
              <w:jc w:val="both"/>
              <w:textAlignment w:val="baseline"/>
              <w:rPr>
                <w:rFonts w:asciiTheme="minorHAnsi" w:hAnsiTheme="minorHAnsi" w:cstheme="minorHAnsi"/>
              </w:rPr>
            </w:pPr>
            <w:r>
              <w:rPr>
                <w:rFonts w:asciiTheme="minorHAnsi" w:hAnsiTheme="minorHAnsi" w:cstheme="minorHAnsi"/>
              </w:rPr>
              <w:t xml:space="preserve">The UK HPR1000 is a pressurised water reactor (PWR).  Whilst there is </w:t>
            </w:r>
            <w:r w:rsidR="00B25DBA">
              <w:rPr>
                <w:rFonts w:asciiTheme="minorHAnsi" w:hAnsiTheme="minorHAnsi" w:cstheme="minorHAnsi"/>
              </w:rPr>
              <w:t xml:space="preserve">increasing </w:t>
            </w:r>
            <w:r>
              <w:rPr>
                <w:rFonts w:asciiTheme="minorHAnsi" w:hAnsiTheme="minorHAnsi" w:cstheme="minorHAnsi"/>
              </w:rPr>
              <w:t xml:space="preserve">experience of the decommissioning </w:t>
            </w:r>
            <w:r w:rsidR="00AF24D7">
              <w:rPr>
                <w:rFonts w:asciiTheme="minorHAnsi" w:hAnsiTheme="minorHAnsi" w:cstheme="minorHAnsi"/>
              </w:rPr>
              <w:t>of PWRs</w:t>
            </w:r>
            <w:r>
              <w:rPr>
                <w:rFonts w:asciiTheme="minorHAnsi" w:hAnsiTheme="minorHAnsi" w:cstheme="minorHAnsi"/>
              </w:rPr>
              <w:t xml:space="preserve"> worldwide, the</w:t>
            </w:r>
            <w:r w:rsidR="00AF24D7">
              <w:rPr>
                <w:rFonts w:asciiTheme="minorHAnsi" w:hAnsiTheme="minorHAnsi" w:cstheme="minorHAnsi"/>
              </w:rPr>
              <w:t xml:space="preserve">re is no </w:t>
            </w:r>
            <w:r w:rsidR="00672F12">
              <w:rPr>
                <w:rFonts w:asciiTheme="minorHAnsi" w:hAnsiTheme="minorHAnsi" w:cstheme="minorHAnsi"/>
              </w:rPr>
              <w:t xml:space="preserve">specific </w:t>
            </w:r>
            <w:r w:rsidR="00AF24D7">
              <w:rPr>
                <w:rFonts w:asciiTheme="minorHAnsi" w:hAnsiTheme="minorHAnsi" w:cstheme="minorHAnsi"/>
              </w:rPr>
              <w:t>experience</w:t>
            </w:r>
            <w:r w:rsidR="00672F12">
              <w:rPr>
                <w:rFonts w:asciiTheme="minorHAnsi" w:hAnsiTheme="minorHAnsi" w:cstheme="minorHAnsi"/>
              </w:rPr>
              <w:t xml:space="preserve"> of decommissioning of civil PWRs</w:t>
            </w:r>
            <w:r w:rsidR="00AF24D7">
              <w:rPr>
                <w:rFonts w:asciiTheme="minorHAnsi" w:hAnsiTheme="minorHAnsi" w:cstheme="minorHAnsi"/>
              </w:rPr>
              <w:t xml:space="preserve"> in China </w:t>
            </w:r>
            <w:r w:rsidR="00C82D4C">
              <w:rPr>
                <w:rFonts w:asciiTheme="minorHAnsi" w:hAnsiTheme="minorHAnsi" w:cstheme="minorHAnsi"/>
              </w:rPr>
              <w:t>or the</w:t>
            </w:r>
            <w:r>
              <w:rPr>
                <w:rFonts w:asciiTheme="minorHAnsi" w:hAnsiTheme="minorHAnsi" w:cstheme="minorHAnsi"/>
              </w:rPr>
              <w:t xml:space="preserve"> UK</w:t>
            </w:r>
            <w:r w:rsidR="00672F12">
              <w:rPr>
                <w:rFonts w:asciiTheme="minorHAnsi" w:hAnsiTheme="minorHAnsi" w:cstheme="minorHAnsi"/>
              </w:rPr>
              <w:t xml:space="preserve">.  ONR is </w:t>
            </w:r>
            <w:r w:rsidR="00AF24D7">
              <w:rPr>
                <w:rFonts w:asciiTheme="minorHAnsi" w:hAnsiTheme="minorHAnsi" w:cstheme="minorHAnsi"/>
              </w:rPr>
              <w:t xml:space="preserve">seeking information to be able to satisfy itself that the key Safety Assessment Principle </w:t>
            </w:r>
            <w:r w:rsidR="00202843">
              <w:rPr>
                <w:rFonts w:asciiTheme="minorHAnsi" w:hAnsiTheme="minorHAnsi" w:cstheme="minorHAnsi"/>
              </w:rPr>
              <w:t xml:space="preserve">(SAP), </w:t>
            </w:r>
            <w:r w:rsidR="00AF24D7">
              <w:rPr>
                <w:rFonts w:asciiTheme="minorHAnsi" w:hAnsiTheme="minorHAnsi" w:cstheme="minorHAnsi"/>
              </w:rPr>
              <w:t xml:space="preserve">DC.1, namely that facilities should be designed and operated so that they can be </w:t>
            </w:r>
            <w:r w:rsidR="00580820">
              <w:rPr>
                <w:rFonts w:asciiTheme="minorHAnsi" w:hAnsiTheme="minorHAnsi" w:cstheme="minorHAnsi"/>
              </w:rPr>
              <w:t>safely decommissioned</w:t>
            </w:r>
            <w:r w:rsidR="00C32D6D">
              <w:rPr>
                <w:rFonts w:asciiTheme="minorHAnsi" w:hAnsiTheme="minorHAnsi" w:cstheme="minorHAnsi"/>
              </w:rPr>
              <w:t>,</w:t>
            </w:r>
            <w:r w:rsidR="00C82D4C">
              <w:rPr>
                <w:rFonts w:asciiTheme="minorHAnsi" w:hAnsiTheme="minorHAnsi" w:cstheme="minorHAnsi"/>
              </w:rPr>
              <w:t xml:space="preserve"> has been adequately addressed in the </w:t>
            </w:r>
            <w:r w:rsidR="00202843">
              <w:rPr>
                <w:rFonts w:asciiTheme="minorHAnsi" w:hAnsiTheme="minorHAnsi" w:cstheme="minorHAnsi"/>
              </w:rPr>
              <w:t xml:space="preserve">generic </w:t>
            </w:r>
            <w:r w:rsidR="00C82D4C">
              <w:rPr>
                <w:rFonts w:asciiTheme="minorHAnsi" w:hAnsiTheme="minorHAnsi" w:cstheme="minorHAnsi"/>
              </w:rPr>
              <w:t>design</w:t>
            </w:r>
            <w:r w:rsidR="00202843">
              <w:rPr>
                <w:rFonts w:asciiTheme="minorHAnsi" w:hAnsiTheme="minorHAnsi" w:cstheme="minorHAnsi"/>
              </w:rPr>
              <w:t xml:space="preserve"> and safety case for </w:t>
            </w:r>
            <w:r w:rsidR="00C82D4C">
              <w:rPr>
                <w:rFonts w:asciiTheme="minorHAnsi" w:hAnsiTheme="minorHAnsi" w:cstheme="minorHAnsi"/>
              </w:rPr>
              <w:t>the UK HPR1000</w:t>
            </w:r>
            <w:r w:rsidR="00C32D6D">
              <w:rPr>
                <w:rFonts w:asciiTheme="minorHAnsi" w:hAnsiTheme="minorHAnsi" w:cstheme="minorHAnsi"/>
              </w:rPr>
              <w:t xml:space="preserve"> and that the risks of decommissioning can be reduced to As Low As Reasonably Practicable (ALARP).</w:t>
            </w:r>
            <w:r w:rsidR="00F97409">
              <w:rPr>
                <w:rFonts w:asciiTheme="minorHAnsi" w:hAnsiTheme="minorHAnsi" w:cstheme="minorHAnsi"/>
              </w:rPr>
              <w:t xml:space="preserve">  To be able to achieve this aim</w:t>
            </w:r>
            <w:r w:rsidR="00202843">
              <w:rPr>
                <w:rFonts w:asciiTheme="minorHAnsi" w:hAnsiTheme="minorHAnsi" w:cstheme="minorHAnsi"/>
              </w:rPr>
              <w:t>,</w:t>
            </w:r>
            <w:r w:rsidR="00F97409">
              <w:rPr>
                <w:rFonts w:asciiTheme="minorHAnsi" w:hAnsiTheme="minorHAnsi" w:cstheme="minorHAnsi"/>
              </w:rPr>
              <w:t xml:space="preserve"> ONR </w:t>
            </w:r>
            <w:r w:rsidR="00672F12">
              <w:rPr>
                <w:rFonts w:asciiTheme="minorHAnsi" w:hAnsiTheme="minorHAnsi" w:cstheme="minorHAnsi"/>
              </w:rPr>
              <w:t xml:space="preserve">is </w:t>
            </w:r>
            <w:r w:rsidR="00F97409">
              <w:rPr>
                <w:rFonts w:asciiTheme="minorHAnsi" w:hAnsiTheme="minorHAnsi" w:cstheme="minorHAnsi"/>
              </w:rPr>
              <w:t>seek</w:t>
            </w:r>
            <w:r w:rsidR="00672F12">
              <w:rPr>
                <w:rFonts w:asciiTheme="minorHAnsi" w:hAnsiTheme="minorHAnsi" w:cstheme="minorHAnsi"/>
              </w:rPr>
              <w:t>ing</w:t>
            </w:r>
            <w:r w:rsidR="00F97409">
              <w:rPr>
                <w:rFonts w:asciiTheme="minorHAnsi" w:hAnsiTheme="minorHAnsi" w:cstheme="minorHAnsi"/>
              </w:rPr>
              <w:t xml:space="preserve"> information on</w:t>
            </w:r>
            <w:r w:rsidR="005E27B9">
              <w:rPr>
                <w:rFonts w:asciiTheme="minorHAnsi" w:hAnsiTheme="minorHAnsi" w:cstheme="minorHAnsi"/>
              </w:rPr>
              <w:t xml:space="preserve"> good practices and </w:t>
            </w:r>
            <w:r w:rsidR="00986E19">
              <w:rPr>
                <w:rFonts w:asciiTheme="minorHAnsi" w:hAnsiTheme="minorHAnsi" w:cstheme="minorHAnsi"/>
              </w:rPr>
              <w:t xml:space="preserve">OEF </w:t>
            </w:r>
            <w:r w:rsidR="005E27B9">
              <w:rPr>
                <w:rFonts w:asciiTheme="minorHAnsi" w:hAnsiTheme="minorHAnsi" w:cstheme="minorHAnsi"/>
              </w:rPr>
              <w:t>about</w:t>
            </w:r>
            <w:r w:rsidR="00F97409">
              <w:rPr>
                <w:rFonts w:asciiTheme="minorHAnsi" w:hAnsiTheme="minorHAnsi" w:cstheme="minorHAnsi"/>
              </w:rPr>
              <w:t xml:space="preserve"> </w:t>
            </w:r>
            <w:r w:rsidR="00986E19">
              <w:rPr>
                <w:rFonts w:asciiTheme="minorHAnsi" w:hAnsiTheme="minorHAnsi" w:cstheme="minorHAnsi"/>
              </w:rPr>
              <w:t>Nuclear Power Plant</w:t>
            </w:r>
            <w:r w:rsidR="005E27B9">
              <w:rPr>
                <w:rFonts w:asciiTheme="minorHAnsi" w:hAnsiTheme="minorHAnsi" w:cstheme="minorHAnsi"/>
              </w:rPr>
              <w:t xml:space="preserve"> decommissioning and the </w:t>
            </w:r>
            <w:r w:rsidR="00F97409">
              <w:rPr>
                <w:rFonts w:asciiTheme="minorHAnsi" w:hAnsiTheme="minorHAnsi" w:cstheme="minorHAnsi"/>
              </w:rPr>
              <w:t>application of design for decommissioning</w:t>
            </w:r>
            <w:r w:rsidR="00202843">
              <w:rPr>
                <w:rFonts w:asciiTheme="minorHAnsi" w:hAnsiTheme="minorHAnsi" w:cstheme="minorHAnsi"/>
              </w:rPr>
              <w:t>,</w:t>
            </w:r>
            <w:r w:rsidR="00D4533B">
              <w:rPr>
                <w:rFonts w:asciiTheme="minorHAnsi" w:hAnsiTheme="minorHAnsi" w:cstheme="minorHAnsi"/>
              </w:rPr>
              <w:t xml:space="preserve"> </w:t>
            </w:r>
            <w:r w:rsidR="00093CE2">
              <w:rPr>
                <w:rFonts w:asciiTheme="minorHAnsi" w:hAnsiTheme="minorHAnsi" w:cstheme="minorHAnsi"/>
              </w:rPr>
              <w:t>with</w:t>
            </w:r>
            <w:r w:rsidR="00202843">
              <w:rPr>
                <w:rFonts w:asciiTheme="minorHAnsi" w:hAnsiTheme="minorHAnsi" w:cstheme="minorHAnsi"/>
              </w:rPr>
              <w:t xml:space="preserve"> a</w:t>
            </w:r>
            <w:r w:rsidR="00C911A3">
              <w:rPr>
                <w:rFonts w:asciiTheme="minorHAnsi" w:hAnsiTheme="minorHAnsi" w:cstheme="minorHAnsi"/>
              </w:rPr>
              <w:t xml:space="preserve"> </w:t>
            </w:r>
            <w:r w:rsidR="00093CE2">
              <w:rPr>
                <w:rFonts w:asciiTheme="minorHAnsi" w:hAnsiTheme="minorHAnsi" w:cstheme="minorHAnsi"/>
              </w:rPr>
              <w:t xml:space="preserve">focus on </w:t>
            </w:r>
            <w:r w:rsidR="003C11F3">
              <w:rPr>
                <w:rFonts w:asciiTheme="minorHAnsi" w:hAnsiTheme="minorHAnsi" w:cstheme="minorHAnsi"/>
              </w:rPr>
              <w:t>PWRs</w:t>
            </w:r>
            <w:r w:rsidR="00D4533B">
              <w:rPr>
                <w:rFonts w:asciiTheme="minorHAnsi" w:hAnsiTheme="minorHAnsi" w:cstheme="minorHAnsi"/>
              </w:rPr>
              <w:t>.</w:t>
            </w:r>
            <w:r w:rsidR="00A87DAB">
              <w:rPr>
                <w:rFonts w:asciiTheme="minorHAnsi" w:hAnsiTheme="minorHAnsi" w:cstheme="minorHAnsi"/>
              </w:rPr>
              <w:t xml:space="preserve"> ONR is also seeking the successful Technical Support Contractor (TSC) to review several of the RP’s submissions on decommissioning. </w:t>
            </w:r>
            <w:r w:rsidR="00093CE2">
              <w:rPr>
                <w:rFonts w:asciiTheme="minorHAnsi" w:hAnsiTheme="minorHAnsi" w:cstheme="minorHAnsi"/>
              </w:rPr>
              <w:t xml:space="preserve">  </w:t>
            </w:r>
          </w:p>
          <w:p w:rsidR="00AF24D7" w:rsidRDefault="00C32D6D" w:rsidP="00701951">
            <w:pPr>
              <w:pStyle w:val="TSNumberedParagraph11"/>
              <w:tabs>
                <w:tab w:val="left" w:pos="0"/>
              </w:tabs>
              <w:overflowPunct w:val="0"/>
              <w:autoSpaceDE w:val="0"/>
              <w:autoSpaceDN w:val="0"/>
              <w:adjustRightInd w:val="0"/>
              <w:ind w:left="698" w:hanging="698"/>
              <w:jc w:val="both"/>
              <w:textAlignment w:val="baseline"/>
              <w:rPr>
                <w:rFonts w:asciiTheme="minorHAnsi" w:hAnsiTheme="minorHAnsi" w:cstheme="minorHAnsi"/>
              </w:rPr>
            </w:pPr>
            <w:r>
              <w:rPr>
                <w:rFonts w:asciiTheme="minorHAnsi" w:hAnsiTheme="minorHAnsi" w:cstheme="minorHAnsi"/>
              </w:rPr>
              <w:t>ONR is seeking to identify whether the</w:t>
            </w:r>
            <w:r w:rsidR="00A87DAB">
              <w:rPr>
                <w:rFonts w:asciiTheme="minorHAnsi" w:hAnsiTheme="minorHAnsi" w:cstheme="minorHAnsi"/>
              </w:rPr>
              <w:t xml:space="preserve"> RP’s</w:t>
            </w:r>
            <w:r>
              <w:rPr>
                <w:rFonts w:asciiTheme="minorHAnsi" w:hAnsiTheme="minorHAnsi" w:cstheme="minorHAnsi"/>
              </w:rPr>
              <w:t xml:space="preserve"> approach to design for decommissioning </w:t>
            </w:r>
            <w:r w:rsidR="005E27B9">
              <w:rPr>
                <w:rFonts w:asciiTheme="minorHAnsi" w:hAnsiTheme="minorHAnsi" w:cstheme="minorHAnsi"/>
              </w:rPr>
              <w:t xml:space="preserve">of the UK HPR1000 </w:t>
            </w:r>
            <w:r>
              <w:rPr>
                <w:rFonts w:asciiTheme="minorHAnsi" w:hAnsiTheme="minorHAnsi" w:cstheme="minorHAnsi"/>
              </w:rPr>
              <w:t xml:space="preserve">meets Relevant Good Practice (RGP) when judged against the expectations established in ONR’s </w:t>
            </w:r>
            <w:r w:rsidR="00FF3CB6">
              <w:rPr>
                <w:rFonts w:asciiTheme="minorHAnsi" w:hAnsiTheme="minorHAnsi" w:cstheme="minorHAnsi"/>
              </w:rPr>
              <w:t>SAPs</w:t>
            </w:r>
            <w:r w:rsidR="00941FBC">
              <w:rPr>
                <w:rFonts w:asciiTheme="minorHAnsi" w:hAnsiTheme="minorHAnsi" w:cstheme="minorHAnsi"/>
              </w:rPr>
              <w:t xml:space="preserve"> (Ref 1)</w:t>
            </w:r>
            <w:r w:rsidR="00FF3CB6">
              <w:rPr>
                <w:rFonts w:asciiTheme="minorHAnsi" w:hAnsiTheme="minorHAnsi" w:cstheme="minorHAnsi"/>
              </w:rPr>
              <w:t xml:space="preserve"> and </w:t>
            </w:r>
            <w:r w:rsidR="00941FBC">
              <w:rPr>
                <w:rFonts w:asciiTheme="minorHAnsi" w:hAnsiTheme="minorHAnsi" w:cstheme="minorHAnsi"/>
              </w:rPr>
              <w:t xml:space="preserve">the </w:t>
            </w:r>
            <w:r>
              <w:rPr>
                <w:rFonts w:asciiTheme="minorHAnsi" w:hAnsiTheme="minorHAnsi" w:cstheme="minorHAnsi"/>
              </w:rPr>
              <w:t>Technical Assessment Guide</w:t>
            </w:r>
            <w:r w:rsidR="00941FBC">
              <w:rPr>
                <w:rFonts w:asciiTheme="minorHAnsi" w:hAnsiTheme="minorHAnsi" w:cstheme="minorHAnsi"/>
              </w:rPr>
              <w:t xml:space="preserve"> (TAG) on </w:t>
            </w:r>
            <w:r w:rsidR="00701951">
              <w:rPr>
                <w:rFonts w:asciiTheme="minorHAnsi" w:hAnsiTheme="minorHAnsi" w:cstheme="minorHAnsi"/>
              </w:rPr>
              <w:t>Decommissioning (</w:t>
            </w:r>
            <w:r w:rsidR="005E27B9">
              <w:rPr>
                <w:rFonts w:asciiTheme="minorHAnsi" w:hAnsiTheme="minorHAnsi" w:cstheme="minorHAnsi"/>
              </w:rPr>
              <w:t>Ref 2)</w:t>
            </w:r>
            <w:r>
              <w:rPr>
                <w:rFonts w:asciiTheme="minorHAnsi" w:hAnsiTheme="minorHAnsi" w:cstheme="minorHAnsi"/>
              </w:rPr>
              <w:t>.</w:t>
            </w:r>
            <w:r w:rsidR="00672F12">
              <w:rPr>
                <w:rFonts w:asciiTheme="minorHAnsi" w:hAnsiTheme="minorHAnsi" w:cstheme="minorHAnsi"/>
              </w:rPr>
              <w:t xml:space="preserve">  ONR has identified this area as one where timely input from Technical Support Contractors (TSCs) will enable </w:t>
            </w:r>
            <w:r w:rsidR="003C11F3">
              <w:rPr>
                <w:rFonts w:asciiTheme="minorHAnsi" w:hAnsiTheme="minorHAnsi" w:cstheme="minorHAnsi"/>
              </w:rPr>
              <w:t>GDA to progress to programme and to ultimately inform ONR’s regulatory decision on the acceptability</w:t>
            </w:r>
            <w:r w:rsidR="00202843">
              <w:rPr>
                <w:rFonts w:asciiTheme="minorHAnsi" w:hAnsiTheme="minorHAnsi" w:cstheme="minorHAnsi"/>
              </w:rPr>
              <w:t>,</w:t>
            </w:r>
            <w:r w:rsidR="003C11F3">
              <w:rPr>
                <w:rFonts w:asciiTheme="minorHAnsi" w:hAnsiTheme="minorHAnsi" w:cstheme="minorHAnsi"/>
              </w:rPr>
              <w:t xml:space="preserve"> or otherwise</w:t>
            </w:r>
            <w:r w:rsidR="00202843">
              <w:rPr>
                <w:rFonts w:asciiTheme="minorHAnsi" w:hAnsiTheme="minorHAnsi" w:cstheme="minorHAnsi"/>
              </w:rPr>
              <w:t>,</w:t>
            </w:r>
            <w:r w:rsidR="003C11F3">
              <w:rPr>
                <w:rFonts w:asciiTheme="minorHAnsi" w:hAnsiTheme="minorHAnsi" w:cstheme="minorHAnsi"/>
              </w:rPr>
              <w:t xml:space="preserve"> of the UK HPR1000 design for construction in the UK.</w:t>
            </w:r>
          </w:p>
          <w:p w:rsidR="00701951" w:rsidRDefault="00701951" w:rsidP="00701951">
            <w:pPr>
              <w:pStyle w:val="TSHeadingNumbered1"/>
              <w:numPr>
                <w:ilvl w:val="0"/>
                <w:numId w:val="0"/>
              </w:numPr>
              <w:ind w:left="862" w:hanging="720"/>
            </w:pPr>
          </w:p>
          <w:p w:rsidR="00701951" w:rsidRDefault="00701951" w:rsidP="00701951">
            <w:pPr>
              <w:pStyle w:val="TSHeadingNumbered1"/>
              <w:numPr>
                <w:ilvl w:val="0"/>
                <w:numId w:val="0"/>
              </w:numPr>
              <w:ind w:left="862" w:hanging="720"/>
            </w:pPr>
          </w:p>
          <w:p w:rsidR="00701951" w:rsidRDefault="00701951" w:rsidP="00701951">
            <w:pPr>
              <w:pStyle w:val="TSHeadingNumbered1"/>
              <w:numPr>
                <w:ilvl w:val="0"/>
                <w:numId w:val="0"/>
              </w:numPr>
              <w:spacing w:after="0"/>
              <w:ind w:left="862" w:hanging="720"/>
            </w:pPr>
          </w:p>
          <w:p w:rsidR="00C32D6D" w:rsidRPr="002C62C2" w:rsidRDefault="00920DCD" w:rsidP="00AF469C">
            <w:pPr>
              <w:pStyle w:val="TSNumberedParagraph11"/>
              <w:tabs>
                <w:tab w:val="left" w:pos="0"/>
              </w:tabs>
              <w:overflowPunct w:val="0"/>
              <w:autoSpaceDE w:val="0"/>
              <w:autoSpaceDN w:val="0"/>
              <w:adjustRightInd w:val="0"/>
              <w:ind w:left="698" w:hanging="698"/>
              <w:jc w:val="both"/>
              <w:textAlignment w:val="baseline"/>
              <w:rPr>
                <w:rFonts w:asciiTheme="minorHAnsi" w:hAnsiTheme="minorHAnsi" w:cstheme="minorHAnsi"/>
              </w:rPr>
            </w:pPr>
            <w:r>
              <w:rPr>
                <w:rFonts w:asciiTheme="minorHAnsi" w:hAnsiTheme="minorHAnsi" w:cstheme="minorHAnsi"/>
              </w:rPr>
              <w:lastRenderedPageBreak/>
              <w:t xml:space="preserve">There are some publically available safety guides and reports </w:t>
            </w:r>
            <w:r w:rsidR="005E27B9">
              <w:rPr>
                <w:rFonts w:asciiTheme="minorHAnsi" w:hAnsiTheme="minorHAnsi" w:cstheme="minorHAnsi"/>
              </w:rPr>
              <w:t>addressing</w:t>
            </w:r>
            <w:r>
              <w:rPr>
                <w:rFonts w:asciiTheme="minorHAnsi" w:hAnsiTheme="minorHAnsi" w:cstheme="minorHAnsi"/>
              </w:rPr>
              <w:t xml:space="preserve"> design for decommissioning produced by the Internatio</w:t>
            </w:r>
            <w:r w:rsidR="005E27B9">
              <w:rPr>
                <w:rFonts w:asciiTheme="minorHAnsi" w:hAnsiTheme="minorHAnsi" w:cstheme="minorHAnsi"/>
              </w:rPr>
              <w:t>nal Atomic Energy Agency (IAEA, Refs. 3 and 4</w:t>
            </w:r>
            <w:r>
              <w:rPr>
                <w:rFonts w:asciiTheme="minorHAnsi" w:hAnsiTheme="minorHAnsi" w:cstheme="minorHAnsi"/>
              </w:rPr>
              <w:t>) and the Nuclear Energy Agency</w:t>
            </w:r>
            <w:r w:rsidR="005E27B9">
              <w:rPr>
                <w:rFonts w:asciiTheme="minorHAnsi" w:hAnsiTheme="minorHAnsi" w:cstheme="minorHAnsi"/>
              </w:rPr>
              <w:t xml:space="preserve"> (NEA, </w:t>
            </w:r>
            <w:r>
              <w:rPr>
                <w:rFonts w:asciiTheme="minorHAnsi" w:hAnsiTheme="minorHAnsi" w:cstheme="minorHAnsi"/>
              </w:rPr>
              <w:t>Ref</w:t>
            </w:r>
            <w:r w:rsidR="005E27B9">
              <w:rPr>
                <w:rFonts w:asciiTheme="minorHAnsi" w:hAnsiTheme="minorHAnsi" w:cstheme="minorHAnsi"/>
              </w:rPr>
              <w:t>s.5 and 6</w:t>
            </w:r>
            <w:r>
              <w:rPr>
                <w:rFonts w:asciiTheme="minorHAnsi" w:hAnsiTheme="minorHAnsi" w:cstheme="minorHAnsi"/>
              </w:rPr>
              <w:t>).  These represent a good starting point</w:t>
            </w:r>
            <w:r w:rsidR="00A87DAB">
              <w:rPr>
                <w:rFonts w:asciiTheme="minorHAnsi" w:hAnsiTheme="minorHAnsi" w:cstheme="minorHAnsi"/>
              </w:rPr>
              <w:t>,</w:t>
            </w:r>
            <w:r>
              <w:rPr>
                <w:rFonts w:asciiTheme="minorHAnsi" w:hAnsiTheme="minorHAnsi" w:cstheme="minorHAnsi"/>
              </w:rPr>
              <w:t xml:space="preserve"> but are relatively </w:t>
            </w:r>
            <w:r w:rsidR="005E27B9">
              <w:rPr>
                <w:rFonts w:asciiTheme="minorHAnsi" w:hAnsiTheme="minorHAnsi" w:cstheme="minorHAnsi"/>
              </w:rPr>
              <w:t>general</w:t>
            </w:r>
            <w:r>
              <w:rPr>
                <w:rFonts w:asciiTheme="minorHAnsi" w:hAnsiTheme="minorHAnsi" w:cstheme="minorHAnsi"/>
              </w:rPr>
              <w:t xml:space="preserve"> in nature</w:t>
            </w:r>
            <w:r w:rsidR="005E27B9">
              <w:rPr>
                <w:rFonts w:asciiTheme="minorHAnsi" w:hAnsiTheme="minorHAnsi" w:cstheme="minorHAnsi"/>
              </w:rPr>
              <w:t xml:space="preserve">. </w:t>
            </w:r>
            <w:r w:rsidR="0064265B">
              <w:rPr>
                <w:rFonts w:asciiTheme="minorHAnsi" w:hAnsiTheme="minorHAnsi" w:cstheme="minorHAnsi"/>
              </w:rPr>
              <w:t xml:space="preserve"> The R</w:t>
            </w:r>
            <w:r w:rsidR="00A87DAB">
              <w:rPr>
                <w:rFonts w:asciiTheme="minorHAnsi" w:hAnsiTheme="minorHAnsi" w:cstheme="minorHAnsi"/>
              </w:rPr>
              <w:t xml:space="preserve">Ps </w:t>
            </w:r>
            <w:r w:rsidR="0064265B">
              <w:rPr>
                <w:rFonts w:asciiTheme="minorHAnsi" w:hAnsiTheme="minorHAnsi" w:cstheme="minorHAnsi"/>
              </w:rPr>
              <w:t xml:space="preserve">are themselves reviewing </w:t>
            </w:r>
            <w:r w:rsidR="00A87DAB">
              <w:rPr>
                <w:rFonts w:asciiTheme="minorHAnsi" w:hAnsiTheme="minorHAnsi" w:cstheme="minorHAnsi"/>
              </w:rPr>
              <w:t>Operational Experience Feedback (</w:t>
            </w:r>
            <w:r w:rsidR="0064265B">
              <w:rPr>
                <w:rFonts w:asciiTheme="minorHAnsi" w:hAnsiTheme="minorHAnsi" w:cstheme="minorHAnsi"/>
              </w:rPr>
              <w:t>OPEX</w:t>
            </w:r>
            <w:r w:rsidR="00A87DAB">
              <w:rPr>
                <w:rFonts w:asciiTheme="minorHAnsi" w:hAnsiTheme="minorHAnsi" w:cstheme="minorHAnsi"/>
              </w:rPr>
              <w:t>)</w:t>
            </w:r>
            <w:r w:rsidR="0064265B">
              <w:rPr>
                <w:rFonts w:asciiTheme="minorHAnsi" w:hAnsiTheme="minorHAnsi" w:cstheme="minorHAnsi"/>
              </w:rPr>
              <w:t xml:space="preserve"> for decommissioning but ONR would like to undertake an independent review of good practices and OEF for design for decommissioning</w:t>
            </w:r>
            <w:r w:rsidR="00633A4B">
              <w:rPr>
                <w:rFonts w:asciiTheme="minorHAnsi" w:hAnsiTheme="minorHAnsi" w:cstheme="minorHAnsi"/>
              </w:rPr>
              <w:t xml:space="preserve"> to support its GDA assessment</w:t>
            </w:r>
            <w:r w:rsidR="00A87DAB">
              <w:rPr>
                <w:rFonts w:asciiTheme="minorHAnsi" w:hAnsiTheme="minorHAnsi" w:cstheme="minorHAnsi"/>
              </w:rPr>
              <w:t>, to ensure ONR can judge the RP’s practices against the most up-to-date and relevant practices</w:t>
            </w:r>
            <w:r w:rsidR="0064265B">
              <w:rPr>
                <w:rFonts w:asciiTheme="minorHAnsi" w:hAnsiTheme="minorHAnsi" w:cstheme="minorHAnsi"/>
              </w:rPr>
              <w:t xml:space="preserve">.  </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rsidR="005E27B9" w:rsidRDefault="006F247D" w:rsidP="006F247D">
            <w:pPr>
              <w:pStyle w:val="TSNumberedParagraph11"/>
              <w:tabs>
                <w:tab w:val="left" w:pos="698"/>
              </w:tabs>
              <w:ind w:left="698" w:hanging="698"/>
              <w:jc w:val="both"/>
              <w:rPr>
                <w:rFonts w:asciiTheme="minorHAnsi" w:hAnsiTheme="minorHAnsi" w:cstheme="minorHAnsi"/>
              </w:rPr>
            </w:pPr>
            <w:r w:rsidRPr="00374A06">
              <w:rPr>
                <w:rFonts w:asciiTheme="minorHAnsi" w:hAnsiTheme="minorHAnsi" w:cstheme="minorHAnsi"/>
                <w:b/>
              </w:rPr>
              <w:t>Task 1</w:t>
            </w:r>
            <w:r>
              <w:rPr>
                <w:rFonts w:asciiTheme="minorHAnsi" w:hAnsiTheme="minorHAnsi" w:cstheme="minorHAnsi"/>
              </w:rPr>
              <w:t xml:space="preserve">: </w:t>
            </w:r>
            <w:r w:rsidRPr="00E4257A">
              <w:rPr>
                <w:rFonts w:asciiTheme="minorHAnsi" w:hAnsiTheme="minorHAnsi" w:cstheme="minorHAnsi"/>
                <w:b/>
              </w:rPr>
              <w:t>Production of a review of good practices and OEF on the decommissioning of Nuclear Power Plants, with focus on PWRs</w:t>
            </w:r>
            <w:r>
              <w:rPr>
                <w:rFonts w:asciiTheme="minorHAnsi" w:hAnsiTheme="minorHAnsi" w:cstheme="minorHAnsi"/>
              </w:rPr>
              <w:t xml:space="preserve">.  </w:t>
            </w:r>
          </w:p>
          <w:p w:rsidR="00374A06" w:rsidRPr="00374A06" w:rsidRDefault="00374A06" w:rsidP="00374A06">
            <w:pPr>
              <w:pStyle w:val="TSNumberedParagraph11"/>
              <w:numPr>
                <w:ilvl w:val="0"/>
                <w:numId w:val="0"/>
              </w:numPr>
              <w:tabs>
                <w:tab w:val="left" w:pos="0"/>
              </w:tabs>
              <w:ind w:left="720"/>
              <w:jc w:val="both"/>
              <w:rPr>
                <w:rFonts w:asciiTheme="minorHAnsi" w:hAnsiTheme="minorHAnsi" w:cstheme="minorHAnsi"/>
              </w:rPr>
            </w:pPr>
            <w:r w:rsidRPr="00374A06">
              <w:rPr>
                <w:rFonts w:asciiTheme="minorHAnsi" w:hAnsiTheme="minorHAnsi" w:cstheme="minorHAnsi"/>
              </w:rPr>
              <w:t>The TSC is asked</w:t>
            </w:r>
            <w:r w:rsidR="008C776C" w:rsidRPr="00374A06">
              <w:rPr>
                <w:rFonts w:asciiTheme="minorHAnsi" w:hAnsiTheme="minorHAnsi" w:cstheme="minorHAnsi"/>
              </w:rPr>
              <w:t xml:space="preserve"> </w:t>
            </w:r>
            <w:r w:rsidR="006F247D">
              <w:rPr>
                <w:rFonts w:asciiTheme="minorHAnsi" w:hAnsiTheme="minorHAnsi" w:cstheme="minorHAnsi"/>
              </w:rPr>
              <w:t xml:space="preserve">to </w:t>
            </w:r>
            <w:r w:rsidR="008C776C" w:rsidRPr="00374A06">
              <w:rPr>
                <w:rFonts w:asciiTheme="minorHAnsi" w:hAnsiTheme="minorHAnsi" w:cstheme="minorHAnsi"/>
              </w:rPr>
              <w:t>u</w:t>
            </w:r>
            <w:r w:rsidR="005E27B9" w:rsidRPr="00374A06">
              <w:rPr>
                <w:rFonts w:asciiTheme="minorHAnsi" w:hAnsiTheme="minorHAnsi" w:cstheme="minorHAnsi"/>
              </w:rPr>
              <w:t>ndertake a</w:t>
            </w:r>
            <w:r w:rsidR="002A39B9">
              <w:rPr>
                <w:rFonts w:asciiTheme="minorHAnsi" w:hAnsiTheme="minorHAnsi" w:cstheme="minorHAnsi"/>
              </w:rPr>
              <w:t xml:space="preserve"> </w:t>
            </w:r>
            <w:r w:rsidR="005E27B9" w:rsidRPr="00374A06">
              <w:rPr>
                <w:rFonts w:asciiTheme="minorHAnsi" w:hAnsiTheme="minorHAnsi" w:cstheme="minorHAnsi"/>
              </w:rPr>
              <w:t>review of</w:t>
            </w:r>
            <w:r w:rsidR="002A39B9">
              <w:rPr>
                <w:rFonts w:asciiTheme="minorHAnsi" w:hAnsiTheme="minorHAnsi" w:cstheme="minorHAnsi"/>
              </w:rPr>
              <w:t xml:space="preserve"> </w:t>
            </w:r>
            <w:r w:rsidR="005E27B9" w:rsidRPr="00374A06">
              <w:rPr>
                <w:rFonts w:asciiTheme="minorHAnsi" w:hAnsiTheme="minorHAnsi" w:cstheme="minorHAnsi"/>
              </w:rPr>
              <w:t>the decommissioning of PWRs</w:t>
            </w:r>
            <w:r w:rsidR="00567D34" w:rsidRPr="00374A06">
              <w:rPr>
                <w:rFonts w:asciiTheme="minorHAnsi" w:hAnsiTheme="minorHAnsi" w:cstheme="minorHAnsi"/>
              </w:rPr>
              <w:t xml:space="preserve"> and other Nuclear Power Plants</w:t>
            </w:r>
            <w:r w:rsidR="009C6D6E">
              <w:rPr>
                <w:rFonts w:asciiTheme="minorHAnsi" w:hAnsiTheme="minorHAnsi" w:cstheme="minorHAnsi"/>
              </w:rPr>
              <w:t xml:space="preserve"> (NPPs)</w:t>
            </w:r>
            <w:r w:rsidR="002A39B9">
              <w:rPr>
                <w:rFonts w:asciiTheme="minorHAnsi" w:hAnsiTheme="minorHAnsi" w:cstheme="minorHAnsi"/>
              </w:rPr>
              <w:t>,</w:t>
            </w:r>
            <w:r w:rsidR="005E27B9" w:rsidRPr="00374A06">
              <w:rPr>
                <w:rFonts w:asciiTheme="minorHAnsi" w:hAnsiTheme="minorHAnsi" w:cstheme="minorHAnsi"/>
              </w:rPr>
              <w:t xml:space="preserve"> and the application of design for decommissioning</w:t>
            </w:r>
            <w:r w:rsidR="00567D34" w:rsidRPr="00374A06">
              <w:rPr>
                <w:rFonts w:asciiTheme="minorHAnsi" w:hAnsiTheme="minorHAnsi" w:cstheme="minorHAnsi"/>
              </w:rPr>
              <w:t>,</w:t>
            </w:r>
            <w:r w:rsidR="005E27B9" w:rsidRPr="00374A06">
              <w:rPr>
                <w:rFonts w:asciiTheme="minorHAnsi" w:hAnsiTheme="minorHAnsi" w:cstheme="minorHAnsi"/>
              </w:rPr>
              <w:t xml:space="preserve"> </w:t>
            </w:r>
            <w:r w:rsidR="00567D34" w:rsidRPr="00374A06">
              <w:rPr>
                <w:rFonts w:asciiTheme="minorHAnsi" w:hAnsiTheme="minorHAnsi" w:cstheme="minorHAnsi"/>
              </w:rPr>
              <w:t>in order to</w:t>
            </w:r>
            <w:r w:rsidR="00AE52A8" w:rsidRPr="00374A06">
              <w:rPr>
                <w:rFonts w:asciiTheme="minorHAnsi" w:hAnsiTheme="minorHAnsi" w:cstheme="minorHAnsi"/>
              </w:rPr>
              <w:t xml:space="preserve"> identify good practices and OEF</w:t>
            </w:r>
            <w:r w:rsidR="0073328F" w:rsidRPr="00374A06">
              <w:rPr>
                <w:rFonts w:asciiTheme="minorHAnsi" w:hAnsiTheme="minorHAnsi" w:cstheme="minorHAnsi"/>
              </w:rPr>
              <w:t xml:space="preserve"> relevant to design for decommissioning</w:t>
            </w:r>
            <w:r w:rsidR="008C776C" w:rsidRPr="00374A06">
              <w:rPr>
                <w:rFonts w:asciiTheme="minorHAnsi" w:hAnsiTheme="minorHAnsi" w:cstheme="minorHAnsi"/>
              </w:rPr>
              <w:t xml:space="preserve"> of PWRs</w:t>
            </w:r>
            <w:r w:rsidR="0073328F" w:rsidRPr="00374A06">
              <w:rPr>
                <w:rFonts w:asciiTheme="minorHAnsi" w:hAnsiTheme="minorHAnsi" w:cstheme="minorHAnsi"/>
              </w:rPr>
              <w:t>, using Refs 3 to 6</w:t>
            </w:r>
            <w:r w:rsidR="008C776C" w:rsidRPr="00374A06">
              <w:rPr>
                <w:rFonts w:asciiTheme="minorHAnsi" w:hAnsiTheme="minorHAnsi" w:cstheme="minorHAnsi"/>
              </w:rPr>
              <w:t xml:space="preserve"> as an initial starting point.  </w:t>
            </w:r>
            <w:r w:rsidR="002A39B9">
              <w:rPr>
                <w:rFonts w:asciiTheme="minorHAnsi" w:hAnsiTheme="minorHAnsi" w:cstheme="minorHAnsi"/>
              </w:rPr>
              <w:t xml:space="preserve">The review should focus on collating and evaluating information on PWR designs with the greatest similarities to UK HPR1000. </w:t>
            </w:r>
            <w:r w:rsidR="008C776C" w:rsidRPr="00374A06">
              <w:rPr>
                <w:rFonts w:asciiTheme="minorHAnsi" w:hAnsiTheme="minorHAnsi" w:cstheme="minorHAnsi"/>
              </w:rPr>
              <w:t>Review of OEF for plants other than</w:t>
            </w:r>
            <w:r w:rsidR="009C6D6E">
              <w:rPr>
                <w:rFonts w:asciiTheme="minorHAnsi" w:hAnsiTheme="minorHAnsi" w:cstheme="minorHAnsi"/>
              </w:rPr>
              <w:t xml:space="preserve"> NPPs</w:t>
            </w:r>
            <w:r w:rsidR="008C776C" w:rsidRPr="00374A06">
              <w:rPr>
                <w:rFonts w:asciiTheme="minorHAnsi" w:hAnsiTheme="minorHAnsi" w:cstheme="minorHAnsi"/>
              </w:rPr>
              <w:t xml:space="preserve"> should </w:t>
            </w:r>
            <w:r w:rsidR="00E4257A">
              <w:rPr>
                <w:rFonts w:asciiTheme="minorHAnsi" w:hAnsiTheme="minorHAnsi" w:cstheme="minorHAnsi"/>
              </w:rPr>
              <w:t xml:space="preserve">only be undertaken if </w:t>
            </w:r>
            <w:r w:rsidR="008C776C" w:rsidRPr="00374A06">
              <w:rPr>
                <w:rFonts w:asciiTheme="minorHAnsi" w:hAnsiTheme="minorHAnsi" w:cstheme="minorHAnsi"/>
              </w:rPr>
              <w:t xml:space="preserve">considered </w:t>
            </w:r>
            <w:r w:rsidR="00567D34" w:rsidRPr="00374A06">
              <w:rPr>
                <w:rFonts w:asciiTheme="minorHAnsi" w:hAnsiTheme="minorHAnsi" w:cstheme="minorHAnsi"/>
              </w:rPr>
              <w:t>relevant</w:t>
            </w:r>
            <w:r w:rsidR="0064265B">
              <w:rPr>
                <w:rFonts w:asciiTheme="minorHAnsi" w:hAnsiTheme="minorHAnsi" w:cstheme="minorHAnsi"/>
              </w:rPr>
              <w:t xml:space="preserve">/potentially </w:t>
            </w:r>
            <w:r w:rsidR="009E179B">
              <w:rPr>
                <w:rFonts w:asciiTheme="minorHAnsi" w:hAnsiTheme="minorHAnsi" w:cstheme="minorHAnsi"/>
              </w:rPr>
              <w:t>applicable</w:t>
            </w:r>
            <w:r w:rsidR="008C776C" w:rsidRPr="00374A06">
              <w:rPr>
                <w:rFonts w:asciiTheme="minorHAnsi" w:hAnsiTheme="minorHAnsi" w:cstheme="minorHAnsi"/>
              </w:rPr>
              <w:t xml:space="preserve"> to design for decommissioning</w:t>
            </w:r>
            <w:r w:rsidR="00567D34" w:rsidRPr="00374A06">
              <w:rPr>
                <w:rFonts w:asciiTheme="minorHAnsi" w:hAnsiTheme="minorHAnsi" w:cstheme="minorHAnsi"/>
              </w:rPr>
              <w:t xml:space="preserve"> of PWRs</w:t>
            </w:r>
            <w:r w:rsidR="008C776C" w:rsidRPr="00374A06">
              <w:rPr>
                <w:rFonts w:asciiTheme="minorHAnsi" w:hAnsiTheme="minorHAnsi" w:cstheme="minorHAnsi"/>
              </w:rPr>
              <w:t xml:space="preserve">.  </w:t>
            </w:r>
            <w:r w:rsidRPr="00374A06">
              <w:rPr>
                <w:rFonts w:asciiTheme="minorHAnsi" w:hAnsiTheme="minorHAnsi" w:cstheme="minorHAnsi"/>
              </w:rPr>
              <w:t xml:space="preserve">The review should also address relevant work undertaken </w:t>
            </w:r>
            <w:r w:rsidR="00E4257A">
              <w:rPr>
                <w:rFonts w:asciiTheme="minorHAnsi" w:hAnsiTheme="minorHAnsi" w:cstheme="minorHAnsi"/>
              </w:rPr>
              <w:t>on</w:t>
            </w:r>
            <w:r w:rsidRPr="00374A06">
              <w:rPr>
                <w:rFonts w:asciiTheme="minorHAnsi" w:hAnsiTheme="minorHAnsi" w:cstheme="minorHAnsi"/>
              </w:rPr>
              <w:t xml:space="preserve"> design for decommissioning during the GDA of other reactor designs in the UK</w:t>
            </w:r>
            <w:r w:rsidR="002A39B9">
              <w:rPr>
                <w:rFonts w:asciiTheme="minorHAnsi" w:hAnsiTheme="minorHAnsi" w:cstheme="minorHAnsi"/>
              </w:rPr>
              <w:t>, namely the UK ABWR, UK EPR</w:t>
            </w:r>
            <w:r w:rsidR="002A39B9">
              <w:rPr>
                <w:rFonts w:ascii="Calibri" w:hAnsi="Calibri" w:cstheme="minorHAnsi"/>
              </w:rPr>
              <w:t>™</w:t>
            </w:r>
            <w:r w:rsidR="002A39B9">
              <w:rPr>
                <w:rFonts w:asciiTheme="minorHAnsi" w:hAnsiTheme="minorHAnsi" w:cstheme="minorHAnsi"/>
              </w:rPr>
              <w:t xml:space="preserve"> and AP1000</w:t>
            </w:r>
            <w:r w:rsidR="002A39B9">
              <w:rPr>
                <w:rFonts w:ascii="Calibri" w:hAnsi="Calibri" w:cstheme="minorHAnsi"/>
              </w:rPr>
              <w:t>®</w:t>
            </w:r>
            <w:r w:rsidRPr="00374A06">
              <w:rPr>
                <w:rFonts w:asciiTheme="minorHAnsi" w:hAnsiTheme="minorHAnsi" w:cstheme="minorHAnsi"/>
              </w:rPr>
              <w:t>.</w:t>
            </w:r>
            <w:r w:rsidR="00670A06">
              <w:rPr>
                <w:rFonts w:asciiTheme="minorHAnsi" w:hAnsiTheme="minorHAnsi" w:cstheme="minorHAnsi"/>
              </w:rPr>
              <w:t xml:space="preserve"> A key input into the review should also be the RP’s own knowledge, skills, experience resources etc. in design for decommissioning and PWR technology.  </w:t>
            </w:r>
            <w:r w:rsidRPr="00374A06">
              <w:rPr>
                <w:rFonts w:asciiTheme="minorHAnsi" w:hAnsiTheme="minorHAnsi" w:cstheme="minorHAnsi"/>
              </w:rPr>
              <w:t xml:space="preserve">  </w:t>
            </w:r>
          </w:p>
          <w:p w:rsidR="00DC6C9D" w:rsidRDefault="00374A06" w:rsidP="00374A06">
            <w:pPr>
              <w:pStyle w:val="TSNumberedParagraph11"/>
              <w:numPr>
                <w:ilvl w:val="0"/>
                <w:numId w:val="0"/>
              </w:numPr>
              <w:tabs>
                <w:tab w:val="left" w:pos="0"/>
              </w:tabs>
              <w:ind w:left="720"/>
              <w:jc w:val="both"/>
              <w:rPr>
                <w:rFonts w:asciiTheme="minorHAnsi" w:hAnsiTheme="minorHAnsi" w:cstheme="minorHAnsi"/>
              </w:rPr>
            </w:pPr>
            <w:r>
              <w:rPr>
                <w:rFonts w:asciiTheme="minorHAnsi" w:hAnsiTheme="minorHAnsi" w:cstheme="minorHAnsi"/>
              </w:rPr>
              <w:t>T</w:t>
            </w:r>
            <w:r w:rsidR="00567D34">
              <w:rPr>
                <w:rFonts w:asciiTheme="minorHAnsi" w:hAnsiTheme="minorHAnsi" w:cstheme="minorHAnsi"/>
              </w:rPr>
              <w:t>he scope of d</w:t>
            </w:r>
            <w:r w:rsidR="00567D34" w:rsidRPr="00567D34">
              <w:rPr>
                <w:rFonts w:asciiTheme="minorHAnsi" w:hAnsiTheme="minorHAnsi" w:cstheme="minorHAnsi"/>
              </w:rPr>
              <w:t xml:space="preserve">esign for decommissioning </w:t>
            </w:r>
            <w:r w:rsidR="00567D34">
              <w:rPr>
                <w:rFonts w:asciiTheme="minorHAnsi" w:hAnsiTheme="minorHAnsi" w:cstheme="minorHAnsi"/>
              </w:rPr>
              <w:t>should</w:t>
            </w:r>
            <w:r w:rsidR="00567D34" w:rsidRPr="00567D34">
              <w:rPr>
                <w:rFonts w:asciiTheme="minorHAnsi" w:hAnsiTheme="minorHAnsi" w:cstheme="minorHAnsi"/>
              </w:rPr>
              <w:t xml:space="preserve"> address</w:t>
            </w:r>
            <w:r w:rsidR="002A39B9">
              <w:rPr>
                <w:rFonts w:asciiTheme="minorHAnsi" w:hAnsiTheme="minorHAnsi" w:cstheme="minorHAnsi"/>
              </w:rPr>
              <w:t>:</w:t>
            </w:r>
            <w:r w:rsidR="00567D34" w:rsidRPr="00567D34">
              <w:rPr>
                <w:rFonts w:asciiTheme="minorHAnsi" w:hAnsiTheme="minorHAnsi" w:cstheme="minorHAnsi"/>
              </w:rPr>
              <w:t xml:space="preserve"> </w:t>
            </w:r>
            <w:r w:rsidR="00567D34">
              <w:rPr>
                <w:rFonts w:asciiTheme="minorHAnsi" w:hAnsiTheme="minorHAnsi" w:cstheme="minorHAnsi"/>
              </w:rPr>
              <w:t xml:space="preserve">the </w:t>
            </w:r>
            <w:r w:rsidR="00567D34" w:rsidRPr="00567D34">
              <w:rPr>
                <w:rFonts w:asciiTheme="minorHAnsi" w:hAnsiTheme="minorHAnsi" w:cstheme="minorHAnsi"/>
              </w:rPr>
              <w:t>minimisation of activation and contamination, physical controls to prevent the spre</w:t>
            </w:r>
            <w:r w:rsidR="00567D34">
              <w:rPr>
                <w:rFonts w:asciiTheme="minorHAnsi" w:hAnsiTheme="minorHAnsi" w:cstheme="minorHAnsi"/>
              </w:rPr>
              <w:t>ad of contamination, features that</w:t>
            </w:r>
            <w:r w:rsidR="00567D34" w:rsidRPr="00567D34">
              <w:rPr>
                <w:rFonts w:asciiTheme="minorHAnsi" w:hAnsiTheme="minorHAnsi" w:cstheme="minorHAnsi"/>
              </w:rPr>
              <w:t xml:space="preserve"> facilitate decommissioning and reduce radiation </w:t>
            </w:r>
            <w:r w:rsidR="007141AB" w:rsidRPr="00567D34">
              <w:rPr>
                <w:rFonts w:asciiTheme="minorHAnsi" w:hAnsiTheme="minorHAnsi" w:cstheme="minorHAnsi"/>
              </w:rPr>
              <w:t>do</w:t>
            </w:r>
            <w:r w:rsidR="007141AB">
              <w:rPr>
                <w:rFonts w:asciiTheme="minorHAnsi" w:hAnsiTheme="minorHAnsi" w:cstheme="minorHAnsi"/>
              </w:rPr>
              <w:t>ses</w:t>
            </w:r>
            <w:r w:rsidR="007141AB" w:rsidRPr="00567D34">
              <w:rPr>
                <w:rFonts w:asciiTheme="minorHAnsi" w:hAnsiTheme="minorHAnsi" w:cstheme="minorHAnsi"/>
              </w:rPr>
              <w:t xml:space="preserve"> </w:t>
            </w:r>
            <w:r w:rsidR="00567D34" w:rsidRPr="00567D34">
              <w:rPr>
                <w:rFonts w:asciiTheme="minorHAnsi" w:hAnsiTheme="minorHAnsi" w:cstheme="minorHAnsi"/>
              </w:rPr>
              <w:t xml:space="preserve">to decommissioning workers </w:t>
            </w:r>
            <w:r w:rsidR="002A39B9">
              <w:rPr>
                <w:rFonts w:asciiTheme="minorHAnsi" w:hAnsiTheme="minorHAnsi" w:cstheme="minorHAnsi"/>
              </w:rPr>
              <w:t xml:space="preserve">SFAIRP </w:t>
            </w:r>
            <w:r w:rsidR="00567D34" w:rsidRPr="00567D34">
              <w:rPr>
                <w:rFonts w:asciiTheme="minorHAnsi" w:hAnsiTheme="minorHAnsi" w:cstheme="minorHAnsi"/>
              </w:rPr>
              <w:t>in the future</w:t>
            </w:r>
            <w:r w:rsidR="002A39B9">
              <w:rPr>
                <w:rFonts w:asciiTheme="minorHAnsi" w:hAnsiTheme="minorHAnsi" w:cstheme="minorHAnsi"/>
              </w:rPr>
              <w:t>,</w:t>
            </w:r>
            <w:r w:rsidR="00567D34" w:rsidRPr="00567D34">
              <w:rPr>
                <w:rFonts w:asciiTheme="minorHAnsi" w:hAnsiTheme="minorHAnsi" w:cstheme="minorHAnsi"/>
              </w:rPr>
              <w:t xml:space="preserve"> and measures to minimise the generation of radioactive waste</w:t>
            </w:r>
            <w:r>
              <w:rPr>
                <w:rFonts w:asciiTheme="minorHAnsi" w:hAnsiTheme="minorHAnsi" w:cstheme="minorHAnsi"/>
              </w:rPr>
              <w:t xml:space="preserve">.  </w:t>
            </w:r>
          </w:p>
          <w:p w:rsidR="002A39B9" w:rsidRDefault="00B25DBA" w:rsidP="00374A06">
            <w:pPr>
              <w:pStyle w:val="TSNumberedParagraph11"/>
              <w:numPr>
                <w:ilvl w:val="0"/>
                <w:numId w:val="0"/>
              </w:numPr>
              <w:tabs>
                <w:tab w:val="left" w:pos="0"/>
              </w:tabs>
              <w:ind w:left="720"/>
              <w:jc w:val="both"/>
              <w:rPr>
                <w:rFonts w:asciiTheme="minorHAnsi" w:hAnsiTheme="minorHAnsi" w:cstheme="minorHAnsi"/>
              </w:rPr>
            </w:pPr>
            <w:r>
              <w:rPr>
                <w:rFonts w:asciiTheme="minorHAnsi" w:hAnsiTheme="minorHAnsi" w:cstheme="minorHAnsi"/>
              </w:rPr>
              <w:t>The scope of the review excludes the design of nuclear fue</w:t>
            </w:r>
            <w:r w:rsidR="0064265B">
              <w:rPr>
                <w:rFonts w:asciiTheme="minorHAnsi" w:hAnsiTheme="minorHAnsi" w:cstheme="minorHAnsi"/>
              </w:rPr>
              <w:t>l</w:t>
            </w:r>
            <w:r>
              <w:rPr>
                <w:rFonts w:asciiTheme="minorHAnsi" w:hAnsiTheme="minorHAnsi" w:cstheme="minorHAnsi"/>
              </w:rPr>
              <w:t xml:space="preserve">.  </w:t>
            </w:r>
            <w:r w:rsidR="008C776C">
              <w:rPr>
                <w:rFonts w:asciiTheme="minorHAnsi" w:hAnsiTheme="minorHAnsi" w:cstheme="minorHAnsi"/>
              </w:rPr>
              <w:t xml:space="preserve">ONR does not expect the review to address good practices and OEF relating to </w:t>
            </w:r>
            <w:r w:rsidR="00374A06">
              <w:rPr>
                <w:rFonts w:asciiTheme="minorHAnsi" w:hAnsiTheme="minorHAnsi" w:cstheme="minorHAnsi"/>
              </w:rPr>
              <w:t>non-design</w:t>
            </w:r>
            <w:r w:rsidR="008C776C">
              <w:rPr>
                <w:rFonts w:asciiTheme="minorHAnsi" w:hAnsiTheme="minorHAnsi" w:cstheme="minorHAnsi"/>
              </w:rPr>
              <w:t xml:space="preserve"> aspects of decommissioning such as organisation</w:t>
            </w:r>
            <w:r w:rsidR="00567D34">
              <w:rPr>
                <w:rFonts w:asciiTheme="minorHAnsi" w:hAnsiTheme="minorHAnsi" w:cstheme="minorHAnsi"/>
              </w:rPr>
              <w:t>al</w:t>
            </w:r>
            <w:r w:rsidR="008C776C">
              <w:rPr>
                <w:rFonts w:asciiTheme="minorHAnsi" w:hAnsiTheme="minorHAnsi" w:cstheme="minorHAnsi"/>
              </w:rPr>
              <w:t xml:space="preserve"> design, operational </w:t>
            </w:r>
            <w:r>
              <w:rPr>
                <w:rFonts w:asciiTheme="minorHAnsi" w:hAnsiTheme="minorHAnsi" w:cstheme="minorHAnsi"/>
              </w:rPr>
              <w:t xml:space="preserve">and decommissioning </w:t>
            </w:r>
            <w:r w:rsidR="008C776C">
              <w:rPr>
                <w:rFonts w:asciiTheme="minorHAnsi" w:hAnsiTheme="minorHAnsi" w:cstheme="minorHAnsi"/>
              </w:rPr>
              <w:t xml:space="preserve">practices, and decommissioning planning, which are outside the </w:t>
            </w:r>
            <w:r w:rsidR="007141AB">
              <w:rPr>
                <w:rFonts w:asciiTheme="minorHAnsi" w:hAnsiTheme="minorHAnsi" w:cstheme="minorHAnsi"/>
              </w:rPr>
              <w:t xml:space="preserve">requested </w:t>
            </w:r>
            <w:r w:rsidR="008C776C">
              <w:rPr>
                <w:rFonts w:asciiTheme="minorHAnsi" w:hAnsiTheme="minorHAnsi" w:cstheme="minorHAnsi"/>
              </w:rPr>
              <w:t xml:space="preserve">scope.  </w:t>
            </w:r>
          </w:p>
          <w:p w:rsidR="00567D34" w:rsidRDefault="00374A06" w:rsidP="00374A06">
            <w:pPr>
              <w:pStyle w:val="TSNumberedParagraph11"/>
              <w:numPr>
                <w:ilvl w:val="0"/>
                <w:numId w:val="0"/>
              </w:numPr>
              <w:tabs>
                <w:tab w:val="left" w:pos="0"/>
              </w:tabs>
              <w:ind w:left="720"/>
              <w:jc w:val="both"/>
              <w:rPr>
                <w:rFonts w:asciiTheme="minorHAnsi" w:hAnsiTheme="minorHAnsi" w:cstheme="minorHAnsi"/>
              </w:rPr>
            </w:pPr>
            <w:r>
              <w:rPr>
                <w:rFonts w:asciiTheme="minorHAnsi" w:hAnsiTheme="minorHAnsi" w:cstheme="minorHAnsi"/>
              </w:rPr>
              <w:t>The output of this work will be a written report</w:t>
            </w:r>
            <w:r w:rsidR="00E4257A">
              <w:rPr>
                <w:rFonts w:asciiTheme="minorHAnsi" w:hAnsiTheme="minorHAnsi" w:cstheme="minorHAnsi"/>
              </w:rPr>
              <w:t xml:space="preserve"> setting out the good practices and OEF </w:t>
            </w:r>
            <w:r w:rsidR="00B25DBA">
              <w:rPr>
                <w:rFonts w:asciiTheme="minorHAnsi" w:hAnsiTheme="minorHAnsi" w:cstheme="minorHAnsi"/>
              </w:rPr>
              <w:t xml:space="preserve">relating to design </w:t>
            </w:r>
            <w:r w:rsidR="00A903C3">
              <w:rPr>
                <w:rFonts w:asciiTheme="minorHAnsi" w:hAnsiTheme="minorHAnsi" w:cstheme="minorHAnsi"/>
              </w:rPr>
              <w:t>f</w:t>
            </w:r>
            <w:r w:rsidR="00B25DBA">
              <w:rPr>
                <w:rFonts w:asciiTheme="minorHAnsi" w:hAnsiTheme="minorHAnsi" w:cstheme="minorHAnsi"/>
              </w:rPr>
              <w:t xml:space="preserve">or decommissioning </w:t>
            </w:r>
            <w:r w:rsidR="00A903C3">
              <w:rPr>
                <w:rFonts w:asciiTheme="minorHAnsi" w:hAnsiTheme="minorHAnsi" w:cstheme="minorHAnsi"/>
              </w:rPr>
              <w:t>r</w:t>
            </w:r>
            <w:r w:rsidR="0064265B">
              <w:rPr>
                <w:rFonts w:asciiTheme="minorHAnsi" w:hAnsiTheme="minorHAnsi" w:cstheme="minorHAnsi"/>
              </w:rPr>
              <w:t>elevant</w:t>
            </w:r>
            <w:r w:rsidR="00A903C3">
              <w:rPr>
                <w:rFonts w:asciiTheme="minorHAnsi" w:hAnsiTheme="minorHAnsi" w:cstheme="minorHAnsi"/>
              </w:rPr>
              <w:t xml:space="preserve"> to N</w:t>
            </w:r>
            <w:r w:rsidR="00DC6C9D">
              <w:rPr>
                <w:rFonts w:asciiTheme="minorHAnsi" w:hAnsiTheme="minorHAnsi" w:cstheme="minorHAnsi"/>
              </w:rPr>
              <w:t>PPs</w:t>
            </w:r>
            <w:r w:rsidR="00A903C3">
              <w:rPr>
                <w:rFonts w:asciiTheme="minorHAnsi" w:hAnsiTheme="minorHAnsi" w:cstheme="minorHAnsi"/>
              </w:rPr>
              <w:t xml:space="preserve">, with focus on PWRs, </w:t>
            </w:r>
            <w:r w:rsidR="00E4257A">
              <w:rPr>
                <w:rFonts w:asciiTheme="minorHAnsi" w:hAnsiTheme="minorHAnsi" w:cstheme="minorHAnsi"/>
              </w:rPr>
              <w:t>identified during the review.</w:t>
            </w:r>
            <w:r w:rsidR="00330437">
              <w:rPr>
                <w:rFonts w:asciiTheme="minorHAnsi" w:hAnsiTheme="minorHAnsi" w:cstheme="minorHAnsi"/>
              </w:rPr>
              <w:t xml:space="preserve"> The report should provide an appropriate summary of the material considered, with clear references. The report should also contain the RP’s own commentaries on the overall significance/</w:t>
            </w:r>
            <w:r w:rsidR="00002993">
              <w:rPr>
                <w:rFonts w:asciiTheme="minorHAnsi" w:hAnsiTheme="minorHAnsi" w:cstheme="minorHAnsi"/>
              </w:rPr>
              <w:t xml:space="preserve">importance of the OEF considered for a “new”, modern PWR design such as </w:t>
            </w:r>
            <w:r w:rsidR="007141AB">
              <w:rPr>
                <w:rFonts w:asciiTheme="minorHAnsi" w:hAnsiTheme="minorHAnsi" w:cstheme="minorHAnsi"/>
              </w:rPr>
              <w:t xml:space="preserve">the </w:t>
            </w:r>
            <w:r w:rsidR="00002993">
              <w:rPr>
                <w:rFonts w:asciiTheme="minorHAnsi" w:hAnsiTheme="minorHAnsi" w:cstheme="minorHAnsi"/>
              </w:rPr>
              <w:t>UK HPR1000.</w:t>
            </w:r>
            <w:r w:rsidR="00330437">
              <w:rPr>
                <w:rFonts w:asciiTheme="minorHAnsi" w:hAnsiTheme="minorHAnsi" w:cstheme="minorHAnsi"/>
              </w:rPr>
              <w:t xml:space="preserve"> </w:t>
            </w:r>
            <w:r w:rsidR="00E4257A">
              <w:rPr>
                <w:rFonts w:asciiTheme="minorHAnsi" w:hAnsiTheme="minorHAnsi" w:cstheme="minorHAnsi"/>
              </w:rPr>
              <w:t xml:space="preserve">  </w:t>
            </w:r>
          </w:p>
          <w:p w:rsidR="00E4257A" w:rsidRPr="00374A06" w:rsidRDefault="00E4257A" w:rsidP="006F247D">
            <w:pPr>
              <w:pStyle w:val="TSNumberedParagraph11"/>
              <w:numPr>
                <w:ilvl w:val="0"/>
                <w:numId w:val="0"/>
              </w:numPr>
              <w:tabs>
                <w:tab w:val="left" w:pos="0"/>
              </w:tabs>
              <w:ind w:left="698"/>
              <w:jc w:val="both"/>
              <w:rPr>
                <w:rFonts w:asciiTheme="minorHAnsi" w:hAnsiTheme="minorHAnsi" w:cstheme="minorHAnsi"/>
                <w:b/>
              </w:rPr>
            </w:pPr>
            <w:r>
              <w:rPr>
                <w:rFonts w:asciiTheme="minorHAnsi" w:hAnsiTheme="minorHAnsi" w:cstheme="minorHAnsi"/>
                <w:b/>
              </w:rPr>
              <w:t>Task 2: Review of</w:t>
            </w:r>
            <w:r w:rsidR="002A39B9">
              <w:rPr>
                <w:rFonts w:asciiTheme="minorHAnsi" w:hAnsiTheme="minorHAnsi" w:cstheme="minorHAnsi"/>
                <w:b/>
              </w:rPr>
              <w:t xml:space="preserve"> RP’s</w:t>
            </w:r>
            <w:r>
              <w:rPr>
                <w:rFonts w:asciiTheme="minorHAnsi" w:hAnsiTheme="minorHAnsi" w:cstheme="minorHAnsi"/>
                <w:b/>
              </w:rPr>
              <w:t xml:space="preserve"> documentation provided on design for decommissioning for the UK HPR1000 against the output of Task 1</w:t>
            </w:r>
          </w:p>
          <w:p w:rsidR="006F247D" w:rsidRDefault="00B25DBA" w:rsidP="00701951">
            <w:pPr>
              <w:pStyle w:val="TSNumberedParagraph11"/>
              <w:jc w:val="both"/>
            </w:pPr>
            <w:r w:rsidRPr="00C911A3">
              <w:rPr>
                <w:rFonts w:asciiTheme="minorHAnsi" w:hAnsiTheme="minorHAnsi"/>
              </w:rPr>
              <w:t xml:space="preserve">The second stage of the work required is to review </w:t>
            </w:r>
            <w:r w:rsidR="00002993" w:rsidRPr="00C911A3">
              <w:rPr>
                <w:rFonts w:asciiTheme="minorHAnsi" w:hAnsiTheme="minorHAnsi"/>
              </w:rPr>
              <w:t xml:space="preserve">some of </w:t>
            </w:r>
            <w:r w:rsidRPr="00C911A3">
              <w:rPr>
                <w:rFonts w:asciiTheme="minorHAnsi" w:hAnsiTheme="minorHAnsi"/>
              </w:rPr>
              <w:t>the documentation supplied by the R</w:t>
            </w:r>
            <w:r w:rsidR="00002993" w:rsidRPr="00C911A3">
              <w:rPr>
                <w:rFonts w:asciiTheme="minorHAnsi" w:hAnsiTheme="minorHAnsi"/>
              </w:rPr>
              <w:t xml:space="preserve">P </w:t>
            </w:r>
            <w:r w:rsidRPr="00C911A3">
              <w:rPr>
                <w:rFonts w:asciiTheme="minorHAnsi" w:hAnsiTheme="minorHAnsi"/>
              </w:rPr>
              <w:t>on design for decommissioning</w:t>
            </w:r>
            <w:r w:rsidR="00002993" w:rsidRPr="00C911A3">
              <w:rPr>
                <w:rFonts w:asciiTheme="minorHAnsi" w:hAnsiTheme="minorHAnsi"/>
              </w:rPr>
              <w:t>,</w:t>
            </w:r>
            <w:r w:rsidRPr="00C911A3">
              <w:rPr>
                <w:rFonts w:asciiTheme="minorHAnsi" w:hAnsiTheme="minorHAnsi"/>
              </w:rPr>
              <w:t xml:space="preserve"> against the good practices and OEF identified in the report produced during Task 1</w:t>
            </w:r>
            <w:r w:rsidR="006F247D" w:rsidRPr="00C911A3">
              <w:rPr>
                <w:rFonts w:asciiTheme="minorHAnsi" w:hAnsiTheme="minorHAnsi"/>
              </w:rPr>
              <w:t xml:space="preserve">.  This documentation will not be supplied to the TSC until completion of Task 1 but is </w:t>
            </w:r>
            <w:r w:rsidR="0051285D" w:rsidRPr="00C911A3">
              <w:rPr>
                <w:rFonts w:asciiTheme="minorHAnsi" w:hAnsiTheme="minorHAnsi"/>
              </w:rPr>
              <w:t>expected to comprise Refs</w:t>
            </w:r>
            <w:r w:rsidR="00002993" w:rsidRPr="00C911A3">
              <w:rPr>
                <w:rFonts w:asciiTheme="minorHAnsi" w:hAnsiTheme="minorHAnsi"/>
              </w:rPr>
              <w:t>.</w:t>
            </w:r>
            <w:r w:rsidR="0051285D" w:rsidRPr="00C911A3">
              <w:rPr>
                <w:rFonts w:asciiTheme="minorHAnsi" w:hAnsiTheme="minorHAnsi"/>
              </w:rPr>
              <w:t xml:space="preserve"> 7, </w:t>
            </w:r>
            <w:r w:rsidR="006F247D" w:rsidRPr="00C911A3">
              <w:rPr>
                <w:rFonts w:asciiTheme="minorHAnsi" w:hAnsiTheme="minorHAnsi"/>
              </w:rPr>
              <w:t>8</w:t>
            </w:r>
            <w:r w:rsidR="0051285D" w:rsidRPr="00C911A3">
              <w:rPr>
                <w:rFonts w:asciiTheme="minorHAnsi" w:hAnsiTheme="minorHAnsi"/>
              </w:rPr>
              <w:t xml:space="preserve"> and 9</w:t>
            </w:r>
            <w:r w:rsidR="006F247D" w:rsidRPr="00C911A3">
              <w:rPr>
                <w:rFonts w:asciiTheme="minorHAnsi" w:hAnsiTheme="minorHAnsi"/>
              </w:rPr>
              <w:t xml:space="preserve">.  </w:t>
            </w:r>
            <w:r w:rsidR="00BF7246" w:rsidRPr="00C911A3">
              <w:rPr>
                <w:rFonts w:asciiTheme="minorHAnsi" w:hAnsiTheme="minorHAnsi"/>
              </w:rPr>
              <w:t>Refs</w:t>
            </w:r>
            <w:r w:rsidR="00002993" w:rsidRPr="00C911A3">
              <w:rPr>
                <w:rFonts w:asciiTheme="minorHAnsi" w:hAnsiTheme="minorHAnsi"/>
              </w:rPr>
              <w:t>.</w:t>
            </w:r>
            <w:r w:rsidR="0051285D" w:rsidRPr="00C911A3">
              <w:rPr>
                <w:rFonts w:asciiTheme="minorHAnsi" w:hAnsiTheme="minorHAnsi"/>
              </w:rPr>
              <w:t xml:space="preserve"> 7 and 8 ha</w:t>
            </w:r>
            <w:r w:rsidR="00707854" w:rsidRPr="00C911A3">
              <w:rPr>
                <w:rFonts w:asciiTheme="minorHAnsi" w:hAnsiTheme="minorHAnsi"/>
              </w:rPr>
              <w:t>ve already been submitted to ONR</w:t>
            </w:r>
            <w:r w:rsidR="0051285D" w:rsidRPr="00C911A3">
              <w:rPr>
                <w:rFonts w:asciiTheme="minorHAnsi" w:hAnsiTheme="minorHAnsi"/>
              </w:rPr>
              <w:t xml:space="preserve"> but Ref. 9 is not due to be submitted to ONR until 31 March 2019.</w:t>
            </w:r>
            <w:r w:rsidR="000C5111" w:rsidRPr="00C911A3">
              <w:rPr>
                <w:rFonts w:asciiTheme="minorHAnsi" w:hAnsiTheme="minorHAnsi"/>
              </w:rPr>
              <w:t xml:space="preserve"> At the start of Step 3 of GDA the RP also made </w:t>
            </w:r>
            <w:r w:rsidR="007475D4" w:rsidRPr="00C911A3">
              <w:rPr>
                <w:rFonts w:asciiTheme="minorHAnsi" w:hAnsiTheme="minorHAnsi"/>
              </w:rPr>
              <w:t>Version 0</w:t>
            </w:r>
            <w:r w:rsidR="000C5111" w:rsidRPr="00C911A3">
              <w:rPr>
                <w:rFonts w:asciiTheme="minorHAnsi" w:hAnsiTheme="minorHAnsi"/>
              </w:rPr>
              <w:t xml:space="preserve"> of the Pre-</w:t>
            </w:r>
            <w:r w:rsidR="00CE0AB2">
              <w:rPr>
                <w:rFonts w:asciiTheme="minorHAnsi" w:hAnsiTheme="minorHAnsi"/>
              </w:rPr>
              <w:t>C</w:t>
            </w:r>
            <w:r w:rsidR="000C5111" w:rsidRPr="00941FBC">
              <w:rPr>
                <w:rFonts w:asciiTheme="minorHAnsi" w:hAnsiTheme="minorHAnsi"/>
              </w:rPr>
              <w:t>onstruction Safety Report (PCSR) for UK HPR1000 publically available</w:t>
            </w:r>
            <w:r w:rsidR="00CE0AB2" w:rsidRPr="00941FBC">
              <w:rPr>
                <w:rFonts w:asciiTheme="minorHAnsi" w:hAnsiTheme="minorHAnsi"/>
              </w:rPr>
              <w:t xml:space="preserve"> (</w:t>
            </w:r>
            <w:hyperlink r:id="rId11" w:history="1">
              <w:r w:rsidR="00FF3CB6" w:rsidRPr="00E70AE0">
                <w:rPr>
                  <w:rStyle w:val="Hyperlink"/>
                  <w:rFonts w:asciiTheme="minorHAnsi" w:hAnsiTheme="minorHAnsi" w:cstheme="minorHAnsi"/>
                </w:rPr>
                <w:t>http://www.ukhpr1000.co.uk/wp-content/uploads/2018/11/HPR-GDA-PCSR-0024-Pre-Construction-Safety-Report-Chapter-24-Decommissioning.pdf</w:t>
              </w:r>
            </w:hyperlink>
            <w:r w:rsidR="000C5111" w:rsidRPr="00941FBC">
              <w:rPr>
                <w:rFonts w:asciiTheme="minorHAnsi" w:hAnsiTheme="minorHAnsi"/>
              </w:rPr>
              <w:t>.</w:t>
            </w:r>
            <w:r w:rsidR="00FF3CB6">
              <w:rPr>
                <w:rFonts w:asciiTheme="minorHAnsi" w:hAnsiTheme="minorHAnsi"/>
              </w:rPr>
              <w:t xml:space="preserve"> </w:t>
            </w:r>
            <w:r w:rsidR="000C5111" w:rsidRPr="00941FBC">
              <w:rPr>
                <w:rFonts w:asciiTheme="minorHAnsi" w:hAnsiTheme="minorHAnsi"/>
              </w:rPr>
              <w:t xml:space="preserve"> </w:t>
            </w:r>
            <w:r w:rsidR="0051285D" w:rsidRPr="00941FBC">
              <w:rPr>
                <w:rFonts w:asciiTheme="minorHAnsi" w:hAnsiTheme="minorHAnsi"/>
              </w:rPr>
              <w:t xml:space="preserve">  </w:t>
            </w:r>
            <w:r w:rsidR="00633A4B">
              <w:t>.</w:t>
            </w:r>
          </w:p>
          <w:p w:rsidR="00701951" w:rsidRDefault="00701951" w:rsidP="00701951">
            <w:pPr>
              <w:pStyle w:val="TSNumberedParagraph11"/>
              <w:numPr>
                <w:ilvl w:val="0"/>
                <w:numId w:val="0"/>
              </w:numPr>
              <w:spacing w:after="0"/>
              <w:jc w:val="both"/>
            </w:pPr>
          </w:p>
          <w:p w:rsidR="000C5111" w:rsidRDefault="006F247D" w:rsidP="00836999">
            <w:pPr>
              <w:pStyle w:val="TSNumberedParagraph11"/>
              <w:ind w:left="698" w:hanging="698"/>
              <w:jc w:val="both"/>
              <w:rPr>
                <w:rFonts w:asciiTheme="minorHAnsi" w:hAnsiTheme="minorHAnsi" w:cstheme="minorHAnsi"/>
              </w:rPr>
            </w:pPr>
            <w:r>
              <w:rPr>
                <w:rFonts w:asciiTheme="minorHAnsi" w:hAnsiTheme="minorHAnsi" w:cstheme="minorHAnsi"/>
              </w:rPr>
              <w:t xml:space="preserve">The output of the work should be a written report setting out the extent to which the </w:t>
            </w:r>
            <w:r>
              <w:rPr>
                <w:rFonts w:asciiTheme="minorHAnsi" w:hAnsiTheme="minorHAnsi" w:cstheme="minorHAnsi"/>
              </w:rPr>
              <w:lastRenderedPageBreak/>
              <w:t xml:space="preserve">documentation on design for decommissioning </w:t>
            </w:r>
            <w:r w:rsidR="00BF7246">
              <w:rPr>
                <w:rFonts w:asciiTheme="minorHAnsi" w:hAnsiTheme="minorHAnsi" w:cstheme="minorHAnsi"/>
              </w:rPr>
              <w:t xml:space="preserve">for the UK HPR1000 </w:t>
            </w:r>
            <w:r>
              <w:rPr>
                <w:rFonts w:asciiTheme="minorHAnsi" w:hAnsiTheme="minorHAnsi" w:cstheme="minorHAnsi"/>
              </w:rPr>
              <w:t>provided</w:t>
            </w:r>
            <w:r w:rsidR="00BF7246">
              <w:rPr>
                <w:rFonts w:asciiTheme="minorHAnsi" w:hAnsiTheme="minorHAnsi" w:cstheme="minorHAnsi"/>
              </w:rPr>
              <w:t xml:space="preserve"> by the</w:t>
            </w:r>
            <w:r w:rsidR="000C5111">
              <w:rPr>
                <w:rFonts w:asciiTheme="minorHAnsi" w:hAnsiTheme="minorHAnsi" w:cstheme="minorHAnsi"/>
              </w:rPr>
              <w:t xml:space="preserve"> RP</w:t>
            </w:r>
            <w:r w:rsidR="007141AB">
              <w:rPr>
                <w:rFonts w:asciiTheme="minorHAnsi" w:hAnsiTheme="minorHAnsi" w:cstheme="minorHAnsi"/>
              </w:rPr>
              <w:t xml:space="preserve"> </w:t>
            </w:r>
            <w:r>
              <w:rPr>
                <w:rFonts w:asciiTheme="minorHAnsi" w:hAnsiTheme="minorHAnsi" w:cstheme="minorHAnsi"/>
              </w:rPr>
              <w:t>is consistent</w:t>
            </w:r>
            <w:r w:rsidR="000C5111">
              <w:rPr>
                <w:rFonts w:asciiTheme="minorHAnsi" w:hAnsiTheme="minorHAnsi" w:cstheme="minorHAnsi"/>
              </w:rPr>
              <w:t>,</w:t>
            </w:r>
            <w:r>
              <w:rPr>
                <w:rFonts w:asciiTheme="minorHAnsi" w:hAnsiTheme="minorHAnsi" w:cstheme="minorHAnsi"/>
              </w:rPr>
              <w:t xml:space="preserve"> or otherwise</w:t>
            </w:r>
            <w:r w:rsidR="000C5111">
              <w:rPr>
                <w:rFonts w:asciiTheme="minorHAnsi" w:hAnsiTheme="minorHAnsi" w:cstheme="minorHAnsi"/>
              </w:rPr>
              <w:t>,</w:t>
            </w:r>
            <w:r>
              <w:rPr>
                <w:rFonts w:asciiTheme="minorHAnsi" w:hAnsiTheme="minorHAnsi" w:cstheme="minorHAnsi"/>
              </w:rPr>
              <w:t xml:space="preserve"> with the good practices and OED identified in th</w:t>
            </w:r>
            <w:r w:rsidR="00633A4B">
              <w:rPr>
                <w:rFonts w:asciiTheme="minorHAnsi" w:hAnsiTheme="minorHAnsi" w:cstheme="minorHAnsi"/>
              </w:rPr>
              <w:t>e report produced during Task 1, and to specify any significant gaps/differences</w:t>
            </w:r>
            <w:r w:rsidR="00836999">
              <w:rPr>
                <w:rFonts w:asciiTheme="minorHAnsi" w:hAnsiTheme="minorHAnsi" w:cstheme="minorHAnsi"/>
              </w:rPr>
              <w:t>.</w:t>
            </w:r>
            <w:r w:rsidR="007475D4">
              <w:rPr>
                <w:rFonts w:asciiTheme="minorHAnsi" w:hAnsiTheme="minorHAnsi" w:cstheme="minorHAnsi"/>
              </w:rPr>
              <w:t xml:space="preserve"> In undertaking the review of the RP’s relevant submissions, the TSC should also make use of the guidance available in relevant ONR TAGs and SAPs. ONR will advise the successful TSC which TAGs/SAPs are the most appropriate to use. </w:t>
            </w:r>
            <w:r w:rsidR="000C5111">
              <w:rPr>
                <w:rFonts w:asciiTheme="minorHAnsi" w:hAnsiTheme="minorHAnsi" w:cstheme="minorHAnsi"/>
              </w:rPr>
              <w:t xml:space="preserve"> </w:t>
            </w:r>
            <w:r>
              <w:rPr>
                <w:rFonts w:asciiTheme="minorHAnsi" w:hAnsiTheme="minorHAnsi" w:cstheme="minorHAnsi"/>
              </w:rPr>
              <w:t xml:space="preserve">  </w:t>
            </w:r>
          </w:p>
          <w:p w:rsidR="00AF4C0F" w:rsidRDefault="006F247D" w:rsidP="00836999">
            <w:pPr>
              <w:pStyle w:val="TSNumberedParagraph11"/>
              <w:ind w:left="698" w:hanging="698"/>
              <w:jc w:val="both"/>
              <w:rPr>
                <w:rFonts w:asciiTheme="minorHAnsi" w:hAnsiTheme="minorHAnsi" w:cstheme="minorHAnsi"/>
              </w:rPr>
            </w:pPr>
            <w:r>
              <w:rPr>
                <w:rFonts w:asciiTheme="minorHAnsi" w:hAnsiTheme="minorHAnsi" w:cstheme="minorHAnsi"/>
              </w:rPr>
              <w:t xml:space="preserve">The </w:t>
            </w:r>
            <w:r w:rsidR="00A903C3">
              <w:rPr>
                <w:rFonts w:asciiTheme="minorHAnsi" w:hAnsiTheme="minorHAnsi" w:cstheme="minorHAnsi"/>
              </w:rPr>
              <w:t>report should also provide a qualitative</w:t>
            </w:r>
            <w:r>
              <w:rPr>
                <w:rFonts w:asciiTheme="minorHAnsi" w:hAnsiTheme="minorHAnsi" w:cstheme="minorHAnsi"/>
              </w:rPr>
              <w:t xml:space="preserve"> assessment of the amount and quality of evidence </w:t>
            </w:r>
            <w:r w:rsidR="007475D4">
              <w:rPr>
                <w:rFonts w:asciiTheme="minorHAnsi" w:hAnsiTheme="minorHAnsi" w:cstheme="minorHAnsi"/>
              </w:rPr>
              <w:t xml:space="preserve">either </w:t>
            </w:r>
            <w:r>
              <w:rPr>
                <w:rFonts w:asciiTheme="minorHAnsi" w:hAnsiTheme="minorHAnsi" w:cstheme="minorHAnsi"/>
              </w:rPr>
              <w:t>provided</w:t>
            </w:r>
            <w:r w:rsidR="007475D4">
              <w:rPr>
                <w:rFonts w:asciiTheme="minorHAnsi" w:hAnsiTheme="minorHAnsi" w:cstheme="minorHAnsi"/>
              </w:rPr>
              <w:t>, or planned to be provided,</w:t>
            </w:r>
            <w:r>
              <w:rPr>
                <w:rFonts w:asciiTheme="minorHAnsi" w:hAnsiTheme="minorHAnsi" w:cstheme="minorHAnsi"/>
              </w:rPr>
              <w:t xml:space="preserve"> to substantiate the </w:t>
            </w:r>
            <w:r w:rsidR="00A903C3">
              <w:rPr>
                <w:rFonts w:asciiTheme="minorHAnsi" w:hAnsiTheme="minorHAnsi" w:cstheme="minorHAnsi"/>
              </w:rPr>
              <w:t xml:space="preserve">proposed design measures for decommissioning </w:t>
            </w:r>
            <w:r w:rsidR="00BF7246">
              <w:rPr>
                <w:rFonts w:asciiTheme="minorHAnsi" w:hAnsiTheme="minorHAnsi" w:cstheme="minorHAnsi"/>
              </w:rPr>
              <w:t xml:space="preserve">for the UK HPR1000 </w:t>
            </w:r>
            <w:r w:rsidR="00A903C3">
              <w:rPr>
                <w:rFonts w:asciiTheme="minorHAnsi" w:hAnsiTheme="minorHAnsi" w:cstheme="minorHAnsi"/>
              </w:rPr>
              <w:t>spec</w:t>
            </w:r>
            <w:r w:rsidR="00AA7D7D">
              <w:rPr>
                <w:rFonts w:asciiTheme="minorHAnsi" w:hAnsiTheme="minorHAnsi" w:cstheme="minorHAnsi"/>
              </w:rPr>
              <w:t>ified by the R</w:t>
            </w:r>
            <w:r w:rsidR="007475D4">
              <w:rPr>
                <w:rFonts w:asciiTheme="minorHAnsi" w:hAnsiTheme="minorHAnsi" w:cstheme="minorHAnsi"/>
              </w:rPr>
              <w:t>P</w:t>
            </w:r>
            <w:r w:rsidR="00AA7D7D">
              <w:rPr>
                <w:rFonts w:asciiTheme="minorHAnsi" w:hAnsiTheme="minorHAnsi" w:cstheme="minorHAnsi"/>
              </w:rPr>
              <w:t>, in terms of underpinning references</w:t>
            </w:r>
            <w:r w:rsidR="00633A4B">
              <w:rPr>
                <w:rFonts w:asciiTheme="minorHAnsi" w:hAnsiTheme="minorHAnsi" w:cstheme="minorHAnsi"/>
              </w:rPr>
              <w:t xml:space="preserve"> in the documentation reviewed</w:t>
            </w:r>
            <w:r w:rsidR="00AA7D7D">
              <w:rPr>
                <w:rFonts w:asciiTheme="minorHAnsi" w:hAnsiTheme="minorHAnsi" w:cstheme="minorHAnsi"/>
              </w:rPr>
              <w:t xml:space="preserve">.  </w:t>
            </w:r>
            <w:r w:rsidR="00836999">
              <w:rPr>
                <w:rFonts w:asciiTheme="minorHAnsi" w:hAnsiTheme="minorHAnsi" w:cstheme="minorHAnsi"/>
              </w:rPr>
              <w:t>The report should provide recommendations to ONR where the design for decommissioning measures proposed by the R</w:t>
            </w:r>
            <w:r w:rsidR="007475D4">
              <w:rPr>
                <w:rFonts w:asciiTheme="minorHAnsi" w:hAnsiTheme="minorHAnsi" w:cstheme="minorHAnsi"/>
              </w:rPr>
              <w:t>P</w:t>
            </w:r>
            <w:r w:rsidR="00836999">
              <w:rPr>
                <w:rFonts w:asciiTheme="minorHAnsi" w:hAnsiTheme="minorHAnsi" w:cstheme="minorHAnsi"/>
              </w:rPr>
              <w:t xml:space="preserve"> are not consistent with good practices and where increased regulatory scrutiny may be required as GDA progresses to Step 4.</w:t>
            </w:r>
          </w:p>
          <w:p w:rsidR="00D54653" w:rsidRDefault="00D54653" w:rsidP="00701951">
            <w:pPr>
              <w:pStyle w:val="TSNumberedParagraph11"/>
              <w:jc w:val="both"/>
              <w:rPr>
                <w:rFonts w:asciiTheme="minorHAnsi" w:hAnsiTheme="minorHAnsi"/>
              </w:rPr>
            </w:pPr>
            <w:r>
              <w:rPr>
                <w:rFonts w:asciiTheme="minorHAnsi" w:hAnsiTheme="minorHAnsi"/>
              </w:rPr>
              <w:t xml:space="preserve">In reviewing the RP’s submissions, the TSC </w:t>
            </w:r>
            <w:r w:rsidR="007141AB">
              <w:rPr>
                <w:rFonts w:asciiTheme="minorHAnsi" w:hAnsiTheme="minorHAnsi"/>
              </w:rPr>
              <w:t xml:space="preserve">is expected to </w:t>
            </w:r>
            <w:r>
              <w:rPr>
                <w:rFonts w:asciiTheme="minorHAnsi" w:hAnsiTheme="minorHAnsi"/>
              </w:rPr>
              <w:t xml:space="preserve">need to </w:t>
            </w:r>
            <w:r w:rsidRPr="00DD651C">
              <w:rPr>
                <w:rFonts w:asciiTheme="minorHAnsi" w:hAnsiTheme="minorHAnsi"/>
              </w:rPr>
              <w:t>draft Regulatory Queries (</w:t>
            </w:r>
            <w:r>
              <w:rPr>
                <w:rFonts w:asciiTheme="minorHAnsi" w:hAnsiTheme="minorHAnsi"/>
              </w:rPr>
              <w:t xml:space="preserve">RQs, </w:t>
            </w:r>
            <w:r w:rsidRPr="00DD651C">
              <w:rPr>
                <w:rFonts w:asciiTheme="minorHAnsi" w:hAnsiTheme="minorHAnsi"/>
              </w:rPr>
              <w:t>via ONR)</w:t>
            </w:r>
            <w:r>
              <w:rPr>
                <w:rFonts w:asciiTheme="minorHAnsi" w:hAnsiTheme="minorHAnsi"/>
              </w:rPr>
              <w:t xml:space="preserve"> and assess the RP’s responses to those RQs, </w:t>
            </w:r>
            <w:r w:rsidRPr="00DD651C">
              <w:rPr>
                <w:rFonts w:asciiTheme="minorHAnsi" w:hAnsiTheme="minorHAnsi"/>
              </w:rPr>
              <w:t>as necessary</w:t>
            </w:r>
            <w:r>
              <w:rPr>
                <w:rFonts w:asciiTheme="minorHAnsi" w:hAnsiTheme="minorHAnsi"/>
              </w:rPr>
              <w:t>,</w:t>
            </w:r>
            <w:r w:rsidRPr="00DD651C">
              <w:rPr>
                <w:rFonts w:asciiTheme="minorHAnsi" w:hAnsiTheme="minorHAnsi"/>
              </w:rPr>
              <w:t xml:space="preserve"> to obtain additional information</w:t>
            </w:r>
            <w:r>
              <w:rPr>
                <w:rFonts w:asciiTheme="minorHAnsi" w:hAnsiTheme="minorHAnsi"/>
              </w:rPr>
              <w:t xml:space="preserve"> and/or clarifications</w:t>
            </w:r>
            <w:r w:rsidRPr="00DD651C">
              <w:rPr>
                <w:rFonts w:asciiTheme="minorHAnsi" w:hAnsiTheme="minorHAnsi"/>
              </w:rPr>
              <w:t xml:space="preserve"> in support of the above</w:t>
            </w:r>
            <w:r>
              <w:rPr>
                <w:rFonts w:asciiTheme="minorHAnsi" w:hAnsiTheme="minorHAnsi"/>
              </w:rPr>
              <w:t>.  RQs are the primary vehicle by which additional, more routine information can be obtained from the RP. They are in the form of simple written queries that outline the information required and the reasoning for the requirement.  The TSC should plan on the RP providing a response to any RQs raised to complete this part of the work normally within 4-6 weeks.</w:t>
            </w:r>
          </w:p>
          <w:p w:rsidR="00AE7CF1" w:rsidRPr="00DC6C9D" w:rsidRDefault="00D54653" w:rsidP="00701951">
            <w:pPr>
              <w:pStyle w:val="TSNumberedParagraph11"/>
              <w:jc w:val="both"/>
              <w:rPr>
                <w:rFonts w:asciiTheme="minorHAnsi" w:hAnsiTheme="minorHAnsi"/>
              </w:rPr>
            </w:pPr>
            <w:r w:rsidRPr="00D54653">
              <w:rPr>
                <w:rFonts w:asciiTheme="minorHAnsi" w:hAnsiTheme="minorHAnsi"/>
              </w:rPr>
              <w:t>T</w:t>
            </w:r>
            <w:r w:rsidRPr="001E79D8">
              <w:rPr>
                <w:rFonts w:asciiTheme="minorHAnsi" w:hAnsiTheme="minorHAnsi"/>
              </w:rPr>
              <w:t xml:space="preserve">he planned work for this part of the contract should also include regular engagements (either by telephone and/or face-to-face) with ONR, to identify any emergent significant shortfalls that have been identified, </w:t>
            </w:r>
            <w:r w:rsidRPr="00817546">
              <w:rPr>
                <w:rFonts w:asciiTheme="minorHAnsi" w:hAnsiTheme="minorHAnsi"/>
              </w:rPr>
              <w:t xml:space="preserve">in a timely manner. </w:t>
            </w:r>
          </w:p>
          <w:p w:rsidR="001E79D8" w:rsidRDefault="001E79D8" w:rsidP="00093CE2">
            <w:pPr>
              <w:pStyle w:val="TSNumberedParagraph11"/>
              <w:numPr>
                <w:ilvl w:val="0"/>
                <w:numId w:val="0"/>
              </w:numPr>
              <w:jc w:val="both"/>
              <w:rPr>
                <w:rFonts w:asciiTheme="minorHAnsi" w:hAnsiTheme="minorHAnsi" w:cstheme="minorHAnsi"/>
                <w:b/>
              </w:rPr>
            </w:pPr>
            <w:r w:rsidRPr="00941FBC">
              <w:rPr>
                <w:rFonts w:asciiTheme="minorHAnsi" w:hAnsiTheme="minorHAnsi" w:cstheme="minorHAnsi"/>
                <w:b/>
              </w:rPr>
              <w:t>MEETING REQUIREMENTS</w:t>
            </w:r>
          </w:p>
          <w:p w:rsidR="001E79D8" w:rsidRPr="00B62B43" w:rsidRDefault="001E79D8" w:rsidP="00701951">
            <w:pPr>
              <w:pStyle w:val="TSNumberedParagraph11"/>
              <w:jc w:val="both"/>
              <w:rPr>
                <w:rFonts w:asciiTheme="minorHAnsi" w:hAnsiTheme="minorHAnsi" w:cstheme="minorHAnsi"/>
                <w:iCs/>
                <w:szCs w:val="22"/>
              </w:rPr>
            </w:pPr>
            <w:r w:rsidRPr="00B62B43">
              <w:rPr>
                <w:rFonts w:asciiTheme="minorHAnsi" w:hAnsiTheme="minorHAnsi" w:cstheme="minorHAnsi"/>
                <w:iCs/>
                <w:szCs w:val="22"/>
              </w:rPr>
              <w:t xml:space="preserve">ONR expect a kick-off meeting to be held </w:t>
            </w:r>
            <w:r>
              <w:rPr>
                <w:rFonts w:asciiTheme="minorHAnsi" w:hAnsiTheme="minorHAnsi" w:cstheme="minorHAnsi"/>
                <w:iCs/>
                <w:szCs w:val="22"/>
              </w:rPr>
              <w:t xml:space="preserve">between ONR and the TSCs </w:t>
            </w:r>
            <w:r w:rsidRPr="00B62B43">
              <w:rPr>
                <w:rFonts w:asciiTheme="minorHAnsi" w:hAnsiTheme="minorHAnsi" w:cstheme="minorHAnsi"/>
                <w:iCs/>
                <w:szCs w:val="22"/>
              </w:rPr>
              <w:t>on contract award. This should include an i</w:t>
            </w:r>
            <w:r>
              <w:rPr>
                <w:rFonts w:asciiTheme="minorHAnsi" w:hAnsiTheme="minorHAnsi" w:cstheme="minorHAnsi"/>
                <w:iCs/>
                <w:szCs w:val="22"/>
              </w:rPr>
              <w:t xml:space="preserve">ntroduction of the TSCs </w:t>
            </w:r>
            <w:r w:rsidRPr="00B62B43">
              <w:rPr>
                <w:rFonts w:asciiTheme="minorHAnsi" w:hAnsiTheme="minorHAnsi" w:cstheme="minorHAnsi"/>
                <w:iCs/>
                <w:szCs w:val="22"/>
              </w:rPr>
              <w:t>team, background in</w:t>
            </w:r>
            <w:r>
              <w:rPr>
                <w:rFonts w:asciiTheme="minorHAnsi" w:hAnsiTheme="minorHAnsi" w:cstheme="minorHAnsi"/>
                <w:iCs/>
                <w:szCs w:val="22"/>
              </w:rPr>
              <w:t xml:space="preserve"> decommissioning and PWR technology</w:t>
            </w:r>
            <w:r w:rsidRPr="00B62B43">
              <w:rPr>
                <w:rFonts w:asciiTheme="minorHAnsi" w:hAnsiTheme="minorHAnsi" w:cstheme="minorHAnsi"/>
                <w:iCs/>
                <w:szCs w:val="22"/>
              </w:rPr>
              <w:t xml:space="preserve"> and their view of the scope of information that will be considered. This meeting will take place either at the ONR offi</w:t>
            </w:r>
            <w:r>
              <w:rPr>
                <w:rFonts w:asciiTheme="minorHAnsi" w:hAnsiTheme="minorHAnsi" w:cstheme="minorHAnsi"/>
                <w:iCs/>
                <w:szCs w:val="22"/>
              </w:rPr>
              <w:t>ces in Bootle</w:t>
            </w:r>
            <w:r w:rsidR="00257C7A">
              <w:rPr>
                <w:rFonts w:asciiTheme="minorHAnsi" w:hAnsiTheme="minorHAnsi" w:cstheme="minorHAnsi"/>
                <w:iCs/>
                <w:szCs w:val="22"/>
              </w:rPr>
              <w:t xml:space="preserve"> or Cheltenham</w:t>
            </w:r>
            <w:r>
              <w:rPr>
                <w:rFonts w:asciiTheme="minorHAnsi" w:hAnsiTheme="minorHAnsi" w:cstheme="minorHAnsi"/>
                <w:iCs/>
                <w:szCs w:val="22"/>
              </w:rPr>
              <w:t>, or the TSC’s</w:t>
            </w:r>
            <w:r w:rsidRPr="00B62B43">
              <w:rPr>
                <w:rFonts w:asciiTheme="minorHAnsi" w:hAnsiTheme="minorHAnsi" w:cstheme="minorHAnsi"/>
                <w:iCs/>
                <w:szCs w:val="22"/>
              </w:rPr>
              <w:t xml:space="preserve"> offices. </w:t>
            </w:r>
          </w:p>
          <w:p w:rsidR="001E79D8" w:rsidRDefault="001E79D8" w:rsidP="00701951">
            <w:pPr>
              <w:pStyle w:val="TSNumberedParagraph11"/>
              <w:jc w:val="both"/>
              <w:rPr>
                <w:rFonts w:asciiTheme="minorHAnsi" w:hAnsiTheme="minorHAnsi" w:cstheme="minorHAnsi"/>
                <w:iCs/>
                <w:szCs w:val="22"/>
              </w:rPr>
            </w:pPr>
            <w:r w:rsidRPr="00B62B43">
              <w:rPr>
                <w:rFonts w:asciiTheme="minorHAnsi" w:hAnsiTheme="minorHAnsi" w:cstheme="minorHAnsi"/>
                <w:iCs/>
                <w:szCs w:val="22"/>
              </w:rPr>
              <w:t>During the course of the review there may be the need to attend meetings with the RP. This could be face-to-face, either in Liverpool or London, or via video</w:t>
            </w:r>
            <w:r>
              <w:rPr>
                <w:rFonts w:asciiTheme="minorHAnsi" w:hAnsiTheme="minorHAnsi" w:cstheme="minorHAnsi"/>
                <w:iCs/>
                <w:szCs w:val="22"/>
              </w:rPr>
              <w:t>/tele-</w:t>
            </w:r>
            <w:r w:rsidRPr="00B62B43">
              <w:rPr>
                <w:rFonts w:asciiTheme="minorHAnsi" w:hAnsiTheme="minorHAnsi" w:cstheme="minorHAnsi"/>
                <w:iCs/>
                <w:szCs w:val="22"/>
              </w:rPr>
              <w:t>conference. For planning purposes</w:t>
            </w:r>
            <w:r>
              <w:rPr>
                <w:rFonts w:asciiTheme="minorHAnsi" w:hAnsiTheme="minorHAnsi" w:cstheme="minorHAnsi"/>
                <w:iCs/>
                <w:szCs w:val="22"/>
              </w:rPr>
              <w:t>,</w:t>
            </w:r>
            <w:r w:rsidRPr="00B62B43">
              <w:rPr>
                <w:rFonts w:asciiTheme="minorHAnsi" w:hAnsiTheme="minorHAnsi" w:cstheme="minorHAnsi"/>
                <w:iCs/>
                <w:szCs w:val="22"/>
              </w:rPr>
              <w:t xml:space="preserve"> assume three separate half-day meetings with the RP during the course of the contract.</w:t>
            </w:r>
            <w:r>
              <w:rPr>
                <w:rFonts w:asciiTheme="minorHAnsi" w:hAnsiTheme="minorHAnsi" w:cstheme="minorHAnsi"/>
                <w:iCs/>
                <w:szCs w:val="22"/>
              </w:rPr>
              <w:t xml:space="preserve">  No requirements for foreign travel are envisaged as part of this contract.</w:t>
            </w:r>
          </w:p>
          <w:p w:rsidR="001E79D8" w:rsidRPr="00B62B43" w:rsidRDefault="001E79D8" w:rsidP="00701951">
            <w:pPr>
              <w:pStyle w:val="TSNumberedParagraph11"/>
              <w:jc w:val="both"/>
              <w:rPr>
                <w:rFonts w:asciiTheme="minorHAnsi" w:hAnsiTheme="minorHAnsi" w:cstheme="minorHAnsi"/>
                <w:iCs/>
                <w:szCs w:val="22"/>
              </w:rPr>
            </w:pPr>
            <w:r w:rsidRPr="00B62B43">
              <w:rPr>
                <w:rFonts w:asciiTheme="minorHAnsi" w:hAnsiTheme="minorHAnsi" w:cstheme="minorHAnsi"/>
                <w:iCs/>
                <w:szCs w:val="22"/>
              </w:rPr>
              <w:t>Brief monthly progress meetings should also be assumed for the duration of the contract. For planning purposes</w:t>
            </w:r>
            <w:r w:rsidR="00924A29">
              <w:rPr>
                <w:rFonts w:asciiTheme="minorHAnsi" w:hAnsiTheme="minorHAnsi" w:cstheme="minorHAnsi"/>
                <w:iCs/>
                <w:szCs w:val="22"/>
              </w:rPr>
              <w:t>,</w:t>
            </w:r>
            <w:r w:rsidRPr="00B62B43">
              <w:rPr>
                <w:rFonts w:asciiTheme="minorHAnsi" w:hAnsiTheme="minorHAnsi" w:cstheme="minorHAnsi"/>
                <w:iCs/>
                <w:szCs w:val="22"/>
              </w:rPr>
              <w:t xml:space="preserve"> two further separate half-day meetings with ONR will also be required during the course of the contract. These should be assumed to be by teleconference or videoconference. </w:t>
            </w:r>
          </w:p>
          <w:p w:rsidR="001E79D8" w:rsidRPr="00941FBC" w:rsidRDefault="001E79D8" w:rsidP="00701951">
            <w:pPr>
              <w:pStyle w:val="TSNumberedParagraph11"/>
              <w:jc w:val="both"/>
              <w:rPr>
                <w:rFonts w:asciiTheme="minorHAnsi" w:hAnsiTheme="minorHAnsi" w:cstheme="minorHAnsi"/>
                <w:iCs/>
                <w:sz w:val="20"/>
                <w:szCs w:val="20"/>
              </w:rPr>
            </w:pPr>
            <w:r w:rsidRPr="00B62B43">
              <w:rPr>
                <w:rFonts w:asciiTheme="minorHAnsi" w:hAnsiTheme="minorHAnsi" w:cstheme="minorHAnsi"/>
                <w:iCs/>
                <w:szCs w:val="22"/>
              </w:rPr>
              <w:t>A close-out meeting will be held upon completion of the contract. This meeting will take place either at the ONR offic</w:t>
            </w:r>
            <w:r w:rsidR="00924A29">
              <w:rPr>
                <w:rFonts w:asciiTheme="minorHAnsi" w:hAnsiTheme="minorHAnsi" w:cstheme="minorHAnsi"/>
                <w:iCs/>
                <w:szCs w:val="22"/>
              </w:rPr>
              <w:t>es in Bootle</w:t>
            </w:r>
            <w:r w:rsidR="00257C7A">
              <w:rPr>
                <w:rFonts w:asciiTheme="minorHAnsi" w:hAnsiTheme="minorHAnsi" w:cstheme="minorHAnsi"/>
                <w:iCs/>
                <w:szCs w:val="22"/>
              </w:rPr>
              <w:t xml:space="preserve"> or Cheltenham</w:t>
            </w:r>
            <w:r w:rsidR="00924A29">
              <w:rPr>
                <w:rFonts w:asciiTheme="minorHAnsi" w:hAnsiTheme="minorHAnsi" w:cstheme="minorHAnsi"/>
                <w:iCs/>
                <w:szCs w:val="22"/>
              </w:rPr>
              <w:t xml:space="preserve">, or the TSC’s </w:t>
            </w:r>
            <w:r w:rsidRPr="00B62B43">
              <w:rPr>
                <w:rFonts w:asciiTheme="minorHAnsi" w:hAnsiTheme="minorHAnsi" w:cstheme="minorHAnsi"/>
                <w:iCs/>
                <w:szCs w:val="22"/>
              </w:rPr>
              <w:t>offices. Videoconference facilities are also available if necessary.</w:t>
            </w:r>
          </w:p>
          <w:p w:rsidR="001E79D8" w:rsidRDefault="00786F18" w:rsidP="00093CE2">
            <w:pPr>
              <w:pStyle w:val="TSNumberedParagraph11"/>
              <w:numPr>
                <w:ilvl w:val="0"/>
                <w:numId w:val="0"/>
              </w:numPr>
              <w:jc w:val="both"/>
              <w:rPr>
                <w:rFonts w:asciiTheme="minorHAnsi" w:hAnsiTheme="minorHAnsi" w:cstheme="minorHAnsi"/>
                <w:b/>
              </w:rPr>
            </w:pPr>
            <w:r w:rsidRPr="00786F18">
              <w:rPr>
                <w:rFonts w:asciiTheme="minorHAnsi" w:hAnsiTheme="minorHAnsi" w:cstheme="minorHAnsi"/>
                <w:b/>
              </w:rPr>
              <w:t>TIMESCALES</w:t>
            </w:r>
            <w:r>
              <w:rPr>
                <w:rFonts w:asciiTheme="minorHAnsi" w:hAnsiTheme="minorHAnsi" w:cstheme="minorHAnsi"/>
                <w:b/>
              </w:rPr>
              <w:t xml:space="preserve"> AND </w:t>
            </w:r>
            <w:r w:rsidR="001E79D8" w:rsidRPr="00941FBC">
              <w:rPr>
                <w:rFonts w:asciiTheme="minorHAnsi" w:hAnsiTheme="minorHAnsi" w:cstheme="minorHAnsi"/>
                <w:b/>
              </w:rPr>
              <w:t>DELIVERABLES</w:t>
            </w:r>
          </w:p>
          <w:p w:rsidR="00817546" w:rsidRDefault="00817546" w:rsidP="00701951">
            <w:pPr>
              <w:pStyle w:val="TSNumberedParagraph11"/>
              <w:jc w:val="both"/>
              <w:rPr>
                <w:rFonts w:asciiTheme="minorHAnsi" w:hAnsiTheme="minorHAnsi" w:cstheme="minorHAnsi"/>
                <w:iCs/>
                <w:szCs w:val="22"/>
              </w:rPr>
            </w:pPr>
            <w:r w:rsidRPr="00B62B43">
              <w:rPr>
                <w:rFonts w:asciiTheme="minorHAnsi" w:hAnsiTheme="minorHAnsi" w:cstheme="minorHAnsi"/>
                <w:iCs/>
                <w:szCs w:val="22"/>
              </w:rPr>
              <w:t xml:space="preserve">The contractor should provide one report upon completion of </w:t>
            </w:r>
            <w:r>
              <w:rPr>
                <w:rFonts w:asciiTheme="minorHAnsi" w:hAnsiTheme="minorHAnsi" w:cstheme="minorHAnsi"/>
                <w:iCs/>
                <w:szCs w:val="22"/>
              </w:rPr>
              <w:t>Part</w:t>
            </w:r>
            <w:r w:rsidRPr="00B62B43">
              <w:rPr>
                <w:rFonts w:asciiTheme="minorHAnsi" w:hAnsiTheme="minorHAnsi" w:cstheme="minorHAnsi"/>
                <w:iCs/>
                <w:szCs w:val="22"/>
              </w:rPr>
              <w:t xml:space="preserve"> 1</w:t>
            </w:r>
            <w:r>
              <w:rPr>
                <w:rFonts w:asciiTheme="minorHAnsi" w:hAnsiTheme="minorHAnsi" w:cstheme="minorHAnsi"/>
                <w:iCs/>
                <w:szCs w:val="22"/>
              </w:rPr>
              <w:t xml:space="preserve">. A first draft of the report should be delivered in April 2019. The TSC should allow for one round of ONR comments on the draft report. A final version of the report, incorporating ONR comments, should be available in May 2019. </w:t>
            </w:r>
            <w:r w:rsidRPr="00B62B43">
              <w:rPr>
                <w:rFonts w:asciiTheme="minorHAnsi" w:hAnsiTheme="minorHAnsi" w:cstheme="minorHAnsi"/>
                <w:iCs/>
                <w:szCs w:val="22"/>
              </w:rPr>
              <w:t xml:space="preserve"> </w:t>
            </w:r>
          </w:p>
          <w:p w:rsidR="00701951" w:rsidRDefault="00701951" w:rsidP="00701951">
            <w:pPr>
              <w:pStyle w:val="TSHeadingNumbered1"/>
              <w:numPr>
                <w:ilvl w:val="0"/>
                <w:numId w:val="0"/>
              </w:numPr>
              <w:ind w:left="862" w:hanging="720"/>
            </w:pPr>
          </w:p>
          <w:p w:rsidR="00817546" w:rsidRPr="00817546" w:rsidRDefault="00817546" w:rsidP="00701951">
            <w:pPr>
              <w:pStyle w:val="TSNumberedParagraph11"/>
              <w:jc w:val="both"/>
              <w:rPr>
                <w:rFonts w:asciiTheme="minorHAnsi" w:hAnsiTheme="minorHAnsi" w:cstheme="minorHAnsi"/>
                <w:iCs/>
                <w:szCs w:val="22"/>
              </w:rPr>
            </w:pPr>
            <w:r>
              <w:rPr>
                <w:rFonts w:asciiTheme="minorHAnsi" w:hAnsiTheme="minorHAnsi" w:cstheme="minorHAnsi"/>
                <w:iCs/>
                <w:szCs w:val="22"/>
              </w:rPr>
              <w:t xml:space="preserve">Two versions of a second report, covering Part 2 of the contract, should also be delivered. The first revision needs to be delivered in August 2019 and the second, in November 2019. The contractor </w:t>
            </w:r>
            <w:r>
              <w:rPr>
                <w:rFonts w:asciiTheme="minorHAnsi" w:hAnsiTheme="minorHAnsi" w:cstheme="minorHAnsi"/>
                <w:iCs/>
                <w:szCs w:val="22"/>
              </w:rPr>
              <w:lastRenderedPageBreak/>
              <w:t>should regard the August repo</w:t>
            </w:r>
            <w:r w:rsidR="007141AB">
              <w:rPr>
                <w:rFonts w:asciiTheme="minorHAnsi" w:hAnsiTheme="minorHAnsi" w:cstheme="minorHAnsi"/>
                <w:iCs/>
                <w:szCs w:val="22"/>
              </w:rPr>
              <w:t>r</w:t>
            </w:r>
            <w:r>
              <w:rPr>
                <w:rFonts w:asciiTheme="minorHAnsi" w:hAnsiTheme="minorHAnsi" w:cstheme="minorHAnsi"/>
                <w:iCs/>
                <w:szCs w:val="22"/>
              </w:rPr>
              <w:t xml:space="preserve">t as being a shorter “memo style” report, which summarises the work done and main conclusions so far. This report is needed to input into ONR’s reporting of the Step 3 GDA assessment. The TSC should allow for one round of ONR comments on the </w:t>
            </w:r>
            <w:r w:rsidR="007141AB">
              <w:rPr>
                <w:rFonts w:asciiTheme="minorHAnsi" w:hAnsiTheme="minorHAnsi" w:cstheme="minorHAnsi"/>
                <w:iCs/>
                <w:szCs w:val="22"/>
              </w:rPr>
              <w:t xml:space="preserve">August </w:t>
            </w:r>
            <w:r>
              <w:rPr>
                <w:rFonts w:asciiTheme="minorHAnsi" w:hAnsiTheme="minorHAnsi" w:cstheme="minorHAnsi"/>
                <w:iCs/>
                <w:szCs w:val="22"/>
              </w:rPr>
              <w:t>version of the report. The TSC should allow for one round of ONR comments on the November report. A final version of the report, incorporating ONR comments, should be available by late November 2019, prior to the planned entry into Step 4 of GDA.</w:t>
            </w:r>
            <w:r w:rsidR="00047D2A">
              <w:rPr>
                <w:rFonts w:asciiTheme="minorHAnsi" w:hAnsiTheme="minorHAnsi" w:cstheme="minorHAnsi"/>
                <w:iCs/>
                <w:szCs w:val="22"/>
              </w:rPr>
              <w:t xml:space="preserve"> This means the draft final report will need to be with ONR for review by October 2019. </w:t>
            </w:r>
            <w:r>
              <w:rPr>
                <w:rFonts w:asciiTheme="minorHAnsi" w:hAnsiTheme="minorHAnsi" w:cstheme="minorHAnsi"/>
                <w:iCs/>
                <w:szCs w:val="22"/>
              </w:rPr>
              <w:t xml:space="preserve"> </w:t>
            </w:r>
            <w:r w:rsidRPr="00B62B43">
              <w:rPr>
                <w:rFonts w:asciiTheme="minorHAnsi" w:hAnsiTheme="minorHAnsi" w:cstheme="minorHAnsi"/>
                <w:iCs/>
                <w:szCs w:val="22"/>
              </w:rPr>
              <w:t xml:space="preserve"> </w:t>
            </w:r>
          </w:p>
          <w:p w:rsidR="007C0F4C" w:rsidRDefault="00817546" w:rsidP="00701951">
            <w:pPr>
              <w:pStyle w:val="TSNumberedParagraph11"/>
              <w:jc w:val="both"/>
              <w:rPr>
                <w:rFonts w:asciiTheme="minorHAnsi" w:hAnsiTheme="minorHAnsi" w:cstheme="minorHAnsi"/>
                <w:iCs/>
                <w:szCs w:val="22"/>
              </w:rPr>
            </w:pPr>
            <w:r>
              <w:rPr>
                <w:rFonts w:asciiTheme="minorHAnsi" w:hAnsiTheme="minorHAnsi" w:cstheme="minorHAnsi"/>
                <w:iCs/>
                <w:szCs w:val="22"/>
              </w:rPr>
              <w:t xml:space="preserve">Each of the two reports </w:t>
            </w:r>
            <w:r w:rsidRPr="00B62B43">
              <w:rPr>
                <w:rFonts w:asciiTheme="minorHAnsi" w:hAnsiTheme="minorHAnsi" w:cstheme="minorHAnsi"/>
                <w:iCs/>
                <w:szCs w:val="22"/>
              </w:rPr>
              <w:t>should contain full details of the work undertaken, discussion and summary, conclusion</w:t>
            </w:r>
            <w:r>
              <w:rPr>
                <w:rFonts w:asciiTheme="minorHAnsi" w:hAnsiTheme="minorHAnsi" w:cstheme="minorHAnsi"/>
                <w:iCs/>
                <w:szCs w:val="22"/>
              </w:rPr>
              <w:t>s and a full reference list. F</w:t>
            </w:r>
            <w:r w:rsidRPr="00B62B43">
              <w:rPr>
                <w:rFonts w:asciiTheme="minorHAnsi" w:hAnsiTheme="minorHAnsi" w:cstheme="minorHAnsi"/>
                <w:iCs/>
                <w:szCs w:val="22"/>
              </w:rPr>
              <w:t>inal versions of reports should be prepared according to the contractor’s quality system.</w:t>
            </w:r>
            <w:r>
              <w:rPr>
                <w:rFonts w:asciiTheme="minorHAnsi" w:hAnsiTheme="minorHAnsi" w:cstheme="minorHAnsi"/>
                <w:iCs/>
                <w:szCs w:val="22"/>
              </w:rPr>
              <w:t xml:space="preserve"> </w:t>
            </w:r>
          </w:p>
          <w:p w:rsidR="007C0F4C" w:rsidRPr="00B62B43" w:rsidRDefault="007C0F4C" w:rsidP="007C0F4C">
            <w:pPr>
              <w:pStyle w:val="TSNumberedParagraph11"/>
              <w:rPr>
                <w:rFonts w:asciiTheme="minorHAnsi" w:hAnsiTheme="minorHAnsi" w:cstheme="minorHAnsi"/>
                <w:iCs/>
                <w:szCs w:val="22"/>
              </w:rPr>
            </w:pPr>
            <w:r>
              <w:rPr>
                <w:rFonts w:asciiTheme="minorHAnsi" w:hAnsiTheme="minorHAnsi" w:cstheme="minorHAnsi"/>
                <w:iCs/>
                <w:szCs w:val="22"/>
              </w:rPr>
              <w:t>In summary, t</w:t>
            </w:r>
            <w:r w:rsidRPr="00B62B43">
              <w:rPr>
                <w:rFonts w:asciiTheme="minorHAnsi" w:hAnsiTheme="minorHAnsi" w:cstheme="minorHAnsi"/>
                <w:iCs/>
                <w:szCs w:val="22"/>
              </w:rPr>
              <w:t>he following timescales can be assumed</w:t>
            </w:r>
            <w:r>
              <w:rPr>
                <w:rFonts w:asciiTheme="minorHAnsi" w:hAnsiTheme="minorHAnsi" w:cstheme="minorHAnsi"/>
                <w:iCs/>
                <w:szCs w:val="22"/>
              </w:rPr>
              <w:t xml:space="preserve"> for</w:t>
            </w:r>
            <w:r w:rsidRPr="00B62B43">
              <w:rPr>
                <w:rFonts w:asciiTheme="minorHAnsi" w:hAnsiTheme="minorHAnsi" w:cstheme="minorHAnsi"/>
                <w:iCs/>
                <w:szCs w:val="22"/>
              </w:rPr>
              <w:t xml:space="preserve"> </w:t>
            </w:r>
            <w:r>
              <w:rPr>
                <w:rFonts w:asciiTheme="minorHAnsi" w:hAnsiTheme="minorHAnsi" w:cstheme="minorHAnsi"/>
                <w:iCs/>
                <w:szCs w:val="22"/>
              </w:rPr>
              <w:t>Parts</w:t>
            </w:r>
            <w:r w:rsidRPr="00B62B43">
              <w:rPr>
                <w:rFonts w:asciiTheme="minorHAnsi" w:hAnsiTheme="minorHAnsi" w:cstheme="minorHAnsi"/>
                <w:iCs/>
                <w:szCs w:val="22"/>
              </w:rPr>
              <w:t xml:space="preserve"> </w:t>
            </w:r>
            <w:r>
              <w:rPr>
                <w:rFonts w:asciiTheme="minorHAnsi" w:hAnsiTheme="minorHAnsi" w:cstheme="minorHAnsi"/>
                <w:iCs/>
                <w:szCs w:val="22"/>
              </w:rPr>
              <w:t>1 and 2 of the work</w:t>
            </w:r>
            <w:r w:rsidRPr="00B62B43">
              <w:rPr>
                <w:rFonts w:asciiTheme="minorHAnsi" w:hAnsiTheme="minorHAnsi" w:cstheme="minorHAnsi"/>
                <w:iCs/>
                <w:szCs w:val="22"/>
              </w:rPr>
              <w:t>:</w:t>
            </w:r>
          </w:p>
          <w:p w:rsidR="007C0F4C" w:rsidRPr="00B62B43" w:rsidRDefault="007C0F4C" w:rsidP="007C0F4C">
            <w:pPr>
              <w:pStyle w:val="TSBullet1Square"/>
              <w:spacing w:after="0"/>
              <w:rPr>
                <w:rFonts w:asciiTheme="minorHAnsi" w:hAnsiTheme="minorHAnsi" w:cstheme="minorHAnsi"/>
                <w:iCs/>
                <w:szCs w:val="22"/>
              </w:rPr>
            </w:pPr>
            <w:r w:rsidRPr="00B62B43">
              <w:rPr>
                <w:rFonts w:asciiTheme="minorHAnsi" w:hAnsiTheme="minorHAnsi" w:cstheme="minorHAnsi"/>
                <w:iCs/>
                <w:szCs w:val="22"/>
              </w:rPr>
              <w:t>Start of contract: 02/19</w:t>
            </w:r>
            <w:r>
              <w:rPr>
                <w:rFonts w:asciiTheme="minorHAnsi" w:hAnsiTheme="minorHAnsi" w:cstheme="minorHAnsi"/>
                <w:iCs/>
                <w:szCs w:val="22"/>
              </w:rPr>
              <w:t>;</w:t>
            </w:r>
          </w:p>
          <w:p w:rsidR="007C0F4C" w:rsidRPr="007C0F4C" w:rsidRDefault="007C0F4C" w:rsidP="007C0F4C">
            <w:pPr>
              <w:pStyle w:val="TSBullet1Square"/>
              <w:spacing w:after="0"/>
              <w:rPr>
                <w:rFonts w:asciiTheme="minorHAnsi" w:hAnsiTheme="minorHAnsi" w:cstheme="minorHAnsi"/>
                <w:iCs/>
                <w:szCs w:val="22"/>
              </w:rPr>
            </w:pPr>
            <w:r w:rsidRPr="00B62B43">
              <w:rPr>
                <w:rFonts w:asciiTheme="minorHAnsi" w:hAnsiTheme="minorHAnsi" w:cstheme="minorHAnsi"/>
                <w:iCs/>
                <w:szCs w:val="22"/>
              </w:rPr>
              <w:t xml:space="preserve">Draft report </w:t>
            </w:r>
            <w:r>
              <w:rPr>
                <w:rFonts w:asciiTheme="minorHAnsi" w:hAnsiTheme="minorHAnsi" w:cstheme="minorHAnsi"/>
                <w:iCs/>
                <w:szCs w:val="22"/>
              </w:rPr>
              <w:t>on relevant good practice/OEF and design for decommissioning for Part 1</w:t>
            </w:r>
            <w:r w:rsidRPr="00B62B43">
              <w:rPr>
                <w:rFonts w:asciiTheme="minorHAnsi" w:hAnsiTheme="minorHAnsi" w:cstheme="minorHAnsi"/>
                <w:iCs/>
                <w:szCs w:val="22"/>
              </w:rPr>
              <w:t>: 0</w:t>
            </w:r>
            <w:r>
              <w:rPr>
                <w:rFonts w:asciiTheme="minorHAnsi" w:hAnsiTheme="minorHAnsi" w:cstheme="minorHAnsi"/>
                <w:iCs/>
                <w:szCs w:val="22"/>
              </w:rPr>
              <w:t>4</w:t>
            </w:r>
            <w:r w:rsidRPr="00B62B43">
              <w:rPr>
                <w:rFonts w:asciiTheme="minorHAnsi" w:hAnsiTheme="minorHAnsi" w:cstheme="minorHAnsi"/>
                <w:iCs/>
                <w:szCs w:val="22"/>
              </w:rPr>
              <w:t>/19</w:t>
            </w:r>
            <w:r>
              <w:rPr>
                <w:rFonts w:asciiTheme="minorHAnsi" w:hAnsiTheme="minorHAnsi" w:cstheme="minorHAnsi"/>
                <w:iCs/>
                <w:szCs w:val="22"/>
              </w:rPr>
              <w:t>;</w:t>
            </w:r>
          </w:p>
          <w:p w:rsidR="007C0F4C" w:rsidRPr="00B62B43" w:rsidRDefault="007C0F4C" w:rsidP="007C0F4C">
            <w:pPr>
              <w:pStyle w:val="TSBullet1Square"/>
              <w:spacing w:after="0"/>
              <w:rPr>
                <w:rFonts w:asciiTheme="minorHAnsi" w:hAnsiTheme="minorHAnsi" w:cstheme="minorHAnsi"/>
                <w:iCs/>
                <w:szCs w:val="22"/>
              </w:rPr>
            </w:pPr>
            <w:r w:rsidRPr="00B62B43">
              <w:rPr>
                <w:rFonts w:asciiTheme="minorHAnsi" w:hAnsiTheme="minorHAnsi" w:cstheme="minorHAnsi"/>
                <w:iCs/>
                <w:szCs w:val="22"/>
              </w:rPr>
              <w:t xml:space="preserve">Final report </w:t>
            </w:r>
            <w:r>
              <w:rPr>
                <w:rFonts w:asciiTheme="minorHAnsi" w:hAnsiTheme="minorHAnsi" w:cstheme="minorHAnsi"/>
                <w:iCs/>
                <w:szCs w:val="22"/>
              </w:rPr>
              <w:t>on relevant good practice/OEF and design for decommissioning for Part 1</w:t>
            </w:r>
            <w:r w:rsidRPr="00B62B43">
              <w:rPr>
                <w:rFonts w:asciiTheme="minorHAnsi" w:hAnsiTheme="minorHAnsi" w:cstheme="minorHAnsi"/>
                <w:iCs/>
                <w:szCs w:val="22"/>
              </w:rPr>
              <w:t>: 0</w:t>
            </w:r>
            <w:r>
              <w:rPr>
                <w:rFonts w:asciiTheme="minorHAnsi" w:hAnsiTheme="minorHAnsi" w:cstheme="minorHAnsi"/>
                <w:iCs/>
                <w:szCs w:val="22"/>
              </w:rPr>
              <w:t>5</w:t>
            </w:r>
            <w:r w:rsidRPr="00B62B43">
              <w:rPr>
                <w:rFonts w:asciiTheme="minorHAnsi" w:hAnsiTheme="minorHAnsi" w:cstheme="minorHAnsi"/>
                <w:iCs/>
                <w:szCs w:val="22"/>
              </w:rPr>
              <w:t>/19</w:t>
            </w:r>
            <w:r>
              <w:rPr>
                <w:rFonts w:asciiTheme="minorHAnsi" w:hAnsiTheme="minorHAnsi" w:cstheme="minorHAnsi"/>
                <w:iCs/>
                <w:szCs w:val="22"/>
              </w:rPr>
              <w:t>;</w:t>
            </w:r>
          </w:p>
          <w:p w:rsidR="007C0F4C" w:rsidRPr="00B62B43" w:rsidRDefault="007C0F4C" w:rsidP="007C0F4C">
            <w:pPr>
              <w:pStyle w:val="TSBullet1Square"/>
              <w:spacing w:after="0"/>
              <w:rPr>
                <w:rFonts w:asciiTheme="minorHAnsi" w:hAnsiTheme="minorHAnsi" w:cstheme="minorHAnsi"/>
                <w:iCs/>
                <w:szCs w:val="22"/>
              </w:rPr>
            </w:pPr>
            <w:r>
              <w:rPr>
                <w:rFonts w:asciiTheme="minorHAnsi" w:hAnsiTheme="minorHAnsi" w:cstheme="minorHAnsi"/>
                <w:iCs/>
                <w:szCs w:val="22"/>
              </w:rPr>
              <w:t>Part</w:t>
            </w:r>
            <w:r w:rsidRPr="00B62B43">
              <w:rPr>
                <w:rFonts w:asciiTheme="minorHAnsi" w:hAnsiTheme="minorHAnsi" w:cstheme="minorHAnsi"/>
                <w:iCs/>
                <w:szCs w:val="22"/>
              </w:rPr>
              <w:t xml:space="preserve"> 2 start: </w:t>
            </w:r>
            <w:r>
              <w:rPr>
                <w:rFonts w:asciiTheme="minorHAnsi" w:hAnsiTheme="minorHAnsi" w:cstheme="minorHAnsi"/>
                <w:iCs/>
                <w:szCs w:val="22"/>
              </w:rPr>
              <w:t>04</w:t>
            </w:r>
            <w:r w:rsidRPr="00B62B43">
              <w:rPr>
                <w:rFonts w:asciiTheme="minorHAnsi" w:hAnsiTheme="minorHAnsi" w:cstheme="minorHAnsi"/>
                <w:iCs/>
                <w:szCs w:val="22"/>
              </w:rPr>
              <w:t>/19</w:t>
            </w:r>
            <w:r>
              <w:rPr>
                <w:rFonts w:asciiTheme="minorHAnsi" w:hAnsiTheme="minorHAnsi" w:cstheme="minorHAnsi"/>
                <w:iCs/>
                <w:szCs w:val="22"/>
              </w:rPr>
              <w:t>;</w:t>
            </w:r>
            <w:r w:rsidRPr="00B62B43">
              <w:rPr>
                <w:rFonts w:asciiTheme="minorHAnsi" w:hAnsiTheme="minorHAnsi" w:cstheme="minorHAnsi"/>
                <w:iCs/>
                <w:szCs w:val="22"/>
              </w:rPr>
              <w:t xml:space="preserve"> </w:t>
            </w:r>
          </w:p>
          <w:p w:rsidR="007C0F4C" w:rsidRPr="00B62B43" w:rsidRDefault="007C0F4C" w:rsidP="007C0F4C">
            <w:pPr>
              <w:pStyle w:val="TSBullet1Square"/>
              <w:spacing w:after="0"/>
              <w:rPr>
                <w:rFonts w:asciiTheme="minorHAnsi" w:hAnsiTheme="minorHAnsi" w:cstheme="minorHAnsi"/>
                <w:iCs/>
                <w:szCs w:val="22"/>
              </w:rPr>
            </w:pPr>
            <w:r>
              <w:rPr>
                <w:rFonts w:asciiTheme="minorHAnsi" w:hAnsiTheme="minorHAnsi" w:cstheme="minorHAnsi"/>
                <w:iCs/>
                <w:szCs w:val="22"/>
              </w:rPr>
              <w:t>“Memo report” on Part 2</w:t>
            </w:r>
            <w:r w:rsidRPr="00B62B43">
              <w:rPr>
                <w:rFonts w:asciiTheme="minorHAnsi" w:hAnsiTheme="minorHAnsi" w:cstheme="minorHAnsi"/>
                <w:iCs/>
                <w:szCs w:val="22"/>
              </w:rPr>
              <w:t>: 08/19</w:t>
            </w:r>
          </w:p>
          <w:p w:rsidR="007C0F4C" w:rsidRDefault="007C0F4C" w:rsidP="007C0F4C">
            <w:pPr>
              <w:pStyle w:val="TSBullet1Square"/>
              <w:spacing w:after="0"/>
              <w:rPr>
                <w:rFonts w:asciiTheme="minorHAnsi" w:hAnsiTheme="minorHAnsi" w:cstheme="minorHAnsi"/>
                <w:iCs/>
                <w:szCs w:val="22"/>
              </w:rPr>
            </w:pPr>
            <w:r>
              <w:rPr>
                <w:rFonts w:asciiTheme="minorHAnsi" w:hAnsiTheme="minorHAnsi" w:cstheme="minorHAnsi"/>
                <w:iCs/>
                <w:szCs w:val="22"/>
              </w:rPr>
              <w:t xml:space="preserve">Draft </w:t>
            </w:r>
            <w:r w:rsidRPr="00B62B43">
              <w:rPr>
                <w:rFonts w:asciiTheme="minorHAnsi" w:hAnsiTheme="minorHAnsi" w:cstheme="minorHAnsi"/>
                <w:iCs/>
                <w:szCs w:val="22"/>
              </w:rPr>
              <w:t>report for P</w:t>
            </w:r>
            <w:r>
              <w:rPr>
                <w:rFonts w:asciiTheme="minorHAnsi" w:hAnsiTheme="minorHAnsi" w:cstheme="minorHAnsi"/>
                <w:iCs/>
                <w:szCs w:val="22"/>
              </w:rPr>
              <w:t>art</w:t>
            </w:r>
            <w:r w:rsidRPr="00B62B43">
              <w:rPr>
                <w:rFonts w:asciiTheme="minorHAnsi" w:hAnsiTheme="minorHAnsi" w:cstheme="minorHAnsi"/>
                <w:iCs/>
                <w:szCs w:val="22"/>
              </w:rPr>
              <w:t xml:space="preserve"> 2: </w:t>
            </w:r>
            <w:r>
              <w:rPr>
                <w:rFonts w:asciiTheme="minorHAnsi" w:hAnsiTheme="minorHAnsi" w:cstheme="minorHAnsi"/>
                <w:iCs/>
                <w:szCs w:val="22"/>
              </w:rPr>
              <w:t>10</w:t>
            </w:r>
            <w:r w:rsidRPr="00B62B43">
              <w:rPr>
                <w:rFonts w:asciiTheme="minorHAnsi" w:hAnsiTheme="minorHAnsi" w:cstheme="minorHAnsi"/>
                <w:iCs/>
                <w:szCs w:val="22"/>
              </w:rPr>
              <w:t>/19</w:t>
            </w:r>
          </w:p>
          <w:p w:rsidR="007C0F4C" w:rsidRPr="00917897" w:rsidRDefault="007C0F4C" w:rsidP="007C0F4C">
            <w:pPr>
              <w:pStyle w:val="TSBullet1Square"/>
              <w:rPr>
                <w:rFonts w:asciiTheme="minorHAnsi" w:hAnsiTheme="minorHAnsi" w:cstheme="minorHAnsi"/>
                <w:iCs/>
                <w:szCs w:val="22"/>
              </w:rPr>
            </w:pPr>
            <w:r>
              <w:rPr>
                <w:rFonts w:asciiTheme="minorHAnsi" w:hAnsiTheme="minorHAnsi" w:cstheme="minorHAnsi"/>
                <w:iCs/>
                <w:szCs w:val="22"/>
              </w:rPr>
              <w:t>Final</w:t>
            </w:r>
            <w:r w:rsidRPr="00917897">
              <w:rPr>
                <w:rFonts w:asciiTheme="minorHAnsi" w:hAnsiTheme="minorHAnsi" w:cstheme="minorHAnsi"/>
                <w:iCs/>
                <w:szCs w:val="22"/>
              </w:rPr>
              <w:t xml:space="preserve"> report for Part 2: 1</w:t>
            </w:r>
            <w:r>
              <w:rPr>
                <w:rFonts w:asciiTheme="minorHAnsi" w:hAnsiTheme="minorHAnsi" w:cstheme="minorHAnsi"/>
                <w:iCs/>
                <w:szCs w:val="22"/>
              </w:rPr>
              <w:t>1</w:t>
            </w:r>
            <w:r w:rsidRPr="00917897">
              <w:rPr>
                <w:rFonts w:asciiTheme="minorHAnsi" w:hAnsiTheme="minorHAnsi" w:cstheme="minorHAnsi"/>
                <w:iCs/>
                <w:szCs w:val="22"/>
              </w:rPr>
              <w:t>/19</w:t>
            </w:r>
          </w:p>
          <w:p w:rsidR="007C0F4C" w:rsidRPr="00B62B43" w:rsidRDefault="007C0F4C" w:rsidP="007C0F4C">
            <w:pPr>
              <w:pStyle w:val="TSBullet1Square"/>
              <w:numPr>
                <w:ilvl w:val="0"/>
                <w:numId w:val="0"/>
              </w:numPr>
              <w:spacing w:after="0"/>
              <w:ind w:left="1440"/>
              <w:rPr>
                <w:rFonts w:asciiTheme="minorHAnsi" w:hAnsiTheme="minorHAnsi" w:cstheme="minorHAnsi"/>
                <w:iCs/>
                <w:szCs w:val="22"/>
              </w:rPr>
            </w:pPr>
          </w:p>
          <w:p w:rsidR="00817546" w:rsidRPr="007C0F4C" w:rsidRDefault="007C0F4C" w:rsidP="00701951">
            <w:pPr>
              <w:pStyle w:val="TSNumberedParagraph11"/>
              <w:jc w:val="both"/>
              <w:rPr>
                <w:rFonts w:asciiTheme="minorHAnsi" w:hAnsiTheme="minorHAnsi" w:cstheme="minorHAnsi"/>
                <w:iCs/>
                <w:szCs w:val="22"/>
              </w:rPr>
            </w:pPr>
            <w:r w:rsidRPr="00B62B43">
              <w:rPr>
                <w:rFonts w:asciiTheme="minorHAnsi" w:hAnsiTheme="minorHAnsi" w:cstheme="minorHAnsi"/>
                <w:iCs/>
                <w:szCs w:val="22"/>
              </w:rPr>
              <w:t>The key project milestones and delivery dates for the various reports will be agreed and fixed when the contract is awarded.</w:t>
            </w:r>
          </w:p>
          <w:p w:rsidR="00093CE2" w:rsidRPr="00941FBC" w:rsidRDefault="00093CE2" w:rsidP="00093CE2">
            <w:pPr>
              <w:pStyle w:val="TSNumberedParagraph11"/>
              <w:numPr>
                <w:ilvl w:val="0"/>
                <w:numId w:val="0"/>
              </w:numPr>
              <w:jc w:val="both"/>
              <w:rPr>
                <w:rFonts w:asciiTheme="minorHAnsi" w:hAnsiTheme="minorHAnsi" w:cstheme="minorHAnsi"/>
                <w:b/>
              </w:rPr>
            </w:pPr>
            <w:r w:rsidRPr="00941FBC">
              <w:rPr>
                <w:rFonts w:asciiTheme="minorHAnsi" w:hAnsiTheme="minorHAnsi" w:cstheme="minorHAnsi"/>
                <w:b/>
                <w:u w:val="single"/>
              </w:rPr>
              <w:t>REFERENCES</w:t>
            </w:r>
          </w:p>
          <w:p w:rsidR="00653BD7" w:rsidRPr="00653BD7" w:rsidRDefault="00653BD7" w:rsidP="00653BD7">
            <w:pPr>
              <w:pStyle w:val="TSNumberedParagraph11"/>
              <w:numPr>
                <w:ilvl w:val="0"/>
                <w:numId w:val="38"/>
              </w:numPr>
              <w:jc w:val="both"/>
              <w:rPr>
                <w:rFonts w:asciiTheme="minorHAnsi" w:hAnsiTheme="minorHAnsi" w:cstheme="minorHAnsi"/>
              </w:rPr>
            </w:pPr>
            <w:r w:rsidRPr="00653BD7">
              <w:rPr>
                <w:rFonts w:asciiTheme="minorHAnsi" w:hAnsiTheme="minorHAnsi" w:cstheme="minorHAnsi"/>
              </w:rPr>
              <w:t>Safety Assessment Prin</w:t>
            </w:r>
            <w:r>
              <w:rPr>
                <w:rFonts w:asciiTheme="minorHAnsi" w:hAnsiTheme="minorHAnsi" w:cstheme="minorHAnsi"/>
              </w:rPr>
              <w:t xml:space="preserve">ciples </w:t>
            </w:r>
            <w:r w:rsidRPr="00653BD7">
              <w:rPr>
                <w:rFonts w:asciiTheme="minorHAnsi" w:hAnsiTheme="minorHAnsi" w:cstheme="minorHAnsi"/>
              </w:rPr>
              <w:t>for Nuclear Facilities</w:t>
            </w:r>
            <w:r>
              <w:rPr>
                <w:rFonts w:asciiTheme="minorHAnsi" w:hAnsiTheme="minorHAnsi" w:cstheme="minorHAnsi"/>
              </w:rPr>
              <w:t xml:space="preserve">, </w:t>
            </w:r>
            <w:r w:rsidRPr="00653BD7">
              <w:rPr>
                <w:rFonts w:asciiTheme="minorHAnsi" w:hAnsiTheme="minorHAnsi" w:cstheme="minorHAnsi"/>
              </w:rPr>
              <w:t>2014 Edition</w:t>
            </w:r>
            <w:r>
              <w:rPr>
                <w:rFonts w:asciiTheme="minorHAnsi" w:hAnsiTheme="minorHAnsi" w:cstheme="minorHAnsi"/>
              </w:rPr>
              <w:t xml:space="preserve">, </w:t>
            </w:r>
            <w:r w:rsidRPr="00653BD7">
              <w:rPr>
                <w:rFonts w:asciiTheme="minorHAnsi" w:hAnsiTheme="minorHAnsi" w:cstheme="minorHAnsi"/>
              </w:rPr>
              <w:t>Revision 0</w:t>
            </w:r>
            <w:r w:rsidR="00EC41BD">
              <w:rPr>
                <w:rFonts w:asciiTheme="minorHAnsi" w:hAnsiTheme="minorHAnsi" w:cstheme="minorHAnsi"/>
              </w:rPr>
              <w:t>, Office for Nuclear Regulation.</w:t>
            </w:r>
          </w:p>
          <w:p w:rsidR="00653BD7" w:rsidRDefault="00EC41BD" w:rsidP="00EC41BD">
            <w:pPr>
              <w:pStyle w:val="TSNumberedParagraph11"/>
              <w:numPr>
                <w:ilvl w:val="0"/>
                <w:numId w:val="38"/>
              </w:numPr>
              <w:jc w:val="both"/>
              <w:rPr>
                <w:rFonts w:asciiTheme="minorHAnsi" w:hAnsiTheme="minorHAnsi" w:cstheme="minorHAnsi"/>
              </w:rPr>
            </w:pPr>
            <w:r w:rsidRPr="00EC41BD">
              <w:rPr>
                <w:rFonts w:asciiTheme="minorHAnsi" w:hAnsiTheme="minorHAnsi" w:cstheme="minorHAnsi"/>
              </w:rPr>
              <w:t>Nuclear Safety Technical Assessment Guide</w:t>
            </w:r>
            <w:r>
              <w:rPr>
                <w:rFonts w:asciiTheme="minorHAnsi" w:hAnsiTheme="minorHAnsi" w:cstheme="minorHAnsi"/>
              </w:rPr>
              <w:t xml:space="preserve">, Decommissioning, </w:t>
            </w:r>
            <w:r w:rsidRPr="00EC41BD">
              <w:rPr>
                <w:rFonts w:asciiTheme="minorHAnsi" w:hAnsiTheme="minorHAnsi" w:cstheme="minorHAnsi"/>
              </w:rPr>
              <w:t>NS-TAST-GD-026 Revision 4</w:t>
            </w:r>
            <w:r>
              <w:rPr>
                <w:rFonts w:asciiTheme="minorHAnsi" w:hAnsiTheme="minorHAnsi" w:cstheme="minorHAnsi"/>
              </w:rPr>
              <w:t>, Office for Nuclear Regulation, September 2016.</w:t>
            </w:r>
          </w:p>
          <w:p w:rsidR="00093CE2" w:rsidRDefault="00093CE2" w:rsidP="00093CE2">
            <w:pPr>
              <w:pStyle w:val="TSNumberedParagraph11"/>
              <w:numPr>
                <w:ilvl w:val="0"/>
                <w:numId w:val="38"/>
              </w:numPr>
              <w:jc w:val="both"/>
              <w:rPr>
                <w:rFonts w:asciiTheme="minorHAnsi" w:hAnsiTheme="minorHAnsi" w:cstheme="minorHAnsi"/>
              </w:rPr>
            </w:pPr>
            <w:r>
              <w:rPr>
                <w:rFonts w:asciiTheme="minorHAnsi" w:hAnsiTheme="minorHAnsi" w:cstheme="minorHAnsi"/>
              </w:rPr>
              <w:t xml:space="preserve">Specific Safety Guide No.SSG-47, </w:t>
            </w:r>
            <w:r w:rsidRPr="00093CE2">
              <w:rPr>
                <w:rFonts w:asciiTheme="minorHAnsi" w:hAnsiTheme="minorHAnsi" w:cstheme="minorHAnsi"/>
              </w:rPr>
              <w:t>Decommissioning of</w:t>
            </w:r>
            <w:r>
              <w:rPr>
                <w:rFonts w:asciiTheme="minorHAnsi" w:hAnsiTheme="minorHAnsi" w:cstheme="minorHAnsi"/>
              </w:rPr>
              <w:t xml:space="preserve"> </w:t>
            </w:r>
            <w:r w:rsidRPr="00093CE2">
              <w:rPr>
                <w:rFonts w:asciiTheme="minorHAnsi" w:hAnsiTheme="minorHAnsi" w:cstheme="minorHAnsi"/>
              </w:rPr>
              <w:t>Nuclear Power Plants,</w:t>
            </w:r>
            <w:r>
              <w:rPr>
                <w:rFonts w:asciiTheme="minorHAnsi" w:hAnsiTheme="minorHAnsi" w:cstheme="minorHAnsi"/>
              </w:rPr>
              <w:t xml:space="preserve"> </w:t>
            </w:r>
            <w:r w:rsidRPr="00093CE2">
              <w:rPr>
                <w:rFonts w:asciiTheme="minorHAnsi" w:hAnsiTheme="minorHAnsi" w:cstheme="minorHAnsi"/>
              </w:rPr>
              <w:t>Research Reactors</w:t>
            </w:r>
            <w:r>
              <w:rPr>
                <w:rFonts w:asciiTheme="minorHAnsi" w:hAnsiTheme="minorHAnsi" w:cstheme="minorHAnsi"/>
              </w:rPr>
              <w:t xml:space="preserve"> </w:t>
            </w:r>
            <w:r w:rsidRPr="00093CE2">
              <w:rPr>
                <w:rFonts w:asciiTheme="minorHAnsi" w:hAnsiTheme="minorHAnsi" w:cstheme="minorHAnsi"/>
              </w:rPr>
              <w:t>and Other Nuclear Fuel</w:t>
            </w:r>
            <w:r>
              <w:rPr>
                <w:rFonts w:asciiTheme="minorHAnsi" w:hAnsiTheme="minorHAnsi" w:cstheme="minorHAnsi"/>
              </w:rPr>
              <w:t xml:space="preserve"> </w:t>
            </w:r>
            <w:r w:rsidRPr="00093CE2">
              <w:rPr>
                <w:rFonts w:asciiTheme="minorHAnsi" w:hAnsiTheme="minorHAnsi" w:cstheme="minorHAnsi"/>
              </w:rPr>
              <w:t>Cycle Facilities</w:t>
            </w:r>
            <w:r>
              <w:rPr>
                <w:rFonts w:asciiTheme="minorHAnsi" w:hAnsiTheme="minorHAnsi" w:cstheme="minorHAnsi"/>
              </w:rPr>
              <w:t xml:space="preserve">, IAEA, </w:t>
            </w:r>
            <w:r w:rsidR="00653BD7">
              <w:rPr>
                <w:rFonts w:asciiTheme="minorHAnsi" w:hAnsiTheme="minorHAnsi" w:cstheme="minorHAnsi"/>
              </w:rPr>
              <w:t xml:space="preserve">Vienna, </w:t>
            </w:r>
            <w:r>
              <w:rPr>
                <w:rFonts w:asciiTheme="minorHAnsi" w:hAnsiTheme="minorHAnsi" w:cstheme="minorHAnsi"/>
              </w:rPr>
              <w:t>2018.</w:t>
            </w:r>
          </w:p>
          <w:p w:rsidR="00093CE2" w:rsidRDefault="00653BD7" w:rsidP="00653BD7">
            <w:pPr>
              <w:pStyle w:val="TSNumberedParagraph11"/>
              <w:numPr>
                <w:ilvl w:val="0"/>
                <w:numId w:val="38"/>
              </w:numPr>
              <w:jc w:val="both"/>
              <w:rPr>
                <w:rFonts w:asciiTheme="minorHAnsi" w:hAnsiTheme="minorHAnsi" w:cstheme="minorHAnsi"/>
              </w:rPr>
            </w:pPr>
            <w:r w:rsidRPr="00093CE2">
              <w:rPr>
                <w:rFonts w:asciiTheme="minorHAnsi" w:hAnsiTheme="minorHAnsi" w:cstheme="minorHAnsi"/>
              </w:rPr>
              <w:t>Design Lessons D</w:t>
            </w:r>
            <w:r>
              <w:rPr>
                <w:rFonts w:asciiTheme="minorHAnsi" w:hAnsiTheme="minorHAnsi" w:cstheme="minorHAnsi"/>
              </w:rPr>
              <w:t>rawn From t</w:t>
            </w:r>
            <w:r w:rsidRPr="00093CE2">
              <w:rPr>
                <w:rFonts w:asciiTheme="minorHAnsi" w:hAnsiTheme="minorHAnsi" w:cstheme="minorHAnsi"/>
              </w:rPr>
              <w:t>he</w:t>
            </w:r>
            <w:r>
              <w:rPr>
                <w:rFonts w:asciiTheme="minorHAnsi" w:hAnsiTheme="minorHAnsi" w:cstheme="minorHAnsi"/>
              </w:rPr>
              <w:t xml:space="preserve"> </w:t>
            </w:r>
            <w:r w:rsidRPr="00653BD7">
              <w:rPr>
                <w:rFonts w:asciiTheme="minorHAnsi" w:hAnsiTheme="minorHAnsi" w:cstheme="minorHAnsi"/>
              </w:rPr>
              <w:t>Decommissioning Of Nuclear Facilities</w:t>
            </w:r>
            <w:r>
              <w:rPr>
                <w:rFonts w:asciiTheme="minorHAnsi" w:hAnsiTheme="minorHAnsi" w:cstheme="minorHAnsi"/>
              </w:rPr>
              <w:t>, TECDOC-1657, IAEA, Vienna, 2011.</w:t>
            </w:r>
          </w:p>
          <w:p w:rsidR="00653BD7" w:rsidRDefault="00653BD7" w:rsidP="00653BD7">
            <w:pPr>
              <w:pStyle w:val="TSNumberedParagraph11"/>
              <w:numPr>
                <w:ilvl w:val="0"/>
                <w:numId w:val="38"/>
              </w:numPr>
              <w:jc w:val="both"/>
              <w:rPr>
                <w:rFonts w:asciiTheme="minorHAnsi" w:hAnsiTheme="minorHAnsi" w:cstheme="minorHAnsi"/>
              </w:rPr>
            </w:pPr>
            <w:r>
              <w:rPr>
                <w:rFonts w:asciiTheme="minorHAnsi" w:hAnsiTheme="minorHAnsi" w:cstheme="minorHAnsi"/>
              </w:rPr>
              <w:t xml:space="preserve">Applying Decommissioning Experience to the Design and Operation of New Nuclear Power Plants, NEA No.6924, Nuclear Energy Agency, Organisation for Economic Cooperation and Development, 2011. </w:t>
            </w:r>
          </w:p>
          <w:p w:rsidR="00653BD7" w:rsidRDefault="00EC41BD" w:rsidP="00653BD7">
            <w:pPr>
              <w:pStyle w:val="TSNumberedParagraph11"/>
              <w:numPr>
                <w:ilvl w:val="0"/>
                <w:numId w:val="38"/>
              </w:numPr>
              <w:jc w:val="both"/>
              <w:rPr>
                <w:rFonts w:asciiTheme="minorHAnsi" w:hAnsiTheme="minorHAnsi" w:cstheme="minorHAnsi"/>
              </w:rPr>
            </w:pPr>
            <w:r>
              <w:rPr>
                <w:rFonts w:asciiTheme="minorHAnsi" w:hAnsiTheme="minorHAnsi" w:cstheme="minorHAnsi"/>
              </w:rPr>
              <w:t>Decommissioning Considerations for New Nuclear Power Plants, NEA No.6833, Nuclear Energy Agency, Organisation for Economic Cooperation and Development, 2010.</w:t>
            </w:r>
          </w:p>
          <w:p w:rsidR="00EC41BD" w:rsidRDefault="00EC41BD" w:rsidP="00653BD7">
            <w:pPr>
              <w:pStyle w:val="TSNumberedParagraph11"/>
              <w:numPr>
                <w:ilvl w:val="0"/>
                <w:numId w:val="38"/>
              </w:numPr>
              <w:jc w:val="both"/>
              <w:rPr>
                <w:rFonts w:asciiTheme="minorHAnsi" w:hAnsiTheme="minorHAnsi" w:cstheme="minorHAnsi"/>
              </w:rPr>
            </w:pPr>
            <w:r>
              <w:rPr>
                <w:rFonts w:asciiTheme="minorHAnsi" w:hAnsiTheme="minorHAnsi" w:cstheme="minorHAnsi"/>
              </w:rPr>
              <w:t>UK HPR1000 GDA Project, Pre-Construction Safety Report, Chapter 24 Decommissioning, HPR/GDA/PCSR/0024 Revision 111, General Nuclear System Ltd, September 2018.</w:t>
            </w:r>
          </w:p>
          <w:p w:rsidR="00701951" w:rsidRDefault="00701951" w:rsidP="00701951">
            <w:pPr>
              <w:pStyle w:val="TSNumberedParagraph11"/>
              <w:numPr>
                <w:ilvl w:val="0"/>
                <w:numId w:val="0"/>
              </w:numPr>
              <w:ind w:left="720" w:hanging="720"/>
              <w:jc w:val="both"/>
              <w:rPr>
                <w:rFonts w:asciiTheme="minorHAnsi" w:hAnsiTheme="minorHAnsi" w:cstheme="minorHAnsi"/>
              </w:rPr>
            </w:pPr>
          </w:p>
          <w:p w:rsidR="00EC41BD" w:rsidRDefault="00EC41BD" w:rsidP="00653BD7">
            <w:pPr>
              <w:pStyle w:val="TSNumberedParagraph11"/>
              <w:numPr>
                <w:ilvl w:val="0"/>
                <w:numId w:val="38"/>
              </w:numPr>
              <w:jc w:val="both"/>
              <w:rPr>
                <w:rFonts w:asciiTheme="minorHAnsi" w:hAnsiTheme="minorHAnsi" w:cstheme="minorHAnsi"/>
              </w:rPr>
            </w:pPr>
            <w:r>
              <w:rPr>
                <w:rFonts w:asciiTheme="minorHAnsi" w:hAnsiTheme="minorHAnsi" w:cstheme="minorHAnsi"/>
              </w:rPr>
              <w:t xml:space="preserve">Generic Design Assessment (GDA) for UK HPR1000, Consistency Evaluation for Design of Facilitating Decommissioning, GH X 71500 005 DNFF 03 GN, Revision B, </w:t>
            </w:r>
            <w:r w:rsidR="00340A61">
              <w:rPr>
                <w:rFonts w:asciiTheme="minorHAnsi" w:hAnsiTheme="minorHAnsi" w:cstheme="minorHAnsi"/>
              </w:rPr>
              <w:t xml:space="preserve">CGN, </w:t>
            </w:r>
            <w:r>
              <w:rPr>
                <w:rFonts w:asciiTheme="minorHAnsi" w:hAnsiTheme="minorHAnsi" w:cstheme="minorHAnsi"/>
              </w:rPr>
              <w:t xml:space="preserve">July 2018 (Protect – </w:t>
            </w:r>
            <w:r>
              <w:rPr>
                <w:rFonts w:asciiTheme="minorHAnsi" w:hAnsiTheme="minorHAnsi" w:cstheme="minorHAnsi"/>
              </w:rPr>
              <w:lastRenderedPageBreak/>
              <w:t>Proprietary).</w:t>
            </w:r>
          </w:p>
          <w:p w:rsidR="00EC41BD" w:rsidRPr="00653BD7" w:rsidRDefault="00340A61" w:rsidP="00653BD7">
            <w:pPr>
              <w:pStyle w:val="TSNumberedParagraph11"/>
              <w:numPr>
                <w:ilvl w:val="0"/>
                <w:numId w:val="38"/>
              </w:numPr>
              <w:jc w:val="both"/>
              <w:rPr>
                <w:rFonts w:asciiTheme="minorHAnsi" w:hAnsiTheme="minorHAnsi" w:cstheme="minorHAnsi"/>
              </w:rPr>
            </w:pPr>
            <w:r>
              <w:rPr>
                <w:rFonts w:asciiTheme="minorHAnsi" w:hAnsiTheme="minorHAnsi" w:cstheme="minorHAnsi"/>
              </w:rPr>
              <w:t>OPEX on Decommissioning, report due for submission March 2019 (tbc).</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AF4C0F" w:rsidRDefault="00836999"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In summary, t</w:t>
            </w:r>
            <w:r w:rsidR="004103DB">
              <w:rPr>
                <w:rFonts w:asciiTheme="minorHAnsi" w:hAnsiTheme="minorHAnsi" w:cstheme="minorHAnsi"/>
              </w:rPr>
              <w:t>he required outcomes of this work package</w:t>
            </w:r>
            <w:r w:rsidR="00633A4B">
              <w:rPr>
                <w:rFonts w:asciiTheme="minorHAnsi" w:hAnsiTheme="minorHAnsi" w:cstheme="minorHAnsi"/>
              </w:rPr>
              <w:t xml:space="preserve"> are two reports, which :</w:t>
            </w:r>
          </w:p>
          <w:p w:rsidR="00633A4B" w:rsidRDefault="00093CE2" w:rsidP="00AF469C">
            <w:pPr>
              <w:pStyle w:val="TSBullet1Square"/>
              <w:tabs>
                <w:tab w:val="clear" w:pos="-31680"/>
              </w:tabs>
              <w:spacing w:after="0"/>
              <w:jc w:val="both"/>
              <w:rPr>
                <w:rFonts w:asciiTheme="minorHAnsi" w:hAnsiTheme="minorHAnsi" w:cstheme="minorHAnsi"/>
              </w:rPr>
            </w:pPr>
            <w:r>
              <w:rPr>
                <w:rFonts w:asciiTheme="minorHAnsi" w:hAnsiTheme="minorHAnsi" w:cstheme="minorHAnsi"/>
              </w:rPr>
              <w:t>Provide</w:t>
            </w:r>
            <w:r w:rsidR="00836999">
              <w:rPr>
                <w:rFonts w:asciiTheme="minorHAnsi" w:hAnsiTheme="minorHAnsi" w:cstheme="minorHAnsi"/>
              </w:rPr>
              <w:t xml:space="preserve"> a broad review of good practices and OEF in the decommissioning of Nuclear Power Plants</w:t>
            </w:r>
            <w:r w:rsidR="00F269F4">
              <w:rPr>
                <w:rFonts w:asciiTheme="minorHAnsi" w:hAnsiTheme="minorHAnsi" w:cstheme="minorHAnsi"/>
              </w:rPr>
              <w:t xml:space="preserve"> and design for decommissioning of such plants</w:t>
            </w:r>
            <w:r w:rsidR="00836999">
              <w:rPr>
                <w:rFonts w:asciiTheme="minorHAnsi" w:hAnsiTheme="minorHAnsi" w:cstheme="minorHAnsi"/>
              </w:rPr>
              <w:t xml:space="preserve">, </w:t>
            </w:r>
            <w:r w:rsidR="00F269F4">
              <w:rPr>
                <w:rFonts w:asciiTheme="minorHAnsi" w:hAnsiTheme="minorHAnsi" w:cstheme="minorHAnsi"/>
              </w:rPr>
              <w:t xml:space="preserve">and where relevant other nuclear plant, </w:t>
            </w:r>
            <w:r w:rsidR="00836999">
              <w:rPr>
                <w:rFonts w:asciiTheme="minorHAnsi" w:hAnsiTheme="minorHAnsi" w:cstheme="minorHAnsi"/>
              </w:rPr>
              <w:t>with focus on PWR</w:t>
            </w:r>
            <w:r w:rsidR="00F269F4">
              <w:rPr>
                <w:rFonts w:asciiTheme="minorHAnsi" w:hAnsiTheme="minorHAnsi" w:cstheme="minorHAnsi"/>
              </w:rPr>
              <w:t>s;</w:t>
            </w:r>
          </w:p>
          <w:p w:rsidR="00F269F4" w:rsidRDefault="00093CE2" w:rsidP="00AF469C">
            <w:pPr>
              <w:pStyle w:val="TSBullet1Square"/>
              <w:tabs>
                <w:tab w:val="clear" w:pos="-31680"/>
              </w:tabs>
              <w:spacing w:after="0"/>
              <w:jc w:val="both"/>
              <w:rPr>
                <w:rFonts w:asciiTheme="minorHAnsi" w:hAnsiTheme="minorHAnsi" w:cstheme="minorHAnsi"/>
              </w:rPr>
            </w:pPr>
            <w:r>
              <w:rPr>
                <w:rFonts w:asciiTheme="minorHAnsi" w:hAnsiTheme="minorHAnsi" w:cstheme="minorHAnsi"/>
              </w:rPr>
              <w:t>Provide</w:t>
            </w:r>
            <w:r w:rsidR="00F269F4">
              <w:rPr>
                <w:rFonts w:asciiTheme="minorHAnsi" w:hAnsiTheme="minorHAnsi" w:cstheme="minorHAnsi"/>
              </w:rPr>
              <w:t xml:space="preserve"> a review of the consistency of the design for decommissioning measures proposed by the Requesting Parties for the UK HPR1000 with the good practices and OEF carried out as a result of the broad review carried out;</w:t>
            </w:r>
          </w:p>
          <w:p w:rsidR="00F269F4" w:rsidRDefault="00F269F4" w:rsidP="00AF469C">
            <w:pPr>
              <w:pStyle w:val="TSBullet1Square"/>
              <w:tabs>
                <w:tab w:val="clear" w:pos="-31680"/>
              </w:tabs>
              <w:spacing w:after="0"/>
              <w:jc w:val="both"/>
              <w:rPr>
                <w:rFonts w:asciiTheme="minorHAnsi" w:hAnsiTheme="minorHAnsi" w:cstheme="minorHAnsi"/>
              </w:rPr>
            </w:pPr>
            <w:r>
              <w:rPr>
                <w:rFonts w:asciiTheme="minorHAnsi" w:hAnsiTheme="minorHAnsi" w:cstheme="minorHAnsi"/>
              </w:rPr>
              <w:t>Identif</w:t>
            </w:r>
            <w:r w:rsidR="007141AB">
              <w:rPr>
                <w:rFonts w:asciiTheme="minorHAnsi" w:hAnsiTheme="minorHAnsi" w:cstheme="minorHAnsi"/>
              </w:rPr>
              <w:t>y</w:t>
            </w:r>
            <w:r>
              <w:rPr>
                <w:rFonts w:asciiTheme="minorHAnsi" w:hAnsiTheme="minorHAnsi" w:cstheme="minorHAnsi"/>
              </w:rPr>
              <w:t xml:space="preserve"> any significant gaps/differences between the measures proposed for </w:t>
            </w:r>
            <w:r w:rsidR="00093CE2">
              <w:rPr>
                <w:rFonts w:asciiTheme="minorHAnsi" w:hAnsiTheme="minorHAnsi" w:cstheme="minorHAnsi"/>
              </w:rPr>
              <w:t>design for decommissioning for the UK HPR1000 and good practices/OEF.</w:t>
            </w:r>
          </w:p>
          <w:p w:rsidR="00AF4C0F" w:rsidRPr="00093CE2" w:rsidRDefault="00093CE2" w:rsidP="00AF469C">
            <w:pPr>
              <w:pStyle w:val="TSBullet1Square"/>
              <w:tabs>
                <w:tab w:val="clear" w:pos="-31680"/>
              </w:tabs>
              <w:spacing w:after="0"/>
              <w:jc w:val="both"/>
              <w:rPr>
                <w:rFonts w:asciiTheme="minorHAnsi" w:hAnsiTheme="minorHAnsi" w:cstheme="minorHAnsi"/>
              </w:rPr>
            </w:pPr>
            <w:r>
              <w:rPr>
                <w:rFonts w:asciiTheme="minorHAnsi" w:hAnsiTheme="minorHAnsi" w:cstheme="minorHAnsi"/>
              </w:rPr>
              <w:t>Provide recommendations to ONR where the design for decommissioning measures proposed by the Requesting Parties are either absent or are not consistent with good practices and where increased regulatory scrutiny may be required as GDA progresses to Step 4.</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rsidR="004A33DC" w:rsidRPr="00D30DD5" w:rsidRDefault="004A33DC" w:rsidP="00941FBC">
            <w:pPr>
              <w:pStyle w:val="TSNumberedParagraph11"/>
              <w:numPr>
                <w:ilvl w:val="0"/>
                <w:numId w:val="0"/>
              </w:numPr>
              <w:rPr>
                <w:rFonts w:asciiTheme="minorHAnsi" w:hAnsiTheme="minorHAnsi" w:cstheme="minorHAnsi"/>
              </w:rPr>
            </w:pPr>
            <w:r w:rsidRPr="00D30DD5">
              <w:rPr>
                <w:rFonts w:asciiTheme="minorHAnsi" w:hAnsiTheme="minorHAnsi" w:cstheme="minorHAnsi"/>
              </w:rPr>
              <w:t>The following constraints will apply:</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The work is expected to start and conclude in accordance with the overall timescales given above, and a project programme will be agreed with the contractor upon contract award.</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ONR will provide the latest versions of any relevant documentation submitted by the RP. Further information will need to be identified and requested by the contractor through technical questions (</w:t>
            </w:r>
            <w:r w:rsidR="00E941C8">
              <w:rPr>
                <w:rFonts w:asciiTheme="minorHAnsi" w:hAnsiTheme="minorHAnsi" w:cstheme="minorHAnsi"/>
              </w:rPr>
              <w:t xml:space="preserve">RQs, </w:t>
            </w:r>
            <w:r w:rsidRPr="00D30DD5">
              <w:rPr>
                <w:rFonts w:asciiTheme="minorHAnsi" w:hAnsiTheme="minorHAnsi" w:cstheme="minorHAnsi"/>
              </w:rPr>
              <w:t>via ONR). The timescales for both of these processes are largely outside of ONR’s direct control and therefore delays to the receipt of information may occur. Similarly</w:t>
            </w:r>
            <w:r w:rsidR="00E941C8">
              <w:rPr>
                <w:rFonts w:asciiTheme="minorHAnsi" w:hAnsiTheme="minorHAnsi" w:cstheme="minorHAnsi"/>
              </w:rPr>
              <w:t>,</w:t>
            </w:r>
            <w:r w:rsidRPr="00D30DD5">
              <w:rPr>
                <w:rFonts w:asciiTheme="minorHAnsi" w:hAnsiTheme="minorHAnsi" w:cstheme="minorHAnsi"/>
              </w:rPr>
              <w:t xml:space="preserve"> the quality of any response cannot be guaranteed. A pragmatic and flexible approach will need to be adopted by the contractor to deal with this, both technically and contractually.</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It is expected that the successful contractor will also draw upon their experience, resources and publically available information to perform this work.</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The arrangements for security vetting and IT security established in the Technical Support Contract framework agreement will need to be followed. No information with a security marking above UK OFFICAL - SENSITIVE is anticipated as part of this contract. Most information will carry the RP’s commercial marking.</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The contractor and where applicable, its sub-contractors, will need to provide assurances that it has, or is able to obtain, all necessary export control licenses, where required to transfer relevant information out of the UK and return it.</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 xml:space="preserve">The transmittal of all documents between ONR and the contractor will be through ONR's Joint Programme Office (JPO). This will be through encrypted DVDs, regardless of the security marking (unless the documents are publically available on the internet). </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Any conflict of interest should be declared. Where a potential conflict exists, the contractor should describe how this will be managed.</w:t>
            </w:r>
          </w:p>
          <w:p w:rsidR="004A33DC" w:rsidRPr="00D30DD5" w:rsidRDefault="004A33DC" w:rsidP="00AF469C">
            <w:pPr>
              <w:pStyle w:val="TSBullet1Square"/>
              <w:spacing w:after="0"/>
              <w:jc w:val="both"/>
              <w:rPr>
                <w:rFonts w:asciiTheme="minorHAnsi" w:hAnsiTheme="minorHAnsi" w:cstheme="minorHAnsi"/>
              </w:rPr>
            </w:pPr>
            <w:r w:rsidRPr="00D30DD5">
              <w:rPr>
                <w:rFonts w:asciiTheme="minorHAnsi" w:hAnsiTheme="minorHAnsi" w:cs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rsidR="00AF4C0F" w:rsidRDefault="004A33DC" w:rsidP="00AF469C">
            <w:pPr>
              <w:pStyle w:val="TSBullet1Square"/>
              <w:tabs>
                <w:tab w:val="clear" w:pos="-31680"/>
              </w:tabs>
              <w:spacing w:after="0"/>
              <w:jc w:val="both"/>
              <w:rPr>
                <w:rFonts w:asciiTheme="minorHAnsi" w:hAnsiTheme="minorHAnsi" w:cstheme="minorHAnsi"/>
              </w:rPr>
            </w:pPr>
            <w:r w:rsidRPr="00D30DD5">
              <w:rPr>
                <w:rFonts w:asciiTheme="minorHAnsi" w:hAnsiTheme="minorHAnsi" w:cstheme="minorHAnsi"/>
              </w:rPr>
              <w:lastRenderedPageBreak/>
              <w:t>It is not ONR’s intention to publish the reports produced through this contract. However, it is likely they will be referenced in publically available reports and therefore subject to freedom of information requests. This should not constrain or limit the produced reports but should be taken into account with the style and format.</w:t>
            </w:r>
          </w:p>
          <w:p w:rsidR="00AF469C" w:rsidRPr="00AF469C" w:rsidRDefault="00AF469C" w:rsidP="00AF469C">
            <w:pPr>
              <w:pStyle w:val="TSBullet1Square"/>
              <w:numPr>
                <w:ilvl w:val="0"/>
                <w:numId w:val="0"/>
              </w:numPr>
              <w:spacing w:after="0"/>
              <w:ind w:left="1440"/>
              <w:rPr>
                <w:rFonts w:asciiTheme="minorHAnsi" w:hAnsiTheme="minorHAnsi" w:cstheme="minorHAnsi"/>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AF4C0F" w:rsidRPr="00AF469C" w:rsidRDefault="00AF4C0F" w:rsidP="00AF469C">
            <w:pPr>
              <w:pStyle w:val="TSNumberedParagraph11"/>
              <w:jc w:val="both"/>
              <w:rPr>
                <w:rFonts w:asciiTheme="minorHAnsi" w:hAnsiTheme="minorHAnsi" w:cstheme="minorHAnsi"/>
                <w:iCs/>
                <w:szCs w:val="22"/>
              </w:rPr>
            </w:pPr>
            <w:r w:rsidRPr="00AF469C">
              <w:rPr>
                <w:rFonts w:asciiTheme="minorHAnsi" w:hAnsiTheme="minorHAnsi" w:cstheme="minorHAnsi"/>
                <w:iCs/>
                <w:szCs w:val="22"/>
              </w:rPr>
              <w:t xml:space="preserve">ONR will require to be kept updated about progress and delivery of the required work via monthly meetings, to include a contract start-up meeting at ONR’s offices at </w:t>
            </w:r>
            <w:r w:rsidR="004103DB" w:rsidRPr="00AF469C">
              <w:rPr>
                <w:rFonts w:asciiTheme="minorHAnsi" w:hAnsiTheme="minorHAnsi" w:cstheme="minorHAnsi"/>
                <w:iCs/>
                <w:szCs w:val="22"/>
              </w:rPr>
              <w:t xml:space="preserve">either </w:t>
            </w:r>
            <w:r w:rsidRPr="00AF469C">
              <w:rPr>
                <w:rFonts w:asciiTheme="minorHAnsi" w:hAnsiTheme="minorHAnsi" w:cstheme="minorHAnsi"/>
                <w:iCs/>
                <w:szCs w:val="22"/>
              </w:rPr>
              <w:t>Bootle</w:t>
            </w:r>
            <w:r w:rsidR="004103DB" w:rsidRPr="00AF469C">
              <w:rPr>
                <w:rFonts w:asciiTheme="minorHAnsi" w:hAnsiTheme="minorHAnsi" w:cstheme="minorHAnsi"/>
                <w:iCs/>
                <w:szCs w:val="22"/>
              </w:rPr>
              <w:t xml:space="preserve"> or Cheltenham</w:t>
            </w:r>
            <w:r w:rsidRPr="00AF469C">
              <w:rPr>
                <w:rFonts w:asciiTheme="minorHAnsi" w:hAnsiTheme="minorHAnsi" w:cstheme="minorHAnsi"/>
                <w:iCs/>
                <w:szCs w:val="22"/>
              </w:rPr>
              <w:t>. Subsequent progress meeting</w:t>
            </w:r>
            <w:r w:rsidR="00257C7A" w:rsidRPr="00AF469C">
              <w:rPr>
                <w:rFonts w:asciiTheme="minorHAnsi" w:hAnsiTheme="minorHAnsi" w:cstheme="minorHAnsi"/>
                <w:iCs/>
                <w:szCs w:val="22"/>
              </w:rPr>
              <w:t>s</w:t>
            </w:r>
            <w:r w:rsidRPr="00AF469C">
              <w:rPr>
                <w:rFonts w:asciiTheme="minorHAnsi" w:hAnsiTheme="minorHAnsi" w:cstheme="minorHAnsi"/>
                <w:iCs/>
                <w:szCs w:val="22"/>
              </w:rPr>
              <w:t xml:space="preserve"> should be arranged with the ONR Project Office and can be held at ONR’s office in Bootle</w:t>
            </w:r>
            <w:r w:rsidR="004103DB" w:rsidRPr="00AF469C">
              <w:rPr>
                <w:rFonts w:asciiTheme="minorHAnsi" w:hAnsiTheme="minorHAnsi" w:cstheme="minorHAnsi"/>
                <w:iCs/>
                <w:szCs w:val="22"/>
              </w:rPr>
              <w:t xml:space="preserve"> or Cheltenham</w:t>
            </w:r>
            <w:r w:rsidRPr="00AF469C">
              <w:rPr>
                <w:rFonts w:asciiTheme="minorHAnsi" w:hAnsiTheme="minorHAnsi" w:cstheme="minorHAnsi"/>
                <w:iCs/>
                <w:szCs w:val="22"/>
              </w:rPr>
              <w:t>, or the contractor’s premises</w:t>
            </w:r>
            <w:r w:rsidR="00E058C7" w:rsidRPr="00AF469C">
              <w:rPr>
                <w:rFonts w:asciiTheme="minorHAnsi" w:hAnsiTheme="minorHAnsi" w:cstheme="minorHAnsi"/>
                <w:iCs/>
                <w:szCs w:val="22"/>
              </w:rPr>
              <w:t xml:space="preserve"> or by teleconference as </w:t>
            </w:r>
            <w:r w:rsidR="00633A4B" w:rsidRPr="00AF469C">
              <w:rPr>
                <w:rFonts w:asciiTheme="minorHAnsi" w:hAnsiTheme="minorHAnsi" w:cstheme="minorHAnsi"/>
                <w:iCs/>
                <w:szCs w:val="22"/>
              </w:rPr>
              <w:t>agreed</w:t>
            </w:r>
            <w:r w:rsidRPr="00AF469C">
              <w:rPr>
                <w:rFonts w:asciiTheme="minorHAnsi" w:hAnsiTheme="minorHAnsi" w:cstheme="minorHAnsi"/>
                <w:iCs/>
                <w:szCs w:val="22"/>
              </w:rPr>
              <w:t>.</w:t>
            </w:r>
            <w:r w:rsidR="00633A4B" w:rsidRPr="00AF469C">
              <w:rPr>
                <w:rFonts w:asciiTheme="minorHAnsi" w:hAnsiTheme="minorHAnsi" w:cstheme="minorHAnsi"/>
                <w:iCs/>
                <w:szCs w:val="22"/>
              </w:rPr>
              <w:t xml:space="preserve">  Short written progress updates shall be provided in advance of the planned meetings.</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57C7A" w:rsidRDefault="00971BA8" w:rsidP="00941FBC">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257C7A">
              <w:rPr>
                <w:rFonts w:asciiTheme="minorHAnsi" w:hAnsiTheme="minorHAnsi" w:cstheme="minorHAnsi"/>
              </w:rPr>
              <w:t>:</w:t>
            </w:r>
          </w:p>
          <w:p w:rsidR="00257C7A" w:rsidRPr="00491956" w:rsidRDefault="00257C7A" w:rsidP="00AF469C">
            <w:pPr>
              <w:pStyle w:val="TSBullet1Square"/>
              <w:spacing w:after="0"/>
              <w:jc w:val="both"/>
              <w:rPr>
                <w:rFonts w:asciiTheme="minorHAnsi" w:hAnsiTheme="minorHAnsi" w:cstheme="minorHAnsi"/>
              </w:rPr>
            </w:pPr>
            <w:r w:rsidRPr="002C62C2">
              <w:rPr>
                <w:rFonts w:asciiTheme="minorHAnsi" w:hAnsiTheme="minorHAnsi" w:cstheme="minorHAnsi"/>
              </w:rPr>
              <w:t xml:space="preserve">a </w:t>
            </w:r>
            <w:r w:rsidRPr="00491956">
              <w:rPr>
                <w:rFonts w:asciiTheme="minorHAnsi" w:hAnsiTheme="minorHAnsi" w:cstheme="minorHAnsi"/>
              </w:rPr>
              <w:t>description of how you will deliver the scope of work (methodology) and the proposed delivery team you will use, clearly signposting to relevant sections within your Capability Prospectus where appropriate/relevant;</w:t>
            </w:r>
          </w:p>
          <w:p w:rsidR="00257C7A" w:rsidRDefault="00257C7A" w:rsidP="00AF469C">
            <w:pPr>
              <w:pStyle w:val="TSBullet1Square"/>
              <w:spacing w:after="0"/>
              <w:jc w:val="both"/>
              <w:rPr>
                <w:rFonts w:asciiTheme="minorHAnsi" w:hAnsiTheme="minorHAnsi" w:cstheme="minorHAnsi"/>
              </w:rPr>
            </w:pPr>
            <w:r>
              <w:rPr>
                <w:rFonts w:asciiTheme="minorHAnsi" w:hAnsiTheme="minorHAnsi" w:cstheme="minorHAnsi"/>
              </w:rPr>
              <w:t>a description of the standards that you will use for the reviews;</w:t>
            </w:r>
          </w:p>
          <w:p w:rsidR="00257C7A" w:rsidRDefault="00257C7A" w:rsidP="00AF469C">
            <w:pPr>
              <w:pStyle w:val="TSBullet1Square"/>
              <w:spacing w:after="0"/>
              <w:jc w:val="both"/>
              <w:rPr>
                <w:rFonts w:asciiTheme="minorHAnsi" w:hAnsiTheme="minorHAnsi" w:cstheme="minorHAnsi"/>
              </w:rPr>
            </w:pPr>
            <w:r>
              <w:rPr>
                <w:rFonts w:asciiTheme="minorHAnsi" w:hAnsiTheme="minorHAnsi" w:cstheme="minorHAnsi"/>
              </w:rPr>
              <w:t>a description of the expertise and experience of the teams</w:t>
            </w:r>
            <w:r w:rsidRPr="00AF469C">
              <w:rPr>
                <w:rFonts w:asciiTheme="minorHAnsi" w:hAnsiTheme="minorHAnsi" w:cstheme="minorHAnsi"/>
              </w:rPr>
              <w:t xml:space="preserve"> </w:t>
            </w:r>
            <w:r>
              <w:rPr>
                <w:rFonts w:asciiTheme="minorHAnsi" w:hAnsiTheme="minorHAnsi" w:cstheme="minorHAnsi"/>
              </w:rPr>
              <w:t>in</w:t>
            </w:r>
            <w:r w:rsidRPr="00FD6082">
              <w:rPr>
                <w:rFonts w:asciiTheme="minorHAnsi" w:hAnsiTheme="minorHAnsi" w:cstheme="minorHAnsi"/>
              </w:rPr>
              <w:t xml:space="preserve"> </w:t>
            </w:r>
            <w:r>
              <w:rPr>
                <w:rFonts w:asciiTheme="minorHAnsi" w:hAnsiTheme="minorHAnsi" w:cstheme="minorHAnsi"/>
              </w:rPr>
              <w:t>design for decommissioning, as applied to PWR technology;</w:t>
            </w:r>
          </w:p>
          <w:p w:rsidR="00257C7A" w:rsidRPr="00FD6082" w:rsidRDefault="00257C7A" w:rsidP="00AF469C">
            <w:pPr>
              <w:pStyle w:val="TSBullet1Square"/>
              <w:spacing w:after="0"/>
              <w:jc w:val="both"/>
              <w:rPr>
                <w:rFonts w:asciiTheme="minorHAnsi" w:hAnsiTheme="minorHAnsi" w:cstheme="minorHAnsi"/>
              </w:rPr>
            </w:pPr>
            <w:r>
              <w:rPr>
                <w:rFonts w:asciiTheme="minorHAnsi" w:hAnsiTheme="minorHAnsi" w:cstheme="minorHAnsi"/>
              </w:rPr>
              <w:t>a d</w:t>
            </w:r>
            <w:r w:rsidRPr="00FD6082">
              <w:rPr>
                <w:rFonts w:asciiTheme="minorHAnsi" w:hAnsiTheme="minorHAnsi" w:cstheme="minorHAnsi"/>
              </w:rPr>
              <w:t>emonstration of up-to-date knowledge of relevant research programmes</w:t>
            </w:r>
            <w:r>
              <w:rPr>
                <w:rFonts w:asciiTheme="minorHAnsi" w:hAnsiTheme="minorHAnsi" w:cstheme="minorHAnsi"/>
              </w:rPr>
              <w:t>, international benchmarks and OEF/OPEX in PWR decommissioning;</w:t>
            </w:r>
          </w:p>
          <w:p w:rsidR="00257C7A" w:rsidRDefault="00257C7A" w:rsidP="00AF469C">
            <w:pPr>
              <w:pStyle w:val="TSBullet1Square"/>
              <w:spacing w:after="0"/>
              <w:jc w:val="both"/>
              <w:rPr>
                <w:rFonts w:asciiTheme="minorHAnsi" w:hAnsiTheme="minorHAnsi" w:cstheme="minorHAnsi"/>
              </w:rPr>
            </w:pPr>
            <w:r>
              <w:rPr>
                <w:rFonts w:asciiTheme="minorHAnsi" w:hAnsiTheme="minorHAnsi" w:cstheme="minorHAnsi"/>
              </w:rPr>
              <w:t xml:space="preserve">an overview of any prior experience with the </w:t>
            </w:r>
            <w:r w:rsidRPr="00FD6082">
              <w:rPr>
                <w:rFonts w:asciiTheme="minorHAnsi" w:hAnsiTheme="minorHAnsi" w:cstheme="minorHAnsi"/>
              </w:rPr>
              <w:t>HPR100</w:t>
            </w:r>
            <w:r>
              <w:rPr>
                <w:rFonts w:asciiTheme="minorHAnsi" w:hAnsiTheme="minorHAnsi" w:cstheme="minorHAnsi"/>
              </w:rPr>
              <w:t>0</w:t>
            </w:r>
            <w:r w:rsidRPr="00FD6082">
              <w:rPr>
                <w:rFonts w:asciiTheme="minorHAnsi" w:hAnsiTheme="minorHAnsi" w:cstheme="minorHAnsi"/>
              </w:rPr>
              <w:t xml:space="preserve"> design </w:t>
            </w:r>
            <w:r>
              <w:rPr>
                <w:rFonts w:asciiTheme="minorHAnsi" w:hAnsiTheme="minorHAnsi" w:cstheme="minorHAnsi"/>
              </w:rPr>
              <w:t>or similar reviews;</w:t>
            </w:r>
          </w:p>
          <w:p w:rsidR="00257C7A" w:rsidRPr="00491956" w:rsidRDefault="00257C7A" w:rsidP="00AF469C">
            <w:pPr>
              <w:pStyle w:val="TSBullet1Square"/>
              <w:spacing w:after="0"/>
              <w:jc w:val="both"/>
              <w:rPr>
                <w:rFonts w:asciiTheme="minorHAnsi" w:hAnsiTheme="minorHAnsi" w:cstheme="minorHAnsi"/>
              </w:rPr>
            </w:pPr>
            <w:r w:rsidRPr="00491956">
              <w:rPr>
                <w:rFonts w:asciiTheme="minorHAnsi" w:hAnsiTheme="minorHAnsi" w:cstheme="minorHAnsi"/>
              </w:rPr>
              <w:t>a description of proposed deliverables and/or outputs</w:t>
            </w:r>
            <w:r>
              <w:rPr>
                <w:rFonts w:asciiTheme="minorHAnsi" w:hAnsiTheme="minorHAnsi" w:cstheme="minorHAnsi"/>
              </w:rPr>
              <w:t>;</w:t>
            </w:r>
          </w:p>
          <w:p w:rsidR="00257C7A" w:rsidRPr="00491956" w:rsidRDefault="00257C7A" w:rsidP="00AF469C">
            <w:pPr>
              <w:pStyle w:val="TSBullet1Square"/>
              <w:spacing w:after="0"/>
              <w:jc w:val="both"/>
              <w:rPr>
                <w:rFonts w:asciiTheme="minorHAnsi" w:hAnsiTheme="minorHAnsi" w:cstheme="minorHAnsi"/>
              </w:rPr>
            </w:pPr>
            <w:r w:rsidRPr="00491956">
              <w:rPr>
                <w:rFonts w:asciiTheme="minorHAnsi" w:hAnsiTheme="minorHAnsi" w:cstheme="minorHAnsi"/>
              </w:rPr>
              <w:t>an outline of anticipated engagement (project meetings &amp; management)</w:t>
            </w:r>
            <w:r>
              <w:rPr>
                <w:rFonts w:asciiTheme="minorHAnsi" w:hAnsiTheme="minorHAnsi" w:cstheme="minorHAnsi"/>
              </w:rPr>
              <w:t>;</w:t>
            </w:r>
          </w:p>
          <w:p w:rsidR="00257C7A" w:rsidRPr="00491956" w:rsidRDefault="00257C7A" w:rsidP="00AF469C">
            <w:pPr>
              <w:pStyle w:val="TSBullet1Square"/>
              <w:spacing w:after="0"/>
              <w:jc w:val="both"/>
              <w:rPr>
                <w:rFonts w:asciiTheme="minorHAnsi" w:hAnsiTheme="minorHAnsi" w:cstheme="minorHAnsi"/>
              </w:rPr>
            </w:pPr>
            <w:r w:rsidRPr="00491956">
              <w:rPr>
                <w:rFonts w:asciiTheme="minorHAnsi" w:hAnsiTheme="minorHAnsi" w:cstheme="minorHAnsi"/>
              </w:rPr>
              <w:t>details of proposed cost an</w:t>
            </w:r>
            <w:r>
              <w:rPr>
                <w:rFonts w:asciiTheme="minorHAnsi" w:hAnsiTheme="minorHAnsi" w:cstheme="minorHAnsi"/>
              </w:rPr>
              <w:t>d associated effort assumptions;</w:t>
            </w:r>
          </w:p>
          <w:p w:rsidR="00257C7A" w:rsidRPr="00491956" w:rsidRDefault="00257C7A" w:rsidP="00AF469C">
            <w:pPr>
              <w:pStyle w:val="TSBullet1Square"/>
              <w:spacing w:after="0"/>
              <w:jc w:val="both"/>
              <w:rPr>
                <w:rFonts w:asciiTheme="minorHAnsi" w:hAnsiTheme="minorHAnsi" w:cstheme="minorHAnsi"/>
              </w:rPr>
            </w:pPr>
            <w:r w:rsidRPr="00491956">
              <w:rPr>
                <w:rFonts w:asciiTheme="minorHAnsi" w:hAnsiTheme="minorHAnsi" w:cstheme="minorHAnsi"/>
              </w:rPr>
              <w:t>a project delivery plan showing activities and milestones</w:t>
            </w:r>
            <w:r>
              <w:rPr>
                <w:rFonts w:asciiTheme="minorHAnsi" w:hAnsiTheme="minorHAnsi" w:cstheme="minorHAnsi"/>
              </w:rPr>
              <w:t>;</w:t>
            </w:r>
          </w:p>
          <w:p w:rsidR="00257C7A" w:rsidRPr="00491956" w:rsidRDefault="00257C7A" w:rsidP="00AF469C">
            <w:pPr>
              <w:pStyle w:val="TSBullet1Square"/>
              <w:spacing w:after="0"/>
              <w:jc w:val="both"/>
              <w:rPr>
                <w:rFonts w:asciiTheme="minorHAnsi" w:hAnsiTheme="minorHAnsi" w:cstheme="minorHAnsi"/>
              </w:rPr>
            </w:pPr>
            <w:r w:rsidRPr="00491956">
              <w:rPr>
                <w:rFonts w:asciiTheme="minorHAnsi" w:hAnsiTheme="minorHAnsi" w:cstheme="minorHAnsi"/>
              </w:rPr>
              <w:t>a planned invoice schedule</w:t>
            </w:r>
            <w:r>
              <w:rPr>
                <w:rFonts w:asciiTheme="minorHAnsi" w:hAnsiTheme="minorHAnsi" w:cstheme="minorHAnsi"/>
              </w:rPr>
              <w:t>;</w:t>
            </w:r>
          </w:p>
          <w:p w:rsidR="00257C7A" w:rsidRPr="002C62C2" w:rsidRDefault="00257C7A" w:rsidP="00AF469C">
            <w:pPr>
              <w:pStyle w:val="TSBullet1Square"/>
              <w:spacing w:after="0"/>
              <w:jc w:val="both"/>
              <w:rPr>
                <w:rFonts w:asciiTheme="minorHAnsi" w:hAnsiTheme="minorHAnsi" w:cstheme="minorHAnsi"/>
              </w:rPr>
            </w:pPr>
            <w:proofErr w:type="gramStart"/>
            <w:r w:rsidRPr="00491956">
              <w:rPr>
                <w:rFonts w:asciiTheme="minorHAnsi" w:hAnsiTheme="minorHAnsi" w:cstheme="minorHAnsi"/>
              </w:rPr>
              <w:t>details</w:t>
            </w:r>
            <w:proofErr w:type="gramEnd"/>
            <w:r w:rsidRPr="00491956">
              <w:rPr>
                <w:rFonts w:asciiTheme="minorHAnsi" w:hAnsiTheme="minorHAnsi" w:cstheme="minorHAnsi"/>
              </w:rPr>
              <w:t xml:space="preserve"> of any assumptions or constraints</w:t>
            </w:r>
            <w:r>
              <w:rPr>
                <w:rFonts w:asciiTheme="minorHAnsi" w:hAnsiTheme="minorHAnsi" w:cstheme="minorHAnsi"/>
              </w:rPr>
              <w:t>.</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2"/>
      <w:footerReference w:type="default" r:id="rId13"/>
      <w:headerReference w:type="first" r:id="rId14"/>
      <w:footerReference w:type="first" r:id="rId15"/>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16" w:rsidRDefault="00B61516">
      <w:r>
        <w:separator/>
      </w:r>
    </w:p>
  </w:endnote>
  <w:endnote w:type="continuationSeparator" w:id="0">
    <w:p w:rsidR="00B61516" w:rsidRDefault="00B6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D4" w:rsidRDefault="007475D4" w:rsidP="007D545C">
    <w:pPr>
      <w:pStyle w:val="Header"/>
      <w:jc w:val="center"/>
      <w:rPr>
        <w:b/>
        <w:color w:val="006D68"/>
        <w:sz w:val="14"/>
        <w:szCs w:val="14"/>
      </w:rPr>
    </w:pPr>
  </w:p>
  <w:p w:rsidR="007475D4" w:rsidRDefault="007475D4" w:rsidP="00BC5FC8">
    <w:pPr>
      <w:pStyle w:val="Header"/>
      <w:jc w:val="center"/>
      <w:rPr>
        <w:b/>
        <w:color w:val="006D68"/>
        <w:sz w:val="14"/>
        <w:szCs w:val="14"/>
      </w:rPr>
    </w:pPr>
  </w:p>
  <w:p w:rsidR="007475D4" w:rsidRDefault="007475D4" w:rsidP="00BC5FC8">
    <w:pPr>
      <w:pStyle w:val="Footer"/>
      <w:tabs>
        <w:tab w:val="clear" w:pos="4153"/>
        <w:tab w:val="clear" w:pos="8306"/>
        <w:tab w:val="right" w:pos="9214"/>
      </w:tabs>
      <w:jc w:val="center"/>
      <w:rPr>
        <w:color w:val="006D68"/>
        <w:sz w:val="14"/>
        <w:szCs w:val="14"/>
      </w:rPr>
    </w:pPr>
  </w:p>
  <w:p w:rsidR="007475D4" w:rsidRPr="00487A22" w:rsidRDefault="007475D4"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3D767F">
      <w:rPr>
        <w:b/>
        <w:noProof/>
        <w:color w:val="006D68"/>
        <w:sz w:val="14"/>
        <w:szCs w:val="14"/>
      </w:rPr>
      <w:t>6</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3D767F">
      <w:rPr>
        <w:b/>
        <w:noProof/>
        <w:color w:val="006D68"/>
        <w:sz w:val="14"/>
        <w:szCs w:val="14"/>
      </w:rPr>
      <w:t>6</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D4" w:rsidRDefault="007475D4" w:rsidP="007D545C">
    <w:pPr>
      <w:pStyle w:val="Header"/>
      <w:jc w:val="center"/>
      <w:rPr>
        <w:b/>
        <w:color w:val="006D68"/>
        <w:sz w:val="14"/>
        <w:szCs w:val="14"/>
      </w:rPr>
    </w:pPr>
  </w:p>
  <w:p w:rsidR="007475D4" w:rsidRDefault="007475D4" w:rsidP="00BC5FC8">
    <w:pPr>
      <w:pStyle w:val="Header"/>
      <w:jc w:val="center"/>
      <w:rPr>
        <w:b/>
        <w:color w:val="006D68"/>
        <w:sz w:val="14"/>
        <w:szCs w:val="14"/>
      </w:rPr>
    </w:pPr>
  </w:p>
  <w:p w:rsidR="007475D4" w:rsidRDefault="007475D4" w:rsidP="00BC5FC8">
    <w:pPr>
      <w:pStyle w:val="Footer"/>
      <w:tabs>
        <w:tab w:val="clear" w:pos="4153"/>
        <w:tab w:val="clear" w:pos="8306"/>
        <w:tab w:val="right" w:pos="9214"/>
      </w:tabs>
      <w:jc w:val="center"/>
      <w:rPr>
        <w:color w:val="006D68"/>
        <w:sz w:val="14"/>
        <w:szCs w:val="14"/>
      </w:rPr>
    </w:pPr>
  </w:p>
  <w:p w:rsidR="007475D4" w:rsidRPr="00B56CCE" w:rsidRDefault="007475D4" w:rsidP="00B56CCE">
    <w:pPr>
      <w:pStyle w:val="Footer"/>
      <w:tabs>
        <w:tab w:val="clear" w:pos="4153"/>
        <w:tab w:val="clear" w:pos="8306"/>
        <w:tab w:val="right" w:pos="9214"/>
      </w:tabs>
      <w:rPr>
        <w:b/>
        <w:color w:val="006D68"/>
        <w:sz w:val="14"/>
        <w:szCs w:val="14"/>
      </w:rPr>
    </w:pP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3D767F">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3D767F">
      <w:rPr>
        <w:b/>
        <w:noProof/>
        <w:color w:val="006D68"/>
        <w:sz w:val="14"/>
        <w:szCs w:val="14"/>
      </w:rPr>
      <w:t>6</w:t>
    </w:r>
    <w:r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16" w:rsidRDefault="00B61516">
      <w:r>
        <w:separator/>
      </w:r>
    </w:p>
  </w:footnote>
  <w:footnote w:type="continuationSeparator" w:id="0">
    <w:p w:rsidR="00B61516" w:rsidRDefault="00B61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D4" w:rsidRDefault="007475D4">
    <w:pPr>
      <w:pStyle w:val="Header"/>
      <w:rPr>
        <w:b/>
        <w:color w:val="006D68"/>
        <w:sz w:val="14"/>
        <w:szCs w:val="14"/>
      </w:rPr>
    </w:pPr>
  </w:p>
  <w:p w:rsidR="007475D4" w:rsidRPr="00AF4C0F" w:rsidRDefault="007475D4" w:rsidP="00941FBC">
    <w:pPr>
      <w:pStyle w:val="Header"/>
      <w:rPr>
        <w:b/>
        <w:color w:val="006D68"/>
        <w:sz w:val="20"/>
        <w:szCs w:val="20"/>
      </w:rPr>
    </w:pPr>
  </w:p>
  <w:p w:rsidR="007475D4" w:rsidRDefault="007475D4"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D4" w:rsidRDefault="007475D4" w:rsidP="00457068">
    <w:pPr>
      <w:pStyle w:val="Header"/>
      <w:rPr>
        <w:b/>
        <w:sz w:val="20"/>
        <w:szCs w:val="20"/>
      </w:rPr>
    </w:pPr>
    <w:r>
      <w:rPr>
        <w:b/>
        <w:noProof/>
        <w:sz w:val="20"/>
        <w:szCs w:val="20"/>
        <w:lang w:eastAsia="en-GB"/>
      </w:rPr>
      <w:drawing>
        <wp:inline distT="0" distB="0" distL="0" distR="0" wp14:anchorId="02F1077B" wp14:editId="73B8B5C6">
          <wp:extent cx="257873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7475D4" w:rsidRPr="00C754D7" w:rsidRDefault="00701951" w:rsidP="00457068">
    <w:pPr>
      <w:pStyle w:val="Header"/>
      <w:jc w:val="right"/>
      <w:rPr>
        <w:b/>
        <w:sz w:val="20"/>
        <w:szCs w:val="20"/>
      </w:rPr>
    </w:pPr>
    <w:r>
      <w:rPr>
        <w:b/>
        <w:sz w:val="20"/>
        <w:szCs w:val="20"/>
      </w:rPr>
      <w:t>Tender</w:t>
    </w:r>
    <w:r w:rsidR="007475D4">
      <w:rPr>
        <w:b/>
        <w:sz w:val="20"/>
        <w:szCs w:val="20"/>
      </w:rPr>
      <w:t xml:space="preserve"> Ref:</w:t>
    </w:r>
    <w:r>
      <w:rPr>
        <w:b/>
        <w:sz w:val="20"/>
        <w:szCs w:val="20"/>
      </w:rPr>
      <w:t xml:space="preserve"> ONR/T3370</w:t>
    </w:r>
  </w:p>
  <w:p w:rsidR="007475D4" w:rsidRPr="00D55197" w:rsidRDefault="007475D4"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nsid w:val="16EC01EF"/>
    <w:multiLevelType w:val="hybridMultilevel"/>
    <w:tmpl w:val="CAD003FE"/>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583992"/>
    <w:multiLevelType w:val="hybridMultilevel"/>
    <w:tmpl w:val="996C63B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53053F7"/>
    <w:multiLevelType w:val="hybridMultilevel"/>
    <w:tmpl w:val="C8E454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2">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4">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7">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9">
    <w:nsid w:val="3C0414D8"/>
    <w:multiLevelType w:val="hybridMultilevel"/>
    <w:tmpl w:val="91F4B4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8329C9"/>
    <w:multiLevelType w:val="hybridMultilevel"/>
    <w:tmpl w:val="8A9ADD3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3">
    <w:nsid w:val="543E04B0"/>
    <w:multiLevelType w:val="hybridMultilevel"/>
    <w:tmpl w:val="2D709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5">
    <w:nsid w:val="5FFC0649"/>
    <w:multiLevelType w:val="hybridMultilevel"/>
    <w:tmpl w:val="895E7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nsid w:val="69ED7BE6"/>
    <w:multiLevelType w:val="hybridMultilevel"/>
    <w:tmpl w:val="0B7C0E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3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2">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155264E"/>
    <w:multiLevelType w:val="hybridMultilevel"/>
    <w:tmpl w:val="81A6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5">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7"/>
  </w:num>
  <w:num w:numId="3">
    <w:abstractNumId w:val="18"/>
  </w:num>
  <w:num w:numId="4">
    <w:abstractNumId w:val="0"/>
  </w:num>
  <w:num w:numId="5">
    <w:abstractNumId w:val="16"/>
  </w:num>
  <w:num w:numId="6">
    <w:abstractNumId w:val="35"/>
  </w:num>
  <w:num w:numId="7">
    <w:abstractNumId w:val="29"/>
  </w:num>
  <w:num w:numId="8">
    <w:abstractNumId w:val="24"/>
  </w:num>
  <w:num w:numId="9">
    <w:abstractNumId w:val="36"/>
  </w:num>
  <w:num w:numId="10">
    <w:abstractNumId w:val="2"/>
  </w:num>
  <w:num w:numId="11">
    <w:abstractNumId w:val="8"/>
  </w:num>
  <w:num w:numId="12">
    <w:abstractNumId w:val="12"/>
  </w:num>
  <w:num w:numId="13">
    <w:abstractNumId w:val="1"/>
  </w:num>
  <w:num w:numId="14">
    <w:abstractNumId w:val="26"/>
  </w:num>
  <w:num w:numId="15">
    <w:abstractNumId w:val="14"/>
  </w:num>
  <w:num w:numId="16">
    <w:abstractNumId w:val="32"/>
  </w:num>
  <w:num w:numId="17">
    <w:abstractNumId w:val="9"/>
  </w:num>
  <w:num w:numId="18">
    <w:abstractNumId w:val="21"/>
  </w:num>
  <w:num w:numId="19">
    <w:abstractNumId w:val="17"/>
  </w:num>
  <w:num w:numId="20">
    <w:abstractNumId w:val="3"/>
  </w:num>
  <w:num w:numId="21">
    <w:abstractNumId w:val="34"/>
  </w:num>
  <w:num w:numId="22">
    <w:abstractNumId w:val="5"/>
  </w:num>
  <w:num w:numId="23">
    <w:abstractNumId w:val="27"/>
  </w:num>
  <w:num w:numId="24">
    <w:abstractNumId w:val="30"/>
  </w:num>
  <w:num w:numId="25">
    <w:abstractNumId w:val="15"/>
  </w:num>
  <w:num w:numId="26">
    <w:abstractNumId w:val="6"/>
  </w:num>
  <w:num w:numId="27">
    <w:abstractNumId w:val="13"/>
  </w:num>
  <w:num w:numId="28">
    <w:abstractNumId w:val="31"/>
  </w:num>
  <w:num w:numId="29">
    <w:abstractNumId w:val="22"/>
  </w:num>
  <w:num w:numId="30">
    <w:abstractNumId w:val="32"/>
  </w:num>
  <w:num w:numId="31">
    <w:abstractNumId w:val="12"/>
  </w:num>
  <w:num w:numId="32">
    <w:abstractNumId w:val="33"/>
  </w:num>
  <w:num w:numId="33">
    <w:abstractNumId w:val="10"/>
  </w:num>
  <w:num w:numId="34">
    <w:abstractNumId w:val="28"/>
  </w:num>
  <w:num w:numId="35">
    <w:abstractNumId w:val="19"/>
  </w:num>
  <w:num w:numId="36">
    <w:abstractNumId w:val="4"/>
  </w:num>
  <w:num w:numId="37">
    <w:abstractNumId w:val="7"/>
  </w:num>
  <w:num w:numId="38">
    <w:abstractNumId w:val="25"/>
  </w:num>
  <w:num w:numId="39">
    <w:abstractNumId w:val="23"/>
  </w:num>
  <w:num w:numId="40">
    <w:abstractNumId w:val="20"/>
  </w:num>
  <w:num w:numId="41">
    <w:abstractNumId w:val="12"/>
  </w:num>
  <w:num w:numId="42">
    <w:abstractNumId w:val="12"/>
  </w:num>
  <w:num w:numId="43">
    <w:abstractNumId w:val="32"/>
  </w:num>
  <w:num w:numId="44">
    <w:abstractNumId w:val="3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02993"/>
    <w:rsid w:val="00030D3C"/>
    <w:rsid w:val="000312D3"/>
    <w:rsid w:val="000375D1"/>
    <w:rsid w:val="00047D2A"/>
    <w:rsid w:val="000715BD"/>
    <w:rsid w:val="00093CE2"/>
    <w:rsid w:val="00096F71"/>
    <w:rsid w:val="000B1830"/>
    <w:rsid w:val="000B4E40"/>
    <w:rsid w:val="000C5111"/>
    <w:rsid w:val="000D6244"/>
    <w:rsid w:val="00121C8F"/>
    <w:rsid w:val="00131ECC"/>
    <w:rsid w:val="0013508D"/>
    <w:rsid w:val="00144CEA"/>
    <w:rsid w:val="00164F4F"/>
    <w:rsid w:val="00193C9A"/>
    <w:rsid w:val="001A4386"/>
    <w:rsid w:val="001A58B1"/>
    <w:rsid w:val="001C3DB8"/>
    <w:rsid w:val="001D78A1"/>
    <w:rsid w:val="001E79D8"/>
    <w:rsid w:val="00200CB7"/>
    <w:rsid w:val="00202843"/>
    <w:rsid w:val="0021074A"/>
    <w:rsid w:val="00216018"/>
    <w:rsid w:val="00256DCE"/>
    <w:rsid w:val="00257C7A"/>
    <w:rsid w:val="00264FD7"/>
    <w:rsid w:val="00266A6B"/>
    <w:rsid w:val="0028011F"/>
    <w:rsid w:val="0028356A"/>
    <w:rsid w:val="00297401"/>
    <w:rsid w:val="002A39B9"/>
    <w:rsid w:val="002C62C2"/>
    <w:rsid w:val="003107E1"/>
    <w:rsid w:val="0031706E"/>
    <w:rsid w:val="00320400"/>
    <w:rsid w:val="00325BED"/>
    <w:rsid w:val="00330437"/>
    <w:rsid w:val="00337BC4"/>
    <w:rsid w:val="00340A61"/>
    <w:rsid w:val="00345B16"/>
    <w:rsid w:val="00374A06"/>
    <w:rsid w:val="003B4AA2"/>
    <w:rsid w:val="003C11F3"/>
    <w:rsid w:val="003D005E"/>
    <w:rsid w:val="003D767F"/>
    <w:rsid w:val="003E2CA6"/>
    <w:rsid w:val="003E452E"/>
    <w:rsid w:val="004103DB"/>
    <w:rsid w:val="00457068"/>
    <w:rsid w:val="004750A2"/>
    <w:rsid w:val="00487A22"/>
    <w:rsid w:val="004A33DC"/>
    <w:rsid w:val="004A7B1B"/>
    <w:rsid w:val="004F24BC"/>
    <w:rsid w:val="00505F6E"/>
    <w:rsid w:val="0051285D"/>
    <w:rsid w:val="005322E6"/>
    <w:rsid w:val="005556C6"/>
    <w:rsid w:val="00562F2F"/>
    <w:rsid w:val="00567D34"/>
    <w:rsid w:val="00580820"/>
    <w:rsid w:val="005A1570"/>
    <w:rsid w:val="005A5A87"/>
    <w:rsid w:val="005E27B9"/>
    <w:rsid w:val="005F0722"/>
    <w:rsid w:val="00604F23"/>
    <w:rsid w:val="00633A4B"/>
    <w:rsid w:val="0064265B"/>
    <w:rsid w:val="00653BD7"/>
    <w:rsid w:val="00670A06"/>
    <w:rsid w:val="00672F12"/>
    <w:rsid w:val="006A4B69"/>
    <w:rsid w:val="006A667F"/>
    <w:rsid w:val="006B2DA6"/>
    <w:rsid w:val="006C519A"/>
    <w:rsid w:val="006F1199"/>
    <w:rsid w:val="006F247D"/>
    <w:rsid w:val="006F5420"/>
    <w:rsid w:val="00701951"/>
    <w:rsid w:val="00707854"/>
    <w:rsid w:val="007141AB"/>
    <w:rsid w:val="00715C62"/>
    <w:rsid w:val="0072164C"/>
    <w:rsid w:val="0073294C"/>
    <w:rsid w:val="0073328F"/>
    <w:rsid w:val="007475D4"/>
    <w:rsid w:val="007776A2"/>
    <w:rsid w:val="00786F18"/>
    <w:rsid w:val="007B4EE0"/>
    <w:rsid w:val="007C0F4C"/>
    <w:rsid w:val="007D545C"/>
    <w:rsid w:val="007F7246"/>
    <w:rsid w:val="008009A3"/>
    <w:rsid w:val="00817546"/>
    <w:rsid w:val="00836999"/>
    <w:rsid w:val="00842FD6"/>
    <w:rsid w:val="00863CDC"/>
    <w:rsid w:val="00891423"/>
    <w:rsid w:val="008A7BDD"/>
    <w:rsid w:val="008C776C"/>
    <w:rsid w:val="008D71E9"/>
    <w:rsid w:val="008E67CB"/>
    <w:rsid w:val="0091041C"/>
    <w:rsid w:val="00920DCD"/>
    <w:rsid w:val="00924A29"/>
    <w:rsid w:val="00932851"/>
    <w:rsid w:val="00941FBC"/>
    <w:rsid w:val="009678DE"/>
    <w:rsid w:val="00971BA8"/>
    <w:rsid w:val="009765DB"/>
    <w:rsid w:val="00986E19"/>
    <w:rsid w:val="00987AA6"/>
    <w:rsid w:val="009962B1"/>
    <w:rsid w:val="009A115B"/>
    <w:rsid w:val="009B5159"/>
    <w:rsid w:val="009C4F53"/>
    <w:rsid w:val="009C6D6E"/>
    <w:rsid w:val="009D3CD0"/>
    <w:rsid w:val="009E179B"/>
    <w:rsid w:val="009F1B6F"/>
    <w:rsid w:val="00A1136C"/>
    <w:rsid w:val="00A25EB0"/>
    <w:rsid w:val="00A41FDA"/>
    <w:rsid w:val="00A442D1"/>
    <w:rsid w:val="00A728C4"/>
    <w:rsid w:val="00A77623"/>
    <w:rsid w:val="00A87DAB"/>
    <w:rsid w:val="00A903C3"/>
    <w:rsid w:val="00AA7D7D"/>
    <w:rsid w:val="00AB2BB0"/>
    <w:rsid w:val="00AB7147"/>
    <w:rsid w:val="00AD4C6A"/>
    <w:rsid w:val="00AD5635"/>
    <w:rsid w:val="00AE199F"/>
    <w:rsid w:val="00AE52A8"/>
    <w:rsid w:val="00AE7CF1"/>
    <w:rsid w:val="00AF02E5"/>
    <w:rsid w:val="00AF24D7"/>
    <w:rsid w:val="00AF469C"/>
    <w:rsid w:val="00AF4C0F"/>
    <w:rsid w:val="00B255B3"/>
    <w:rsid w:val="00B25DBA"/>
    <w:rsid w:val="00B43C54"/>
    <w:rsid w:val="00B504F7"/>
    <w:rsid w:val="00B56CCE"/>
    <w:rsid w:val="00B61516"/>
    <w:rsid w:val="00B81B18"/>
    <w:rsid w:val="00BC24ED"/>
    <w:rsid w:val="00BC5FC8"/>
    <w:rsid w:val="00BF7246"/>
    <w:rsid w:val="00C25583"/>
    <w:rsid w:val="00C32D6D"/>
    <w:rsid w:val="00C75298"/>
    <w:rsid w:val="00C75A1C"/>
    <w:rsid w:val="00C82D4C"/>
    <w:rsid w:val="00C911A3"/>
    <w:rsid w:val="00CA3B14"/>
    <w:rsid w:val="00CD7B5F"/>
    <w:rsid w:val="00CE0AB2"/>
    <w:rsid w:val="00CE5958"/>
    <w:rsid w:val="00CE6571"/>
    <w:rsid w:val="00D3061A"/>
    <w:rsid w:val="00D4533B"/>
    <w:rsid w:val="00D54653"/>
    <w:rsid w:val="00D55197"/>
    <w:rsid w:val="00D55FE7"/>
    <w:rsid w:val="00D75DA2"/>
    <w:rsid w:val="00D7747E"/>
    <w:rsid w:val="00DC6611"/>
    <w:rsid w:val="00DC6C9D"/>
    <w:rsid w:val="00DE4417"/>
    <w:rsid w:val="00DF3697"/>
    <w:rsid w:val="00DF5B02"/>
    <w:rsid w:val="00E058C7"/>
    <w:rsid w:val="00E12A39"/>
    <w:rsid w:val="00E32F3B"/>
    <w:rsid w:val="00E4257A"/>
    <w:rsid w:val="00E71B0C"/>
    <w:rsid w:val="00E87C8C"/>
    <w:rsid w:val="00E941C8"/>
    <w:rsid w:val="00E9478E"/>
    <w:rsid w:val="00E97293"/>
    <w:rsid w:val="00EA5EB4"/>
    <w:rsid w:val="00EC41BD"/>
    <w:rsid w:val="00ED5F2B"/>
    <w:rsid w:val="00F269F4"/>
    <w:rsid w:val="00F30CFC"/>
    <w:rsid w:val="00F67DBD"/>
    <w:rsid w:val="00F97409"/>
    <w:rsid w:val="00FD0C4A"/>
    <w:rsid w:val="00FF1AFB"/>
    <w:rsid w:val="00FF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khpr1000.co.uk/wp-content/uploads/2018/11/HPR-GDA-PCSR-0024-Pre-Construction-Safety-Report-Chapter-24-Decommissioning.pdf"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onr.org.uk/new-reactors/uk-hpr1000/reports/ukhpr1000-step2-ar-18-016.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2063-0322-4B24-98D0-3B1C601E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2940</Words>
  <Characters>15904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2018-10-29T09:55:00Z</cp:lastPrinted>
  <dcterms:created xsi:type="dcterms:W3CDTF">2019-05-24T13:11:00Z</dcterms:created>
  <dcterms:modified xsi:type="dcterms:W3CDTF">2019-05-24T13:11:00Z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