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13" w:rsidRDefault="00CA09F7">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p>
    <w:p w:rsidR="00051F26" w:rsidRDefault="000E4338">
      <w:pPr>
        <w:rPr>
          <w:color w:val="FF0000"/>
        </w:rPr>
      </w:pPr>
      <w:r>
        <w:rPr>
          <w:i/>
          <w:color w:val="FF0000"/>
        </w:rPr>
        <w:t>Housing Related Support Service for Young People for Wokingham Borough Council</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682DF4"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C51D69" w:rsidRPr="002C4161" w:rsidTr="00692213">
        <w:tc>
          <w:tcPr>
            <w:tcW w:w="675" w:type="dxa"/>
          </w:tcPr>
          <w:p w:rsidR="00C51D69" w:rsidRDefault="00D366EC" w:rsidP="000175DD">
            <w:r>
              <w:t>30.</w:t>
            </w:r>
          </w:p>
        </w:tc>
        <w:tc>
          <w:tcPr>
            <w:tcW w:w="1191" w:type="dxa"/>
          </w:tcPr>
          <w:p w:rsidR="00C51D69" w:rsidRDefault="00CE0911" w:rsidP="000175DD">
            <w:r>
              <w:t>10</w:t>
            </w:r>
            <w:r w:rsidR="00C51D69">
              <w:t>/10/17</w:t>
            </w:r>
          </w:p>
        </w:tc>
        <w:tc>
          <w:tcPr>
            <w:tcW w:w="6039" w:type="dxa"/>
          </w:tcPr>
          <w:p w:rsidR="00C51D69" w:rsidRDefault="00C51D69" w:rsidP="000175DD">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Could the commissioners give details of the performance related pay scheme including the percentages involved and the criteria for achieving them</w:t>
            </w:r>
          </w:p>
          <w:p w:rsidR="00C51D69" w:rsidRDefault="00C51D69" w:rsidP="00D366EC">
            <w:pPr>
              <w:pStyle w:val="ListParagraph"/>
              <w:rPr>
                <w:rFonts w:asciiTheme="minorHAnsi" w:hAnsiTheme="minorHAnsi" w:cstheme="minorHAnsi"/>
                <w:b/>
                <w:sz w:val="22"/>
                <w:szCs w:val="22"/>
              </w:rPr>
            </w:pPr>
          </w:p>
        </w:tc>
        <w:tc>
          <w:tcPr>
            <w:tcW w:w="5528" w:type="dxa"/>
          </w:tcPr>
          <w:p w:rsidR="00CE0911" w:rsidRPr="00CE0911" w:rsidRDefault="00CE0911" w:rsidP="00CE0911">
            <w:pPr>
              <w:pStyle w:val="ListParagraph"/>
              <w:numPr>
                <w:ilvl w:val="0"/>
                <w:numId w:val="12"/>
              </w:numPr>
              <w:rPr>
                <w:rFonts w:asciiTheme="minorHAnsi" w:hAnsiTheme="minorHAnsi" w:cstheme="minorHAnsi"/>
                <w:b/>
                <w:sz w:val="22"/>
                <w:szCs w:val="22"/>
              </w:rPr>
            </w:pPr>
            <w:r w:rsidRPr="00CE0911">
              <w:rPr>
                <w:rFonts w:asciiTheme="minorHAnsi" w:hAnsiTheme="minorHAnsi" w:cstheme="minorHAnsi"/>
                <w:b/>
                <w:sz w:val="22"/>
                <w:szCs w:val="22"/>
              </w:rPr>
              <w:t xml:space="preserve">The current provider operates a non-contractual performance related pay scheme, annual pay increments are agreed on an annual basis. </w:t>
            </w:r>
          </w:p>
          <w:p w:rsidR="00C51D69" w:rsidRPr="00D366EC" w:rsidRDefault="00C51D69" w:rsidP="00D366EC">
            <w:pPr>
              <w:ind w:left="360"/>
              <w:rPr>
                <w:rFonts w:cstheme="minorHAnsi"/>
                <w:b/>
              </w:rPr>
            </w:pPr>
          </w:p>
        </w:tc>
        <w:tc>
          <w:tcPr>
            <w:tcW w:w="1276" w:type="dxa"/>
          </w:tcPr>
          <w:p w:rsidR="00C51D69" w:rsidRDefault="00BF27F4" w:rsidP="000175DD">
            <w:pPr>
              <w:rPr>
                <w:b/>
                <w:color w:val="FF0000"/>
              </w:rPr>
            </w:pPr>
            <w:r>
              <w:rPr>
                <w:b/>
                <w:color w:val="FF0000"/>
              </w:rPr>
              <w:t>13.10.17</w:t>
            </w:r>
          </w:p>
        </w:tc>
      </w:tr>
      <w:tr w:rsidR="00D366EC" w:rsidRPr="002C4161" w:rsidTr="00692213">
        <w:tc>
          <w:tcPr>
            <w:tcW w:w="675" w:type="dxa"/>
          </w:tcPr>
          <w:p w:rsidR="00D366EC" w:rsidRDefault="00D366EC" w:rsidP="000175DD">
            <w:r>
              <w:t>29.</w:t>
            </w:r>
          </w:p>
        </w:tc>
        <w:tc>
          <w:tcPr>
            <w:tcW w:w="1191" w:type="dxa"/>
          </w:tcPr>
          <w:p w:rsidR="00D366EC" w:rsidRDefault="00D366EC" w:rsidP="000175DD">
            <w:r>
              <w:t>10.10.17</w:t>
            </w:r>
          </w:p>
        </w:tc>
        <w:tc>
          <w:tcPr>
            <w:tcW w:w="6039" w:type="dxa"/>
          </w:tcPr>
          <w:p w:rsidR="00D366EC" w:rsidRDefault="00D366EC" w:rsidP="000175DD">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Could the commissioners confirm that employee No 2 will not transfer under TUPE</w:t>
            </w:r>
          </w:p>
        </w:tc>
        <w:tc>
          <w:tcPr>
            <w:tcW w:w="5528" w:type="dxa"/>
          </w:tcPr>
          <w:p w:rsidR="00D366EC" w:rsidRPr="0043102D" w:rsidRDefault="00672C00" w:rsidP="0043102D">
            <w:pPr>
              <w:pStyle w:val="ListParagraph"/>
              <w:numPr>
                <w:ilvl w:val="0"/>
                <w:numId w:val="12"/>
              </w:numPr>
              <w:rPr>
                <w:rFonts w:asciiTheme="minorHAnsi" w:hAnsiTheme="minorHAnsi" w:cstheme="minorHAnsi"/>
                <w:b/>
                <w:sz w:val="22"/>
                <w:szCs w:val="22"/>
              </w:rPr>
            </w:pPr>
            <w:r w:rsidRPr="00672C00">
              <w:rPr>
                <w:rFonts w:asciiTheme="minorHAnsi" w:hAnsiTheme="minorHAnsi" w:cstheme="minorHAnsi"/>
                <w:b/>
                <w:sz w:val="22"/>
                <w:szCs w:val="22"/>
              </w:rPr>
              <w:t xml:space="preserve">The general principle is that only employees employed by the transferor will be in scope under TUPE. </w:t>
            </w:r>
            <w:r w:rsidR="0043102D">
              <w:rPr>
                <w:rFonts w:asciiTheme="minorHAnsi" w:hAnsiTheme="minorHAnsi" w:cstheme="minorHAnsi"/>
                <w:b/>
                <w:sz w:val="22"/>
                <w:szCs w:val="22"/>
              </w:rPr>
              <w:t xml:space="preserve"> </w:t>
            </w:r>
            <w:bookmarkStart w:id="0" w:name="_GoBack"/>
            <w:bookmarkEnd w:id="0"/>
            <w:r w:rsidRPr="0043102D">
              <w:rPr>
                <w:rFonts w:asciiTheme="minorHAnsi" w:hAnsiTheme="minorHAnsi" w:cstheme="minorHAnsi"/>
                <w:b/>
                <w:sz w:val="22"/>
                <w:szCs w:val="22"/>
              </w:rPr>
              <w:t xml:space="preserve">As such it is unlikely that this individual will be in scope to transfer under the TUPE Regulations, as they are engaged by the agency directly. </w:t>
            </w:r>
          </w:p>
        </w:tc>
        <w:tc>
          <w:tcPr>
            <w:tcW w:w="1276" w:type="dxa"/>
          </w:tcPr>
          <w:p w:rsidR="00D366EC" w:rsidRDefault="00672C00" w:rsidP="000175DD">
            <w:pPr>
              <w:rPr>
                <w:b/>
                <w:color w:val="FF0000"/>
              </w:rPr>
            </w:pPr>
            <w:r>
              <w:rPr>
                <w:b/>
                <w:color w:val="FF0000"/>
              </w:rPr>
              <w:t>17.10.17</w:t>
            </w:r>
          </w:p>
        </w:tc>
      </w:tr>
      <w:tr w:rsidR="00D366EC" w:rsidRPr="002C4161" w:rsidTr="00692213">
        <w:tc>
          <w:tcPr>
            <w:tcW w:w="675" w:type="dxa"/>
          </w:tcPr>
          <w:p w:rsidR="00D366EC" w:rsidRDefault="00D366EC" w:rsidP="00D366EC">
            <w:r>
              <w:t>28.</w:t>
            </w:r>
          </w:p>
        </w:tc>
        <w:tc>
          <w:tcPr>
            <w:tcW w:w="1191" w:type="dxa"/>
          </w:tcPr>
          <w:p w:rsidR="00D366EC" w:rsidRDefault="00D366EC" w:rsidP="00D366EC">
            <w:r>
              <w:t>06.10.17</w:t>
            </w:r>
          </w:p>
        </w:tc>
        <w:tc>
          <w:tcPr>
            <w:tcW w:w="6039" w:type="dxa"/>
          </w:tcPr>
          <w:p w:rsidR="00D366EC"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Could the commissioners confirm  if the existing concierge is housing benefit eligible, or is paid for by the support contract</w:t>
            </w:r>
          </w:p>
          <w:p w:rsidR="00D366EC" w:rsidRDefault="00D366EC" w:rsidP="00D366EC">
            <w:pPr>
              <w:pStyle w:val="ListParagraph"/>
              <w:rPr>
                <w:rFonts w:asciiTheme="minorHAnsi" w:hAnsiTheme="minorHAnsi" w:cstheme="minorHAnsi"/>
                <w:b/>
                <w:sz w:val="22"/>
                <w:szCs w:val="22"/>
              </w:rPr>
            </w:pPr>
          </w:p>
          <w:p w:rsidR="00D366EC"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Can a new provider expect the same arrangements</w:t>
            </w:r>
          </w:p>
        </w:tc>
        <w:tc>
          <w:tcPr>
            <w:tcW w:w="5528" w:type="dxa"/>
          </w:tcPr>
          <w:p w:rsidR="00D366EC" w:rsidRPr="00FC6821" w:rsidRDefault="00D366EC" w:rsidP="00D366EC">
            <w:pPr>
              <w:pStyle w:val="ListParagraph"/>
              <w:numPr>
                <w:ilvl w:val="0"/>
                <w:numId w:val="12"/>
              </w:numPr>
              <w:rPr>
                <w:rFonts w:asciiTheme="minorHAnsi" w:hAnsiTheme="minorHAnsi" w:cstheme="minorHAnsi"/>
                <w:b/>
                <w:sz w:val="22"/>
                <w:szCs w:val="22"/>
              </w:rPr>
            </w:pPr>
            <w:r w:rsidRPr="00FC6821">
              <w:rPr>
                <w:rFonts w:asciiTheme="minorHAnsi" w:hAnsiTheme="minorHAnsi" w:cstheme="minorHAnsi"/>
                <w:b/>
                <w:sz w:val="22"/>
                <w:szCs w:val="22"/>
              </w:rPr>
              <w:t>The existing concierge is partly paid by the support contract and partly housing benefit eligible</w:t>
            </w:r>
          </w:p>
          <w:p w:rsidR="00D366EC" w:rsidRPr="00FC6821" w:rsidRDefault="00D366EC" w:rsidP="00D366EC">
            <w:pPr>
              <w:pStyle w:val="ListParagraph"/>
              <w:rPr>
                <w:rFonts w:asciiTheme="minorHAnsi" w:hAnsiTheme="minorHAnsi" w:cstheme="minorHAnsi"/>
                <w:b/>
                <w:sz w:val="22"/>
                <w:szCs w:val="22"/>
              </w:rPr>
            </w:pPr>
          </w:p>
          <w:p w:rsidR="006E0002" w:rsidRDefault="00607654" w:rsidP="006E0002">
            <w:pPr>
              <w:pStyle w:val="ListParagraph"/>
              <w:numPr>
                <w:ilvl w:val="0"/>
                <w:numId w:val="15"/>
              </w:numPr>
              <w:rPr>
                <w:rFonts w:asciiTheme="minorHAnsi" w:hAnsiTheme="minorHAnsi" w:cstheme="minorHAnsi"/>
                <w:b/>
                <w:sz w:val="22"/>
                <w:szCs w:val="22"/>
              </w:rPr>
            </w:pPr>
            <w:r>
              <w:rPr>
                <w:rFonts w:asciiTheme="minorHAnsi" w:hAnsiTheme="minorHAnsi" w:cstheme="minorBidi"/>
                <w:b/>
                <w:sz w:val="22"/>
                <w:szCs w:val="22"/>
              </w:rPr>
              <w:t>In order to ensure the rents are maintained at an affordable level it is not anticipated that these arrangements will continue.</w:t>
            </w:r>
          </w:p>
          <w:p w:rsidR="00D366EC" w:rsidRPr="00FC6821" w:rsidRDefault="00D366EC" w:rsidP="00D366EC">
            <w:pPr>
              <w:ind w:left="360"/>
              <w:rPr>
                <w:rFonts w:cstheme="minorHAnsi"/>
                <w:b/>
              </w:rPr>
            </w:pPr>
          </w:p>
        </w:tc>
        <w:tc>
          <w:tcPr>
            <w:tcW w:w="1276" w:type="dxa"/>
          </w:tcPr>
          <w:p w:rsidR="00D366EC" w:rsidRDefault="00BF27F4" w:rsidP="00D366EC">
            <w:pPr>
              <w:rPr>
                <w:b/>
                <w:color w:val="FF0000"/>
              </w:rPr>
            </w:pPr>
            <w:r>
              <w:rPr>
                <w:b/>
                <w:color w:val="FF0000"/>
              </w:rPr>
              <w:t>13.10.17</w:t>
            </w:r>
          </w:p>
          <w:p w:rsidR="00BF27F4" w:rsidRDefault="00BF27F4" w:rsidP="00D366EC">
            <w:pPr>
              <w:rPr>
                <w:b/>
                <w:color w:val="FF0000"/>
              </w:rPr>
            </w:pPr>
          </w:p>
          <w:p w:rsidR="00BF27F4" w:rsidRDefault="00BF27F4" w:rsidP="00D366EC">
            <w:pPr>
              <w:rPr>
                <w:b/>
                <w:color w:val="FF0000"/>
              </w:rPr>
            </w:pPr>
          </w:p>
          <w:p w:rsidR="00BF27F4" w:rsidRDefault="00BF27F4" w:rsidP="00D366EC">
            <w:pPr>
              <w:rPr>
                <w:b/>
                <w:color w:val="FF0000"/>
              </w:rPr>
            </w:pPr>
          </w:p>
          <w:p w:rsidR="00B253ED" w:rsidRDefault="006E0002" w:rsidP="00D366EC">
            <w:pPr>
              <w:rPr>
                <w:b/>
                <w:color w:val="FF0000"/>
              </w:rPr>
            </w:pPr>
            <w:r>
              <w:rPr>
                <w:b/>
                <w:color w:val="FF0000"/>
              </w:rPr>
              <w:t>17.10.17</w:t>
            </w:r>
          </w:p>
        </w:tc>
      </w:tr>
      <w:tr w:rsidR="00D366EC" w:rsidRPr="002C4161" w:rsidTr="00692213">
        <w:tc>
          <w:tcPr>
            <w:tcW w:w="675" w:type="dxa"/>
          </w:tcPr>
          <w:p w:rsidR="00D366EC" w:rsidRDefault="00D366EC" w:rsidP="00D366EC">
            <w:r>
              <w:t>27.</w:t>
            </w:r>
          </w:p>
        </w:tc>
        <w:tc>
          <w:tcPr>
            <w:tcW w:w="1191" w:type="dxa"/>
          </w:tcPr>
          <w:p w:rsidR="00D366EC" w:rsidRDefault="00D366EC" w:rsidP="00D366EC">
            <w:r>
              <w:t>6/10/17</w:t>
            </w:r>
          </w:p>
        </w:tc>
        <w:tc>
          <w:tcPr>
            <w:tcW w:w="6039" w:type="dxa"/>
          </w:tcPr>
          <w:p w:rsidR="00D366EC"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Could the commissioners please explain the difference between the following two questions in the SQ:</w:t>
            </w:r>
          </w:p>
          <w:p w:rsidR="00D366EC" w:rsidRDefault="00D366EC" w:rsidP="00D366EC">
            <w:pPr>
              <w:pStyle w:val="ListParagraph"/>
              <w:rPr>
                <w:rFonts w:asciiTheme="minorHAnsi" w:hAnsiTheme="minorHAnsi" w:cstheme="minorHAnsi"/>
                <w:b/>
                <w:sz w:val="22"/>
                <w:szCs w:val="22"/>
              </w:rPr>
            </w:pPr>
          </w:p>
          <w:p w:rsidR="00D366EC" w:rsidRPr="003E780A" w:rsidRDefault="00D366EC" w:rsidP="00D366EC">
            <w:pPr>
              <w:pStyle w:val="ListParagraph"/>
              <w:numPr>
                <w:ilvl w:val="0"/>
                <w:numId w:val="12"/>
              </w:numPr>
              <w:rPr>
                <w:rFonts w:asciiTheme="minorHAnsi" w:hAnsiTheme="minorHAnsi" w:cstheme="minorHAnsi"/>
                <w:b/>
                <w:sz w:val="22"/>
                <w:szCs w:val="22"/>
              </w:rPr>
            </w:pPr>
            <w:r w:rsidRPr="003E780A">
              <w:rPr>
                <w:rFonts w:asciiTheme="minorHAnsi" w:hAnsiTheme="minorHAnsi" w:cstheme="minorHAnsi"/>
                <w:b/>
                <w:sz w:val="22"/>
                <w:szCs w:val="22"/>
              </w:rPr>
              <w:t xml:space="preserve">Please explain what measures and procedures your organisation has imbedded to ensure staff are aware of the importance of health and safety and explain how </w:t>
            </w:r>
            <w:r w:rsidRPr="003E780A">
              <w:rPr>
                <w:rFonts w:asciiTheme="minorHAnsi" w:hAnsiTheme="minorHAnsi" w:cstheme="minorHAnsi"/>
                <w:b/>
                <w:sz w:val="22"/>
                <w:szCs w:val="22"/>
              </w:rPr>
              <w:lastRenderedPageBreak/>
              <w:t>your organisation ensures these practices are routinely in place in for the services you deliver?</w:t>
            </w:r>
          </w:p>
          <w:p w:rsidR="00D366EC" w:rsidRPr="003E780A" w:rsidRDefault="00D366EC" w:rsidP="00D366EC">
            <w:pPr>
              <w:pStyle w:val="ListParagraph"/>
              <w:rPr>
                <w:rFonts w:asciiTheme="minorHAnsi" w:hAnsiTheme="minorHAnsi" w:cstheme="minorHAnsi"/>
                <w:b/>
                <w:sz w:val="22"/>
                <w:szCs w:val="22"/>
              </w:rPr>
            </w:pPr>
          </w:p>
          <w:p w:rsidR="00D366EC" w:rsidRPr="003E780A" w:rsidRDefault="00D366EC" w:rsidP="00D366EC">
            <w:pPr>
              <w:pStyle w:val="ListParagraph"/>
              <w:numPr>
                <w:ilvl w:val="0"/>
                <w:numId w:val="12"/>
              </w:numPr>
              <w:rPr>
                <w:rFonts w:asciiTheme="minorHAnsi" w:hAnsiTheme="minorHAnsi" w:cstheme="minorHAnsi"/>
                <w:b/>
                <w:sz w:val="22"/>
                <w:szCs w:val="22"/>
              </w:rPr>
            </w:pPr>
            <w:r w:rsidRPr="003E780A">
              <w:rPr>
                <w:rFonts w:asciiTheme="minorHAnsi" w:hAnsiTheme="minorHAnsi" w:cstheme="minorHAnsi"/>
                <w:b/>
                <w:sz w:val="22"/>
                <w:szCs w:val="22"/>
              </w:rPr>
              <w:t>Please explain how your organisation ensures that these practices are routinely in place for the services that you deliver.</w:t>
            </w:r>
          </w:p>
          <w:p w:rsidR="00D366EC" w:rsidRPr="003E780A" w:rsidRDefault="00D366EC" w:rsidP="00D366EC">
            <w:pPr>
              <w:pStyle w:val="ListParagraph"/>
              <w:rPr>
                <w:rFonts w:asciiTheme="minorHAnsi" w:hAnsiTheme="minorHAnsi" w:cstheme="minorHAnsi"/>
                <w:b/>
                <w:sz w:val="22"/>
                <w:szCs w:val="22"/>
              </w:rPr>
            </w:pPr>
          </w:p>
        </w:tc>
        <w:tc>
          <w:tcPr>
            <w:tcW w:w="5528" w:type="dxa"/>
          </w:tcPr>
          <w:p w:rsidR="00D366EC" w:rsidRDefault="00D366EC" w:rsidP="00D366EC">
            <w:pPr>
              <w:rPr>
                <w:rFonts w:cstheme="minorHAnsi"/>
                <w:b/>
              </w:rPr>
            </w:pPr>
          </w:p>
          <w:p w:rsidR="00D366EC" w:rsidRDefault="00D366EC" w:rsidP="00D366EC">
            <w:pPr>
              <w:rPr>
                <w:rFonts w:cstheme="minorHAnsi"/>
                <w:b/>
              </w:rPr>
            </w:pPr>
          </w:p>
          <w:p w:rsidR="00D366EC" w:rsidRDefault="00D366EC" w:rsidP="00D366EC">
            <w:pPr>
              <w:rPr>
                <w:rFonts w:cstheme="minorHAnsi"/>
                <w:b/>
              </w:rPr>
            </w:pPr>
          </w:p>
          <w:p w:rsidR="00D366EC" w:rsidRPr="003E780A"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 xml:space="preserve">This </w:t>
            </w:r>
            <w:r w:rsidRPr="003E780A">
              <w:rPr>
                <w:rFonts w:asciiTheme="minorHAnsi" w:hAnsiTheme="minorHAnsi" w:cstheme="minorHAnsi"/>
                <w:b/>
                <w:sz w:val="22"/>
                <w:szCs w:val="22"/>
              </w:rPr>
              <w:t>question is largely concerned with policies and procedures, staff training/education and cascading of information.</w:t>
            </w:r>
          </w:p>
          <w:p w:rsidR="00D366EC" w:rsidRDefault="00D366EC" w:rsidP="00D366EC">
            <w:pPr>
              <w:rPr>
                <w:rFonts w:cstheme="minorHAnsi"/>
                <w:b/>
              </w:rPr>
            </w:pPr>
          </w:p>
          <w:p w:rsidR="00D366EC" w:rsidRDefault="00D366EC" w:rsidP="00D366EC">
            <w:pPr>
              <w:rPr>
                <w:rFonts w:cstheme="minorHAnsi"/>
                <w:b/>
              </w:rPr>
            </w:pPr>
          </w:p>
          <w:p w:rsidR="00D366EC" w:rsidRDefault="00D366EC" w:rsidP="00D366EC">
            <w:pPr>
              <w:rPr>
                <w:rFonts w:cstheme="minorHAnsi"/>
                <w:b/>
              </w:rPr>
            </w:pPr>
          </w:p>
          <w:p w:rsidR="00D366EC" w:rsidRPr="003E780A" w:rsidRDefault="00D366EC" w:rsidP="00D366EC">
            <w:pPr>
              <w:pStyle w:val="ListParagraph"/>
              <w:numPr>
                <w:ilvl w:val="0"/>
                <w:numId w:val="12"/>
              </w:numPr>
              <w:rPr>
                <w:rFonts w:cstheme="minorHAnsi"/>
                <w:b/>
              </w:rPr>
            </w:pPr>
            <w:r>
              <w:rPr>
                <w:rFonts w:asciiTheme="minorHAnsi" w:hAnsiTheme="minorHAnsi" w:cstheme="minorHAnsi"/>
                <w:b/>
                <w:sz w:val="22"/>
                <w:szCs w:val="22"/>
              </w:rPr>
              <w:t>This question</w:t>
            </w:r>
            <w:r w:rsidRPr="003E780A">
              <w:rPr>
                <w:rFonts w:asciiTheme="minorHAnsi" w:hAnsiTheme="minorHAnsi" w:cstheme="minorHAnsi"/>
                <w:b/>
                <w:sz w:val="22"/>
                <w:szCs w:val="22"/>
              </w:rPr>
              <w:t xml:space="preserve"> is about how this is implemented in practice, day to day protocols, on-going monitoring.</w:t>
            </w:r>
          </w:p>
        </w:tc>
        <w:tc>
          <w:tcPr>
            <w:tcW w:w="1276" w:type="dxa"/>
          </w:tcPr>
          <w:p w:rsidR="00D366EC" w:rsidRDefault="00D366EC" w:rsidP="00D366EC">
            <w:pPr>
              <w:rPr>
                <w:b/>
                <w:color w:val="FF0000"/>
              </w:rPr>
            </w:pPr>
            <w:r>
              <w:rPr>
                <w:b/>
                <w:color w:val="FF0000"/>
              </w:rPr>
              <w:lastRenderedPageBreak/>
              <w:t>13.10.17</w:t>
            </w:r>
          </w:p>
        </w:tc>
      </w:tr>
      <w:tr w:rsidR="00D366EC" w:rsidRPr="002C4161" w:rsidTr="00692213">
        <w:tc>
          <w:tcPr>
            <w:tcW w:w="675" w:type="dxa"/>
          </w:tcPr>
          <w:p w:rsidR="00D366EC" w:rsidRDefault="00D366EC" w:rsidP="00D366EC">
            <w:r>
              <w:t>26.</w:t>
            </w:r>
          </w:p>
        </w:tc>
        <w:tc>
          <w:tcPr>
            <w:tcW w:w="1191" w:type="dxa"/>
          </w:tcPr>
          <w:p w:rsidR="00D366EC" w:rsidRDefault="00D366EC" w:rsidP="00D366EC">
            <w:r>
              <w:t>6/10/17</w:t>
            </w:r>
          </w:p>
        </w:tc>
        <w:tc>
          <w:tcPr>
            <w:tcW w:w="6039" w:type="dxa"/>
          </w:tcPr>
          <w:p w:rsidR="00D366EC"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Please could you provide guidance on how to submit the tender documents without being able to identify the sender from the envelope</w:t>
            </w:r>
          </w:p>
        </w:tc>
        <w:tc>
          <w:tcPr>
            <w:tcW w:w="5528" w:type="dxa"/>
          </w:tcPr>
          <w:p w:rsidR="00D366EC"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Tenders must be submitted in line with the instructions given in the ITT document, Section 7 Submission of Tenders.  The ‘Tender Return Form’ label as provided in 7.4, must be printed out and placed on the envelope. If you are in the area then the tender can be delivered by hand, if using a courier they must be informed that your organisation details must not be identified on the packaging, if you would normally use a franking machine then you would need to use stamps instead.</w:t>
            </w:r>
          </w:p>
        </w:tc>
        <w:tc>
          <w:tcPr>
            <w:tcW w:w="1276" w:type="dxa"/>
          </w:tcPr>
          <w:p w:rsidR="00D366EC" w:rsidRDefault="00D366EC" w:rsidP="00D366EC">
            <w:pPr>
              <w:rPr>
                <w:b/>
                <w:color w:val="FF0000"/>
              </w:rPr>
            </w:pPr>
            <w:r>
              <w:rPr>
                <w:b/>
                <w:color w:val="FF0000"/>
              </w:rPr>
              <w:t>13.10.17</w:t>
            </w:r>
          </w:p>
        </w:tc>
      </w:tr>
      <w:tr w:rsidR="00D366EC" w:rsidRPr="002C4161" w:rsidTr="00692213">
        <w:tc>
          <w:tcPr>
            <w:tcW w:w="675" w:type="dxa"/>
          </w:tcPr>
          <w:p w:rsidR="00D366EC" w:rsidRDefault="00D366EC" w:rsidP="00D366EC">
            <w:r>
              <w:t>25.</w:t>
            </w:r>
          </w:p>
        </w:tc>
        <w:tc>
          <w:tcPr>
            <w:tcW w:w="1191" w:type="dxa"/>
          </w:tcPr>
          <w:p w:rsidR="00D366EC" w:rsidRDefault="00D366EC" w:rsidP="00D366EC">
            <w:r>
              <w:t>06.10.17</w:t>
            </w:r>
          </w:p>
        </w:tc>
        <w:tc>
          <w:tcPr>
            <w:tcW w:w="6039" w:type="dxa"/>
          </w:tcPr>
          <w:p w:rsidR="00D366EC" w:rsidRPr="00D54F16"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With reference to Q10 in the ITT could commissioners please confirm that the delivery plan should be attached as a separate document?</w:t>
            </w:r>
          </w:p>
        </w:tc>
        <w:tc>
          <w:tcPr>
            <w:tcW w:w="5528" w:type="dxa"/>
          </w:tcPr>
          <w:p w:rsidR="00D366EC" w:rsidRPr="00D54F16"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Annexe B Method Statements; Q10 requires that a detailed delivery plan is provided as a separate document.  Your document should be clearly titled ‘Delivery Plan’ and you should indicate in the question response box that this document is attached.</w:t>
            </w:r>
          </w:p>
        </w:tc>
        <w:tc>
          <w:tcPr>
            <w:tcW w:w="1276" w:type="dxa"/>
          </w:tcPr>
          <w:p w:rsidR="00D366EC" w:rsidRDefault="00D366EC" w:rsidP="00D366EC">
            <w:pPr>
              <w:rPr>
                <w:b/>
                <w:color w:val="FF0000"/>
              </w:rPr>
            </w:pPr>
            <w:r>
              <w:rPr>
                <w:b/>
                <w:color w:val="FF0000"/>
              </w:rPr>
              <w:t>13.10.17</w:t>
            </w:r>
          </w:p>
        </w:tc>
      </w:tr>
      <w:tr w:rsidR="00D366EC" w:rsidRPr="002C4161" w:rsidTr="00692213">
        <w:tc>
          <w:tcPr>
            <w:tcW w:w="675" w:type="dxa"/>
          </w:tcPr>
          <w:p w:rsidR="00D366EC" w:rsidRDefault="00D366EC" w:rsidP="00D366EC">
            <w:r>
              <w:t>24.</w:t>
            </w:r>
          </w:p>
        </w:tc>
        <w:tc>
          <w:tcPr>
            <w:tcW w:w="1191" w:type="dxa"/>
          </w:tcPr>
          <w:p w:rsidR="00D366EC" w:rsidRDefault="00D366EC" w:rsidP="00D366EC"/>
        </w:tc>
        <w:tc>
          <w:tcPr>
            <w:tcW w:w="6039" w:type="dxa"/>
          </w:tcPr>
          <w:p w:rsidR="00D366EC" w:rsidRPr="00983073"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color w:val="FF0000"/>
                <w:sz w:val="22"/>
                <w:szCs w:val="22"/>
              </w:rPr>
              <w:t>WBC notification…….</w:t>
            </w:r>
          </w:p>
        </w:tc>
        <w:tc>
          <w:tcPr>
            <w:tcW w:w="5528" w:type="dxa"/>
          </w:tcPr>
          <w:p w:rsidR="00D366EC" w:rsidRPr="000175DD" w:rsidRDefault="00D366EC" w:rsidP="00D366EC">
            <w:pPr>
              <w:pStyle w:val="ListParagraph"/>
              <w:numPr>
                <w:ilvl w:val="0"/>
                <w:numId w:val="12"/>
              </w:numPr>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Please note that the deadline for receipt of clarification questions has been extended to </w:t>
            </w:r>
            <w:r w:rsidRPr="000175DD">
              <w:rPr>
                <w:rFonts w:asciiTheme="minorHAnsi" w:hAnsiTheme="minorHAnsi" w:cstheme="minorHAnsi"/>
                <w:b/>
                <w:color w:val="FF0000"/>
                <w:sz w:val="22"/>
                <w:szCs w:val="22"/>
              </w:rPr>
              <w:t>13 October 2017</w:t>
            </w:r>
            <w:r>
              <w:rPr>
                <w:rFonts w:asciiTheme="minorHAnsi" w:hAnsiTheme="minorHAnsi" w:cstheme="minorHAnsi"/>
                <w:b/>
                <w:color w:val="FF0000"/>
                <w:sz w:val="22"/>
                <w:szCs w:val="22"/>
              </w:rPr>
              <w:t xml:space="preserve"> (by 12:00)</w:t>
            </w:r>
          </w:p>
          <w:p w:rsidR="00D366EC" w:rsidRPr="000175DD" w:rsidRDefault="00D366EC" w:rsidP="00D366EC">
            <w:pPr>
              <w:rPr>
                <w:rFonts w:cstheme="minorHAnsi"/>
                <w:b/>
                <w:color w:val="FF0000"/>
              </w:rPr>
            </w:pPr>
          </w:p>
        </w:tc>
        <w:tc>
          <w:tcPr>
            <w:tcW w:w="1276" w:type="dxa"/>
          </w:tcPr>
          <w:p w:rsidR="00D366EC" w:rsidRPr="0015374C" w:rsidRDefault="00D366EC" w:rsidP="00D366EC">
            <w:pPr>
              <w:rPr>
                <w:b/>
                <w:color w:val="FF0000"/>
              </w:rPr>
            </w:pPr>
            <w:r>
              <w:rPr>
                <w:b/>
                <w:color w:val="FF0000"/>
              </w:rPr>
              <w:t>06.10.17</w:t>
            </w:r>
          </w:p>
        </w:tc>
      </w:tr>
      <w:tr w:rsidR="00D366EC" w:rsidRPr="002C4161" w:rsidTr="00692213">
        <w:tc>
          <w:tcPr>
            <w:tcW w:w="675" w:type="dxa"/>
          </w:tcPr>
          <w:p w:rsidR="00D366EC" w:rsidRDefault="00D366EC" w:rsidP="00D366EC">
            <w:r>
              <w:t>23.</w:t>
            </w:r>
          </w:p>
        </w:tc>
        <w:tc>
          <w:tcPr>
            <w:tcW w:w="1191" w:type="dxa"/>
          </w:tcPr>
          <w:p w:rsidR="00D366EC" w:rsidRDefault="00D366EC" w:rsidP="00D366EC"/>
        </w:tc>
        <w:tc>
          <w:tcPr>
            <w:tcW w:w="6039" w:type="dxa"/>
          </w:tcPr>
          <w:p w:rsidR="00D366EC" w:rsidRPr="00983073"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color w:val="FF0000"/>
                <w:sz w:val="22"/>
                <w:szCs w:val="22"/>
              </w:rPr>
              <w:t>WBC notification…….</w:t>
            </w:r>
          </w:p>
        </w:tc>
        <w:tc>
          <w:tcPr>
            <w:tcW w:w="5528" w:type="dxa"/>
          </w:tcPr>
          <w:p w:rsidR="00D366EC" w:rsidRDefault="00D366EC" w:rsidP="00D366EC">
            <w:pPr>
              <w:pStyle w:val="ListParagraph"/>
              <w:numPr>
                <w:ilvl w:val="0"/>
                <w:numId w:val="12"/>
              </w:numPr>
              <w:rPr>
                <w:rFonts w:asciiTheme="minorHAnsi" w:hAnsiTheme="minorHAnsi" w:cstheme="minorHAnsi"/>
                <w:b/>
                <w:color w:val="FF0000"/>
                <w:sz w:val="22"/>
                <w:szCs w:val="22"/>
              </w:rPr>
            </w:pPr>
            <w:r>
              <w:rPr>
                <w:rFonts w:asciiTheme="minorHAnsi" w:hAnsiTheme="minorHAnsi" w:cstheme="minorHAnsi"/>
                <w:b/>
                <w:color w:val="FF0000"/>
                <w:sz w:val="22"/>
                <w:szCs w:val="22"/>
              </w:rPr>
              <w:t>For information, please note</w:t>
            </w:r>
            <w:r w:rsidRPr="00682DF4">
              <w:rPr>
                <w:rFonts w:asciiTheme="minorHAnsi" w:hAnsiTheme="minorHAnsi" w:cstheme="minorHAnsi"/>
                <w:b/>
                <w:color w:val="FF0000"/>
                <w:sz w:val="22"/>
                <w:szCs w:val="22"/>
              </w:rPr>
              <w:t xml:space="preserve"> that clarification questions 4, 5, 8, 9 and 10 (below) have been updated</w:t>
            </w:r>
          </w:p>
          <w:p w:rsidR="00D366EC" w:rsidRPr="0015374C" w:rsidRDefault="00D366EC" w:rsidP="00D366EC">
            <w:pPr>
              <w:pStyle w:val="ListParagraph"/>
              <w:rPr>
                <w:rFonts w:asciiTheme="minorHAnsi" w:hAnsiTheme="minorHAnsi" w:cstheme="minorHAnsi"/>
                <w:b/>
                <w:color w:val="FF0000"/>
                <w:sz w:val="22"/>
                <w:szCs w:val="22"/>
              </w:rPr>
            </w:pPr>
          </w:p>
        </w:tc>
        <w:tc>
          <w:tcPr>
            <w:tcW w:w="1276" w:type="dxa"/>
          </w:tcPr>
          <w:p w:rsidR="00D366EC" w:rsidRPr="0015374C" w:rsidRDefault="00D366EC" w:rsidP="00D366EC">
            <w:pPr>
              <w:rPr>
                <w:b/>
                <w:color w:val="FF0000"/>
              </w:rPr>
            </w:pPr>
            <w:r w:rsidRPr="0015374C">
              <w:rPr>
                <w:b/>
                <w:color w:val="FF0000"/>
              </w:rPr>
              <w:t>05.10.17</w:t>
            </w:r>
          </w:p>
        </w:tc>
      </w:tr>
      <w:tr w:rsidR="00D366EC" w:rsidRPr="002C4161" w:rsidTr="00692213">
        <w:tc>
          <w:tcPr>
            <w:tcW w:w="675" w:type="dxa"/>
          </w:tcPr>
          <w:p w:rsidR="00D366EC" w:rsidRDefault="00D366EC" w:rsidP="00D366EC">
            <w:r>
              <w:lastRenderedPageBreak/>
              <w:t>22.</w:t>
            </w:r>
          </w:p>
        </w:tc>
        <w:tc>
          <w:tcPr>
            <w:tcW w:w="1191" w:type="dxa"/>
          </w:tcPr>
          <w:p w:rsidR="00D366EC" w:rsidRDefault="00D366EC" w:rsidP="00D366EC">
            <w:r>
              <w:t>4/10/17</w:t>
            </w:r>
          </w:p>
        </w:tc>
        <w:tc>
          <w:tcPr>
            <w:tcW w:w="6039" w:type="dxa"/>
          </w:tcPr>
          <w:p w:rsidR="00D366EC" w:rsidRPr="00F93B4F" w:rsidRDefault="00D366EC" w:rsidP="00D366EC">
            <w:pPr>
              <w:pStyle w:val="ListParagraph"/>
              <w:numPr>
                <w:ilvl w:val="0"/>
                <w:numId w:val="12"/>
              </w:numPr>
              <w:rPr>
                <w:rFonts w:asciiTheme="minorHAnsi" w:hAnsiTheme="minorHAnsi" w:cstheme="minorHAnsi"/>
                <w:sz w:val="22"/>
                <w:szCs w:val="22"/>
              </w:rPr>
            </w:pPr>
            <w:r w:rsidRPr="00F93B4F">
              <w:rPr>
                <w:rFonts w:asciiTheme="minorHAnsi" w:hAnsiTheme="minorHAnsi" w:cstheme="minorHAnsi"/>
                <w:sz w:val="22"/>
                <w:szCs w:val="22"/>
              </w:rPr>
              <w:t>Could the commissioners please clarify if the pricing will be scored based on Year1 cost or total full cost over 5 years (or average yearly cost over 5 years)?</w:t>
            </w:r>
          </w:p>
        </w:tc>
        <w:tc>
          <w:tcPr>
            <w:tcW w:w="5528" w:type="dxa"/>
          </w:tcPr>
          <w:p w:rsidR="00D366EC" w:rsidRPr="00DD7392" w:rsidRDefault="00D366EC" w:rsidP="00D366EC">
            <w:pPr>
              <w:pStyle w:val="ListParagraph"/>
              <w:numPr>
                <w:ilvl w:val="0"/>
                <w:numId w:val="12"/>
              </w:numPr>
              <w:rPr>
                <w:rFonts w:asciiTheme="minorHAnsi" w:hAnsiTheme="minorHAnsi" w:cstheme="minorHAnsi"/>
                <w:color w:val="1F497D"/>
                <w:sz w:val="22"/>
                <w:szCs w:val="22"/>
              </w:rPr>
            </w:pPr>
            <w:r w:rsidRPr="00DD7392">
              <w:rPr>
                <w:rFonts w:asciiTheme="minorHAnsi" w:hAnsiTheme="minorHAnsi" w:cstheme="minorHAnsi"/>
                <w:color w:val="1F497D"/>
                <w:sz w:val="22"/>
                <w:szCs w:val="22"/>
              </w:rPr>
              <w:t xml:space="preserve">The price will be scored based on the </w:t>
            </w:r>
            <w:r>
              <w:rPr>
                <w:rFonts w:asciiTheme="minorHAnsi" w:hAnsiTheme="minorHAnsi" w:cstheme="minorHAnsi"/>
                <w:color w:val="1F497D"/>
                <w:sz w:val="22"/>
                <w:szCs w:val="22"/>
              </w:rPr>
              <w:t>total full cost over 5 years</w:t>
            </w:r>
            <w:r w:rsidRPr="00DD7392">
              <w:rPr>
                <w:rFonts w:asciiTheme="minorHAnsi" w:hAnsiTheme="minorHAnsi" w:cstheme="minorHAnsi"/>
                <w:color w:val="1F497D"/>
                <w:sz w:val="22"/>
                <w:szCs w:val="22"/>
              </w:rPr>
              <w:t xml:space="preserve"> </w:t>
            </w:r>
          </w:p>
          <w:p w:rsidR="00D366EC" w:rsidRPr="00DD7392" w:rsidRDefault="00D366EC" w:rsidP="00D366EC">
            <w:pPr>
              <w:rPr>
                <w:rFonts w:cstheme="minorHAnsi"/>
                <w:color w:val="1F497D"/>
              </w:rPr>
            </w:pPr>
          </w:p>
        </w:tc>
        <w:tc>
          <w:tcPr>
            <w:tcW w:w="1276" w:type="dxa"/>
          </w:tcPr>
          <w:p w:rsidR="00D366EC" w:rsidRDefault="00D366EC" w:rsidP="00D366EC">
            <w:pPr>
              <w:rPr>
                <w:color w:val="FF0000"/>
              </w:rPr>
            </w:pPr>
            <w:r>
              <w:rPr>
                <w:color w:val="FF0000"/>
              </w:rPr>
              <w:t>5/10/17</w:t>
            </w:r>
          </w:p>
        </w:tc>
      </w:tr>
      <w:tr w:rsidR="00D366EC" w:rsidRPr="002C4161" w:rsidTr="00692213">
        <w:tc>
          <w:tcPr>
            <w:tcW w:w="675" w:type="dxa"/>
          </w:tcPr>
          <w:p w:rsidR="00D366EC" w:rsidRDefault="00D366EC" w:rsidP="00D366EC">
            <w:r>
              <w:t>21.</w:t>
            </w:r>
          </w:p>
        </w:tc>
        <w:tc>
          <w:tcPr>
            <w:tcW w:w="1191" w:type="dxa"/>
          </w:tcPr>
          <w:p w:rsidR="00D366EC" w:rsidRDefault="00D366EC" w:rsidP="00D366EC">
            <w:r>
              <w:t>3/10/17</w:t>
            </w:r>
          </w:p>
        </w:tc>
        <w:tc>
          <w:tcPr>
            <w:tcW w:w="6039" w:type="dxa"/>
          </w:tcPr>
          <w:p w:rsidR="00D366EC" w:rsidRPr="00FE0665" w:rsidRDefault="00D366EC" w:rsidP="00D366EC">
            <w:pPr>
              <w:pStyle w:val="ListParagraph"/>
              <w:numPr>
                <w:ilvl w:val="0"/>
                <w:numId w:val="12"/>
              </w:numPr>
              <w:rPr>
                <w:rFonts w:asciiTheme="minorHAnsi" w:hAnsiTheme="minorHAnsi" w:cstheme="minorHAnsi"/>
                <w:sz w:val="22"/>
                <w:szCs w:val="22"/>
              </w:rPr>
            </w:pPr>
            <w:r w:rsidRPr="00F93B4F">
              <w:rPr>
                <w:rFonts w:asciiTheme="minorHAnsi" w:hAnsiTheme="minorHAnsi" w:cstheme="minorHAnsi"/>
                <w:sz w:val="22"/>
                <w:szCs w:val="22"/>
              </w:rPr>
              <w:t>Could additional attachments be included as evidence if they are referenced in our written response?</w:t>
            </w:r>
          </w:p>
        </w:tc>
        <w:tc>
          <w:tcPr>
            <w:tcW w:w="5528" w:type="dxa"/>
          </w:tcPr>
          <w:p w:rsidR="00D366EC" w:rsidRPr="00FE0665" w:rsidRDefault="00D366EC" w:rsidP="00D366EC">
            <w:pPr>
              <w:pStyle w:val="ListParagraph"/>
              <w:numPr>
                <w:ilvl w:val="0"/>
                <w:numId w:val="12"/>
              </w:numPr>
              <w:autoSpaceDE/>
              <w:autoSpaceDN/>
              <w:rPr>
                <w:rFonts w:asciiTheme="minorHAnsi" w:hAnsiTheme="minorHAnsi" w:cstheme="minorHAnsi"/>
                <w:color w:val="1F497D"/>
                <w:sz w:val="22"/>
                <w:szCs w:val="22"/>
              </w:rPr>
            </w:pPr>
            <w:r>
              <w:rPr>
                <w:rFonts w:asciiTheme="minorHAnsi" w:hAnsiTheme="minorHAnsi" w:cstheme="minorHAnsi"/>
                <w:color w:val="1F497D"/>
                <w:sz w:val="22"/>
                <w:szCs w:val="22"/>
              </w:rPr>
              <w:t>Please see section 8 of the ITT</w:t>
            </w:r>
          </w:p>
        </w:tc>
        <w:tc>
          <w:tcPr>
            <w:tcW w:w="1276" w:type="dxa"/>
          </w:tcPr>
          <w:p w:rsidR="00D366EC" w:rsidRDefault="00D366EC" w:rsidP="00D366EC">
            <w:pPr>
              <w:rPr>
                <w:color w:val="FF0000"/>
              </w:rPr>
            </w:pPr>
            <w:r>
              <w:rPr>
                <w:color w:val="FF0000"/>
              </w:rPr>
              <w:t>5/10/17</w:t>
            </w:r>
          </w:p>
        </w:tc>
      </w:tr>
      <w:tr w:rsidR="00D366EC" w:rsidRPr="002C4161" w:rsidTr="00692213">
        <w:tc>
          <w:tcPr>
            <w:tcW w:w="675" w:type="dxa"/>
          </w:tcPr>
          <w:p w:rsidR="00D366EC" w:rsidRDefault="00D366EC" w:rsidP="00D366EC">
            <w:r>
              <w:t>20.</w:t>
            </w:r>
          </w:p>
        </w:tc>
        <w:tc>
          <w:tcPr>
            <w:tcW w:w="1191" w:type="dxa"/>
          </w:tcPr>
          <w:p w:rsidR="00D366EC" w:rsidRDefault="00D366EC" w:rsidP="00D366EC">
            <w:r>
              <w:t>22/9/17</w:t>
            </w:r>
          </w:p>
        </w:tc>
        <w:tc>
          <w:tcPr>
            <w:tcW w:w="6039" w:type="dxa"/>
          </w:tcPr>
          <w:p w:rsidR="00D366EC" w:rsidRPr="00FE0665" w:rsidRDefault="00D366EC" w:rsidP="00D366EC">
            <w:pPr>
              <w:pStyle w:val="ListParagraph"/>
              <w:numPr>
                <w:ilvl w:val="0"/>
                <w:numId w:val="12"/>
              </w:numPr>
              <w:rPr>
                <w:rFonts w:asciiTheme="minorHAnsi" w:hAnsiTheme="minorHAnsi" w:cstheme="minorHAnsi"/>
                <w:sz w:val="22"/>
                <w:szCs w:val="22"/>
              </w:rPr>
            </w:pPr>
            <w:r w:rsidRPr="00FE0665">
              <w:rPr>
                <w:rFonts w:asciiTheme="minorHAnsi" w:hAnsiTheme="minorHAnsi" w:cstheme="minorHAnsi"/>
                <w:sz w:val="22"/>
                <w:szCs w:val="22"/>
              </w:rPr>
              <w:t>Who owns the accommodation and what does it cost?</w:t>
            </w:r>
          </w:p>
        </w:tc>
        <w:tc>
          <w:tcPr>
            <w:tcW w:w="5528" w:type="dxa"/>
          </w:tcPr>
          <w:p w:rsidR="00D366EC" w:rsidRDefault="00D366EC" w:rsidP="00D366EC">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Number 52 Reading Road is owned by Wokingham Housing Limited. The provider of the Housing Related Support Service will be given a license/lease to occupy</w:t>
            </w:r>
            <w:r>
              <w:rPr>
                <w:rFonts w:asciiTheme="minorHAnsi" w:hAnsiTheme="minorHAnsi" w:cstheme="minorHAnsi"/>
                <w:color w:val="1F497D"/>
                <w:sz w:val="22"/>
                <w:szCs w:val="22"/>
              </w:rPr>
              <w:t>.</w:t>
            </w:r>
          </w:p>
          <w:p w:rsidR="00D366EC" w:rsidRPr="00795522" w:rsidRDefault="00D366EC" w:rsidP="00D366EC">
            <w:pPr>
              <w:pStyle w:val="ListParagraph"/>
              <w:autoSpaceDE/>
              <w:autoSpaceDN/>
              <w:rPr>
                <w:rFonts w:asciiTheme="minorHAnsi" w:hAnsiTheme="minorHAnsi" w:cstheme="minorHAnsi"/>
                <w:color w:val="1F497D"/>
                <w:sz w:val="22"/>
                <w:szCs w:val="22"/>
              </w:rPr>
            </w:pPr>
          </w:p>
        </w:tc>
        <w:tc>
          <w:tcPr>
            <w:tcW w:w="1276" w:type="dxa"/>
          </w:tcPr>
          <w:p w:rsidR="00D366EC" w:rsidRDefault="00D366EC" w:rsidP="00D366EC">
            <w:r w:rsidRPr="00446455">
              <w:rPr>
                <w:color w:val="FF0000"/>
              </w:rPr>
              <w:t>5/10/17</w:t>
            </w:r>
          </w:p>
        </w:tc>
      </w:tr>
      <w:tr w:rsidR="00D366EC" w:rsidRPr="002C4161" w:rsidTr="00692213">
        <w:tc>
          <w:tcPr>
            <w:tcW w:w="675" w:type="dxa"/>
          </w:tcPr>
          <w:p w:rsidR="00D366EC" w:rsidRDefault="00D366EC" w:rsidP="00D366EC">
            <w:r>
              <w:t>19.</w:t>
            </w:r>
          </w:p>
        </w:tc>
        <w:tc>
          <w:tcPr>
            <w:tcW w:w="1191" w:type="dxa"/>
          </w:tcPr>
          <w:p w:rsidR="00D366EC" w:rsidRDefault="00D366EC" w:rsidP="00D366EC">
            <w:r>
              <w:t>22/9/17</w:t>
            </w:r>
          </w:p>
        </w:tc>
        <w:tc>
          <w:tcPr>
            <w:tcW w:w="6039" w:type="dxa"/>
          </w:tcPr>
          <w:p w:rsidR="00D366EC" w:rsidRPr="00FE0665" w:rsidRDefault="00D366EC" w:rsidP="00D366EC">
            <w:pPr>
              <w:pStyle w:val="ListParagraph"/>
              <w:numPr>
                <w:ilvl w:val="0"/>
                <w:numId w:val="12"/>
              </w:numPr>
              <w:rPr>
                <w:rFonts w:asciiTheme="minorHAnsi" w:hAnsiTheme="minorHAnsi" w:cstheme="minorHAnsi"/>
                <w:sz w:val="22"/>
                <w:szCs w:val="22"/>
              </w:rPr>
            </w:pPr>
            <w:r w:rsidRPr="00FE0665">
              <w:rPr>
                <w:rFonts w:asciiTheme="minorHAnsi" w:hAnsiTheme="minorHAnsi" w:cstheme="minorHAnsi"/>
                <w:sz w:val="22"/>
                <w:szCs w:val="22"/>
              </w:rPr>
              <w:t>Is there an office within the building? What costs apply e.g. rent, rates, utilities etc.?</w:t>
            </w:r>
          </w:p>
          <w:p w:rsidR="00D366EC" w:rsidRPr="00795522" w:rsidRDefault="00D366EC" w:rsidP="00D366EC">
            <w:pPr>
              <w:ind w:left="360"/>
              <w:rPr>
                <w:rFonts w:cstheme="minorHAnsi"/>
              </w:rPr>
            </w:pPr>
          </w:p>
        </w:tc>
        <w:tc>
          <w:tcPr>
            <w:tcW w:w="5528" w:type="dxa"/>
          </w:tcPr>
          <w:p w:rsidR="00D366EC" w:rsidRDefault="00D366EC" w:rsidP="00D366EC">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There is an office within the building.</w:t>
            </w:r>
            <w:r w:rsidRPr="00FE0665">
              <w:rPr>
                <w:rFonts w:asciiTheme="minorHAnsi" w:hAnsiTheme="minorHAnsi" w:cstheme="minorHAnsi"/>
                <w:sz w:val="22"/>
                <w:szCs w:val="22"/>
              </w:rPr>
              <w:t xml:space="preserve"> </w:t>
            </w:r>
            <w:r w:rsidRPr="00FE0665">
              <w:rPr>
                <w:rFonts w:asciiTheme="minorHAnsi" w:hAnsiTheme="minorHAnsi" w:cstheme="minorHAnsi"/>
                <w:color w:val="1F497D"/>
                <w:sz w:val="22"/>
                <w:szCs w:val="22"/>
              </w:rPr>
              <w:t>There will be a management charge of £3000 per annum. This will include: office space rental, use of study space, council tax, furniture, PAT testing, heating and hot water, electricity, insurance, cleaning services and telecommunication infrastructure</w:t>
            </w:r>
            <w:r>
              <w:rPr>
                <w:rFonts w:asciiTheme="minorHAnsi" w:hAnsiTheme="minorHAnsi" w:cstheme="minorHAnsi"/>
                <w:color w:val="1F497D"/>
                <w:sz w:val="22"/>
                <w:szCs w:val="22"/>
              </w:rPr>
              <w:t>.</w:t>
            </w:r>
          </w:p>
          <w:p w:rsidR="00D366EC" w:rsidRPr="0015374C" w:rsidRDefault="00D366EC" w:rsidP="00D366EC">
            <w:pPr>
              <w:pStyle w:val="ListParagraph"/>
              <w:autoSpaceDE/>
              <w:autoSpaceDN/>
              <w:rPr>
                <w:rFonts w:asciiTheme="minorHAnsi" w:hAnsiTheme="minorHAnsi" w:cstheme="minorHAnsi"/>
                <w:color w:val="1F497D"/>
                <w:sz w:val="22"/>
                <w:szCs w:val="22"/>
              </w:rPr>
            </w:pPr>
          </w:p>
        </w:tc>
        <w:tc>
          <w:tcPr>
            <w:tcW w:w="1276" w:type="dxa"/>
          </w:tcPr>
          <w:p w:rsidR="00D366EC" w:rsidRDefault="00D366EC" w:rsidP="00D366EC">
            <w:r w:rsidRPr="00446455">
              <w:rPr>
                <w:color w:val="FF0000"/>
              </w:rPr>
              <w:t>5/10/17</w:t>
            </w:r>
          </w:p>
        </w:tc>
      </w:tr>
      <w:tr w:rsidR="00D366EC" w:rsidRPr="002C4161" w:rsidTr="00692213">
        <w:tc>
          <w:tcPr>
            <w:tcW w:w="675" w:type="dxa"/>
          </w:tcPr>
          <w:p w:rsidR="00D366EC" w:rsidRDefault="00D366EC" w:rsidP="00D366EC">
            <w:r>
              <w:t>18.</w:t>
            </w:r>
          </w:p>
        </w:tc>
        <w:tc>
          <w:tcPr>
            <w:tcW w:w="1191" w:type="dxa"/>
          </w:tcPr>
          <w:p w:rsidR="00D366EC" w:rsidRDefault="00D366EC" w:rsidP="00D366EC">
            <w:r>
              <w:t>22/9/17</w:t>
            </w:r>
          </w:p>
        </w:tc>
        <w:tc>
          <w:tcPr>
            <w:tcW w:w="6039" w:type="dxa"/>
          </w:tcPr>
          <w:p w:rsidR="00D366EC" w:rsidRPr="00795522" w:rsidRDefault="00D366EC" w:rsidP="00D366EC">
            <w:pPr>
              <w:pStyle w:val="ListParagraph"/>
              <w:rPr>
                <w:rFonts w:asciiTheme="minorHAnsi" w:hAnsiTheme="minorHAnsi" w:cstheme="minorHAnsi"/>
                <w:sz w:val="22"/>
                <w:szCs w:val="22"/>
              </w:rPr>
            </w:pPr>
            <w:r w:rsidRPr="00795522">
              <w:rPr>
                <w:rFonts w:asciiTheme="minorHAnsi" w:hAnsiTheme="minorHAnsi" w:cstheme="minorHAnsi"/>
                <w:sz w:val="22"/>
                <w:szCs w:val="22"/>
              </w:rPr>
              <w:t>Within the tender documentation, 100 night hours are given as guidance, in another section you confirm sleep-ins are not required, and you also mention 24/7 staffing. Can you clarify these discrepancies?</w:t>
            </w:r>
          </w:p>
          <w:p w:rsidR="00D366EC" w:rsidRPr="00795522" w:rsidRDefault="00D366EC" w:rsidP="00D366EC">
            <w:pPr>
              <w:rPr>
                <w:rFonts w:cstheme="minorHAnsi"/>
              </w:rPr>
            </w:pPr>
          </w:p>
        </w:tc>
        <w:tc>
          <w:tcPr>
            <w:tcW w:w="5528" w:type="dxa"/>
          </w:tcPr>
          <w:p w:rsidR="00D366EC" w:rsidRDefault="00D366EC" w:rsidP="00D366EC">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52 Reading Road will be staffed 24/7. The provider would determine within their tender how they would achieve this e.g. waking nights/concierge service. Our current Housing Related Support Service for Young People (Seaford Court), is currently staffed 24/7, this is made up of approximately 100 staff hours during the day, and 100 staff hours at night over a 7 day period. These staff hours are for guidance only, the tenderer can determine how many staff hours that they feel is necessary to staff this project 24/7.</w:t>
            </w:r>
          </w:p>
          <w:p w:rsidR="00D366EC" w:rsidRPr="00795522" w:rsidRDefault="00D366EC" w:rsidP="00D366EC">
            <w:pPr>
              <w:pStyle w:val="ListParagraph"/>
              <w:autoSpaceDE/>
              <w:autoSpaceDN/>
              <w:rPr>
                <w:rFonts w:asciiTheme="minorHAnsi" w:hAnsiTheme="minorHAnsi" w:cstheme="minorHAnsi"/>
                <w:color w:val="1F497D"/>
                <w:sz w:val="22"/>
                <w:szCs w:val="22"/>
              </w:rPr>
            </w:pPr>
          </w:p>
        </w:tc>
        <w:tc>
          <w:tcPr>
            <w:tcW w:w="1276" w:type="dxa"/>
          </w:tcPr>
          <w:p w:rsidR="00D366EC" w:rsidRDefault="00D366EC" w:rsidP="00D366EC">
            <w:r w:rsidRPr="00446455">
              <w:rPr>
                <w:color w:val="FF0000"/>
              </w:rPr>
              <w:t>5/10/17</w:t>
            </w:r>
          </w:p>
        </w:tc>
      </w:tr>
      <w:tr w:rsidR="00D366EC" w:rsidRPr="002C4161" w:rsidTr="00692213">
        <w:tc>
          <w:tcPr>
            <w:tcW w:w="675" w:type="dxa"/>
          </w:tcPr>
          <w:p w:rsidR="00D366EC" w:rsidRDefault="00D366EC" w:rsidP="00D366EC">
            <w:r>
              <w:t>17.</w:t>
            </w:r>
          </w:p>
        </w:tc>
        <w:tc>
          <w:tcPr>
            <w:tcW w:w="1191" w:type="dxa"/>
          </w:tcPr>
          <w:p w:rsidR="00D366EC" w:rsidRDefault="00D366EC" w:rsidP="00D366EC">
            <w:r w:rsidRPr="00322385">
              <w:t>22/9/17</w:t>
            </w:r>
          </w:p>
        </w:tc>
        <w:tc>
          <w:tcPr>
            <w:tcW w:w="6039" w:type="dxa"/>
          </w:tcPr>
          <w:p w:rsidR="00D366EC" w:rsidRPr="00795522" w:rsidRDefault="00D366EC" w:rsidP="00D366EC">
            <w:pPr>
              <w:pStyle w:val="ListParagraph"/>
              <w:numPr>
                <w:ilvl w:val="0"/>
                <w:numId w:val="12"/>
              </w:numPr>
              <w:rPr>
                <w:rFonts w:asciiTheme="minorHAnsi" w:hAnsiTheme="minorHAnsi" w:cstheme="minorHAnsi"/>
                <w:sz w:val="22"/>
                <w:szCs w:val="22"/>
              </w:rPr>
            </w:pPr>
            <w:r w:rsidRPr="00FE0665">
              <w:rPr>
                <w:rFonts w:asciiTheme="minorHAnsi" w:hAnsiTheme="minorHAnsi" w:cstheme="minorHAnsi"/>
                <w:sz w:val="22"/>
                <w:szCs w:val="22"/>
              </w:rPr>
              <w:t>The tender states the young people will have low-medium needs. Can you provide us with a further definition of this?</w:t>
            </w:r>
          </w:p>
        </w:tc>
        <w:tc>
          <w:tcPr>
            <w:tcW w:w="5528" w:type="dxa"/>
          </w:tcPr>
          <w:p w:rsidR="00D366EC" w:rsidRPr="00795522" w:rsidRDefault="00D366EC" w:rsidP="00D366EC">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Please see Appendix 1 of the Service Specification</w:t>
            </w:r>
          </w:p>
        </w:tc>
        <w:tc>
          <w:tcPr>
            <w:tcW w:w="1276" w:type="dxa"/>
          </w:tcPr>
          <w:p w:rsidR="00D366EC" w:rsidRDefault="00D366EC" w:rsidP="00D366EC">
            <w:r w:rsidRPr="000B02F3">
              <w:rPr>
                <w:color w:val="FF0000"/>
              </w:rPr>
              <w:t>5/10/17</w:t>
            </w:r>
          </w:p>
        </w:tc>
      </w:tr>
      <w:tr w:rsidR="00D366EC" w:rsidRPr="002C4161" w:rsidTr="00692213">
        <w:tc>
          <w:tcPr>
            <w:tcW w:w="675" w:type="dxa"/>
          </w:tcPr>
          <w:p w:rsidR="00D366EC" w:rsidRDefault="00D366EC" w:rsidP="00D366EC">
            <w:r>
              <w:lastRenderedPageBreak/>
              <w:t>16.</w:t>
            </w:r>
          </w:p>
        </w:tc>
        <w:tc>
          <w:tcPr>
            <w:tcW w:w="1191" w:type="dxa"/>
          </w:tcPr>
          <w:p w:rsidR="00D366EC" w:rsidRDefault="00D366EC" w:rsidP="00D366EC">
            <w:r w:rsidRPr="00322385">
              <w:t>22/9/17</w:t>
            </w:r>
          </w:p>
        </w:tc>
        <w:tc>
          <w:tcPr>
            <w:tcW w:w="6039" w:type="dxa"/>
          </w:tcPr>
          <w:p w:rsidR="00D366EC" w:rsidRPr="00FE0665" w:rsidRDefault="00D366EC" w:rsidP="00D366EC">
            <w:pPr>
              <w:pStyle w:val="ListParagraph"/>
              <w:numPr>
                <w:ilvl w:val="0"/>
                <w:numId w:val="12"/>
              </w:numPr>
              <w:rPr>
                <w:rFonts w:asciiTheme="minorHAnsi" w:hAnsiTheme="minorHAnsi" w:cstheme="minorHAnsi"/>
                <w:sz w:val="22"/>
                <w:szCs w:val="22"/>
              </w:rPr>
            </w:pPr>
            <w:r w:rsidRPr="00FE0665">
              <w:rPr>
                <w:rFonts w:asciiTheme="minorHAnsi" w:hAnsiTheme="minorHAnsi" w:cstheme="minorHAnsi"/>
                <w:sz w:val="22"/>
                <w:szCs w:val="22"/>
              </w:rPr>
              <w:t>For the previous 18 months, can you give us the occupancy by age?</w:t>
            </w:r>
          </w:p>
        </w:tc>
        <w:tc>
          <w:tcPr>
            <w:tcW w:w="5528" w:type="dxa"/>
          </w:tcPr>
          <w:p w:rsidR="00D366EC" w:rsidRDefault="00D366EC" w:rsidP="00D366EC">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Number 52 Reading Road is not yet occupied, it is a new build and as such does not have any residents. The nearest comparable data we have would be for our current Housing Related Support Service for Young People (Seaford Court): 2 X 17 year old, 4 X 18 year olds, 1 X20 year old, 1 X 21 year old, 1 X 22 year old, 2 X 23 year old. Please note however that Seaford Court has a different service specification to our new service 52 Reading Road, e.g. 4 former residents would have stayed here for 24 months</w:t>
            </w:r>
          </w:p>
          <w:p w:rsidR="00D366EC" w:rsidRPr="0015374C" w:rsidRDefault="00D366EC" w:rsidP="00D366EC">
            <w:pPr>
              <w:pStyle w:val="ListParagraph"/>
              <w:autoSpaceDE/>
              <w:autoSpaceDN/>
              <w:rPr>
                <w:rFonts w:asciiTheme="minorHAnsi" w:hAnsiTheme="minorHAnsi" w:cstheme="minorHAnsi"/>
                <w:color w:val="1F497D"/>
                <w:sz w:val="22"/>
                <w:szCs w:val="22"/>
              </w:rPr>
            </w:pPr>
          </w:p>
        </w:tc>
        <w:tc>
          <w:tcPr>
            <w:tcW w:w="1276" w:type="dxa"/>
          </w:tcPr>
          <w:p w:rsidR="00D366EC" w:rsidRDefault="00D366EC" w:rsidP="00D366EC">
            <w:r w:rsidRPr="000B02F3">
              <w:rPr>
                <w:color w:val="FF0000"/>
              </w:rPr>
              <w:t>5/10/17</w:t>
            </w:r>
          </w:p>
        </w:tc>
      </w:tr>
      <w:tr w:rsidR="00D366EC" w:rsidRPr="002C4161" w:rsidTr="00692213">
        <w:tc>
          <w:tcPr>
            <w:tcW w:w="675" w:type="dxa"/>
          </w:tcPr>
          <w:p w:rsidR="00D366EC" w:rsidRDefault="00D366EC" w:rsidP="00D366EC">
            <w:r>
              <w:t>15.</w:t>
            </w:r>
          </w:p>
        </w:tc>
        <w:tc>
          <w:tcPr>
            <w:tcW w:w="1191" w:type="dxa"/>
          </w:tcPr>
          <w:p w:rsidR="00D366EC" w:rsidRDefault="00D366EC" w:rsidP="00D366EC">
            <w:r>
              <w:t>3/10/17</w:t>
            </w:r>
          </w:p>
        </w:tc>
        <w:tc>
          <w:tcPr>
            <w:tcW w:w="6039" w:type="dxa"/>
          </w:tcPr>
          <w:p w:rsidR="00D366EC" w:rsidRPr="00795522" w:rsidRDefault="00D366EC" w:rsidP="00D366EC">
            <w:pPr>
              <w:pStyle w:val="ListParagraph"/>
              <w:numPr>
                <w:ilvl w:val="0"/>
                <w:numId w:val="12"/>
              </w:numPr>
              <w:rPr>
                <w:rFonts w:asciiTheme="minorHAnsi" w:hAnsiTheme="minorHAnsi" w:cstheme="minorHAnsi"/>
                <w:sz w:val="22"/>
                <w:szCs w:val="22"/>
              </w:rPr>
            </w:pPr>
            <w:r w:rsidRPr="00723D41">
              <w:rPr>
                <w:rFonts w:asciiTheme="minorHAnsi" w:hAnsiTheme="minorHAnsi" w:cstheme="minorHAnsi"/>
                <w:sz w:val="22"/>
                <w:szCs w:val="22"/>
              </w:rPr>
              <w:t>We understand that the new service requires on-site staffing 24/7. We know that the combined weekly hours of the 3 staff listed on the TUPE spreadsheet are between 75 hours and 112.5 hours per week.  However, the spec states that the current services operates 100 day hours, and 100 night hours per week.  Is the current service staffed overnight, or is an emergency / on call system in use?  Please can you confirm that the new service does require 24/7 on-site staffing (but no sleep ins)?</w:t>
            </w:r>
          </w:p>
        </w:tc>
        <w:tc>
          <w:tcPr>
            <w:tcW w:w="5528" w:type="dxa"/>
          </w:tcPr>
          <w:p w:rsidR="00D366EC" w:rsidRPr="00795522" w:rsidRDefault="00D366EC" w:rsidP="00D366EC">
            <w:pPr>
              <w:pStyle w:val="ListParagraph"/>
              <w:numPr>
                <w:ilvl w:val="0"/>
                <w:numId w:val="12"/>
              </w:numPr>
              <w:rPr>
                <w:rFonts w:asciiTheme="minorHAnsi" w:hAnsiTheme="minorHAnsi" w:cstheme="minorHAnsi"/>
                <w:color w:val="1F497D" w:themeColor="text2"/>
                <w:sz w:val="22"/>
                <w:szCs w:val="22"/>
              </w:rPr>
            </w:pPr>
            <w:r w:rsidRPr="005E7147">
              <w:rPr>
                <w:rFonts w:asciiTheme="minorHAnsi" w:hAnsiTheme="minorHAnsi" w:cstheme="minorHAnsi"/>
                <w:color w:val="1F497D" w:themeColor="text2"/>
                <w:sz w:val="22"/>
                <w:szCs w:val="22"/>
              </w:rPr>
              <w:t>The current service operates with a manager (37.5 hours per week) Support Workers (76 hours per week) and a concierge (49.75 hours per week).  The service requires 24/7 staffing but no sleep in’s. This model does not necessarily have to be replicated and providers are encouraged to be creative as to how they would manage a 24/7 provision</w:t>
            </w:r>
            <w:r>
              <w:rPr>
                <w:rFonts w:asciiTheme="minorHAnsi" w:hAnsiTheme="minorHAnsi" w:cstheme="minorHAnsi"/>
                <w:color w:val="1F497D" w:themeColor="text2"/>
                <w:sz w:val="22"/>
                <w:szCs w:val="22"/>
              </w:rPr>
              <w:t>.</w:t>
            </w:r>
          </w:p>
        </w:tc>
        <w:tc>
          <w:tcPr>
            <w:tcW w:w="1276" w:type="dxa"/>
          </w:tcPr>
          <w:p w:rsidR="00D366EC" w:rsidRDefault="00D366EC" w:rsidP="00D366EC">
            <w:r w:rsidRPr="000B02F3">
              <w:rPr>
                <w:color w:val="FF0000"/>
              </w:rPr>
              <w:t>5/10/17</w:t>
            </w:r>
          </w:p>
        </w:tc>
      </w:tr>
      <w:tr w:rsidR="00D366EC" w:rsidRPr="002C4161" w:rsidTr="00692213">
        <w:tc>
          <w:tcPr>
            <w:tcW w:w="675" w:type="dxa"/>
          </w:tcPr>
          <w:p w:rsidR="00D366EC" w:rsidRDefault="00D366EC" w:rsidP="00D366EC">
            <w:r>
              <w:t>14.</w:t>
            </w:r>
          </w:p>
        </w:tc>
        <w:tc>
          <w:tcPr>
            <w:tcW w:w="1191" w:type="dxa"/>
          </w:tcPr>
          <w:p w:rsidR="00D366EC" w:rsidRDefault="00D366EC" w:rsidP="00D366EC">
            <w:r>
              <w:t>3/10/17</w:t>
            </w:r>
          </w:p>
        </w:tc>
        <w:tc>
          <w:tcPr>
            <w:tcW w:w="6039" w:type="dxa"/>
          </w:tcPr>
          <w:p w:rsidR="00D366EC" w:rsidRPr="00723D41" w:rsidRDefault="00D366EC" w:rsidP="00D366EC">
            <w:pPr>
              <w:pStyle w:val="ListParagraph"/>
              <w:numPr>
                <w:ilvl w:val="0"/>
                <w:numId w:val="12"/>
              </w:numPr>
              <w:rPr>
                <w:rFonts w:asciiTheme="minorHAnsi" w:hAnsiTheme="minorHAnsi" w:cstheme="minorHAnsi"/>
                <w:sz w:val="22"/>
                <w:szCs w:val="22"/>
              </w:rPr>
            </w:pPr>
            <w:r w:rsidRPr="00723D41">
              <w:rPr>
                <w:rFonts w:asciiTheme="minorHAnsi" w:hAnsiTheme="minorHAnsi" w:cstheme="minorHAnsi"/>
                <w:sz w:val="22"/>
                <w:szCs w:val="22"/>
              </w:rPr>
              <w:t>And are you able to tell us why an agency staff member is employed?  Is it a vacancy that the employer has not otherwise been able to fill?</w:t>
            </w:r>
          </w:p>
          <w:p w:rsidR="00D366EC" w:rsidRPr="00FE0665" w:rsidRDefault="00D366EC" w:rsidP="00D366EC">
            <w:pPr>
              <w:pStyle w:val="ListParagraph"/>
              <w:rPr>
                <w:rFonts w:asciiTheme="minorHAnsi" w:hAnsiTheme="minorHAnsi" w:cstheme="minorHAnsi"/>
                <w:sz w:val="22"/>
                <w:szCs w:val="22"/>
              </w:rPr>
            </w:pPr>
          </w:p>
        </w:tc>
        <w:tc>
          <w:tcPr>
            <w:tcW w:w="5528" w:type="dxa"/>
          </w:tcPr>
          <w:p w:rsidR="00D366EC" w:rsidRPr="005E7147" w:rsidRDefault="00D366EC" w:rsidP="00D366EC">
            <w:pPr>
              <w:pStyle w:val="ListParagraph"/>
              <w:numPr>
                <w:ilvl w:val="0"/>
                <w:numId w:val="10"/>
              </w:numPr>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An agency worker has been employed to cover a vacancy as the current providers being aware that the service will be de-commissioned decided that this was the most appropriate way to manage this.</w:t>
            </w:r>
          </w:p>
        </w:tc>
        <w:tc>
          <w:tcPr>
            <w:tcW w:w="1276" w:type="dxa"/>
          </w:tcPr>
          <w:p w:rsidR="00D366EC" w:rsidRDefault="00D366EC" w:rsidP="00D366EC">
            <w:pPr>
              <w:rPr>
                <w:color w:val="FF0000"/>
              </w:rPr>
            </w:pPr>
            <w:r>
              <w:rPr>
                <w:color w:val="FF0000"/>
              </w:rPr>
              <w:t>5/10/17</w:t>
            </w:r>
          </w:p>
        </w:tc>
      </w:tr>
      <w:tr w:rsidR="00D366EC" w:rsidRPr="002C4161" w:rsidTr="00692213">
        <w:tc>
          <w:tcPr>
            <w:tcW w:w="675" w:type="dxa"/>
          </w:tcPr>
          <w:p w:rsidR="00D366EC" w:rsidRDefault="00D366EC" w:rsidP="00D366EC">
            <w:r>
              <w:t>10.</w:t>
            </w:r>
          </w:p>
        </w:tc>
        <w:tc>
          <w:tcPr>
            <w:tcW w:w="1191" w:type="dxa"/>
          </w:tcPr>
          <w:p w:rsidR="00D366EC" w:rsidRDefault="00D366EC" w:rsidP="00D366EC">
            <w:r>
              <w:t>2/10/17</w:t>
            </w:r>
          </w:p>
        </w:tc>
        <w:tc>
          <w:tcPr>
            <w:tcW w:w="6039" w:type="dxa"/>
          </w:tcPr>
          <w:p w:rsidR="00D366EC" w:rsidRDefault="00D366EC" w:rsidP="00D366EC">
            <w:pPr>
              <w:numPr>
                <w:ilvl w:val="0"/>
                <w:numId w:val="10"/>
              </w:numPr>
              <w:spacing w:after="240" w:line="252" w:lineRule="auto"/>
              <w:contextualSpacing/>
              <w:rPr>
                <w:rFonts w:eastAsia="Times New Roman"/>
              </w:rPr>
            </w:pPr>
            <w:r>
              <w:rPr>
                <w:rFonts w:eastAsia="Times New Roman"/>
              </w:rPr>
              <w:t>We need to know what costs are associated with being in the property as this impacts on whether we can tender or not.  Please could you inform us whether there will be a rental charge for the offices or any other charges payable from the provider to the landlord.</w:t>
            </w:r>
          </w:p>
          <w:p w:rsidR="00D366EC" w:rsidRDefault="00D366EC" w:rsidP="00D366EC">
            <w:pPr>
              <w:numPr>
                <w:ilvl w:val="0"/>
                <w:numId w:val="10"/>
              </w:numPr>
              <w:spacing w:after="240" w:line="252" w:lineRule="auto"/>
              <w:contextualSpacing/>
              <w:rPr>
                <w:rFonts w:eastAsia="Times New Roman"/>
              </w:rPr>
            </w:pPr>
            <w:r>
              <w:rPr>
                <w:rFonts w:eastAsia="Times New Roman"/>
              </w:rPr>
              <w:lastRenderedPageBreak/>
              <w:t xml:space="preserve">Is it correct to assume that whoever is providing the housing management will be dealing with tenant move-in/out, rent collection and other tenant management issues rather than the service provider dealing with this.  </w:t>
            </w:r>
          </w:p>
          <w:p w:rsidR="00D366EC" w:rsidRDefault="00D366EC" w:rsidP="00D366EC">
            <w:pPr>
              <w:numPr>
                <w:ilvl w:val="0"/>
                <w:numId w:val="10"/>
              </w:numPr>
              <w:spacing w:after="160" w:line="252" w:lineRule="auto"/>
              <w:contextualSpacing/>
              <w:rPr>
                <w:rFonts w:eastAsia="Times New Roman"/>
              </w:rPr>
            </w:pPr>
            <w:r>
              <w:rPr>
                <w:rFonts w:eastAsia="Times New Roman"/>
              </w:rPr>
              <w:t xml:space="preserve">From the inventory, there are no cookers, soft furnishings (ie curtains), carpets who is providing these as to provider will not receive an income to support their provision.  </w:t>
            </w:r>
          </w:p>
          <w:p w:rsidR="00D366EC" w:rsidRPr="00020EEA" w:rsidRDefault="00D366EC" w:rsidP="00D366EC">
            <w:pPr>
              <w:pStyle w:val="ListParagraph"/>
              <w:rPr>
                <w:rFonts w:asciiTheme="minorHAnsi" w:hAnsiTheme="minorHAnsi" w:cstheme="minorHAnsi"/>
                <w:sz w:val="22"/>
                <w:szCs w:val="22"/>
              </w:rPr>
            </w:pPr>
          </w:p>
        </w:tc>
        <w:tc>
          <w:tcPr>
            <w:tcW w:w="5528" w:type="dxa"/>
          </w:tcPr>
          <w:p w:rsidR="00D366EC" w:rsidRPr="00682DF4" w:rsidRDefault="00D366EC" w:rsidP="00D366EC">
            <w:pPr>
              <w:pStyle w:val="ListParagraph"/>
              <w:numPr>
                <w:ilvl w:val="0"/>
                <w:numId w:val="10"/>
              </w:numPr>
              <w:rPr>
                <w:rFonts w:asciiTheme="minorHAnsi" w:hAnsiTheme="minorHAnsi" w:cstheme="minorHAnsi"/>
                <w:b/>
                <w:color w:val="1F497D"/>
                <w:sz w:val="22"/>
                <w:szCs w:val="22"/>
              </w:rPr>
            </w:pPr>
            <w:r w:rsidRPr="00682DF4">
              <w:rPr>
                <w:rFonts w:asciiTheme="minorHAnsi" w:hAnsiTheme="minorHAnsi" w:cstheme="minorBidi"/>
                <w:b/>
                <w:color w:val="FF0000"/>
                <w:sz w:val="22"/>
                <w:szCs w:val="22"/>
              </w:rPr>
              <w:lastRenderedPageBreak/>
              <w:t>There will be a management charge of £3000 per annum. This will include: office space rental, use of study space, council tax, furniture, PAT testing, heating and hot water, electricity, insurance, cleaning services and telecommunication infrastructure</w:t>
            </w:r>
          </w:p>
          <w:p w:rsidR="00D366EC" w:rsidRDefault="00D366EC" w:rsidP="00D366EC">
            <w:pPr>
              <w:pStyle w:val="ListParagraph"/>
              <w:numPr>
                <w:ilvl w:val="0"/>
                <w:numId w:val="10"/>
              </w:numPr>
              <w:rPr>
                <w:rFonts w:asciiTheme="minorHAnsi" w:hAnsiTheme="minorHAnsi" w:cstheme="minorHAnsi"/>
                <w:color w:val="1F497D"/>
                <w:sz w:val="22"/>
                <w:szCs w:val="22"/>
              </w:rPr>
            </w:pPr>
            <w:r>
              <w:rPr>
                <w:rFonts w:asciiTheme="minorHAnsi" w:hAnsiTheme="minorHAnsi" w:cstheme="minorHAnsi"/>
                <w:color w:val="1F497D"/>
                <w:sz w:val="22"/>
                <w:szCs w:val="22"/>
              </w:rPr>
              <w:lastRenderedPageBreak/>
              <w:t xml:space="preserve">WBC will be dealing with tenant move-in/out and rent collection. Could you please expand a little on what you consider to be ‘tenant management issues’? We would expect the provider to work with WBC to help young people maintain their tenancy agreement and adhere to the rules of the house, and manage the behaviour of the tenant on a day to day basis. </w:t>
            </w:r>
          </w:p>
          <w:p w:rsidR="00D366EC" w:rsidRDefault="00D366EC" w:rsidP="00D366EC">
            <w:pPr>
              <w:pStyle w:val="ListParagraph"/>
              <w:numPr>
                <w:ilvl w:val="0"/>
                <w:numId w:val="10"/>
              </w:numPr>
              <w:rPr>
                <w:rFonts w:asciiTheme="minorHAnsi" w:hAnsiTheme="minorHAnsi" w:cstheme="minorHAnsi"/>
                <w:color w:val="1F497D"/>
                <w:sz w:val="22"/>
                <w:szCs w:val="22"/>
              </w:rPr>
            </w:pPr>
            <w:r>
              <w:rPr>
                <w:rFonts w:asciiTheme="minorHAnsi" w:hAnsiTheme="minorHAnsi" w:cstheme="minorHAnsi"/>
                <w:color w:val="1F497D"/>
                <w:sz w:val="22"/>
                <w:szCs w:val="22"/>
              </w:rPr>
              <w:t>Cookers, carpets and curtains will be provided by the landlord. These can be discussed with the provider during the mobilization period of the contract once the contract has been awarded.</w:t>
            </w:r>
          </w:p>
          <w:p w:rsidR="00D366EC" w:rsidRPr="00020EEA" w:rsidRDefault="00D366EC" w:rsidP="00D366EC">
            <w:pPr>
              <w:pStyle w:val="ListParagraph"/>
              <w:rPr>
                <w:rFonts w:asciiTheme="minorHAnsi" w:hAnsiTheme="minorHAnsi" w:cstheme="minorHAnsi"/>
                <w:color w:val="1F497D"/>
                <w:sz w:val="22"/>
                <w:szCs w:val="22"/>
              </w:rPr>
            </w:pPr>
          </w:p>
        </w:tc>
        <w:tc>
          <w:tcPr>
            <w:tcW w:w="1276" w:type="dxa"/>
          </w:tcPr>
          <w:p w:rsidR="00D366EC" w:rsidRDefault="00D366EC" w:rsidP="00D366EC">
            <w:pPr>
              <w:rPr>
                <w:color w:val="FF0000"/>
              </w:rPr>
            </w:pPr>
            <w:r>
              <w:rPr>
                <w:color w:val="FF0000"/>
              </w:rPr>
              <w:lastRenderedPageBreak/>
              <w:t>2/10/17</w:t>
            </w:r>
          </w:p>
          <w:p w:rsidR="00D366EC" w:rsidRDefault="00D366EC" w:rsidP="00D366EC">
            <w:pPr>
              <w:rPr>
                <w:color w:val="FF0000"/>
              </w:rPr>
            </w:pPr>
          </w:p>
          <w:p w:rsidR="00D366EC" w:rsidRDefault="00D366EC" w:rsidP="00D366EC">
            <w:pPr>
              <w:rPr>
                <w:b/>
                <w:color w:val="FF0000"/>
              </w:rPr>
            </w:pPr>
            <w:r>
              <w:rPr>
                <w:b/>
                <w:color w:val="FF0000"/>
              </w:rPr>
              <w:t>UPDATED</w:t>
            </w:r>
          </w:p>
          <w:p w:rsidR="00D366EC" w:rsidRPr="00682DF4" w:rsidRDefault="00D366EC" w:rsidP="00D366EC">
            <w:pPr>
              <w:rPr>
                <w:b/>
                <w:color w:val="FF0000"/>
              </w:rPr>
            </w:pPr>
            <w:r w:rsidRPr="00682DF4">
              <w:rPr>
                <w:b/>
                <w:color w:val="FF0000"/>
              </w:rPr>
              <w:t>5/10/17</w:t>
            </w:r>
          </w:p>
        </w:tc>
      </w:tr>
      <w:tr w:rsidR="00D366EC" w:rsidRPr="002C4161" w:rsidTr="00692213">
        <w:tc>
          <w:tcPr>
            <w:tcW w:w="675" w:type="dxa"/>
          </w:tcPr>
          <w:p w:rsidR="00D366EC" w:rsidRDefault="00D366EC" w:rsidP="00D366EC">
            <w:r>
              <w:t>9.</w:t>
            </w:r>
          </w:p>
        </w:tc>
        <w:tc>
          <w:tcPr>
            <w:tcW w:w="1191" w:type="dxa"/>
          </w:tcPr>
          <w:p w:rsidR="00D366EC" w:rsidRDefault="00D366EC" w:rsidP="00D366EC">
            <w:r>
              <w:t>2/10/17</w:t>
            </w:r>
          </w:p>
        </w:tc>
        <w:tc>
          <w:tcPr>
            <w:tcW w:w="6039" w:type="dxa"/>
          </w:tcPr>
          <w:p w:rsidR="00D366EC" w:rsidRPr="00020EEA" w:rsidRDefault="00D366EC" w:rsidP="00D366EC">
            <w:pPr>
              <w:pStyle w:val="ListParagraph"/>
              <w:numPr>
                <w:ilvl w:val="0"/>
                <w:numId w:val="10"/>
              </w:numPr>
              <w:rPr>
                <w:rFonts w:asciiTheme="minorHAnsi" w:hAnsiTheme="minorHAnsi" w:cstheme="minorHAnsi"/>
                <w:sz w:val="22"/>
                <w:szCs w:val="22"/>
              </w:rPr>
            </w:pPr>
            <w:r w:rsidRPr="00020EEA">
              <w:rPr>
                <w:rFonts w:asciiTheme="minorHAnsi" w:hAnsiTheme="minorHAnsi" w:cstheme="minorHAnsi"/>
                <w:sz w:val="22"/>
                <w:szCs w:val="22"/>
              </w:rPr>
              <w:t>When will more information be available about the right to occupy terms and conditions, or any management costs?</w:t>
            </w:r>
          </w:p>
          <w:p w:rsidR="00D366EC" w:rsidRPr="00020EEA" w:rsidRDefault="00D366EC" w:rsidP="00D366EC">
            <w:pPr>
              <w:pStyle w:val="ListParagraph"/>
              <w:numPr>
                <w:ilvl w:val="0"/>
                <w:numId w:val="10"/>
              </w:numPr>
              <w:rPr>
                <w:rFonts w:asciiTheme="minorHAnsi" w:hAnsiTheme="minorHAnsi" w:cstheme="minorHAnsi"/>
                <w:sz w:val="22"/>
                <w:szCs w:val="22"/>
              </w:rPr>
            </w:pPr>
            <w:r w:rsidRPr="00020EEA">
              <w:rPr>
                <w:rFonts w:asciiTheme="minorHAnsi" w:hAnsiTheme="minorHAnsi" w:cstheme="minorHAnsi"/>
                <w:sz w:val="22"/>
                <w:szCs w:val="22"/>
              </w:rPr>
              <w:t>TUPE information</w:t>
            </w:r>
            <w:r>
              <w:rPr>
                <w:rFonts w:asciiTheme="minorHAnsi" w:hAnsiTheme="minorHAnsi" w:cstheme="minorHAnsi"/>
                <w:sz w:val="22"/>
                <w:szCs w:val="22"/>
              </w:rPr>
              <w:t>:</w:t>
            </w:r>
          </w:p>
          <w:p w:rsidR="00D366EC" w:rsidRPr="00020EEA" w:rsidRDefault="00D366EC" w:rsidP="00D366EC">
            <w:pPr>
              <w:pStyle w:val="ListParagraph"/>
              <w:rPr>
                <w:rFonts w:asciiTheme="minorHAnsi" w:hAnsiTheme="minorHAnsi" w:cstheme="minorHAnsi"/>
                <w:sz w:val="22"/>
                <w:szCs w:val="22"/>
              </w:rPr>
            </w:pPr>
            <w:r w:rsidRPr="00020EEA">
              <w:rPr>
                <w:rFonts w:asciiTheme="minorHAnsi" w:hAnsiTheme="minorHAnsi" w:cstheme="minorHAnsi"/>
                <w:sz w:val="22"/>
                <w:szCs w:val="22"/>
              </w:rPr>
              <w:t>Is the performance-related pay information available please?</w:t>
            </w:r>
          </w:p>
          <w:p w:rsidR="00D366EC" w:rsidRPr="00020EEA" w:rsidRDefault="00D366EC" w:rsidP="00D366EC">
            <w:pPr>
              <w:pStyle w:val="ListParagraph"/>
              <w:rPr>
                <w:rFonts w:asciiTheme="minorHAnsi" w:hAnsiTheme="minorHAnsi" w:cstheme="minorHAnsi"/>
                <w:sz w:val="22"/>
                <w:szCs w:val="22"/>
              </w:rPr>
            </w:pPr>
            <w:r w:rsidRPr="00020EEA">
              <w:rPr>
                <w:rFonts w:asciiTheme="minorHAnsi" w:hAnsiTheme="minorHAnsi" w:cstheme="minorHAnsi"/>
                <w:sz w:val="22"/>
                <w:szCs w:val="22"/>
              </w:rPr>
              <w:t>Is there any info available on the agency employee?  In terms of hours worked, rate of pay, and their other terms and conditions?</w:t>
            </w:r>
          </w:p>
          <w:p w:rsidR="00D366EC" w:rsidRPr="0062070F" w:rsidRDefault="00D366EC" w:rsidP="00D366EC">
            <w:pPr>
              <w:pStyle w:val="ListParagraph"/>
              <w:rPr>
                <w:rFonts w:asciiTheme="minorHAnsi" w:hAnsiTheme="minorHAnsi" w:cstheme="minorHAnsi"/>
                <w:sz w:val="22"/>
                <w:szCs w:val="22"/>
              </w:rPr>
            </w:pPr>
          </w:p>
        </w:tc>
        <w:tc>
          <w:tcPr>
            <w:tcW w:w="5528" w:type="dxa"/>
          </w:tcPr>
          <w:p w:rsidR="00D366EC" w:rsidRPr="00682DF4" w:rsidRDefault="00D366EC" w:rsidP="00D366EC">
            <w:pPr>
              <w:pStyle w:val="ListParagraph"/>
              <w:numPr>
                <w:ilvl w:val="0"/>
                <w:numId w:val="10"/>
              </w:numPr>
              <w:rPr>
                <w:rFonts w:asciiTheme="minorHAnsi" w:hAnsiTheme="minorHAnsi" w:cstheme="minorHAnsi"/>
                <w:b/>
                <w:color w:val="1F497D"/>
                <w:sz w:val="22"/>
                <w:szCs w:val="22"/>
              </w:rPr>
            </w:pPr>
            <w:r w:rsidRPr="00020EEA">
              <w:rPr>
                <w:rFonts w:asciiTheme="minorHAnsi" w:hAnsiTheme="minorHAnsi" w:cstheme="minorHAnsi"/>
                <w:color w:val="1F497D"/>
                <w:sz w:val="22"/>
                <w:szCs w:val="22"/>
              </w:rPr>
              <w:t xml:space="preserve">Either a draft license to occupy or a lease will be available on Thursday 5th October. The management of the support provision is between WBC and the care provider and is captured within the contract between WBC and the care provider. Loddon Homes Ltd will have an indirect relationship with the care provider, and any concerns they have regarding the building running and support obligations would be addressed with the provider via WBC. </w:t>
            </w:r>
            <w:r w:rsidRPr="00682DF4">
              <w:rPr>
                <w:rFonts w:asciiTheme="minorHAnsi" w:hAnsiTheme="minorHAnsi" w:cstheme="minorBidi"/>
                <w:b/>
                <w:color w:val="FF0000"/>
                <w:sz w:val="22"/>
                <w:szCs w:val="22"/>
              </w:rPr>
              <w:t>There will be a management charge of £3000 per annum. This will include: office space rental, use of study space, council tax, furniture, PAT testing, heating and hot water, electricity, insurance, cleaning services and telecommunication infrastructure</w:t>
            </w:r>
          </w:p>
          <w:p w:rsidR="00D366EC" w:rsidRDefault="00D366EC" w:rsidP="00D366EC">
            <w:pPr>
              <w:pStyle w:val="ListParagraph"/>
              <w:numPr>
                <w:ilvl w:val="0"/>
                <w:numId w:val="10"/>
              </w:numPr>
              <w:rPr>
                <w:rFonts w:asciiTheme="minorHAnsi" w:hAnsiTheme="minorHAnsi" w:cstheme="minorHAnsi"/>
                <w:color w:val="1F497D"/>
                <w:sz w:val="22"/>
                <w:szCs w:val="22"/>
              </w:rPr>
            </w:pPr>
            <w:r>
              <w:rPr>
                <w:rFonts w:asciiTheme="minorHAnsi" w:hAnsiTheme="minorHAnsi" w:cstheme="minorHAnsi"/>
                <w:color w:val="1F497D"/>
                <w:sz w:val="22"/>
                <w:szCs w:val="22"/>
              </w:rPr>
              <w:t xml:space="preserve">TUPE information: there is no additional information on performance related pay, terms and conditions available or number of hours </w:t>
            </w:r>
            <w:r>
              <w:rPr>
                <w:rFonts w:asciiTheme="minorHAnsi" w:hAnsiTheme="minorHAnsi" w:cstheme="minorHAnsi"/>
                <w:color w:val="1F497D"/>
                <w:sz w:val="22"/>
                <w:szCs w:val="22"/>
              </w:rPr>
              <w:lastRenderedPageBreak/>
              <w:t>worked currently by the agency worker. The rate of pay is £9.50 per hour.</w:t>
            </w:r>
          </w:p>
          <w:p w:rsidR="00D366EC" w:rsidRPr="00020EEA" w:rsidRDefault="00D366EC" w:rsidP="00D366EC">
            <w:pPr>
              <w:pStyle w:val="ListParagraph"/>
              <w:rPr>
                <w:rFonts w:asciiTheme="minorHAnsi" w:hAnsiTheme="minorHAnsi" w:cstheme="minorHAnsi"/>
                <w:color w:val="1F497D"/>
                <w:sz w:val="22"/>
                <w:szCs w:val="22"/>
              </w:rPr>
            </w:pPr>
          </w:p>
        </w:tc>
        <w:tc>
          <w:tcPr>
            <w:tcW w:w="1276" w:type="dxa"/>
          </w:tcPr>
          <w:p w:rsidR="00D366EC" w:rsidRDefault="00D366EC" w:rsidP="00D366EC">
            <w:pPr>
              <w:rPr>
                <w:color w:val="FF0000"/>
              </w:rPr>
            </w:pPr>
            <w:r>
              <w:rPr>
                <w:color w:val="FF0000"/>
              </w:rPr>
              <w:lastRenderedPageBreak/>
              <w:t>2/10/17</w:t>
            </w:r>
          </w:p>
          <w:p w:rsidR="00D366EC" w:rsidRDefault="00D366EC" w:rsidP="00D366EC">
            <w:pPr>
              <w:rPr>
                <w:color w:val="FF0000"/>
              </w:rPr>
            </w:pPr>
          </w:p>
          <w:p w:rsidR="00D366EC" w:rsidRPr="00682DF4" w:rsidRDefault="00D366EC" w:rsidP="00D366EC">
            <w:pPr>
              <w:rPr>
                <w:b/>
                <w:color w:val="FF0000"/>
              </w:rPr>
            </w:pPr>
            <w:r w:rsidRPr="00682DF4">
              <w:rPr>
                <w:b/>
                <w:color w:val="FF0000"/>
              </w:rPr>
              <w:t>UPDATED 5/10/17</w:t>
            </w:r>
          </w:p>
        </w:tc>
      </w:tr>
      <w:tr w:rsidR="00D366EC" w:rsidRPr="002C4161" w:rsidTr="00692213">
        <w:tc>
          <w:tcPr>
            <w:tcW w:w="675" w:type="dxa"/>
          </w:tcPr>
          <w:p w:rsidR="00D366EC" w:rsidRDefault="00D366EC" w:rsidP="00D366EC">
            <w:r>
              <w:t>8.</w:t>
            </w:r>
          </w:p>
        </w:tc>
        <w:tc>
          <w:tcPr>
            <w:tcW w:w="1191" w:type="dxa"/>
          </w:tcPr>
          <w:p w:rsidR="00D366EC" w:rsidRDefault="00D366EC" w:rsidP="00D366EC">
            <w:r>
              <w:t>21/9/17</w:t>
            </w:r>
          </w:p>
        </w:tc>
        <w:tc>
          <w:tcPr>
            <w:tcW w:w="6039" w:type="dxa"/>
          </w:tcPr>
          <w:p w:rsidR="00D366EC" w:rsidRPr="0062070F" w:rsidRDefault="00D366EC" w:rsidP="00D366EC">
            <w:pPr>
              <w:pStyle w:val="ListParagraph"/>
              <w:numPr>
                <w:ilvl w:val="0"/>
                <w:numId w:val="10"/>
              </w:numPr>
              <w:rPr>
                <w:rFonts w:asciiTheme="minorHAnsi" w:hAnsiTheme="minorHAnsi" w:cstheme="minorHAnsi"/>
                <w:sz w:val="22"/>
                <w:szCs w:val="22"/>
              </w:rPr>
            </w:pPr>
            <w:r w:rsidRPr="0062070F">
              <w:rPr>
                <w:rFonts w:asciiTheme="minorHAnsi" w:hAnsiTheme="minorHAnsi" w:cstheme="minorHAnsi"/>
                <w:sz w:val="22"/>
                <w:szCs w:val="22"/>
              </w:rPr>
              <w:t>Please can you confirm the expected arrangement between the support provider and the landlord?  Is it that a Management Agreement will be entered into?  And if so, what would the associated costs be?</w:t>
            </w:r>
          </w:p>
          <w:p w:rsidR="00D366EC" w:rsidRPr="0062070F" w:rsidRDefault="00D366EC" w:rsidP="00D366EC">
            <w:pPr>
              <w:pStyle w:val="ListParagraph"/>
              <w:rPr>
                <w:rFonts w:asciiTheme="minorHAnsi" w:hAnsiTheme="minorHAnsi" w:cstheme="minorHAnsi"/>
                <w:sz w:val="22"/>
                <w:szCs w:val="22"/>
              </w:rPr>
            </w:pPr>
          </w:p>
        </w:tc>
        <w:tc>
          <w:tcPr>
            <w:tcW w:w="5528" w:type="dxa"/>
          </w:tcPr>
          <w:p w:rsidR="00D366EC" w:rsidRPr="0015374C" w:rsidRDefault="00D366EC" w:rsidP="00D366EC">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Either a draft license to occupy or a lease will be available on Thursday 5</w:t>
            </w:r>
            <w:r w:rsidRPr="0062070F">
              <w:rPr>
                <w:rFonts w:asciiTheme="minorHAnsi" w:hAnsiTheme="minorHAnsi" w:cstheme="minorBidi"/>
                <w:color w:val="1F497D"/>
                <w:sz w:val="22"/>
                <w:szCs w:val="22"/>
                <w:vertAlign w:val="superscript"/>
              </w:rPr>
              <w:t>th</w:t>
            </w:r>
            <w:r>
              <w:rPr>
                <w:rFonts w:asciiTheme="minorHAnsi" w:hAnsiTheme="minorHAnsi" w:cstheme="minorBidi"/>
                <w:color w:val="1F497D"/>
                <w:sz w:val="22"/>
                <w:szCs w:val="22"/>
              </w:rPr>
              <w:t xml:space="preserve"> October. The management of the support provision is between WBC and the care provider and is captured within the contract between WBC and the care provider. Loddon Homes Ltd will have an indirect relationship with the care provider, and any concerns they have regarding the building running and support obligations would be addressed with the provider via WBC. </w:t>
            </w:r>
            <w:r w:rsidRPr="00682DF4">
              <w:rPr>
                <w:rFonts w:asciiTheme="minorHAnsi" w:hAnsiTheme="minorHAnsi" w:cstheme="minorBidi"/>
                <w:b/>
                <w:color w:val="FF0000"/>
                <w:sz w:val="22"/>
                <w:szCs w:val="22"/>
              </w:rPr>
              <w:t>There will be a management charge of £3000 per annum. This will include: office space rental, use of study space, council tax, furniture, PAT testing, heating and hot water, electricity, insurance, cleaning services and telecommunication infrastructure</w:t>
            </w:r>
          </w:p>
          <w:p w:rsidR="00D366EC" w:rsidRPr="00682DF4" w:rsidRDefault="00D366EC" w:rsidP="00D366EC">
            <w:pPr>
              <w:pStyle w:val="ListParagraph"/>
              <w:autoSpaceDE/>
              <w:autoSpaceDN/>
              <w:rPr>
                <w:rFonts w:asciiTheme="minorHAnsi" w:hAnsiTheme="minorHAnsi" w:cstheme="minorBidi"/>
                <w:color w:val="1F497D"/>
                <w:sz w:val="22"/>
                <w:szCs w:val="22"/>
              </w:rPr>
            </w:pPr>
          </w:p>
        </w:tc>
        <w:tc>
          <w:tcPr>
            <w:tcW w:w="1276" w:type="dxa"/>
          </w:tcPr>
          <w:p w:rsidR="00D366EC" w:rsidRDefault="00D366EC" w:rsidP="00D366EC">
            <w:pPr>
              <w:rPr>
                <w:color w:val="FF0000"/>
              </w:rPr>
            </w:pPr>
            <w:r>
              <w:rPr>
                <w:color w:val="FF0000"/>
              </w:rPr>
              <w:t>2/10/17</w:t>
            </w:r>
          </w:p>
          <w:p w:rsidR="00D366EC" w:rsidRDefault="00D366EC" w:rsidP="00D366EC">
            <w:pPr>
              <w:rPr>
                <w:color w:val="FF0000"/>
              </w:rPr>
            </w:pPr>
          </w:p>
          <w:p w:rsidR="00D366EC" w:rsidRDefault="00D366EC" w:rsidP="00D366EC">
            <w:pPr>
              <w:rPr>
                <w:b/>
                <w:color w:val="FF0000"/>
              </w:rPr>
            </w:pPr>
            <w:r>
              <w:rPr>
                <w:b/>
                <w:color w:val="FF0000"/>
              </w:rPr>
              <w:t>UPDATED</w:t>
            </w:r>
          </w:p>
          <w:p w:rsidR="00D366EC" w:rsidRPr="00682DF4" w:rsidRDefault="00D366EC" w:rsidP="00D366EC">
            <w:pPr>
              <w:rPr>
                <w:b/>
                <w:color w:val="FF0000"/>
              </w:rPr>
            </w:pPr>
            <w:r w:rsidRPr="00682DF4">
              <w:rPr>
                <w:b/>
                <w:color w:val="FF0000"/>
              </w:rPr>
              <w:t>5/10/17</w:t>
            </w:r>
          </w:p>
        </w:tc>
      </w:tr>
      <w:tr w:rsidR="00D366EC" w:rsidRPr="002C4161" w:rsidTr="00692213">
        <w:tc>
          <w:tcPr>
            <w:tcW w:w="675" w:type="dxa"/>
          </w:tcPr>
          <w:p w:rsidR="00D366EC" w:rsidRDefault="00D366EC" w:rsidP="00D366EC">
            <w:r>
              <w:t>7.</w:t>
            </w:r>
          </w:p>
        </w:tc>
        <w:tc>
          <w:tcPr>
            <w:tcW w:w="1191" w:type="dxa"/>
          </w:tcPr>
          <w:p w:rsidR="00D366EC" w:rsidRDefault="00D366EC" w:rsidP="00D366EC">
            <w:r>
              <w:t>21/9/17</w:t>
            </w:r>
          </w:p>
        </w:tc>
        <w:tc>
          <w:tcPr>
            <w:tcW w:w="6039" w:type="dxa"/>
          </w:tcPr>
          <w:p w:rsidR="00D366EC" w:rsidRPr="0015374C" w:rsidRDefault="00D366EC" w:rsidP="00D366EC">
            <w:pPr>
              <w:pStyle w:val="ListParagraph"/>
              <w:numPr>
                <w:ilvl w:val="0"/>
                <w:numId w:val="10"/>
              </w:numPr>
              <w:rPr>
                <w:rFonts w:asciiTheme="minorHAnsi" w:hAnsiTheme="minorHAnsi" w:cstheme="minorHAnsi"/>
                <w:sz w:val="22"/>
                <w:szCs w:val="22"/>
              </w:rPr>
            </w:pPr>
            <w:r w:rsidRPr="0062070F">
              <w:rPr>
                <w:rFonts w:asciiTheme="minorHAnsi" w:hAnsiTheme="minorHAnsi" w:cstheme="minorHAnsi"/>
                <w:sz w:val="22"/>
                <w:szCs w:val="22"/>
              </w:rPr>
              <w:t>Can you give us up to date information for employee 2 from Homegroup as full information is not yet provided.</w:t>
            </w:r>
          </w:p>
        </w:tc>
        <w:tc>
          <w:tcPr>
            <w:tcW w:w="5528" w:type="dxa"/>
          </w:tcPr>
          <w:p w:rsidR="00D366EC" w:rsidRDefault="00D366EC" w:rsidP="00D366EC">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Employee 2 is an agency worker. Their hourly rate is £9.50 per hour</w:t>
            </w:r>
          </w:p>
          <w:p w:rsidR="00D366EC" w:rsidRDefault="00D366EC" w:rsidP="00D366EC">
            <w:pPr>
              <w:pStyle w:val="ListParagraph"/>
              <w:autoSpaceDE/>
              <w:autoSpaceDN/>
              <w:rPr>
                <w:rFonts w:asciiTheme="minorHAnsi" w:hAnsiTheme="minorHAnsi" w:cstheme="minorBidi"/>
                <w:color w:val="1F497D"/>
                <w:sz w:val="22"/>
                <w:szCs w:val="22"/>
              </w:rPr>
            </w:pPr>
          </w:p>
        </w:tc>
        <w:tc>
          <w:tcPr>
            <w:tcW w:w="1276" w:type="dxa"/>
          </w:tcPr>
          <w:p w:rsidR="00D366EC" w:rsidRDefault="00D366EC" w:rsidP="00D366EC">
            <w:pPr>
              <w:rPr>
                <w:color w:val="FF0000"/>
              </w:rPr>
            </w:pPr>
            <w:r>
              <w:rPr>
                <w:color w:val="FF0000"/>
              </w:rPr>
              <w:t>2/10/17</w:t>
            </w:r>
          </w:p>
        </w:tc>
      </w:tr>
      <w:tr w:rsidR="00D366EC" w:rsidRPr="002C4161" w:rsidTr="00692213">
        <w:tc>
          <w:tcPr>
            <w:tcW w:w="675" w:type="dxa"/>
          </w:tcPr>
          <w:p w:rsidR="00D366EC" w:rsidRDefault="00D366EC" w:rsidP="00D366EC">
            <w:r>
              <w:t>6.</w:t>
            </w:r>
          </w:p>
        </w:tc>
        <w:tc>
          <w:tcPr>
            <w:tcW w:w="1191" w:type="dxa"/>
          </w:tcPr>
          <w:p w:rsidR="00D366EC" w:rsidRDefault="00D366EC" w:rsidP="00D366EC">
            <w:r>
              <w:t>26/9/17</w:t>
            </w:r>
          </w:p>
        </w:tc>
        <w:tc>
          <w:tcPr>
            <w:tcW w:w="6039" w:type="dxa"/>
          </w:tcPr>
          <w:p w:rsidR="00D366EC" w:rsidRPr="0015374C" w:rsidRDefault="00D366EC" w:rsidP="00D366EC">
            <w:pPr>
              <w:pStyle w:val="ListParagraph"/>
              <w:numPr>
                <w:ilvl w:val="0"/>
                <w:numId w:val="10"/>
              </w:numPr>
              <w:rPr>
                <w:rFonts w:asciiTheme="minorHAnsi" w:hAnsiTheme="minorHAnsi" w:cstheme="minorHAnsi"/>
                <w:sz w:val="22"/>
                <w:szCs w:val="22"/>
              </w:rPr>
            </w:pPr>
            <w:r w:rsidRPr="004A42B5">
              <w:rPr>
                <w:rFonts w:asciiTheme="minorHAnsi" w:hAnsiTheme="minorHAnsi" w:cstheme="minorHAnsi"/>
                <w:sz w:val="22"/>
                <w:szCs w:val="22"/>
              </w:rPr>
              <w:t>Question 3 does not specify a word limit – please could you clarify the word limit?</w:t>
            </w:r>
          </w:p>
        </w:tc>
        <w:tc>
          <w:tcPr>
            <w:tcW w:w="5528" w:type="dxa"/>
          </w:tcPr>
          <w:p w:rsidR="00D366EC" w:rsidRDefault="00D366EC" w:rsidP="00D366EC">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There is no word count for this question</w:t>
            </w:r>
          </w:p>
        </w:tc>
        <w:tc>
          <w:tcPr>
            <w:tcW w:w="1276" w:type="dxa"/>
          </w:tcPr>
          <w:p w:rsidR="00D366EC" w:rsidRDefault="00D366EC" w:rsidP="00D366EC">
            <w:pPr>
              <w:rPr>
                <w:color w:val="FF0000"/>
              </w:rPr>
            </w:pPr>
            <w:r>
              <w:rPr>
                <w:color w:val="FF0000"/>
              </w:rPr>
              <w:t>27/9/17</w:t>
            </w:r>
          </w:p>
        </w:tc>
      </w:tr>
      <w:tr w:rsidR="00D366EC" w:rsidRPr="002C4161" w:rsidTr="00692213">
        <w:tc>
          <w:tcPr>
            <w:tcW w:w="675" w:type="dxa"/>
          </w:tcPr>
          <w:p w:rsidR="00D366EC" w:rsidRDefault="00D366EC" w:rsidP="00D366EC">
            <w:r>
              <w:t>5.</w:t>
            </w:r>
          </w:p>
        </w:tc>
        <w:tc>
          <w:tcPr>
            <w:tcW w:w="1191" w:type="dxa"/>
          </w:tcPr>
          <w:p w:rsidR="00D366EC" w:rsidRDefault="00D366EC" w:rsidP="00D366EC">
            <w:r>
              <w:t>21/9/17</w:t>
            </w:r>
          </w:p>
        </w:tc>
        <w:tc>
          <w:tcPr>
            <w:tcW w:w="6039" w:type="dxa"/>
          </w:tcPr>
          <w:p w:rsidR="00D366EC" w:rsidRDefault="00D366EC" w:rsidP="00D366EC">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Are the rooms furnished or does the provider need to furnish them</w:t>
            </w:r>
          </w:p>
          <w:p w:rsidR="00D366EC" w:rsidRDefault="00D366EC" w:rsidP="00D366EC">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Is there an office space / space for key working / space for training?</w:t>
            </w:r>
          </w:p>
          <w:p w:rsidR="00D366EC" w:rsidRDefault="00D366EC" w:rsidP="00D366EC">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Can you give us up to date information for employee 2 from Homegroup as full information is not yet provided.</w:t>
            </w:r>
          </w:p>
          <w:p w:rsidR="00D366EC" w:rsidRDefault="00D366EC" w:rsidP="00D366EC">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When will you be able to let us have a copy of the lease?</w:t>
            </w:r>
          </w:p>
          <w:p w:rsidR="00D366EC" w:rsidRDefault="00D366EC" w:rsidP="00D366EC">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Can we see a floor plan of the property?</w:t>
            </w:r>
          </w:p>
          <w:p w:rsidR="00D366EC" w:rsidRDefault="00D366EC" w:rsidP="00D366EC">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lastRenderedPageBreak/>
              <w:t>Is there an opportunity to visit the property (although we believe it’s still being built!)</w:t>
            </w:r>
          </w:p>
          <w:p w:rsidR="00D366EC" w:rsidRPr="004A707A" w:rsidRDefault="00D366EC" w:rsidP="00D366EC">
            <w:pPr>
              <w:pStyle w:val="ListParagraph"/>
              <w:rPr>
                <w:rFonts w:asciiTheme="minorHAnsi" w:eastAsia="Times New Roman" w:hAnsiTheme="minorHAnsi" w:cstheme="minorHAnsi"/>
                <w:sz w:val="22"/>
                <w:szCs w:val="22"/>
              </w:rPr>
            </w:pPr>
          </w:p>
        </w:tc>
        <w:tc>
          <w:tcPr>
            <w:tcW w:w="5528" w:type="dxa"/>
          </w:tcPr>
          <w:p w:rsidR="00D366EC" w:rsidRDefault="00D366EC" w:rsidP="00D366EC">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lastRenderedPageBreak/>
              <w:t>The rooms will have basic furnishings e.g. Bed/wardrobe/chest of drawers. The inventory can now be viewed in Schedule 7</w:t>
            </w:r>
          </w:p>
          <w:p w:rsidR="00D366EC" w:rsidRDefault="00D366EC" w:rsidP="00D366EC">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There is office space/space for key working</w:t>
            </w:r>
          </w:p>
          <w:p w:rsidR="00D366EC" w:rsidRPr="00682DF4" w:rsidRDefault="00D366EC" w:rsidP="00D366EC">
            <w:pPr>
              <w:pStyle w:val="ListParagraph"/>
              <w:numPr>
                <w:ilvl w:val="0"/>
                <w:numId w:val="9"/>
              </w:numPr>
              <w:autoSpaceDE/>
              <w:autoSpaceDN/>
              <w:rPr>
                <w:rFonts w:asciiTheme="minorHAnsi" w:hAnsiTheme="minorHAnsi" w:cstheme="minorBidi"/>
                <w:b/>
                <w:color w:val="FF0000"/>
                <w:sz w:val="22"/>
                <w:szCs w:val="22"/>
              </w:rPr>
            </w:pPr>
            <w:r>
              <w:rPr>
                <w:rFonts w:asciiTheme="minorHAnsi" w:hAnsiTheme="minorHAnsi" w:cstheme="minorBidi"/>
                <w:color w:val="1F497D"/>
                <w:sz w:val="22"/>
                <w:szCs w:val="22"/>
              </w:rPr>
              <w:t xml:space="preserve">Employee 2 is an agency worker </w:t>
            </w:r>
            <w:r w:rsidRPr="00682DF4">
              <w:rPr>
                <w:rFonts w:asciiTheme="minorHAnsi" w:hAnsiTheme="minorHAnsi" w:cstheme="minorBidi"/>
                <w:b/>
                <w:color w:val="FF0000"/>
                <w:sz w:val="22"/>
                <w:szCs w:val="22"/>
              </w:rPr>
              <w:t>and is on an hourly rate of £9.50</w:t>
            </w:r>
          </w:p>
          <w:p w:rsidR="00D366EC" w:rsidRPr="00682DF4" w:rsidRDefault="00D366EC" w:rsidP="00D366EC">
            <w:pPr>
              <w:pStyle w:val="ListParagraph"/>
              <w:numPr>
                <w:ilvl w:val="0"/>
                <w:numId w:val="6"/>
              </w:numPr>
              <w:autoSpaceDE/>
              <w:autoSpaceDN/>
              <w:rPr>
                <w:rFonts w:asciiTheme="minorHAnsi" w:hAnsiTheme="minorHAnsi" w:cstheme="minorBidi"/>
                <w:b/>
                <w:color w:val="1F497D"/>
                <w:sz w:val="22"/>
                <w:szCs w:val="22"/>
              </w:rPr>
            </w:pPr>
            <w:r>
              <w:rPr>
                <w:rFonts w:asciiTheme="minorHAnsi" w:hAnsiTheme="minorHAnsi" w:cstheme="minorBidi"/>
                <w:color w:val="1F497D"/>
                <w:sz w:val="22"/>
                <w:szCs w:val="22"/>
              </w:rPr>
              <w:t xml:space="preserve">The provider would be given a right to occupy the building with the purpose of delivering the service </w:t>
            </w:r>
            <w:r>
              <w:rPr>
                <w:rFonts w:asciiTheme="minorHAnsi" w:hAnsiTheme="minorHAnsi" w:cstheme="minorBidi"/>
                <w:color w:val="1F497D"/>
                <w:sz w:val="22"/>
                <w:szCs w:val="22"/>
              </w:rPr>
              <w:lastRenderedPageBreak/>
              <w:t xml:space="preserve">within the terms of the contract. </w:t>
            </w:r>
            <w:r w:rsidRPr="00682DF4">
              <w:rPr>
                <w:rFonts w:asciiTheme="minorHAnsi" w:hAnsiTheme="minorHAnsi" w:cstheme="minorBidi"/>
                <w:b/>
                <w:color w:val="FF0000"/>
                <w:sz w:val="22"/>
                <w:szCs w:val="22"/>
              </w:rPr>
              <w:t>The lease/license will be available 6/10/17</w:t>
            </w:r>
          </w:p>
          <w:p w:rsidR="00D366EC" w:rsidRDefault="00D366EC" w:rsidP="00D366EC">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A building and floor plan/s have now been uploaded.(Please note the furniture shown in the floor plans are indicative only and the inventory should be referred to as an up to date reference).</w:t>
            </w:r>
          </w:p>
          <w:p w:rsidR="00D366EC" w:rsidRDefault="00D366EC" w:rsidP="00D366EC">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You are correct, it is still being built!</w:t>
            </w:r>
          </w:p>
          <w:p w:rsidR="00D366EC" w:rsidRPr="0015374C" w:rsidRDefault="00D366EC" w:rsidP="00D366EC">
            <w:pPr>
              <w:pStyle w:val="ListParagraph"/>
              <w:autoSpaceDE/>
              <w:autoSpaceDN/>
              <w:rPr>
                <w:rFonts w:asciiTheme="minorHAnsi" w:hAnsiTheme="minorHAnsi" w:cstheme="minorBidi"/>
                <w:color w:val="1F497D"/>
                <w:sz w:val="22"/>
                <w:szCs w:val="22"/>
              </w:rPr>
            </w:pPr>
          </w:p>
        </w:tc>
        <w:tc>
          <w:tcPr>
            <w:tcW w:w="1276" w:type="dxa"/>
          </w:tcPr>
          <w:p w:rsidR="00D366EC" w:rsidRDefault="00D366EC" w:rsidP="00D366EC">
            <w:pPr>
              <w:rPr>
                <w:color w:val="FF0000"/>
              </w:rPr>
            </w:pPr>
            <w:r>
              <w:rPr>
                <w:color w:val="FF0000"/>
              </w:rPr>
              <w:lastRenderedPageBreak/>
              <w:t>22/9/17</w:t>
            </w:r>
          </w:p>
          <w:p w:rsidR="00D366EC" w:rsidRDefault="00D366EC" w:rsidP="00D366EC">
            <w:pPr>
              <w:rPr>
                <w:color w:val="FF0000"/>
              </w:rPr>
            </w:pPr>
          </w:p>
          <w:p w:rsidR="00D366EC" w:rsidRPr="00682DF4" w:rsidRDefault="00D366EC" w:rsidP="00D366EC">
            <w:pPr>
              <w:rPr>
                <w:b/>
                <w:color w:val="FF0000"/>
              </w:rPr>
            </w:pPr>
            <w:r w:rsidRPr="00682DF4">
              <w:rPr>
                <w:b/>
                <w:color w:val="FF0000"/>
              </w:rPr>
              <w:t>UPDATED 5/10/17</w:t>
            </w:r>
          </w:p>
        </w:tc>
      </w:tr>
      <w:tr w:rsidR="00D366EC" w:rsidRPr="002C4161" w:rsidTr="00692213">
        <w:tc>
          <w:tcPr>
            <w:tcW w:w="675" w:type="dxa"/>
          </w:tcPr>
          <w:p w:rsidR="00D366EC" w:rsidRDefault="00D366EC" w:rsidP="00D366EC">
            <w:r>
              <w:t>4.</w:t>
            </w:r>
          </w:p>
        </w:tc>
        <w:tc>
          <w:tcPr>
            <w:tcW w:w="1191" w:type="dxa"/>
          </w:tcPr>
          <w:p w:rsidR="00D366EC" w:rsidRDefault="00D366EC" w:rsidP="00D366EC">
            <w:r>
              <w:t>21/9/17</w:t>
            </w:r>
          </w:p>
        </w:tc>
        <w:tc>
          <w:tcPr>
            <w:tcW w:w="6039" w:type="dxa"/>
          </w:tcPr>
          <w:p w:rsidR="00D366EC" w:rsidRPr="004A707A" w:rsidRDefault="00D366EC" w:rsidP="00D366EC">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The proposed location of the service (Reading Road) is different to where the Home Group staff are currently located (Seaford Road) – are the proposed properties at Reading Road already in use for the existing contract, or is there a change of location for this service?  If there has been a change of location, is there any further information available on this matter?</w:t>
            </w:r>
          </w:p>
          <w:p w:rsidR="00D366EC" w:rsidRPr="004A707A" w:rsidRDefault="00D366EC" w:rsidP="00D366EC">
            <w:pPr>
              <w:ind w:firstLine="45"/>
              <w:rPr>
                <w:rFonts w:eastAsia="Times New Roman" w:cstheme="minorHAnsi"/>
              </w:rPr>
            </w:pPr>
          </w:p>
          <w:p w:rsidR="00D366EC" w:rsidRPr="004A707A" w:rsidRDefault="00D366EC" w:rsidP="00D366EC">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Is there office space at Reading Road for use by the support provider? And is there communal space for support activities at Reading Road?</w:t>
            </w:r>
          </w:p>
          <w:p w:rsidR="00D366EC" w:rsidRPr="004A707A" w:rsidRDefault="00D366EC" w:rsidP="00D366EC">
            <w:pPr>
              <w:ind w:firstLine="45"/>
              <w:rPr>
                <w:rFonts w:eastAsia="Times New Roman" w:cstheme="minorHAnsi"/>
              </w:rPr>
            </w:pPr>
          </w:p>
          <w:p w:rsidR="00D366EC" w:rsidRPr="004A707A" w:rsidRDefault="00D366EC" w:rsidP="00D366EC">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Please can you confirm the expected arrangement between the support provider and the landlord?  Is it that a Management Agreement will be entered into?  And if so, what would the associated costs be?</w:t>
            </w:r>
          </w:p>
          <w:p w:rsidR="00D366EC" w:rsidRPr="004A707A" w:rsidRDefault="00D366EC" w:rsidP="00D366EC">
            <w:pPr>
              <w:ind w:firstLine="45"/>
              <w:rPr>
                <w:rFonts w:eastAsia="Times New Roman" w:cstheme="minorHAnsi"/>
              </w:rPr>
            </w:pPr>
          </w:p>
          <w:p w:rsidR="00D366EC" w:rsidRPr="004A707A" w:rsidRDefault="00D366EC" w:rsidP="00D366EC">
            <w:pPr>
              <w:pStyle w:val="ListParagraph"/>
              <w:numPr>
                <w:ilvl w:val="0"/>
                <w:numId w:val="7"/>
              </w:numPr>
              <w:rPr>
                <w:rFonts w:eastAsia="Times New Roman"/>
              </w:rPr>
            </w:pPr>
            <w:r w:rsidRPr="004A707A">
              <w:rPr>
                <w:rFonts w:asciiTheme="minorHAnsi" w:eastAsia="Times New Roman" w:hAnsiTheme="minorHAnsi" w:cstheme="minorHAnsi"/>
                <w:sz w:val="22"/>
                <w:szCs w:val="22"/>
              </w:rPr>
              <w:t>There is a disparity between the tender published date on the contracts finder website (Sept 21st) and the tender issue date in the WBC documents (Sept 8th).  If the publish date has been delayed, can we expect to see the deadline and other timescales extended as a result of this delay?</w:t>
            </w:r>
          </w:p>
        </w:tc>
        <w:tc>
          <w:tcPr>
            <w:tcW w:w="5528" w:type="dxa"/>
          </w:tcPr>
          <w:p w:rsidR="00D366EC" w:rsidRPr="004A707A" w:rsidRDefault="00D366EC" w:rsidP="00D366EC">
            <w:pPr>
              <w:numPr>
                <w:ilvl w:val="0"/>
                <w:numId w:val="6"/>
              </w:numPr>
              <w:rPr>
                <w:rFonts w:ascii="Calibri" w:eastAsia="Calibri" w:hAnsi="Calibri" w:cs="Times New Roman"/>
                <w:color w:val="1F497D"/>
              </w:rPr>
            </w:pPr>
            <w:r w:rsidRPr="004A707A">
              <w:rPr>
                <w:rFonts w:ascii="Calibri" w:eastAsia="Calibri" w:hAnsi="Calibri" w:cs="Times New Roman"/>
                <w:color w:val="1F497D"/>
              </w:rPr>
              <w:t>The location of this service is 52 Reading Road, Wokingham, RG41 1EH. This is a new build, the property is not currently in use. There is currently no provider in place for the housing related support service that will operate from this location. Home Group Ltd, currently run a housing related supported service on behalf of WBC at Seaford Court.</w:t>
            </w:r>
          </w:p>
          <w:p w:rsidR="00D366EC" w:rsidRPr="004A707A" w:rsidRDefault="00D366EC" w:rsidP="00D366EC">
            <w:pPr>
              <w:numPr>
                <w:ilvl w:val="0"/>
                <w:numId w:val="6"/>
              </w:numPr>
              <w:rPr>
                <w:rFonts w:ascii="Calibri" w:eastAsia="Calibri" w:hAnsi="Calibri" w:cs="Times New Roman"/>
                <w:color w:val="1F497D"/>
              </w:rPr>
            </w:pPr>
            <w:r w:rsidRPr="004A707A">
              <w:rPr>
                <w:rFonts w:ascii="Calibri" w:eastAsia="Calibri" w:hAnsi="Calibri" w:cs="Times New Roman"/>
                <w:color w:val="1F497D"/>
              </w:rPr>
              <w:t>There is office space at Reading Road for use by the support provider and there is communal space</w:t>
            </w:r>
          </w:p>
          <w:p w:rsidR="00D366EC" w:rsidRPr="00682DF4" w:rsidRDefault="00D366EC" w:rsidP="00D366EC">
            <w:pPr>
              <w:pStyle w:val="ListParagraph"/>
              <w:numPr>
                <w:ilvl w:val="0"/>
                <w:numId w:val="6"/>
              </w:numPr>
              <w:autoSpaceDE/>
              <w:autoSpaceDN/>
              <w:rPr>
                <w:rFonts w:asciiTheme="minorHAnsi" w:hAnsiTheme="minorHAnsi" w:cstheme="minorBidi"/>
                <w:b/>
                <w:color w:val="1F497D"/>
                <w:sz w:val="22"/>
                <w:szCs w:val="22"/>
              </w:rPr>
            </w:pPr>
            <w:r w:rsidRPr="00DF5337">
              <w:rPr>
                <w:rFonts w:ascii="Calibri" w:eastAsia="Calibri" w:hAnsi="Calibri" w:cs="Calibri"/>
                <w:color w:val="1F497D"/>
                <w:sz w:val="22"/>
                <w:szCs w:val="22"/>
              </w:rPr>
              <w:t>The provider would be given a right to occupy the building with the purpose of delivering the service within the terms of the contract</w:t>
            </w:r>
            <w:r w:rsidRPr="004A707A">
              <w:rPr>
                <w:rFonts w:ascii="Calibri" w:eastAsia="Calibri" w:hAnsi="Calibri"/>
                <w:color w:val="1F497D"/>
              </w:rPr>
              <w:t xml:space="preserve">. </w:t>
            </w:r>
            <w:r w:rsidRPr="00682DF4">
              <w:rPr>
                <w:rFonts w:asciiTheme="minorHAnsi" w:hAnsiTheme="minorHAnsi" w:cstheme="minorBidi"/>
                <w:b/>
                <w:color w:val="FF0000"/>
                <w:sz w:val="22"/>
                <w:szCs w:val="22"/>
              </w:rPr>
              <w:t>The lease/license will be available 6/10/17. There will be a management charge of £3000 per annum. This will include: office space rental, use of study space, council tax, furniture, PAT testing, heating and hot water, electricity, insurance, cleaning services and telecommunication infrastructure.</w:t>
            </w:r>
          </w:p>
          <w:p w:rsidR="00D366EC" w:rsidRPr="0015374C" w:rsidRDefault="00D366EC" w:rsidP="00D366EC">
            <w:pPr>
              <w:numPr>
                <w:ilvl w:val="0"/>
                <w:numId w:val="6"/>
              </w:numPr>
              <w:rPr>
                <w:rFonts w:ascii="Calibri" w:eastAsia="Calibri" w:hAnsi="Calibri" w:cs="Times New Roman"/>
                <w:color w:val="1F497D"/>
              </w:rPr>
            </w:pPr>
            <w:r w:rsidRPr="004A707A">
              <w:rPr>
                <w:rFonts w:ascii="Calibri" w:eastAsia="Calibri" w:hAnsi="Calibri" w:cs="Times New Roman"/>
                <w:color w:val="1F497D"/>
              </w:rPr>
              <w:t>The tender was published on OJEU on 8</w:t>
            </w:r>
            <w:r w:rsidRPr="004A707A">
              <w:rPr>
                <w:rFonts w:ascii="Calibri" w:eastAsia="Calibri" w:hAnsi="Calibri" w:cs="Times New Roman"/>
                <w:color w:val="1F497D"/>
                <w:vertAlign w:val="superscript"/>
              </w:rPr>
              <w:t>th</w:t>
            </w:r>
            <w:r w:rsidRPr="004A707A">
              <w:rPr>
                <w:rFonts w:ascii="Calibri" w:eastAsia="Calibri" w:hAnsi="Calibri" w:cs="Times New Roman"/>
                <w:color w:val="1F497D"/>
              </w:rPr>
              <w:t xml:space="preserve"> September and Contract Finder 11</w:t>
            </w:r>
            <w:r w:rsidRPr="004A707A">
              <w:rPr>
                <w:rFonts w:ascii="Calibri" w:eastAsia="Calibri" w:hAnsi="Calibri" w:cs="Times New Roman"/>
                <w:color w:val="1F497D"/>
                <w:vertAlign w:val="superscript"/>
              </w:rPr>
              <w:t>th</w:t>
            </w:r>
            <w:r w:rsidRPr="004A707A">
              <w:rPr>
                <w:rFonts w:ascii="Calibri" w:eastAsia="Calibri" w:hAnsi="Calibri" w:cs="Times New Roman"/>
                <w:color w:val="1F497D"/>
              </w:rPr>
              <w:t xml:space="preserve"> September 2017. The published date (on the front page of Contract Finder) is a confusing term as it is really the date the page was refreshed!</w:t>
            </w:r>
          </w:p>
        </w:tc>
        <w:tc>
          <w:tcPr>
            <w:tcW w:w="1276" w:type="dxa"/>
          </w:tcPr>
          <w:p w:rsidR="00D366EC" w:rsidRDefault="00D366EC" w:rsidP="00D366EC">
            <w:pPr>
              <w:rPr>
                <w:color w:val="FF0000"/>
              </w:rPr>
            </w:pPr>
            <w:r>
              <w:rPr>
                <w:color w:val="FF0000"/>
              </w:rPr>
              <w:t>22/9/17</w:t>
            </w:r>
          </w:p>
          <w:p w:rsidR="00D366EC" w:rsidRDefault="00D366EC" w:rsidP="00D366EC">
            <w:pPr>
              <w:rPr>
                <w:color w:val="FF0000"/>
              </w:rPr>
            </w:pPr>
          </w:p>
          <w:p w:rsidR="00D366EC" w:rsidRPr="00682DF4" w:rsidRDefault="00D366EC" w:rsidP="00D366EC">
            <w:pPr>
              <w:rPr>
                <w:b/>
                <w:color w:val="FF0000"/>
              </w:rPr>
            </w:pPr>
            <w:r w:rsidRPr="00682DF4">
              <w:rPr>
                <w:b/>
                <w:color w:val="FF0000"/>
              </w:rPr>
              <w:t>UPDATED 5/10/17</w:t>
            </w:r>
          </w:p>
        </w:tc>
      </w:tr>
      <w:tr w:rsidR="00D366EC" w:rsidRPr="002C4161" w:rsidTr="00692213">
        <w:tc>
          <w:tcPr>
            <w:tcW w:w="675" w:type="dxa"/>
          </w:tcPr>
          <w:p w:rsidR="00D366EC" w:rsidRDefault="00D366EC" w:rsidP="00D366EC">
            <w:r>
              <w:lastRenderedPageBreak/>
              <w:t>3</w:t>
            </w:r>
          </w:p>
        </w:tc>
        <w:tc>
          <w:tcPr>
            <w:tcW w:w="1191" w:type="dxa"/>
          </w:tcPr>
          <w:p w:rsidR="00D366EC" w:rsidRDefault="00D366EC" w:rsidP="00D366EC">
            <w:r>
              <w:t>21/9/17</w:t>
            </w:r>
          </w:p>
        </w:tc>
        <w:tc>
          <w:tcPr>
            <w:tcW w:w="6039" w:type="dxa"/>
          </w:tcPr>
          <w:p w:rsidR="00D366EC" w:rsidRDefault="00D366EC" w:rsidP="00D366EC">
            <w:r>
              <w:rPr>
                <w:rFonts w:eastAsia="Times New Roman"/>
              </w:rPr>
              <w:t>Would Wokingham Borough Council only consider local placements? I wanted to know if geographically XXXXX would be OK and then apply?</w:t>
            </w:r>
          </w:p>
        </w:tc>
        <w:tc>
          <w:tcPr>
            <w:tcW w:w="5528" w:type="dxa"/>
          </w:tcPr>
          <w:p w:rsidR="00D366EC" w:rsidRDefault="00D366EC" w:rsidP="00D366EC">
            <w:pPr>
              <w:rPr>
                <w:rFonts w:ascii="Calibri" w:hAnsi="Calibri" w:cs="Calibri"/>
                <w:color w:val="1F497D"/>
              </w:rPr>
            </w:pPr>
            <w:r>
              <w:rPr>
                <w:rFonts w:ascii="Calibri" w:hAnsi="Calibri" w:cs="Calibri"/>
                <w:color w:val="1F497D"/>
              </w:rPr>
              <w:t xml:space="preserve">The Service Specification is for ‘the delivery of a Housing Related Support Service for Young People </w:t>
            </w:r>
            <w:r>
              <w:rPr>
                <w:rFonts w:ascii="Calibri" w:hAnsi="Calibri" w:cs="Calibri"/>
                <w:color w:val="1F497D"/>
                <w:u w:val="single"/>
              </w:rPr>
              <w:t>in</w:t>
            </w:r>
            <w:r>
              <w:rPr>
                <w:rFonts w:ascii="Calibri" w:hAnsi="Calibri" w:cs="Calibri"/>
                <w:color w:val="1F497D"/>
              </w:rPr>
              <w:t xml:space="preserve"> the Wokingham Borough’ (Schedule 1, p. 1). The ‘Eligibility Criteria’ states that young people must ‘Have connections with the Wokingham Borough: the young person will be either, a resident of Wokingham Borough, have Permanent employment/training/education in the Wokingham Borough or have close family ties to the Wokingham Borough. (Schedule 1, p.3 &amp;4).</w:t>
            </w:r>
          </w:p>
          <w:p w:rsidR="00D366EC" w:rsidRDefault="00D366EC" w:rsidP="00D366EC">
            <w:pPr>
              <w:rPr>
                <w:rFonts w:ascii="Calibri" w:hAnsi="Calibri" w:cs="Calibri"/>
                <w:color w:val="1F497D"/>
              </w:rPr>
            </w:pPr>
          </w:p>
          <w:p w:rsidR="00D366EC" w:rsidRDefault="00D366EC" w:rsidP="00D366EC">
            <w:pPr>
              <w:rPr>
                <w:rFonts w:ascii="Calibri" w:hAnsi="Calibri" w:cs="Calibri"/>
                <w:color w:val="1F497D"/>
              </w:rPr>
            </w:pPr>
            <w:r>
              <w:rPr>
                <w:rFonts w:ascii="Calibri" w:hAnsi="Calibri" w:cs="Calibri"/>
                <w:color w:val="1F497D"/>
              </w:rPr>
              <w:t>We are not looking to place young people from outside of the Borough (unless they meet the eligibility criteria).</w:t>
            </w:r>
          </w:p>
          <w:p w:rsidR="00D366EC" w:rsidRDefault="00D366EC" w:rsidP="00D366EC">
            <w:pPr>
              <w:rPr>
                <w:rFonts w:ascii="Calibri" w:hAnsi="Calibri" w:cs="Calibri"/>
                <w:color w:val="1F497D"/>
              </w:rPr>
            </w:pPr>
          </w:p>
          <w:p w:rsidR="00D366EC" w:rsidRDefault="00D366EC" w:rsidP="00D366EC">
            <w:pPr>
              <w:rPr>
                <w:rFonts w:ascii="Calibri" w:hAnsi="Calibri" w:cs="Calibri"/>
                <w:color w:val="1F497D"/>
              </w:rPr>
            </w:pPr>
            <w:r>
              <w:rPr>
                <w:rFonts w:ascii="Calibri" w:hAnsi="Calibri" w:cs="Calibri"/>
                <w:color w:val="1F497D"/>
              </w:rPr>
              <w:t xml:space="preserve">As per the service specification ‘The service will be </w:t>
            </w:r>
            <w:r>
              <w:rPr>
                <w:rFonts w:ascii="Calibri" w:hAnsi="Calibri" w:cs="Calibri"/>
                <w:color w:val="1F497D"/>
                <w:u w:val="single"/>
              </w:rPr>
              <w:t>delivered from 52 Reading Road, Wokingham, Berkshire, RG41 1EH’</w:t>
            </w:r>
            <w:r>
              <w:rPr>
                <w:rFonts w:ascii="Calibri" w:hAnsi="Calibri" w:cs="Calibri"/>
                <w:color w:val="1F497D"/>
              </w:rPr>
              <w:t xml:space="preserve"> (Schedule 1, p.7)</w:t>
            </w:r>
          </w:p>
          <w:p w:rsidR="00D366EC" w:rsidRDefault="00D366EC" w:rsidP="00D366EC">
            <w:pPr>
              <w:rPr>
                <w:rFonts w:ascii="Calibri" w:hAnsi="Calibri" w:cs="Calibri"/>
                <w:color w:val="1F497D"/>
              </w:rPr>
            </w:pPr>
          </w:p>
          <w:p w:rsidR="00D366EC" w:rsidRDefault="00D366EC" w:rsidP="00D366EC">
            <w:pPr>
              <w:rPr>
                <w:rFonts w:ascii="Calibri" w:hAnsi="Calibri" w:cs="Calibri"/>
                <w:color w:val="1F497D"/>
              </w:rPr>
            </w:pPr>
            <w:r>
              <w:rPr>
                <w:rFonts w:ascii="Calibri" w:hAnsi="Calibri" w:cs="Calibri"/>
                <w:color w:val="1F497D"/>
              </w:rPr>
              <w:t>‘The service will accommodate up to nine young people who have identifiable housing related support needs. The accommodation will comprise: two self-contained one person bedsit flats… seven individual bedrooms that will have en-suite facilities…’ (Schedule 1, p.3) We will be placing young people in this accommodation unit. We are not looking to place young people outside the Borough. This tender opportunity is for a provider to deliver a Housing Related Support Service from this location (52 Reading Road).</w:t>
            </w:r>
          </w:p>
          <w:p w:rsidR="00D366EC" w:rsidRDefault="00D366EC" w:rsidP="00D366EC">
            <w:pPr>
              <w:rPr>
                <w:color w:val="1F497D"/>
              </w:rPr>
            </w:pPr>
          </w:p>
        </w:tc>
        <w:tc>
          <w:tcPr>
            <w:tcW w:w="1276" w:type="dxa"/>
          </w:tcPr>
          <w:p w:rsidR="00D366EC" w:rsidRDefault="00D366EC" w:rsidP="00D366EC">
            <w:pPr>
              <w:rPr>
                <w:color w:val="FF0000"/>
              </w:rPr>
            </w:pPr>
            <w:r>
              <w:rPr>
                <w:color w:val="FF0000"/>
              </w:rPr>
              <w:t>21/9/17</w:t>
            </w:r>
          </w:p>
        </w:tc>
      </w:tr>
      <w:tr w:rsidR="00D366EC" w:rsidRPr="002C4161" w:rsidTr="00692213">
        <w:tc>
          <w:tcPr>
            <w:tcW w:w="675" w:type="dxa"/>
          </w:tcPr>
          <w:p w:rsidR="00D366EC" w:rsidRPr="002C4161" w:rsidRDefault="00D366EC" w:rsidP="00D366EC">
            <w:r>
              <w:t>2</w:t>
            </w:r>
          </w:p>
        </w:tc>
        <w:tc>
          <w:tcPr>
            <w:tcW w:w="1191" w:type="dxa"/>
          </w:tcPr>
          <w:p w:rsidR="00D366EC" w:rsidRPr="00CA09F7" w:rsidRDefault="00D366EC" w:rsidP="00D366EC">
            <w:r>
              <w:t>20/9/17</w:t>
            </w:r>
          </w:p>
        </w:tc>
        <w:tc>
          <w:tcPr>
            <w:tcW w:w="6039" w:type="dxa"/>
          </w:tcPr>
          <w:p w:rsidR="00D366EC" w:rsidRDefault="00D366EC" w:rsidP="00D366EC">
            <w:r>
              <w:t xml:space="preserve">It is not clear from the specification/ITT whether then £25-30k anticipated spend on floating support comes out of the £155-175k anticipated spend for this tender or is in addition to it.  Please could you clarify? </w:t>
            </w:r>
          </w:p>
          <w:p w:rsidR="00D366EC" w:rsidRPr="00CA09F7" w:rsidRDefault="00D366EC" w:rsidP="00D366EC">
            <w:pPr>
              <w:rPr>
                <w:rFonts w:eastAsia="Times New Roman" w:cs="Arial"/>
              </w:rPr>
            </w:pPr>
          </w:p>
        </w:tc>
        <w:tc>
          <w:tcPr>
            <w:tcW w:w="5528" w:type="dxa"/>
          </w:tcPr>
          <w:p w:rsidR="00D366EC" w:rsidRDefault="00D366EC" w:rsidP="00D366EC">
            <w:pPr>
              <w:rPr>
                <w:color w:val="1F497D"/>
              </w:rPr>
            </w:pPr>
            <w:r>
              <w:rPr>
                <w:color w:val="1F497D"/>
              </w:rPr>
              <w:lastRenderedPageBreak/>
              <w:t>The £25 -£30k for the floating support service is in addition to the £155 - £175k per annum.</w:t>
            </w:r>
          </w:p>
          <w:p w:rsidR="00D366EC" w:rsidRPr="00CA09F7" w:rsidRDefault="00D366EC" w:rsidP="00D366EC">
            <w:pPr>
              <w:ind w:left="360"/>
              <w:rPr>
                <w:color w:val="FF0000"/>
              </w:rPr>
            </w:pPr>
          </w:p>
        </w:tc>
        <w:tc>
          <w:tcPr>
            <w:tcW w:w="1276" w:type="dxa"/>
          </w:tcPr>
          <w:p w:rsidR="00D366EC" w:rsidRPr="002C4161" w:rsidRDefault="00D366EC" w:rsidP="00D366EC">
            <w:pPr>
              <w:rPr>
                <w:color w:val="FF0000"/>
              </w:rPr>
            </w:pPr>
            <w:r>
              <w:rPr>
                <w:color w:val="FF0000"/>
              </w:rPr>
              <w:t>20/9/17</w:t>
            </w:r>
          </w:p>
        </w:tc>
      </w:tr>
      <w:tr w:rsidR="00D366EC" w:rsidRPr="002C4161" w:rsidTr="00692213">
        <w:tc>
          <w:tcPr>
            <w:tcW w:w="675" w:type="dxa"/>
          </w:tcPr>
          <w:p w:rsidR="00D366EC" w:rsidRPr="002C4161" w:rsidRDefault="00D366EC" w:rsidP="00D366EC">
            <w:r>
              <w:t>1</w:t>
            </w:r>
          </w:p>
        </w:tc>
        <w:tc>
          <w:tcPr>
            <w:tcW w:w="1191" w:type="dxa"/>
          </w:tcPr>
          <w:p w:rsidR="00D366EC" w:rsidRPr="00CA09F7" w:rsidRDefault="00D366EC" w:rsidP="00D366EC">
            <w:r>
              <w:t>20/9/17</w:t>
            </w:r>
          </w:p>
        </w:tc>
        <w:tc>
          <w:tcPr>
            <w:tcW w:w="6039" w:type="dxa"/>
          </w:tcPr>
          <w:p w:rsidR="00D366EC" w:rsidRDefault="00D366EC" w:rsidP="00D366EC">
            <w:pPr>
              <w:rPr>
                <w:rFonts w:eastAsia="Times New Roman"/>
              </w:rPr>
            </w:pPr>
            <w:r>
              <w:rPr>
                <w:rFonts w:eastAsia="Times New Roman"/>
              </w:rPr>
              <w:t>Would you consider placements in XXXXX? As we are based here or is this for local provision only. </w:t>
            </w:r>
          </w:p>
          <w:p w:rsidR="00D366EC" w:rsidRPr="00CA09F7" w:rsidRDefault="00D366EC" w:rsidP="00D366EC">
            <w:pPr>
              <w:rPr>
                <w:rFonts w:eastAsia="Times New Roman" w:cs="Arial"/>
              </w:rPr>
            </w:pPr>
          </w:p>
        </w:tc>
        <w:tc>
          <w:tcPr>
            <w:tcW w:w="5528" w:type="dxa"/>
          </w:tcPr>
          <w:p w:rsidR="00D366EC" w:rsidRDefault="00D366EC" w:rsidP="00D366EC">
            <w:pPr>
              <w:rPr>
                <w:rFonts w:ascii="Calibri" w:hAnsi="Calibri" w:cs="Calibri"/>
                <w:color w:val="1F497D"/>
              </w:rPr>
            </w:pPr>
            <w:r>
              <w:rPr>
                <w:rFonts w:ascii="Calibri" w:hAnsi="Calibri" w:cs="Calibri"/>
                <w:color w:val="1F497D"/>
              </w:rPr>
              <w:t>This contract is for the provision of a Housing Related Support Service for Young People in the Wokingham Borough. Please refer to Schedule 1 as to the exact location of this service.</w:t>
            </w:r>
          </w:p>
          <w:p w:rsidR="00D366EC" w:rsidRPr="00CA09F7" w:rsidRDefault="00D366EC" w:rsidP="00D366EC">
            <w:pPr>
              <w:ind w:left="360"/>
              <w:rPr>
                <w:color w:val="FF0000"/>
              </w:rPr>
            </w:pPr>
          </w:p>
        </w:tc>
        <w:tc>
          <w:tcPr>
            <w:tcW w:w="1276" w:type="dxa"/>
          </w:tcPr>
          <w:p w:rsidR="00D366EC" w:rsidRPr="002C4161" w:rsidRDefault="00D366EC" w:rsidP="00D366EC">
            <w:pPr>
              <w:rPr>
                <w:color w:val="FF0000"/>
              </w:rPr>
            </w:pPr>
            <w:r>
              <w:rPr>
                <w:color w:val="FF0000"/>
              </w:rPr>
              <w:t>20/9/17</w:t>
            </w:r>
          </w:p>
        </w:tc>
      </w:tr>
      <w:tr w:rsidR="00D366EC" w:rsidRPr="002C4161" w:rsidTr="00692213">
        <w:tc>
          <w:tcPr>
            <w:tcW w:w="675" w:type="dxa"/>
          </w:tcPr>
          <w:p w:rsidR="00D366EC" w:rsidRDefault="00D366EC" w:rsidP="00D366EC"/>
        </w:tc>
        <w:tc>
          <w:tcPr>
            <w:tcW w:w="1191" w:type="dxa"/>
          </w:tcPr>
          <w:p w:rsidR="00D366EC" w:rsidRPr="00CA09F7" w:rsidRDefault="00D366EC" w:rsidP="00D366EC"/>
        </w:tc>
        <w:tc>
          <w:tcPr>
            <w:tcW w:w="6039" w:type="dxa"/>
          </w:tcPr>
          <w:p w:rsidR="00D366EC" w:rsidRPr="00CA09F7" w:rsidRDefault="00D366EC" w:rsidP="00D366EC">
            <w:pPr>
              <w:rPr>
                <w:rFonts w:eastAsia="Times New Roman" w:cs="Arial"/>
              </w:rPr>
            </w:pPr>
          </w:p>
        </w:tc>
        <w:tc>
          <w:tcPr>
            <w:tcW w:w="5528" w:type="dxa"/>
          </w:tcPr>
          <w:p w:rsidR="00D366EC" w:rsidRDefault="00D366EC" w:rsidP="00D366EC">
            <w:pPr>
              <w:ind w:left="360"/>
              <w:rPr>
                <w:color w:val="FF0000"/>
              </w:rPr>
            </w:pPr>
          </w:p>
        </w:tc>
        <w:tc>
          <w:tcPr>
            <w:tcW w:w="1276" w:type="dxa"/>
          </w:tcPr>
          <w:p w:rsidR="00D366EC" w:rsidRDefault="00D366EC" w:rsidP="00D366EC">
            <w:pPr>
              <w:rPr>
                <w:color w:val="FF0000"/>
              </w:rPr>
            </w:pPr>
          </w:p>
        </w:tc>
      </w:tr>
    </w:tbl>
    <w:p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CF4" w:rsidRDefault="00B83CF4" w:rsidP="007D5240">
      <w:r>
        <w:separator/>
      </w:r>
    </w:p>
  </w:endnote>
  <w:endnote w:type="continuationSeparator" w:id="0">
    <w:p w:rsidR="00B83CF4" w:rsidRDefault="00B83CF4"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43102D">
      <w:rPr>
        <w:noProof/>
      </w:rPr>
      <w:t>1</w:t>
    </w:r>
    <w:r>
      <w:fldChar w:fldCharType="end"/>
    </w:r>
    <w:r>
      <w:t xml:space="preserve"> of </w:t>
    </w:r>
    <w:fldSimple w:instr=" NUMPAGES \* MERGEFORMAT \* MERGEFORMAT ">
      <w:r w:rsidR="0043102D">
        <w:rPr>
          <w:noProof/>
        </w:rPr>
        <w:t>8</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CF4" w:rsidRDefault="00B83CF4" w:rsidP="007D5240">
      <w:r>
        <w:separator/>
      </w:r>
    </w:p>
  </w:footnote>
  <w:footnote w:type="continuationSeparator" w:id="0">
    <w:p w:rsidR="00B83CF4" w:rsidRDefault="00B83CF4"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213"/>
    <w:multiLevelType w:val="hybridMultilevel"/>
    <w:tmpl w:val="16449C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206A6"/>
    <w:multiLevelType w:val="hybridMultilevel"/>
    <w:tmpl w:val="F6BE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FCC6525"/>
    <w:multiLevelType w:val="hybridMultilevel"/>
    <w:tmpl w:val="F026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844DD0"/>
    <w:multiLevelType w:val="multilevel"/>
    <w:tmpl w:val="D3C60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C038F"/>
    <w:multiLevelType w:val="hybridMultilevel"/>
    <w:tmpl w:val="089E09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62F5EA6"/>
    <w:multiLevelType w:val="hybridMultilevel"/>
    <w:tmpl w:val="AA3C5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0E70B5A"/>
    <w:multiLevelType w:val="hybridMultilevel"/>
    <w:tmpl w:val="60BEC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532D7C"/>
    <w:multiLevelType w:val="hybridMultilevel"/>
    <w:tmpl w:val="5108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1"/>
  </w:num>
  <w:num w:numId="5">
    <w:abstractNumId w:val="2"/>
  </w:num>
  <w:num w:numId="6">
    <w:abstractNumId w:val="9"/>
  </w:num>
  <w:num w:numId="7">
    <w:abstractNumId w:val="13"/>
  </w:num>
  <w:num w:numId="8">
    <w:abstractNumId w:val="7"/>
  </w:num>
  <w:num w:numId="9">
    <w:abstractNumId w:val="10"/>
  </w:num>
  <w:num w:numId="10">
    <w:abstractNumId w:val="3"/>
  </w:num>
  <w:num w:numId="11">
    <w:abstractNumId w:val="0"/>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175DD"/>
    <w:rsid w:val="00020EEA"/>
    <w:rsid w:val="00051F26"/>
    <w:rsid w:val="00072146"/>
    <w:rsid w:val="00077979"/>
    <w:rsid w:val="000C635A"/>
    <w:rsid w:val="000E4338"/>
    <w:rsid w:val="000F3642"/>
    <w:rsid w:val="000F42F8"/>
    <w:rsid w:val="000F525F"/>
    <w:rsid w:val="00135E47"/>
    <w:rsid w:val="00144323"/>
    <w:rsid w:val="0015374C"/>
    <w:rsid w:val="00195600"/>
    <w:rsid w:val="001C7F8A"/>
    <w:rsid w:val="002540C5"/>
    <w:rsid w:val="00262F61"/>
    <w:rsid w:val="002B362B"/>
    <w:rsid w:val="002C4161"/>
    <w:rsid w:val="0033542A"/>
    <w:rsid w:val="003429A8"/>
    <w:rsid w:val="003A2174"/>
    <w:rsid w:val="003A560A"/>
    <w:rsid w:val="003D34E6"/>
    <w:rsid w:val="003E780A"/>
    <w:rsid w:val="003F2C96"/>
    <w:rsid w:val="004217CD"/>
    <w:rsid w:val="0043102D"/>
    <w:rsid w:val="00446D37"/>
    <w:rsid w:val="00450D8E"/>
    <w:rsid w:val="00476100"/>
    <w:rsid w:val="00484612"/>
    <w:rsid w:val="004A42B5"/>
    <w:rsid w:val="004A707A"/>
    <w:rsid w:val="004D4B66"/>
    <w:rsid w:val="00522339"/>
    <w:rsid w:val="00565323"/>
    <w:rsid w:val="005D2CEE"/>
    <w:rsid w:val="005E7147"/>
    <w:rsid w:val="005F2B24"/>
    <w:rsid w:val="00607654"/>
    <w:rsid w:val="0062070F"/>
    <w:rsid w:val="00672C00"/>
    <w:rsid w:val="00682DF4"/>
    <w:rsid w:val="00692213"/>
    <w:rsid w:val="006D5F4C"/>
    <w:rsid w:val="006E0002"/>
    <w:rsid w:val="007074B7"/>
    <w:rsid w:val="00723D41"/>
    <w:rsid w:val="00730E28"/>
    <w:rsid w:val="007760BA"/>
    <w:rsid w:val="00795522"/>
    <w:rsid w:val="007D5240"/>
    <w:rsid w:val="007E6187"/>
    <w:rsid w:val="00891463"/>
    <w:rsid w:val="008A0BC7"/>
    <w:rsid w:val="008A67D2"/>
    <w:rsid w:val="008E7E4A"/>
    <w:rsid w:val="00910E52"/>
    <w:rsid w:val="00937D34"/>
    <w:rsid w:val="009624D8"/>
    <w:rsid w:val="00983073"/>
    <w:rsid w:val="0099086A"/>
    <w:rsid w:val="00993930"/>
    <w:rsid w:val="009D76A7"/>
    <w:rsid w:val="00AA074E"/>
    <w:rsid w:val="00AB4F75"/>
    <w:rsid w:val="00B036AD"/>
    <w:rsid w:val="00B13613"/>
    <w:rsid w:val="00B21F47"/>
    <w:rsid w:val="00B253ED"/>
    <w:rsid w:val="00B4179B"/>
    <w:rsid w:val="00B83CF4"/>
    <w:rsid w:val="00B95EBE"/>
    <w:rsid w:val="00BF27F4"/>
    <w:rsid w:val="00C51D69"/>
    <w:rsid w:val="00C54FA9"/>
    <w:rsid w:val="00C81698"/>
    <w:rsid w:val="00CA09F7"/>
    <w:rsid w:val="00CD3923"/>
    <w:rsid w:val="00CE0911"/>
    <w:rsid w:val="00CF33A9"/>
    <w:rsid w:val="00CF67EF"/>
    <w:rsid w:val="00D366EC"/>
    <w:rsid w:val="00D42F0C"/>
    <w:rsid w:val="00D54594"/>
    <w:rsid w:val="00D54F16"/>
    <w:rsid w:val="00DD7392"/>
    <w:rsid w:val="00DE6302"/>
    <w:rsid w:val="00DF5337"/>
    <w:rsid w:val="00E552AB"/>
    <w:rsid w:val="00EA033F"/>
    <w:rsid w:val="00EE7C06"/>
    <w:rsid w:val="00F32847"/>
    <w:rsid w:val="00F41D66"/>
    <w:rsid w:val="00F93B4F"/>
    <w:rsid w:val="00FB7AB2"/>
    <w:rsid w:val="00FC6821"/>
    <w:rsid w:val="00FC70A6"/>
    <w:rsid w:val="00FD3ADE"/>
    <w:rsid w:val="00FE0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FFF505"/>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1776">
      <w:bodyDiv w:val="1"/>
      <w:marLeft w:val="0"/>
      <w:marRight w:val="0"/>
      <w:marTop w:val="0"/>
      <w:marBottom w:val="0"/>
      <w:divBdr>
        <w:top w:val="none" w:sz="0" w:space="0" w:color="auto"/>
        <w:left w:val="none" w:sz="0" w:space="0" w:color="auto"/>
        <w:bottom w:val="none" w:sz="0" w:space="0" w:color="auto"/>
        <w:right w:val="none" w:sz="0" w:space="0" w:color="auto"/>
      </w:divBdr>
    </w:div>
    <w:div w:id="277610866">
      <w:bodyDiv w:val="1"/>
      <w:marLeft w:val="0"/>
      <w:marRight w:val="0"/>
      <w:marTop w:val="0"/>
      <w:marBottom w:val="0"/>
      <w:divBdr>
        <w:top w:val="none" w:sz="0" w:space="0" w:color="auto"/>
        <w:left w:val="none" w:sz="0" w:space="0" w:color="auto"/>
        <w:bottom w:val="none" w:sz="0" w:space="0" w:color="auto"/>
        <w:right w:val="none" w:sz="0" w:space="0" w:color="auto"/>
      </w:divBdr>
    </w:div>
    <w:div w:id="300355947">
      <w:bodyDiv w:val="1"/>
      <w:marLeft w:val="0"/>
      <w:marRight w:val="0"/>
      <w:marTop w:val="0"/>
      <w:marBottom w:val="0"/>
      <w:divBdr>
        <w:top w:val="none" w:sz="0" w:space="0" w:color="auto"/>
        <w:left w:val="none" w:sz="0" w:space="0" w:color="auto"/>
        <w:bottom w:val="none" w:sz="0" w:space="0" w:color="auto"/>
        <w:right w:val="none" w:sz="0" w:space="0" w:color="auto"/>
      </w:divBdr>
    </w:div>
    <w:div w:id="338580128">
      <w:bodyDiv w:val="1"/>
      <w:marLeft w:val="0"/>
      <w:marRight w:val="0"/>
      <w:marTop w:val="0"/>
      <w:marBottom w:val="0"/>
      <w:divBdr>
        <w:top w:val="none" w:sz="0" w:space="0" w:color="auto"/>
        <w:left w:val="none" w:sz="0" w:space="0" w:color="auto"/>
        <w:bottom w:val="none" w:sz="0" w:space="0" w:color="auto"/>
        <w:right w:val="none" w:sz="0" w:space="0" w:color="auto"/>
      </w:divBdr>
    </w:div>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864905747">
      <w:bodyDiv w:val="1"/>
      <w:marLeft w:val="0"/>
      <w:marRight w:val="0"/>
      <w:marTop w:val="0"/>
      <w:marBottom w:val="0"/>
      <w:divBdr>
        <w:top w:val="none" w:sz="0" w:space="0" w:color="auto"/>
        <w:left w:val="none" w:sz="0" w:space="0" w:color="auto"/>
        <w:bottom w:val="none" w:sz="0" w:space="0" w:color="auto"/>
        <w:right w:val="none" w:sz="0" w:space="0" w:color="auto"/>
      </w:divBdr>
    </w:div>
    <w:div w:id="1054894368">
      <w:bodyDiv w:val="1"/>
      <w:marLeft w:val="0"/>
      <w:marRight w:val="0"/>
      <w:marTop w:val="0"/>
      <w:marBottom w:val="0"/>
      <w:divBdr>
        <w:top w:val="none" w:sz="0" w:space="0" w:color="auto"/>
        <w:left w:val="none" w:sz="0" w:space="0" w:color="auto"/>
        <w:bottom w:val="none" w:sz="0" w:space="0" w:color="auto"/>
        <w:right w:val="none" w:sz="0" w:space="0" w:color="auto"/>
      </w:divBdr>
    </w:div>
    <w:div w:id="1085110338">
      <w:bodyDiv w:val="1"/>
      <w:marLeft w:val="0"/>
      <w:marRight w:val="0"/>
      <w:marTop w:val="0"/>
      <w:marBottom w:val="0"/>
      <w:divBdr>
        <w:top w:val="none" w:sz="0" w:space="0" w:color="auto"/>
        <w:left w:val="none" w:sz="0" w:space="0" w:color="auto"/>
        <w:bottom w:val="none" w:sz="0" w:space="0" w:color="auto"/>
        <w:right w:val="none" w:sz="0" w:space="0" w:color="auto"/>
      </w:divBdr>
    </w:div>
    <w:div w:id="1130905751">
      <w:bodyDiv w:val="1"/>
      <w:marLeft w:val="0"/>
      <w:marRight w:val="0"/>
      <w:marTop w:val="0"/>
      <w:marBottom w:val="0"/>
      <w:divBdr>
        <w:top w:val="none" w:sz="0" w:space="0" w:color="auto"/>
        <w:left w:val="none" w:sz="0" w:space="0" w:color="auto"/>
        <w:bottom w:val="none" w:sz="0" w:space="0" w:color="auto"/>
        <w:right w:val="none" w:sz="0" w:space="0" w:color="auto"/>
      </w:divBdr>
    </w:div>
    <w:div w:id="1148133149">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191645600">
      <w:bodyDiv w:val="1"/>
      <w:marLeft w:val="0"/>
      <w:marRight w:val="0"/>
      <w:marTop w:val="0"/>
      <w:marBottom w:val="0"/>
      <w:divBdr>
        <w:top w:val="none" w:sz="0" w:space="0" w:color="auto"/>
        <w:left w:val="none" w:sz="0" w:space="0" w:color="auto"/>
        <w:bottom w:val="none" w:sz="0" w:space="0" w:color="auto"/>
        <w:right w:val="none" w:sz="0" w:space="0" w:color="auto"/>
      </w:divBdr>
    </w:div>
    <w:div w:id="1215776547">
      <w:bodyDiv w:val="1"/>
      <w:marLeft w:val="0"/>
      <w:marRight w:val="0"/>
      <w:marTop w:val="0"/>
      <w:marBottom w:val="0"/>
      <w:divBdr>
        <w:top w:val="none" w:sz="0" w:space="0" w:color="auto"/>
        <w:left w:val="none" w:sz="0" w:space="0" w:color="auto"/>
        <w:bottom w:val="none" w:sz="0" w:space="0" w:color="auto"/>
        <w:right w:val="none" w:sz="0" w:space="0" w:color="auto"/>
      </w:divBdr>
    </w:div>
    <w:div w:id="1218542504">
      <w:bodyDiv w:val="1"/>
      <w:marLeft w:val="0"/>
      <w:marRight w:val="0"/>
      <w:marTop w:val="0"/>
      <w:marBottom w:val="0"/>
      <w:divBdr>
        <w:top w:val="none" w:sz="0" w:space="0" w:color="auto"/>
        <w:left w:val="none" w:sz="0" w:space="0" w:color="auto"/>
        <w:bottom w:val="none" w:sz="0" w:space="0" w:color="auto"/>
        <w:right w:val="none" w:sz="0" w:space="0" w:color="auto"/>
      </w:divBdr>
    </w:div>
    <w:div w:id="1387416309">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494636689">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11564103">
      <w:bodyDiv w:val="1"/>
      <w:marLeft w:val="0"/>
      <w:marRight w:val="0"/>
      <w:marTop w:val="0"/>
      <w:marBottom w:val="0"/>
      <w:divBdr>
        <w:top w:val="none" w:sz="0" w:space="0" w:color="auto"/>
        <w:left w:val="none" w:sz="0" w:space="0" w:color="auto"/>
        <w:bottom w:val="none" w:sz="0" w:space="0" w:color="auto"/>
        <w:right w:val="none" w:sz="0" w:space="0" w:color="auto"/>
      </w:divBdr>
    </w:div>
    <w:div w:id="2012830989">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80054450">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06882212">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2451</Words>
  <Characters>13976</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Belinda Kennedy</cp:lastModifiedBy>
  <cp:revision>2</cp:revision>
  <dcterms:created xsi:type="dcterms:W3CDTF">2017-10-17T12:44:00Z</dcterms:created>
  <dcterms:modified xsi:type="dcterms:W3CDTF">2017-10-17T12:44:00Z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