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6CF5" w14:textId="2187F6E4" w:rsidR="00F162CF" w:rsidRPr="00467E3D" w:rsidRDefault="003F0DB1" w:rsidP="00B76880">
      <w:pPr>
        <w:rPr>
          <w:rFonts w:ascii="Arial" w:hAnsi="Arial" w:cs="Arial"/>
          <w:b/>
          <w:bCs/>
        </w:rPr>
      </w:pPr>
      <w:r w:rsidRPr="32DA28A1">
        <w:rPr>
          <w:rFonts w:ascii="Arial" w:hAnsi="Arial" w:cs="Arial"/>
          <w:b/>
          <w:bCs/>
        </w:rPr>
        <w:t>Social Value</w:t>
      </w:r>
      <w:r w:rsidR="00CA6C4E" w:rsidRPr="32DA28A1">
        <w:rPr>
          <w:rFonts w:ascii="Arial" w:hAnsi="Arial" w:cs="Arial"/>
          <w:b/>
          <w:bCs/>
        </w:rPr>
        <w:t xml:space="preserve"> </w:t>
      </w:r>
      <w:r w:rsidR="00C61DF7" w:rsidRPr="32DA28A1">
        <w:rPr>
          <w:rFonts w:ascii="Arial" w:hAnsi="Arial" w:cs="Arial"/>
          <w:b/>
          <w:bCs/>
        </w:rPr>
        <w:t xml:space="preserve">Question Set </w:t>
      </w:r>
      <w:r w:rsidR="00CA6C4E" w:rsidRPr="32DA28A1">
        <w:rPr>
          <w:rFonts w:ascii="Arial" w:hAnsi="Arial" w:cs="Arial"/>
          <w:b/>
          <w:bCs/>
        </w:rPr>
        <w:t>(100% stand-</w:t>
      </w:r>
      <w:r w:rsidR="00C61DF7" w:rsidRPr="32DA28A1">
        <w:rPr>
          <w:rFonts w:ascii="Arial" w:hAnsi="Arial" w:cs="Arial"/>
          <w:b/>
          <w:bCs/>
        </w:rPr>
        <w:t>a</w:t>
      </w:r>
      <w:r w:rsidR="00CA6C4E" w:rsidRPr="32DA28A1">
        <w:rPr>
          <w:rFonts w:ascii="Arial" w:hAnsi="Arial" w:cs="Arial"/>
          <w:b/>
          <w:bCs/>
        </w:rPr>
        <w:t xml:space="preserve">lone </w:t>
      </w:r>
      <w:r w:rsidR="007C486E" w:rsidRPr="32DA28A1">
        <w:rPr>
          <w:rFonts w:ascii="Arial" w:hAnsi="Arial" w:cs="Arial"/>
          <w:b/>
          <w:bCs/>
        </w:rPr>
        <w:t>a</w:t>
      </w:r>
      <w:r w:rsidR="00CA6C4E" w:rsidRPr="32DA28A1">
        <w:rPr>
          <w:rFonts w:ascii="Arial" w:hAnsi="Arial" w:cs="Arial"/>
          <w:b/>
          <w:bCs/>
        </w:rPr>
        <w:t xml:space="preserve">ssessment – </w:t>
      </w:r>
      <w:r w:rsidR="007C486E" w:rsidRPr="32DA28A1">
        <w:rPr>
          <w:rFonts w:ascii="Arial" w:hAnsi="Arial" w:cs="Arial"/>
          <w:b/>
          <w:bCs/>
        </w:rPr>
        <w:t>w</w:t>
      </w:r>
      <w:r w:rsidR="00CA6C4E" w:rsidRPr="32DA28A1">
        <w:rPr>
          <w:rFonts w:ascii="Arial" w:hAnsi="Arial" w:cs="Arial"/>
          <w:b/>
          <w:bCs/>
        </w:rPr>
        <w:t>ill form 10% of overall scor</w:t>
      </w:r>
      <w:r w:rsidR="00C61DF7" w:rsidRPr="32DA28A1">
        <w:rPr>
          <w:rFonts w:ascii="Arial" w:hAnsi="Arial" w:cs="Arial"/>
          <w:b/>
          <w:bCs/>
        </w:rPr>
        <w:t>e)</w:t>
      </w:r>
    </w:p>
    <w:p w14:paraId="349B23E4" w14:textId="77777777" w:rsidR="00F162CF" w:rsidRDefault="00F162CF" w:rsidP="003F0DB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116"/>
        <w:tblW w:w="16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860"/>
        <w:gridCol w:w="8131"/>
        <w:gridCol w:w="1529"/>
        <w:gridCol w:w="1529"/>
        <w:gridCol w:w="1529"/>
      </w:tblGrid>
      <w:tr w:rsidR="00BF789E" w14:paraId="4BB06302" w14:textId="723C2CCB" w:rsidTr="00BF789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68E0" w14:textId="77777777" w:rsidR="00BF789E" w:rsidRPr="00B76880" w:rsidRDefault="00BF789E" w:rsidP="00474413">
            <w:pPr>
              <w:pStyle w:val="ListParagraph"/>
              <w:ind w:left="4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Fighting </w:t>
            </w:r>
            <w:r w:rsidRPr="00B76880">
              <w:rPr>
                <w:rFonts w:ascii="Arial" w:hAnsi="Arial" w:cs="Arial"/>
                <w:sz w:val="20"/>
                <w:szCs w:val="20"/>
              </w:rPr>
              <w:t>Climate Change.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1CF6" w14:textId="77777777" w:rsidR="00BF789E" w:rsidRPr="00B76880" w:rsidRDefault="00BF789E" w:rsidP="00474413">
            <w:pPr>
              <w:pStyle w:val="ListParagraph"/>
              <w:ind w:left="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6880">
              <w:rPr>
                <w:rFonts w:ascii="Arial" w:hAnsi="Arial" w:cs="Arial"/>
                <w:sz w:val="20"/>
                <w:szCs w:val="20"/>
              </w:rPr>
              <w:t>Effective stewardship of the environment.</w:t>
            </w:r>
          </w:p>
          <w:p w14:paraId="36C0DD10" w14:textId="77777777" w:rsidR="00BF789E" w:rsidRPr="00B76880" w:rsidRDefault="00BF789E" w:rsidP="004744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E268" w14:textId="1633F063" w:rsidR="00BF789E" w:rsidRDefault="00BF789E" w:rsidP="00474413">
            <w:pPr>
              <w:pStyle w:val="ListParagraph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what will be delivered as part of contract delivery, in relation to the following and how will it be achieved:</w:t>
            </w:r>
          </w:p>
          <w:p w14:paraId="76033273" w14:textId="20BA3F82" w:rsidR="00BF789E" w:rsidRPr="00DC7D4C" w:rsidRDefault="00BF789E" w:rsidP="00DC7D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B81A82F" w14:textId="0C5D504C" w:rsidR="00BF789E" w:rsidRDefault="00BF789E" w:rsidP="002162D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Increasing recycling levels to reduce the amount of waste</w:t>
            </w:r>
          </w:p>
          <w:p w14:paraId="72DE1BB1" w14:textId="6718410F" w:rsidR="00BF789E" w:rsidRDefault="00BF789E" w:rsidP="002162D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environmentally friendly goods</w:t>
            </w:r>
          </w:p>
          <w:p w14:paraId="159C7B99" w14:textId="72C1C150" w:rsidR="00BF789E" w:rsidRDefault="00BF789E" w:rsidP="002162D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Carbon footprint</w:t>
            </w:r>
          </w:p>
          <w:p w14:paraId="0E21FEC5" w14:textId="268B868F" w:rsidR="00BF789E" w:rsidRDefault="00BF789E" w:rsidP="002162D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reduction</w:t>
            </w:r>
          </w:p>
          <w:p w14:paraId="483FCAF1" w14:textId="77777777" w:rsidR="00BF789E" w:rsidRDefault="00BF789E" w:rsidP="002162D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2D3">
              <w:rPr>
                <w:rFonts w:ascii="Arial" w:hAnsi="Arial" w:cs="Arial"/>
                <w:sz w:val="20"/>
                <w:szCs w:val="20"/>
              </w:rPr>
              <w:t>Improving fuel and energy efficiencies</w:t>
            </w:r>
          </w:p>
          <w:p w14:paraId="1FED8488" w14:textId="4C2E993D" w:rsidR="00BF789E" w:rsidRPr="002162D3" w:rsidRDefault="00BF789E" w:rsidP="002162D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A756" w14:textId="77777777" w:rsidR="00BF789E" w:rsidRPr="00421DAA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AA">
              <w:rPr>
                <w:rFonts w:ascii="Arial" w:hAnsi="Arial" w:cs="Arial"/>
                <w:b/>
                <w:bCs/>
                <w:sz w:val="20"/>
                <w:szCs w:val="20"/>
              </w:rPr>
              <w:t>Max word count</w:t>
            </w:r>
          </w:p>
          <w:p w14:paraId="79FDA9A5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6022773" w14:textId="45FE7345" w:rsidR="00BF789E" w:rsidRPr="002162D3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notes page.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D33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57CB2BFB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7043F2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E1526F" w14:textId="3004279B" w:rsidR="00BF789E" w:rsidRPr="00421DAA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B27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Minimum compliant score</w:t>
            </w:r>
          </w:p>
          <w:p w14:paraId="43856F9C" w14:textId="77777777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8F6122" w14:textId="71179035" w:rsidR="00BF789E" w:rsidRDefault="00BF789E" w:rsidP="4340F6C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17D6FC1E" w14:textId="4EE8390F" w:rsidR="4340F6C8" w:rsidRDefault="4340F6C8" w:rsidP="4340F6C8">
      <w:pPr>
        <w:rPr>
          <w:rFonts w:ascii="Arial" w:hAnsi="Arial" w:cs="Arial"/>
          <w:b/>
          <w:bCs/>
        </w:rPr>
      </w:pPr>
    </w:p>
    <w:p w14:paraId="63681BDE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60EC86FC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36B155A0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5CB5DA91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4D0354DF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7413A994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69F692A4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02DE7411" w14:textId="77777777" w:rsidR="002162D3" w:rsidRDefault="002162D3" w:rsidP="4340F6C8">
      <w:pPr>
        <w:rPr>
          <w:rFonts w:ascii="Arial" w:hAnsi="Arial" w:cs="Arial"/>
          <w:b/>
          <w:bCs/>
        </w:rPr>
      </w:pPr>
    </w:p>
    <w:p w14:paraId="62D4ADE0" w14:textId="77777777" w:rsidR="00421DAA" w:rsidRDefault="00421DAA" w:rsidP="4340F6C8">
      <w:pPr>
        <w:rPr>
          <w:rFonts w:ascii="Arial" w:hAnsi="Arial" w:cs="Arial"/>
          <w:b/>
          <w:bCs/>
        </w:rPr>
      </w:pPr>
    </w:p>
    <w:p w14:paraId="0A91E43B" w14:textId="7DE8B0D4" w:rsidR="003F0DB1" w:rsidRDefault="003F0DB1" w:rsidP="4340F6C8">
      <w:pPr>
        <w:rPr>
          <w:rFonts w:ascii="Arial" w:hAnsi="Arial" w:cs="Arial"/>
          <w:b/>
          <w:bCs/>
        </w:rPr>
      </w:pPr>
      <w:r w:rsidRPr="4340F6C8">
        <w:rPr>
          <w:rFonts w:ascii="Arial" w:hAnsi="Arial" w:cs="Arial"/>
          <w:b/>
          <w:bCs/>
        </w:rPr>
        <w:t>Technical Question Set</w:t>
      </w:r>
    </w:p>
    <w:p w14:paraId="2113CB34" w14:textId="77777777" w:rsidR="00DA6985" w:rsidRDefault="00DA6985" w:rsidP="00B76880"/>
    <w:tbl>
      <w:tblPr>
        <w:tblW w:w="132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294"/>
        <w:gridCol w:w="1276"/>
        <w:gridCol w:w="1984"/>
        <w:gridCol w:w="1249"/>
      </w:tblGrid>
      <w:tr w:rsidR="007A5FC7" w14:paraId="0E73A484" w14:textId="77777777" w:rsidTr="21B34B60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53F7" w14:textId="63E0FED6" w:rsidR="007A5FC7" w:rsidRPr="003F64D7" w:rsidRDefault="007A5FC7" w:rsidP="003F64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4D7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</w:p>
        </w:tc>
        <w:tc>
          <w:tcPr>
            <w:tcW w:w="8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AA49" w14:textId="4485675C" w:rsidR="007A5FC7" w:rsidRPr="003F64D7" w:rsidRDefault="007A5FC7">
            <w:pPr>
              <w:pStyle w:val="ListParagraph"/>
              <w:ind w:left="0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F64D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883D" w14:textId="77777777" w:rsidR="007A5FC7" w:rsidRPr="003F64D7" w:rsidRDefault="007A5F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4D7">
              <w:rPr>
                <w:rFonts w:ascii="Arial" w:hAnsi="Arial" w:cs="Arial"/>
                <w:b/>
                <w:bCs/>
                <w:sz w:val="20"/>
                <w:szCs w:val="20"/>
              </w:rPr>
              <w:t>Weighting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5E36" w14:textId="10C5FE5F" w:rsidR="007A5FC7" w:rsidRPr="003F64D7" w:rsidRDefault="007A5F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305EF">
              <w:rPr>
                <w:rFonts w:ascii="Arial" w:hAnsi="Arial" w:cs="Arial"/>
                <w:b/>
                <w:bCs/>
                <w:sz w:val="20"/>
                <w:szCs w:val="20"/>
              </w:rPr>
              <w:t>Minimum Compliant score (before weighting)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6F60" w14:textId="0A304198" w:rsidR="007A5FC7" w:rsidRDefault="007A5FC7" w:rsidP="630305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305EF">
              <w:rPr>
                <w:rFonts w:ascii="Arial" w:hAnsi="Arial" w:cs="Arial"/>
                <w:b/>
                <w:bCs/>
                <w:sz w:val="20"/>
                <w:szCs w:val="20"/>
              </w:rPr>
              <w:t>Max word count</w:t>
            </w:r>
          </w:p>
        </w:tc>
      </w:tr>
      <w:tr w:rsidR="00773CC4" w14:paraId="49D8C1E0" w14:textId="77777777" w:rsidTr="21B34B60">
        <w:trPr>
          <w:trHeight w:val="4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5F5" w14:textId="41CF3DC5" w:rsidR="00773CC4" w:rsidRPr="00E76E28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926" w14:textId="3B48D16B" w:rsidR="00773CC4" w:rsidRPr="00832389" w:rsidRDefault="00773CC4" w:rsidP="00773C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9273">
              <w:rPr>
                <w:rFonts w:ascii="Arial" w:hAnsi="Arial" w:cs="Arial"/>
                <w:sz w:val="20"/>
                <w:szCs w:val="20"/>
              </w:rPr>
              <w:t>Bidders shall provide details of their proposed methodology for meeting the</w:t>
            </w:r>
            <w:r w:rsidR="00E8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2D8">
              <w:rPr>
                <w:rFonts w:ascii="Arial" w:hAnsi="Arial" w:cs="Arial"/>
                <w:sz w:val="20"/>
                <w:szCs w:val="20"/>
              </w:rPr>
              <w:t>hardware/software</w:t>
            </w:r>
            <w:r w:rsidRPr="00D59273">
              <w:rPr>
                <w:rFonts w:ascii="Arial" w:hAnsi="Arial" w:cs="Arial"/>
                <w:sz w:val="20"/>
                <w:szCs w:val="20"/>
              </w:rPr>
              <w:t xml:space="preserve"> requirements of this contract as detailed in the specification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39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within budget</w:t>
            </w:r>
            <w:r w:rsidR="00FB17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B4EB" w14:textId="07259811" w:rsidR="00773CC4" w:rsidRPr="00E76E28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8B77" w14:textId="56C5673A" w:rsidR="00773CC4" w:rsidRPr="00E76E28" w:rsidRDefault="00FF1310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1781" w14:textId="78199B19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0305EF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73CC4" w14:paraId="51582346" w14:textId="77777777" w:rsidTr="21B34B60">
        <w:trPr>
          <w:trHeight w:val="4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55F" w14:textId="74351A1D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922D" w14:textId="2728073D" w:rsidR="00773CC4" w:rsidRPr="72309F67" w:rsidRDefault="00773CC4" w:rsidP="00773C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4EBE6D86">
              <w:rPr>
                <w:rFonts w:ascii="Arial" w:hAnsi="Arial" w:cs="Arial"/>
                <w:sz w:val="20"/>
                <w:szCs w:val="20"/>
              </w:rPr>
              <w:t xml:space="preserve">Bidders shall provide an overview of their organisations experience in the provision of requirements </w:t>
            </w:r>
            <w:bookmarkStart w:id="0" w:name="_Int_wVGxBk90"/>
            <w:proofErr w:type="gramStart"/>
            <w:r w:rsidRPr="4EBE6D86">
              <w:rPr>
                <w:rFonts w:ascii="Arial" w:hAnsi="Arial" w:cs="Arial"/>
                <w:sz w:val="20"/>
                <w:szCs w:val="20"/>
              </w:rPr>
              <w:t>similar to</w:t>
            </w:r>
            <w:bookmarkEnd w:id="0"/>
            <w:proofErr w:type="gramEnd"/>
            <w:r w:rsidRPr="4EBE6D86">
              <w:rPr>
                <w:rFonts w:ascii="Arial" w:hAnsi="Arial" w:cs="Arial"/>
                <w:sz w:val="20"/>
                <w:szCs w:val="20"/>
              </w:rPr>
              <w:t xml:space="preserve"> those detailed in the </w:t>
            </w:r>
            <w:proofErr w:type="spellStart"/>
            <w:r w:rsidRPr="4EBE6D86">
              <w:rPr>
                <w:rFonts w:ascii="Arial" w:hAnsi="Arial" w:cs="Arial"/>
                <w:sz w:val="20"/>
                <w:szCs w:val="20"/>
              </w:rPr>
              <w:t>SoR</w:t>
            </w:r>
            <w:proofErr w:type="spellEnd"/>
            <w:r w:rsidRPr="4EBE6D86">
              <w:rPr>
                <w:rFonts w:ascii="Arial" w:hAnsi="Arial" w:cs="Arial"/>
                <w:sz w:val="20"/>
                <w:szCs w:val="20"/>
              </w:rPr>
              <w:t xml:space="preserve"> (including that of any partners/contractors) and provide details o</w:t>
            </w:r>
            <w:r w:rsidR="003F287B">
              <w:rPr>
                <w:rFonts w:ascii="Arial" w:hAnsi="Arial" w:cs="Arial"/>
                <w:sz w:val="20"/>
                <w:szCs w:val="20"/>
              </w:rPr>
              <w:t>f</w:t>
            </w:r>
            <w:r w:rsidRPr="4EBE6D86">
              <w:rPr>
                <w:rFonts w:ascii="Arial" w:hAnsi="Arial" w:cs="Arial"/>
                <w:sz w:val="20"/>
                <w:szCs w:val="20"/>
              </w:rPr>
              <w:t xml:space="preserve"> any previous supply of similar products to other government/military agencies.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9B12" w14:textId="149EE634" w:rsidR="00773CC4" w:rsidRDefault="00D810FD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C965" w14:textId="0D704C10" w:rsidR="00773CC4" w:rsidRDefault="00FF1310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08F3" w14:textId="6C375F37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773CC4" w14:paraId="50D78E03" w14:textId="77777777" w:rsidTr="21B34B60">
        <w:trPr>
          <w:trHeight w:val="4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69A" w14:textId="40B64F3E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8E74" w14:textId="4B2D8948" w:rsidR="00773CC4" w:rsidRPr="006E0283" w:rsidRDefault="00773CC4" w:rsidP="00773C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4340F6C8">
              <w:rPr>
                <w:rFonts w:ascii="Arial" w:hAnsi="Arial" w:cs="Arial"/>
                <w:sz w:val="20"/>
                <w:szCs w:val="20"/>
                <w:lang w:eastAsia="en-US"/>
              </w:rPr>
              <w:t xml:space="preserve">Bidders are to supply a timeline of how they plan to meet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 Jul 23</w:t>
            </w:r>
            <w:r w:rsidRPr="4340F6C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for full Installation and trainer instruction</w:t>
            </w:r>
            <w:r w:rsidRPr="4340F6C8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8744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4340F6C8">
              <w:rPr>
                <w:rFonts w:ascii="Arial" w:hAnsi="Arial" w:cs="Arial"/>
                <w:sz w:val="20"/>
                <w:szCs w:val="20"/>
                <w:lang w:eastAsia="en-US"/>
              </w:rPr>
              <w:t>If unable to meet this timeframe entirely how will the organisation minimise the impact of any delay to the enrolment.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96B6" w14:textId="60093E0C" w:rsidR="00773CC4" w:rsidRPr="00E76E28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44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A227" w14:textId="28A137E0" w:rsidR="00773CC4" w:rsidRDefault="00FF1310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1A2C" w14:textId="3739D2AA" w:rsidR="00773CC4" w:rsidRDefault="6B2ED652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1324724B">
              <w:rPr>
                <w:rFonts w:ascii="Arial" w:hAnsi="Arial" w:cs="Arial"/>
                <w:sz w:val="20"/>
                <w:szCs w:val="20"/>
              </w:rPr>
              <w:t>20</w:t>
            </w:r>
            <w:r w:rsidR="00773CC4" w:rsidRPr="1324724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73CC4" w14:paraId="051ED58E" w14:textId="77777777" w:rsidTr="21B34B60">
        <w:trPr>
          <w:trHeight w:val="4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284" w14:textId="572DD73D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ECD5" w14:textId="26B6B1EE" w:rsidR="00773CC4" w:rsidRPr="00FB0FF0" w:rsidRDefault="00773CC4" w:rsidP="00773C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0FF0">
              <w:rPr>
                <w:rFonts w:ascii="Arial" w:hAnsi="Arial" w:cs="Arial"/>
                <w:sz w:val="20"/>
                <w:szCs w:val="20"/>
              </w:rPr>
              <w:t>Bidders shall give a clear indication of how they will ensure the quality of service provided under this contract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is maintained through updates,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warranty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service plan.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A362" w14:textId="7294904B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D80A" w14:textId="26B74BF0" w:rsidR="00773CC4" w:rsidRDefault="42AD7DE8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61F937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2C41" w14:textId="07619048" w:rsidR="00773CC4" w:rsidRDefault="74008836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324724B">
              <w:rPr>
                <w:rFonts w:ascii="Arial" w:hAnsi="Arial" w:cs="Arial"/>
                <w:sz w:val="20"/>
                <w:szCs w:val="20"/>
              </w:rPr>
              <w:t>20</w:t>
            </w:r>
            <w:r w:rsidR="00773CC4" w:rsidRPr="1324724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73CC4" w14:paraId="2E13480D" w14:textId="77777777" w:rsidTr="21B34B60">
        <w:trPr>
          <w:trHeight w:val="4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6CE" w14:textId="689990A1" w:rsidR="00773CC4" w:rsidRDefault="00773CC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109C" w14:textId="74A7D79B" w:rsidR="00773CC4" w:rsidRPr="00FB0FF0" w:rsidRDefault="00773CC4" w:rsidP="00773CC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21B34B60">
              <w:rPr>
                <w:rFonts w:ascii="Arial" w:hAnsi="Arial" w:cs="Arial"/>
                <w:sz w:val="20"/>
                <w:szCs w:val="20"/>
              </w:rPr>
              <w:t>Bidders must specify the resources and skills their organisation will make available to support this contract</w:t>
            </w:r>
            <w:r w:rsidR="5F721F23" w:rsidRPr="21B34B60">
              <w:rPr>
                <w:rFonts w:ascii="Arial" w:hAnsi="Arial" w:cs="Arial"/>
                <w:sz w:val="20"/>
                <w:szCs w:val="20"/>
              </w:rPr>
              <w:t xml:space="preserve"> and the gaining organisation</w:t>
            </w:r>
            <w:r w:rsidRPr="21B34B60">
              <w:rPr>
                <w:rFonts w:ascii="Arial" w:hAnsi="Arial" w:cs="Arial"/>
                <w:sz w:val="20"/>
                <w:szCs w:val="20"/>
              </w:rPr>
              <w:t>, including any ‘added value’ they will bring.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E700" w14:textId="61A24B9C" w:rsidR="00773CC4" w:rsidRDefault="00D810FD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9291" w14:textId="776529B9" w:rsidR="00773CC4" w:rsidRDefault="00A55E54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748D" w14:textId="3E20D4C8" w:rsidR="00773CC4" w:rsidRPr="78113848" w:rsidRDefault="4D3F2CA1" w:rsidP="00773CC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324724B">
              <w:rPr>
                <w:rFonts w:ascii="Arial" w:hAnsi="Arial" w:cs="Arial"/>
                <w:sz w:val="20"/>
                <w:szCs w:val="20"/>
              </w:rPr>
              <w:t>10</w:t>
            </w:r>
            <w:r w:rsidR="00773CC4" w:rsidRPr="1324724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14:paraId="18FD1E51" w14:textId="0DE0C60F" w:rsidR="00FD5455" w:rsidRDefault="00FD5455" w:rsidP="00B76880"/>
    <w:p w14:paraId="031AEC18" w14:textId="78CBB98F" w:rsidR="00773CC4" w:rsidRDefault="00773CC4" w:rsidP="00B76880"/>
    <w:p w14:paraId="3A9AAD6B" w14:textId="5AFBAF1F" w:rsidR="004B31FB" w:rsidRDefault="004B31FB" w:rsidP="00B76880"/>
    <w:p w14:paraId="047A1C85" w14:textId="77777777" w:rsidR="004B31FB" w:rsidRDefault="004B31FB" w:rsidP="00B76880"/>
    <w:p w14:paraId="3ECCC1AB" w14:textId="77777777" w:rsidR="00773CC4" w:rsidRDefault="00773CC4" w:rsidP="00B76880"/>
    <w:p w14:paraId="7B42BD02" w14:textId="77777777" w:rsidR="00527142" w:rsidRDefault="00BB2182" w:rsidP="00527142">
      <w:pPr>
        <w:rPr>
          <w:rFonts w:ascii="Arial" w:hAnsi="Arial" w:cs="Arial"/>
        </w:rPr>
      </w:pPr>
      <w:r w:rsidRPr="00BB2182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>:</w:t>
      </w:r>
    </w:p>
    <w:p w14:paraId="092F70DD" w14:textId="77777777" w:rsidR="00EF4F54" w:rsidRDefault="00EF4F54" w:rsidP="00527142">
      <w:pPr>
        <w:rPr>
          <w:rFonts w:ascii="Arial" w:hAnsi="Arial" w:cs="Arial"/>
        </w:rPr>
      </w:pPr>
    </w:p>
    <w:p w14:paraId="7F5B6C08" w14:textId="18756CC2" w:rsidR="007C13BE" w:rsidRDefault="007C13BE" w:rsidP="007C13BE">
      <w:pPr>
        <w:rPr>
          <w:rFonts w:ascii="Arial" w:hAnsi="Arial" w:cs="Arial"/>
        </w:rPr>
      </w:pPr>
      <w:r w:rsidRPr="4340F6C8">
        <w:rPr>
          <w:rFonts w:ascii="Arial" w:hAnsi="Arial" w:cs="Arial"/>
        </w:rPr>
        <w:t>The social value response MUST be submitted in Arial</w:t>
      </w:r>
      <w:r w:rsidR="00FD5F98" w:rsidRPr="4340F6C8">
        <w:rPr>
          <w:rFonts w:ascii="Arial" w:hAnsi="Arial" w:cs="Arial"/>
        </w:rPr>
        <w:t xml:space="preserve"> </w:t>
      </w:r>
      <w:r w:rsidR="00C80185" w:rsidRPr="4340F6C8">
        <w:rPr>
          <w:rFonts w:ascii="Arial" w:hAnsi="Arial" w:cs="Arial"/>
        </w:rPr>
        <w:t>f</w:t>
      </w:r>
      <w:r w:rsidR="00FD5F98" w:rsidRPr="4340F6C8">
        <w:rPr>
          <w:rFonts w:ascii="Arial" w:hAnsi="Arial" w:cs="Arial"/>
        </w:rPr>
        <w:t>ont,</w:t>
      </w:r>
      <w:r w:rsidRPr="4340F6C8">
        <w:rPr>
          <w:rFonts w:ascii="Arial" w:hAnsi="Arial" w:cs="Arial"/>
        </w:rPr>
        <w:t xml:space="preserve"> </w:t>
      </w:r>
      <w:r w:rsidR="009C7D1D" w:rsidRPr="4340F6C8">
        <w:rPr>
          <w:rFonts w:ascii="Arial" w:hAnsi="Arial" w:cs="Arial"/>
        </w:rPr>
        <w:t>size 11 (Font size 10 if in table format)</w:t>
      </w:r>
      <w:r w:rsidRPr="4340F6C8">
        <w:rPr>
          <w:rFonts w:ascii="Arial" w:hAnsi="Arial" w:cs="Arial"/>
        </w:rPr>
        <w:t xml:space="preserve">. </w:t>
      </w:r>
      <w:r w:rsidR="00010809">
        <w:rPr>
          <w:rFonts w:ascii="Arial" w:hAnsi="Arial" w:cs="Arial"/>
        </w:rPr>
        <w:t>The s</w:t>
      </w:r>
      <w:r w:rsidRPr="4340F6C8">
        <w:rPr>
          <w:rFonts w:ascii="Arial" w:hAnsi="Arial" w:cs="Arial"/>
        </w:rPr>
        <w:t xml:space="preserve">ocial value question should not exceed </w:t>
      </w:r>
      <w:r w:rsidR="00A50B0B">
        <w:rPr>
          <w:rFonts w:ascii="Arial" w:hAnsi="Arial" w:cs="Arial"/>
        </w:rPr>
        <w:t>one</w:t>
      </w:r>
      <w:r w:rsidRPr="4340F6C8">
        <w:rPr>
          <w:rFonts w:ascii="Arial" w:hAnsi="Arial" w:cs="Arial"/>
        </w:rPr>
        <w:t xml:space="preserve"> page</w:t>
      </w:r>
      <w:r w:rsidR="00010809">
        <w:rPr>
          <w:rFonts w:ascii="Arial" w:hAnsi="Arial" w:cs="Arial"/>
        </w:rPr>
        <w:t xml:space="preserve">. </w:t>
      </w:r>
    </w:p>
    <w:p w14:paraId="7FD3D690" w14:textId="77777777" w:rsidR="007C13BE" w:rsidRPr="007C13BE" w:rsidRDefault="007C13BE" w:rsidP="007C13BE">
      <w:pPr>
        <w:rPr>
          <w:rFonts w:ascii="Arial" w:hAnsi="Arial" w:cs="Arial"/>
        </w:rPr>
      </w:pPr>
    </w:p>
    <w:p w14:paraId="31B5FCB7" w14:textId="3CA52784" w:rsidR="00527142" w:rsidRDefault="00D06C7D" w:rsidP="00527142">
      <w:pPr>
        <w:rPr>
          <w:rFonts w:ascii="Arial" w:hAnsi="Arial" w:cs="Arial"/>
        </w:rPr>
      </w:pPr>
      <w:r w:rsidRPr="4340F6C8">
        <w:rPr>
          <w:rFonts w:ascii="Arial" w:hAnsi="Arial" w:cs="Arial"/>
        </w:rPr>
        <w:t>The Technical</w:t>
      </w:r>
      <w:r w:rsidR="00255CF7" w:rsidRPr="4340F6C8">
        <w:rPr>
          <w:rFonts w:ascii="Arial" w:hAnsi="Arial" w:cs="Arial"/>
        </w:rPr>
        <w:t xml:space="preserve"> </w:t>
      </w:r>
      <w:r w:rsidR="364A66FD" w:rsidRPr="4340F6C8">
        <w:rPr>
          <w:rFonts w:ascii="Arial" w:hAnsi="Arial" w:cs="Arial"/>
        </w:rPr>
        <w:t>Q</w:t>
      </w:r>
      <w:r w:rsidR="00255CF7" w:rsidRPr="4340F6C8">
        <w:rPr>
          <w:rFonts w:ascii="Arial" w:hAnsi="Arial" w:cs="Arial"/>
        </w:rPr>
        <w:t>uestion</w:t>
      </w:r>
      <w:r w:rsidR="00527142">
        <w:t xml:space="preserve"> </w:t>
      </w:r>
      <w:r w:rsidR="00527142" w:rsidRPr="4340F6C8">
        <w:rPr>
          <w:rFonts w:ascii="Arial" w:hAnsi="Arial" w:cs="Arial"/>
        </w:rPr>
        <w:t>responses MUST be submitted in Arial font</w:t>
      </w:r>
      <w:r w:rsidR="00C80185" w:rsidRPr="4340F6C8">
        <w:rPr>
          <w:rFonts w:ascii="Arial" w:hAnsi="Arial" w:cs="Arial"/>
        </w:rPr>
        <w:t>,</w:t>
      </w:r>
      <w:r w:rsidR="00527142" w:rsidRPr="4340F6C8">
        <w:rPr>
          <w:rFonts w:ascii="Arial" w:hAnsi="Arial" w:cs="Arial"/>
        </w:rPr>
        <w:t xml:space="preserve"> size 11</w:t>
      </w:r>
      <w:r w:rsidR="004C0D1D" w:rsidRPr="4340F6C8">
        <w:rPr>
          <w:rFonts w:ascii="Arial" w:hAnsi="Arial" w:cs="Arial"/>
        </w:rPr>
        <w:t xml:space="preserve"> (Font size 10 </w:t>
      </w:r>
      <w:r w:rsidR="009C7D1D" w:rsidRPr="4340F6C8">
        <w:rPr>
          <w:rFonts w:ascii="Arial" w:hAnsi="Arial" w:cs="Arial"/>
        </w:rPr>
        <w:t xml:space="preserve">if </w:t>
      </w:r>
      <w:r w:rsidR="004C0D1D" w:rsidRPr="4340F6C8">
        <w:rPr>
          <w:rFonts w:ascii="Arial" w:hAnsi="Arial" w:cs="Arial"/>
        </w:rPr>
        <w:t>in table</w:t>
      </w:r>
      <w:r w:rsidR="009C7D1D" w:rsidRPr="4340F6C8">
        <w:rPr>
          <w:rFonts w:ascii="Arial" w:hAnsi="Arial" w:cs="Arial"/>
        </w:rPr>
        <w:t xml:space="preserve"> format</w:t>
      </w:r>
      <w:r w:rsidR="004C0D1D" w:rsidRPr="4340F6C8">
        <w:rPr>
          <w:rFonts w:ascii="Arial" w:hAnsi="Arial" w:cs="Arial"/>
        </w:rPr>
        <w:t>)</w:t>
      </w:r>
      <w:r w:rsidR="00527142" w:rsidRPr="4340F6C8">
        <w:rPr>
          <w:rFonts w:ascii="Arial" w:hAnsi="Arial" w:cs="Arial"/>
        </w:rPr>
        <w:t>. The</w:t>
      </w:r>
      <w:r w:rsidR="7329CAE1" w:rsidRPr="4340F6C8">
        <w:rPr>
          <w:rFonts w:ascii="Arial" w:hAnsi="Arial" w:cs="Arial"/>
        </w:rPr>
        <w:t xml:space="preserve"> word count for each of the Technical </w:t>
      </w:r>
      <w:r w:rsidR="527C3D7A" w:rsidRPr="4340F6C8">
        <w:rPr>
          <w:rFonts w:ascii="Arial" w:hAnsi="Arial" w:cs="Arial"/>
        </w:rPr>
        <w:t>Q</w:t>
      </w:r>
      <w:r w:rsidR="7329CAE1" w:rsidRPr="4340F6C8">
        <w:rPr>
          <w:rFonts w:ascii="Arial" w:hAnsi="Arial" w:cs="Arial"/>
        </w:rPr>
        <w:t>uestion must be adhered to</w:t>
      </w:r>
      <w:r w:rsidR="20B9F16E" w:rsidRPr="4340F6C8">
        <w:rPr>
          <w:rFonts w:ascii="Arial" w:hAnsi="Arial" w:cs="Arial"/>
        </w:rPr>
        <w:t>;</w:t>
      </w:r>
      <w:r w:rsidR="7329CAE1" w:rsidRPr="4340F6C8">
        <w:rPr>
          <w:rFonts w:ascii="Arial" w:hAnsi="Arial" w:cs="Arial"/>
        </w:rPr>
        <w:t xml:space="preserve"> </w:t>
      </w:r>
      <w:r w:rsidR="559FD63D" w:rsidRPr="4340F6C8">
        <w:rPr>
          <w:rFonts w:ascii="Arial" w:hAnsi="Arial" w:cs="Arial"/>
        </w:rPr>
        <w:t>a</w:t>
      </w:r>
      <w:r w:rsidR="00527142" w:rsidRPr="4340F6C8">
        <w:rPr>
          <w:rFonts w:ascii="Arial" w:hAnsi="Arial" w:cs="Arial"/>
        </w:rPr>
        <w:t xml:space="preserve">nything </w:t>
      </w:r>
      <w:r w:rsidR="22582144" w:rsidRPr="4340F6C8">
        <w:rPr>
          <w:rFonts w:ascii="Arial" w:hAnsi="Arial" w:cs="Arial"/>
        </w:rPr>
        <w:t xml:space="preserve">more than 10% </w:t>
      </w:r>
      <w:r w:rsidR="00527142" w:rsidRPr="4340F6C8">
        <w:rPr>
          <w:rFonts w:ascii="Arial" w:hAnsi="Arial" w:cs="Arial"/>
        </w:rPr>
        <w:t>over the</w:t>
      </w:r>
      <w:r w:rsidR="502A1BA6" w:rsidRPr="4340F6C8">
        <w:rPr>
          <w:rFonts w:ascii="Arial" w:hAnsi="Arial" w:cs="Arial"/>
        </w:rPr>
        <w:t xml:space="preserve"> specified word count will</w:t>
      </w:r>
      <w:r w:rsidR="00527142" w:rsidRPr="4340F6C8">
        <w:rPr>
          <w:rFonts w:ascii="Arial" w:hAnsi="Arial" w:cs="Arial"/>
        </w:rPr>
        <w:t xml:space="preserve"> not be evaluated.</w:t>
      </w:r>
      <w:r w:rsidR="009C7D1D" w:rsidRPr="4340F6C8">
        <w:rPr>
          <w:rFonts w:ascii="Arial" w:hAnsi="Arial" w:cs="Arial"/>
        </w:rPr>
        <w:t xml:space="preserve"> </w:t>
      </w:r>
      <w:r w:rsidR="00FB3F40">
        <w:rPr>
          <w:rFonts w:ascii="Arial" w:hAnsi="Arial" w:cs="Arial"/>
        </w:rPr>
        <w:t>Tables, pictures</w:t>
      </w:r>
      <w:r w:rsidR="008C085D">
        <w:rPr>
          <w:rFonts w:ascii="Arial" w:hAnsi="Arial" w:cs="Arial"/>
        </w:rPr>
        <w:t xml:space="preserve">, </w:t>
      </w:r>
      <w:proofErr w:type="gramStart"/>
      <w:r w:rsidR="008C085D">
        <w:rPr>
          <w:rFonts w:ascii="Arial" w:hAnsi="Arial" w:cs="Arial"/>
        </w:rPr>
        <w:t>footnotes</w:t>
      </w:r>
      <w:proofErr w:type="gramEnd"/>
      <w:r w:rsidR="00FB3F40">
        <w:rPr>
          <w:rFonts w:ascii="Arial" w:hAnsi="Arial" w:cs="Arial"/>
        </w:rPr>
        <w:t xml:space="preserve"> and headings will be included in the word count. Total maximum word count for the document is </w:t>
      </w:r>
      <w:r w:rsidR="007A29FA">
        <w:rPr>
          <w:rFonts w:ascii="Arial" w:hAnsi="Arial" w:cs="Arial"/>
        </w:rPr>
        <w:t>9</w:t>
      </w:r>
      <w:r w:rsidR="00FB3F40">
        <w:rPr>
          <w:rFonts w:ascii="Arial" w:hAnsi="Arial" w:cs="Arial"/>
        </w:rPr>
        <w:t>500 (including any introductory/concluding remarks)</w:t>
      </w:r>
      <w:r w:rsidR="009C7813">
        <w:rPr>
          <w:rFonts w:ascii="Arial" w:hAnsi="Arial" w:cs="Arial"/>
        </w:rPr>
        <w:t xml:space="preserve">. Note nothing other than the answers to the above questions will be assessed. </w:t>
      </w:r>
    </w:p>
    <w:p w14:paraId="07ACD3E5" w14:textId="77777777" w:rsidR="00FD0658" w:rsidRDefault="00FD0658" w:rsidP="00527142">
      <w:pPr>
        <w:rPr>
          <w:rFonts w:ascii="Arial" w:hAnsi="Arial" w:cs="Arial"/>
        </w:rPr>
      </w:pPr>
    </w:p>
    <w:p w14:paraId="00F274CE" w14:textId="77777777" w:rsidR="00FD0658" w:rsidRDefault="00FD0658" w:rsidP="00527142">
      <w:pPr>
        <w:rPr>
          <w:rFonts w:ascii="Arial" w:hAnsi="Arial" w:cs="Arial"/>
        </w:rPr>
      </w:pPr>
    </w:p>
    <w:p w14:paraId="3D6E77A8" w14:textId="77777777" w:rsidR="00FD0658" w:rsidRDefault="00FD0658" w:rsidP="00527142">
      <w:pPr>
        <w:rPr>
          <w:rFonts w:ascii="Arial" w:hAnsi="Arial" w:cs="Arial"/>
        </w:rPr>
      </w:pPr>
    </w:p>
    <w:p w14:paraId="2110645F" w14:textId="77777777" w:rsidR="00FD0658" w:rsidRDefault="00FD0658" w:rsidP="00FD0658">
      <w:pPr>
        <w:pStyle w:val="ListParagraph"/>
        <w:rPr>
          <w:rFonts w:ascii="Arial" w:eastAsiaTheme="minorEastAsia" w:hAnsi="Arial" w:cs="Arial"/>
        </w:rPr>
      </w:pPr>
    </w:p>
    <w:tbl>
      <w:tblPr>
        <w:tblpPr w:leftFromText="180" w:rightFromText="180" w:bottomFromText="160" w:vertAnchor="page" w:horzAnchor="page" w:tblpX="901" w:tblpY="4181"/>
        <w:tblW w:w="21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0096"/>
      </w:tblGrid>
      <w:tr w:rsidR="00FD0658" w14:paraId="1FBAABFD" w14:textId="77777777" w:rsidTr="00FD0658">
        <w:tc>
          <w:tcPr>
            <w:tcW w:w="21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CE747D0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Scoring Methodology</w:t>
            </w:r>
          </w:p>
        </w:tc>
      </w:tr>
      <w:tr w:rsidR="00FD0658" w14:paraId="3DA88311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764CFF1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18A31E2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Scoring Guide</w:t>
            </w:r>
          </w:p>
        </w:tc>
      </w:tr>
      <w:tr w:rsidR="00FD0658" w14:paraId="2ED17B75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B90676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3983D4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Potential Provider fails to provide a relevant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response;</w:t>
            </w:r>
            <w:proofErr w:type="gramEnd"/>
          </w:p>
          <w:p w14:paraId="3E83473D" w14:textId="156799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Shows no evidence of any experience.</w:t>
            </w:r>
          </w:p>
          <w:p w14:paraId="4D50C63A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Demonstrates a lack of ability to perform contracts that are technically or professionally comparable to the requirement</w:t>
            </w:r>
          </w:p>
        </w:tc>
      </w:tr>
      <w:tr w:rsidR="00FD0658" w14:paraId="0BB9860E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7A0FEC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1911A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Potential Provider has provided a response that: </w:t>
            </w:r>
          </w:p>
          <w:p w14:paraId="6AE8470B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Is mostly incomplete; or</w:t>
            </w:r>
          </w:p>
          <w:p w14:paraId="6BFA5E77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Has limited relevance to the requirements in the question; or</w:t>
            </w:r>
          </w:p>
          <w:p w14:paraId="7F06E39A" w14:textId="42772C9E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Demonstrates very limited working experience and capability that is of limited relevance to the Authority's stated requirements; or</w:t>
            </w:r>
          </w:p>
          <w:p w14:paraId="46568C32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Poor evidence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past experience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demonstrates a limited ability to perform contracts (i.e., failure to meet time, cost or performance parameters) that are technically or professionally comparable to the requirement. Proposed but untried mitigation to prevent re-occurrence of problems.</w:t>
            </w:r>
          </w:p>
          <w:p w14:paraId="014D40BF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658" w14:paraId="02059076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587012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D05597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Potential Provider has provided a response that meets each of the following:</w:t>
            </w:r>
          </w:p>
          <w:p w14:paraId="41706B5B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  <w:t>The response to the question provides a partially complete answer to the question.</w:t>
            </w:r>
          </w:p>
          <w:p w14:paraId="10D3524F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  <w:t xml:space="preserve">The experience and capability demonstrated in the response shows some relevance to the Authority's stated requirements but there are some material areas of deficiency in the response; and </w:t>
            </w:r>
          </w:p>
          <w:p w14:paraId="160968C8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  <w:t>Based on the preceding criteria, the response generates limited degree of confidence in the Potential Provider's breadth and depth of experience and capability.</w:t>
            </w:r>
          </w:p>
        </w:tc>
      </w:tr>
      <w:tr w:rsidR="00FD0658" w14:paraId="6B88E833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839D24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30303F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51B793EA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relevant answer to most (but not all) of the requirements of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question;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B2463D" w14:textId="71C1C05E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is mostly relevant to the Authority's stated requirements and has a good understanding of working in a </w:t>
            </w:r>
            <w:r w:rsidR="00FC6D3F">
              <w:rPr>
                <w:rFonts w:ascii="Arial" w:hAnsi="Arial" w:cs="Arial"/>
                <w:sz w:val="24"/>
                <w:szCs w:val="24"/>
              </w:rPr>
              <w:t>similar</w:t>
            </w:r>
            <w:r>
              <w:rPr>
                <w:rFonts w:ascii="Arial" w:hAnsi="Arial" w:cs="Arial"/>
                <w:sz w:val="24"/>
                <w:szCs w:val="24"/>
              </w:rPr>
              <w:t xml:space="preserve"> environment.  There are limited areas of deficiency present in the response, but these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are considered to be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minimal; and </w:t>
            </w:r>
          </w:p>
          <w:p w14:paraId="743D378C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Based on the preceding criteria, the response generates a good degree of confidence in the Potential Provider’s breadth and depth of experience and capability.</w:t>
            </w:r>
          </w:p>
        </w:tc>
      </w:tr>
      <w:tr w:rsidR="00FD0658" w14:paraId="3330A06F" w14:textId="77777777" w:rsidTr="00FD065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40CD8E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1AC97C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79B04820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highly relevant answer to all requirements of the question. </w:t>
            </w:r>
          </w:p>
          <w:p w14:paraId="7ACBE8A9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shows excellent previous knowledge of working in a military environment and is highly relevant to the Authority's stated requirements. There are no or only minor areas of deficiency; and </w:t>
            </w:r>
          </w:p>
          <w:p w14:paraId="7BA9911B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Based on the preceding criteria, the response generates a high degree of confidence in the Potential Provider’s breadth and depth of experience and capability.</w:t>
            </w:r>
          </w:p>
        </w:tc>
      </w:tr>
    </w:tbl>
    <w:p w14:paraId="0882BFF3" w14:textId="5A806049" w:rsidR="00BB2182" w:rsidRPr="00BB2182" w:rsidRDefault="00BB2182" w:rsidP="00FD0658">
      <w:pPr>
        <w:rPr>
          <w:rFonts w:ascii="Arial" w:hAnsi="Arial" w:cs="Arial"/>
        </w:rPr>
      </w:pPr>
    </w:p>
    <w:sectPr w:rsidR="00BB2182" w:rsidRPr="00BB2182" w:rsidSect="00D63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40" w:right="144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5FBC" w14:textId="77777777" w:rsidR="00EB5219" w:rsidRDefault="00EB5219" w:rsidP="003C3A16">
      <w:r>
        <w:separator/>
      </w:r>
    </w:p>
  </w:endnote>
  <w:endnote w:type="continuationSeparator" w:id="0">
    <w:p w14:paraId="168650BC" w14:textId="77777777" w:rsidR="00EB5219" w:rsidRDefault="00EB5219" w:rsidP="003C3A16">
      <w:r>
        <w:continuationSeparator/>
      </w:r>
    </w:p>
  </w:endnote>
  <w:endnote w:type="continuationNotice" w:id="1">
    <w:p w14:paraId="135A4854" w14:textId="77777777" w:rsidR="00EB5219" w:rsidRDefault="00EB5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6D18" w14:textId="2A94EFB9" w:rsidR="003C3A16" w:rsidRDefault="003C3A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EBD62FA" wp14:editId="225CB2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4C185" w14:textId="54C0F45D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D62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C44C185" w14:textId="54C0F45D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2E03" w14:textId="57E7B2E8" w:rsidR="003C3A16" w:rsidRDefault="003C3A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EC7609F" wp14:editId="674090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42E75" w14:textId="20270C6E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760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C742E75" w14:textId="20270C6E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9286" w14:textId="3C878008" w:rsidR="003C3A16" w:rsidRDefault="003C3A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4796C9" wp14:editId="7F6DC3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2E80" w14:textId="40EFCB3A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796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5E72E80" w14:textId="40EFCB3A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E24F" w14:textId="77777777" w:rsidR="00EB5219" w:rsidRDefault="00EB5219" w:rsidP="003C3A16">
      <w:r>
        <w:separator/>
      </w:r>
    </w:p>
  </w:footnote>
  <w:footnote w:type="continuationSeparator" w:id="0">
    <w:p w14:paraId="48520A44" w14:textId="77777777" w:rsidR="00EB5219" w:rsidRDefault="00EB5219" w:rsidP="003C3A16">
      <w:r>
        <w:continuationSeparator/>
      </w:r>
    </w:p>
  </w:footnote>
  <w:footnote w:type="continuationNotice" w:id="1">
    <w:p w14:paraId="304C0533" w14:textId="77777777" w:rsidR="00EB5219" w:rsidRDefault="00EB5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33CD" w14:textId="7F6629C0" w:rsidR="003C3A16" w:rsidRDefault="003C3A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5CAA0E" wp14:editId="083EA55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9D9D3" w14:textId="3E0643AD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CAA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C59D9D3" w14:textId="3E0643AD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7F19" w14:textId="7CA83926" w:rsidR="003C3A16" w:rsidRDefault="003C3A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A558EB" wp14:editId="5530806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35269" w14:textId="063D5C2B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5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EC35269" w14:textId="063D5C2B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E544" w14:textId="43169F28" w:rsidR="003C3A16" w:rsidRDefault="003C3A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4A8B5" wp14:editId="57E8976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3408C" w14:textId="59B01FF0" w:rsidR="003C3A16" w:rsidRPr="003C3A16" w:rsidRDefault="003C3A1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C3A1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4A8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B63408C" w14:textId="59B01FF0" w:rsidR="003C3A16" w:rsidRPr="003C3A16" w:rsidRDefault="003C3A1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C3A1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sESxteWsd0Hq" int2:id="CFusOQYq">
      <int2:state int2:value="Rejected" int2:type="LegacyProofing"/>
    </int2:textHash>
    <int2:bookmark int2:bookmarkName="_Int_wVGxBk90" int2:invalidationBookmarkName="" int2:hashCode="E1+Tt6RJBbZOzq" int2:id="eZ82KAC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2AF"/>
    <w:multiLevelType w:val="multilevel"/>
    <w:tmpl w:val="0A1E7366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3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1" w15:restartNumberingAfterBreak="0">
    <w:nsid w:val="1F5A07E5"/>
    <w:multiLevelType w:val="multilevel"/>
    <w:tmpl w:val="058AE844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1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2" w15:restartNumberingAfterBreak="0">
    <w:nsid w:val="20922C0B"/>
    <w:multiLevelType w:val="multilevel"/>
    <w:tmpl w:val="A1FCE9C2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4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3" w15:restartNumberingAfterBreak="0">
    <w:nsid w:val="4440057D"/>
    <w:multiLevelType w:val="hybridMultilevel"/>
    <w:tmpl w:val="586CC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D66F5"/>
    <w:multiLevelType w:val="hybridMultilevel"/>
    <w:tmpl w:val="9194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0"/>
    <w:rsid w:val="00010809"/>
    <w:rsid w:val="000219A3"/>
    <w:rsid w:val="00026885"/>
    <w:rsid w:val="000315E4"/>
    <w:rsid w:val="000560D1"/>
    <w:rsid w:val="0009625E"/>
    <w:rsid w:val="000A558E"/>
    <w:rsid w:val="000B64BB"/>
    <w:rsid w:val="000D4B74"/>
    <w:rsid w:val="000E6FC8"/>
    <w:rsid w:val="00105E1F"/>
    <w:rsid w:val="00126245"/>
    <w:rsid w:val="0013038C"/>
    <w:rsid w:val="0013790C"/>
    <w:rsid w:val="00145824"/>
    <w:rsid w:val="00161EA9"/>
    <w:rsid w:val="00177F85"/>
    <w:rsid w:val="001864E3"/>
    <w:rsid w:val="00194FC8"/>
    <w:rsid w:val="002162D3"/>
    <w:rsid w:val="00255CF7"/>
    <w:rsid w:val="002813B3"/>
    <w:rsid w:val="002870D1"/>
    <w:rsid w:val="00292BD3"/>
    <w:rsid w:val="002B43B3"/>
    <w:rsid w:val="002C0799"/>
    <w:rsid w:val="002D20C0"/>
    <w:rsid w:val="00307F9E"/>
    <w:rsid w:val="00320DD6"/>
    <w:rsid w:val="003213AC"/>
    <w:rsid w:val="00332DA1"/>
    <w:rsid w:val="00334334"/>
    <w:rsid w:val="003508A5"/>
    <w:rsid w:val="0036278F"/>
    <w:rsid w:val="003660CA"/>
    <w:rsid w:val="00384FA8"/>
    <w:rsid w:val="003B56DB"/>
    <w:rsid w:val="003C3A16"/>
    <w:rsid w:val="003E674A"/>
    <w:rsid w:val="003E7912"/>
    <w:rsid w:val="003F0DB1"/>
    <w:rsid w:val="003F287B"/>
    <w:rsid w:val="003F64D7"/>
    <w:rsid w:val="004164AC"/>
    <w:rsid w:val="0041743F"/>
    <w:rsid w:val="00421DAA"/>
    <w:rsid w:val="004254A6"/>
    <w:rsid w:val="00447D65"/>
    <w:rsid w:val="0045413D"/>
    <w:rsid w:val="00467E3D"/>
    <w:rsid w:val="00474413"/>
    <w:rsid w:val="004A75E0"/>
    <w:rsid w:val="004B31FB"/>
    <w:rsid w:val="004C0D1D"/>
    <w:rsid w:val="004E06D5"/>
    <w:rsid w:val="0050015D"/>
    <w:rsid w:val="00523742"/>
    <w:rsid w:val="00527142"/>
    <w:rsid w:val="00556704"/>
    <w:rsid w:val="00585685"/>
    <w:rsid w:val="00594F60"/>
    <w:rsid w:val="005A6601"/>
    <w:rsid w:val="005E1058"/>
    <w:rsid w:val="005F68F1"/>
    <w:rsid w:val="00602222"/>
    <w:rsid w:val="006375A4"/>
    <w:rsid w:val="006733DC"/>
    <w:rsid w:val="006760CC"/>
    <w:rsid w:val="0067710B"/>
    <w:rsid w:val="006C2620"/>
    <w:rsid w:val="006D3558"/>
    <w:rsid w:val="006D448A"/>
    <w:rsid w:val="006D580C"/>
    <w:rsid w:val="006E0283"/>
    <w:rsid w:val="006F6D74"/>
    <w:rsid w:val="0073437F"/>
    <w:rsid w:val="00740436"/>
    <w:rsid w:val="007578AA"/>
    <w:rsid w:val="00773CC4"/>
    <w:rsid w:val="007A29FA"/>
    <w:rsid w:val="007A5FC7"/>
    <w:rsid w:val="007B0944"/>
    <w:rsid w:val="007C13BE"/>
    <w:rsid w:val="007C486E"/>
    <w:rsid w:val="007C5917"/>
    <w:rsid w:val="007D5E92"/>
    <w:rsid w:val="00832389"/>
    <w:rsid w:val="008364A7"/>
    <w:rsid w:val="00857647"/>
    <w:rsid w:val="008600B6"/>
    <w:rsid w:val="00874440"/>
    <w:rsid w:val="008744BA"/>
    <w:rsid w:val="008A4921"/>
    <w:rsid w:val="008A7174"/>
    <w:rsid w:val="008C085D"/>
    <w:rsid w:val="008D3B61"/>
    <w:rsid w:val="008D4C72"/>
    <w:rsid w:val="00931F2A"/>
    <w:rsid w:val="009725C2"/>
    <w:rsid w:val="00977CA0"/>
    <w:rsid w:val="00985E66"/>
    <w:rsid w:val="009C7813"/>
    <w:rsid w:val="009C7D1D"/>
    <w:rsid w:val="009C7E17"/>
    <w:rsid w:val="009F0724"/>
    <w:rsid w:val="00A07EE1"/>
    <w:rsid w:val="00A3073C"/>
    <w:rsid w:val="00A50B0B"/>
    <w:rsid w:val="00A55E54"/>
    <w:rsid w:val="00A708A6"/>
    <w:rsid w:val="00A85464"/>
    <w:rsid w:val="00AA3D9D"/>
    <w:rsid w:val="00AA72A4"/>
    <w:rsid w:val="00AC367A"/>
    <w:rsid w:val="00AC55DA"/>
    <w:rsid w:val="00AE25AF"/>
    <w:rsid w:val="00AF1AF3"/>
    <w:rsid w:val="00B0180F"/>
    <w:rsid w:val="00B07B33"/>
    <w:rsid w:val="00B253BE"/>
    <w:rsid w:val="00B531BB"/>
    <w:rsid w:val="00B76880"/>
    <w:rsid w:val="00B768BA"/>
    <w:rsid w:val="00B86802"/>
    <w:rsid w:val="00B91E2C"/>
    <w:rsid w:val="00BA0D40"/>
    <w:rsid w:val="00BB2182"/>
    <w:rsid w:val="00BF5E7C"/>
    <w:rsid w:val="00BF789E"/>
    <w:rsid w:val="00C01430"/>
    <w:rsid w:val="00C02A52"/>
    <w:rsid w:val="00C175BD"/>
    <w:rsid w:val="00C61DF7"/>
    <w:rsid w:val="00C70818"/>
    <w:rsid w:val="00C80185"/>
    <w:rsid w:val="00C96B99"/>
    <w:rsid w:val="00CA48C5"/>
    <w:rsid w:val="00CA6C4E"/>
    <w:rsid w:val="00CB588F"/>
    <w:rsid w:val="00D00539"/>
    <w:rsid w:val="00D06C7D"/>
    <w:rsid w:val="00D11BFC"/>
    <w:rsid w:val="00D251F3"/>
    <w:rsid w:val="00D26B94"/>
    <w:rsid w:val="00D5339C"/>
    <w:rsid w:val="00D55B7D"/>
    <w:rsid w:val="00D59273"/>
    <w:rsid w:val="00D63E70"/>
    <w:rsid w:val="00D74267"/>
    <w:rsid w:val="00D810FD"/>
    <w:rsid w:val="00DA6985"/>
    <w:rsid w:val="00DB3E39"/>
    <w:rsid w:val="00DC7D4C"/>
    <w:rsid w:val="00DE6E68"/>
    <w:rsid w:val="00E1045F"/>
    <w:rsid w:val="00E32329"/>
    <w:rsid w:val="00E63CED"/>
    <w:rsid w:val="00E71662"/>
    <w:rsid w:val="00E76E28"/>
    <w:rsid w:val="00E86E14"/>
    <w:rsid w:val="00E901CD"/>
    <w:rsid w:val="00E932D8"/>
    <w:rsid w:val="00EB5219"/>
    <w:rsid w:val="00EC4728"/>
    <w:rsid w:val="00EE54E0"/>
    <w:rsid w:val="00EF05DE"/>
    <w:rsid w:val="00EF4940"/>
    <w:rsid w:val="00EF4F54"/>
    <w:rsid w:val="00F162CF"/>
    <w:rsid w:val="00F33878"/>
    <w:rsid w:val="00F52536"/>
    <w:rsid w:val="00F950FA"/>
    <w:rsid w:val="00FB0FF0"/>
    <w:rsid w:val="00FB174D"/>
    <w:rsid w:val="00FB3F40"/>
    <w:rsid w:val="00FC015B"/>
    <w:rsid w:val="00FC6D3F"/>
    <w:rsid w:val="00FD0658"/>
    <w:rsid w:val="00FD5455"/>
    <w:rsid w:val="00FD5F98"/>
    <w:rsid w:val="00FF1310"/>
    <w:rsid w:val="01BC78F7"/>
    <w:rsid w:val="01D87D5B"/>
    <w:rsid w:val="0339C674"/>
    <w:rsid w:val="03744DBC"/>
    <w:rsid w:val="03B8BDA2"/>
    <w:rsid w:val="05771968"/>
    <w:rsid w:val="076B6666"/>
    <w:rsid w:val="0AE2C652"/>
    <w:rsid w:val="0B268B72"/>
    <w:rsid w:val="0D05C746"/>
    <w:rsid w:val="0DBF10BB"/>
    <w:rsid w:val="0E5E26BA"/>
    <w:rsid w:val="0E834695"/>
    <w:rsid w:val="0EA197A7"/>
    <w:rsid w:val="0F6F1C02"/>
    <w:rsid w:val="1037E7B0"/>
    <w:rsid w:val="10B7E1CB"/>
    <w:rsid w:val="115A81A7"/>
    <w:rsid w:val="1324724B"/>
    <w:rsid w:val="1479DFDC"/>
    <w:rsid w:val="14841698"/>
    <w:rsid w:val="14DE0999"/>
    <w:rsid w:val="14FDEAB5"/>
    <w:rsid w:val="15C53529"/>
    <w:rsid w:val="19441208"/>
    <w:rsid w:val="19DBAC29"/>
    <w:rsid w:val="19E4314B"/>
    <w:rsid w:val="1AE11CBB"/>
    <w:rsid w:val="1B301E50"/>
    <w:rsid w:val="1C660F50"/>
    <w:rsid w:val="1D5A9FCD"/>
    <w:rsid w:val="1DD1671A"/>
    <w:rsid w:val="20A5982B"/>
    <w:rsid w:val="20B9F16E"/>
    <w:rsid w:val="20CE0595"/>
    <w:rsid w:val="20FFD12C"/>
    <w:rsid w:val="21B34B60"/>
    <w:rsid w:val="22582144"/>
    <w:rsid w:val="23803284"/>
    <w:rsid w:val="24F19FB1"/>
    <w:rsid w:val="254212A4"/>
    <w:rsid w:val="2544F6A1"/>
    <w:rsid w:val="264D6D9F"/>
    <w:rsid w:val="268184C4"/>
    <w:rsid w:val="28506058"/>
    <w:rsid w:val="29EEFE1A"/>
    <w:rsid w:val="2B4F8271"/>
    <w:rsid w:val="2DEE585E"/>
    <w:rsid w:val="2E57AE47"/>
    <w:rsid w:val="2E872333"/>
    <w:rsid w:val="30730A66"/>
    <w:rsid w:val="31E59A05"/>
    <w:rsid w:val="32DA28A1"/>
    <w:rsid w:val="33816A66"/>
    <w:rsid w:val="34F664B7"/>
    <w:rsid w:val="364A66FD"/>
    <w:rsid w:val="38B17D12"/>
    <w:rsid w:val="3978B0E2"/>
    <w:rsid w:val="39AF950C"/>
    <w:rsid w:val="3B65A63B"/>
    <w:rsid w:val="3C40F562"/>
    <w:rsid w:val="3DD40B2B"/>
    <w:rsid w:val="3EAF935F"/>
    <w:rsid w:val="3F181376"/>
    <w:rsid w:val="40CD152D"/>
    <w:rsid w:val="4135DCAA"/>
    <w:rsid w:val="41A42081"/>
    <w:rsid w:val="4216B780"/>
    <w:rsid w:val="4230FFE9"/>
    <w:rsid w:val="42AD7DE8"/>
    <w:rsid w:val="4340F6C8"/>
    <w:rsid w:val="45C148D2"/>
    <w:rsid w:val="4640166A"/>
    <w:rsid w:val="46B04668"/>
    <w:rsid w:val="46C3FB1C"/>
    <w:rsid w:val="48713A83"/>
    <w:rsid w:val="487C74F2"/>
    <w:rsid w:val="49BA1F75"/>
    <w:rsid w:val="4A5FDA36"/>
    <w:rsid w:val="4B83B78B"/>
    <w:rsid w:val="4BA561BE"/>
    <w:rsid w:val="4BCFD6C6"/>
    <w:rsid w:val="4D3F2CA1"/>
    <w:rsid w:val="4EBE6D86"/>
    <w:rsid w:val="4EC97919"/>
    <w:rsid w:val="4F0C6C0C"/>
    <w:rsid w:val="502A1BA6"/>
    <w:rsid w:val="50598633"/>
    <w:rsid w:val="519B722C"/>
    <w:rsid w:val="527C3D7A"/>
    <w:rsid w:val="52DC3D77"/>
    <w:rsid w:val="53142620"/>
    <w:rsid w:val="53D2916F"/>
    <w:rsid w:val="54296E86"/>
    <w:rsid w:val="54780DD8"/>
    <w:rsid w:val="559FD63D"/>
    <w:rsid w:val="561F937C"/>
    <w:rsid w:val="57BD0D30"/>
    <w:rsid w:val="58F22012"/>
    <w:rsid w:val="5932569E"/>
    <w:rsid w:val="59429556"/>
    <w:rsid w:val="5A700685"/>
    <w:rsid w:val="5B4A072A"/>
    <w:rsid w:val="5C6F8963"/>
    <w:rsid w:val="5C7A3618"/>
    <w:rsid w:val="5CE5A2C3"/>
    <w:rsid w:val="5D680C22"/>
    <w:rsid w:val="5F721F23"/>
    <w:rsid w:val="609A6EFC"/>
    <w:rsid w:val="612EBEB1"/>
    <w:rsid w:val="6147E70E"/>
    <w:rsid w:val="6199257B"/>
    <w:rsid w:val="619D5D5B"/>
    <w:rsid w:val="61E2EED9"/>
    <w:rsid w:val="630305EF"/>
    <w:rsid w:val="63CFB0C9"/>
    <w:rsid w:val="64FA473D"/>
    <w:rsid w:val="64FD320A"/>
    <w:rsid w:val="65C5BC94"/>
    <w:rsid w:val="66ECB752"/>
    <w:rsid w:val="67E9895C"/>
    <w:rsid w:val="67F22AD9"/>
    <w:rsid w:val="686390E1"/>
    <w:rsid w:val="68A06CFA"/>
    <w:rsid w:val="6B2ED652"/>
    <w:rsid w:val="6BE28C47"/>
    <w:rsid w:val="6D5B1D23"/>
    <w:rsid w:val="6FCFE82A"/>
    <w:rsid w:val="6FFC36B8"/>
    <w:rsid w:val="70ACF43F"/>
    <w:rsid w:val="70EFDFA5"/>
    <w:rsid w:val="72309F67"/>
    <w:rsid w:val="7329CAE1"/>
    <w:rsid w:val="73D475CF"/>
    <w:rsid w:val="74008836"/>
    <w:rsid w:val="771B1DFE"/>
    <w:rsid w:val="779E6535"/>
    <w:rsid w:val="78113848"/>
    <w:rsid w:val="794E94E1"/>
    <w:rsid w:val="7B6D9D06"/>
    <w:rsid w:val="7F39C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90E6"/>
  <w15:chartTrackingRefBased/>
  <w15:docId w15:val="{AFB47E3E-39AA-41A9-8FC7-509362DC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80"/>
    <w:pPr>
      <w:spacing w:after="0" w:line="240" w:lineRule="auto"/>
    </w:pPr>
    <w:rPr>
      <w:rFonts w:ascii="Calibri" w:eastAsia="PMingLiU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80"/>
    <w:pPr>
      <w:ind w:left="72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"/>
    <w:rsid w:val="00B7688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B25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3BE"/>
    <w:rPr>
      <w:rFonts w:ascii="Calibri" w:eastAsia="PMingLiU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3BE"/>
    <w:rPr>
      <w:rFonts w:ascii="Calibri" w:eastAsia="PMingLiU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A16"/>
    <w:rPr>
      <w:rFonts w:ascii="Calibri" w:eastAsia="PMingLiU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3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A16"/>
    <w:rPr>
      <w:rFonts w:ascii="Calibri" w:eastAsia="PMingLiU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4688375F3C44B0992488BBB54D25" ma:contentTypeVersion="5" ma:contentTypeDescription="Create a new document." ma:contentTypeScope="" ma:versionID="62fc0cd13d5457517cf7ff296c7f049d">
  <xsd:schema xmlns:xsd="http://www.w3.org/2001/XMLSchema" xmlns:xs="http://www.w3.org/2001/XMLSchema" xmlns:p="http://schemas.microsoft.com/office/2006/metadata/properties" xmlns:ns2="b0726aa5-4cbb-443f-9e26-40c60dca5725" targetNamespace="http://schemas.microsoft.com/office/2006/metadata/properties" ma:root="true" ma:fieldsID="896f728b52153f138805f538cdc6f611" ns2:_="">
    <xsd:import namespace="b0726aa5-4cbb-443f-9e26-40c60dc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oup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6aa5-4cbb-443f-9e26-40c60dc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oup_x0020_By" ma:index="12" nillable="true" ma:displayName="Group By" ma:format="Dropdown" ma:internalName="Group_x0020_By">
      <xsd:simpleType>
        <xsd:restriction base="dms:Choice">
          <xsd:enumeration value="Covid-19 AHEP Developments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_x0020_By xmlns="b0726aa5-4cbb-443f-9e26-40c60dca5725" xsi:nil="true"/>
  </documentManagement>
</p:properties>
</file>

<file path=customXml/itemProps1.xml><?xml version="1.0" encoding="utf-8"?>
<ds:datastoreItem xmlns:ds="http://schemas.openxmlformats.org/officeDocument/2006/customXml" ds:itemID="{D8AA0C21-AD1E-4A7E-84F4-6A34CEA74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1631D-ECC3-4ECC-A571-7355BB59B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26aa5-4cbb-443f-9e26-40c60dc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B0B78-71BF-4333-BE46-78BE7EE7F4D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b0726aa5-4cbb-443f-9e26-40c60dca572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Karen Maj (Army Pers-Pol-LearnDev-SO2a)</dc:creator>
  <cp:keywords/>
  <dc:description/>
  <cp:lastModifiedBy>Whyte, Katie C1 (Army StratCen-Comrcl-CapSpt-Inno)</cp:lastModifiedBy>
  <cp:revision>2</cp:revision>
  <cp:lastPrinted>2023-01-09T13:08:00Z</cp:lastPrinted>
  <dcterms:created xsi:type="dcterms:W3CDTF">2023-01-20T09:46:00Z</dcterms:created>
  <dcterms:modified xsi:type="dcterms:W3CDTF">2023-01-20T09:46:00Z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2022-08-16T16:30:11Z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7f6b0eec-f570-4884-ac01-2030384bd5a3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0x0101002EE84688375F3C44B0992488BBB54D25</vt:lpwstr>
  </property>
</Properties>
</file>