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CBF6" w14:textId="77777777" w:rsidR="007C40BC" w:rsidRDefault="007C40BC" w:rsidP="007C40BC"/>
    <w:p w14:paraId="6D7A9021" w14:textId="605FDE8D" w:rsidR="002C34F0" w:rsidRPr="002C34F0" w:rsidRDefault="002C34F0" w:rsidP="002C34F0">
      <w:pPr>
        <w:rPr>
          <w:rFonts w:eastAsiaTheme="majorEastAsia" w:cstheme="majorBidi"/>
          <w:b/>
          <w:bCs/>
          <w:color w:val="FF0000"/>
          <w:spacing w:val="5"/>
          <w:kern w:val="28"/>
          <w:sz w:val="36"/>
          <w:szCs w:val="52"/>
        </w:rPr>
      </w:pPr>
      <w:r w:rsidRPr="002C34F0">
        <w:rPr>
          <w:rFonts w:eastAsiaTheme="majorEastAsia" w:cstheme="majorBidi"/>
          <w:b/>
          <w:bCs/>
          <w:color w:val="FF0000"/>
          <w:spacing w:val="5"/>
          <w:kern w:val="28"/>
          <w:sz w:val="36"/>
          <w:szCs w:val="52"/>
        </w:rPr>
        <w:t>Business Analysis</w:t>
      </w:r>
      <w:r w:rsidR="00DF0940">
        <w:rPr>
          <w:rFonts w:eastAsiaTheme="majorEastAsia" w:cstheme="majorBidi"/>
          <w:b/>
          <w:bCs/>
          <w:color w:val="FF0000"/>
          <w:spacing w:val="5"/>
          <w:kern w:val="28"/>
          <w:sz w:val="36"/>
          <w:szCs w:val="52"/>
        </w:rPr>
        <w:t>/Requirements Gathering</w:t>
      </w:r>
      <w:r w:rsidRPr="002C34F0">
        <w:rPr>
          <w:rFonts w:eastAsiaTheme="majorEastAsia" w:cstheme="majorBidi"/>
          <w:b/>
          <w:bCs/>
          <w:color w:val="FF0000"/>
          <w:spacing w:val="5"/>
          <w:kern w:val="28"/>
          <w:sz w:val="36"/>
          <w:szCs w:val="52"/>
        </w:rPr>
        <w:t xml:space="preserve"> - Data and Reporting</w:t>
      </w:r>
    </w:p>
    <w:p w14:paraId="11F83442" w14:textId="77777777" w:rsidR="002A3C07" w:rsidRPr="002A3C07" w:rsidRDefault="002A3C07" w:rsidP="002A3C07"/>
    <w:p w14:paraId="79F97B99" w14:textId="42198FC5"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B86FAF">
        <w:rPr>
          <w:rStyle w:val="Strong"/>
          <w:b w:val="0"/>
        </w:rPr>
        <w:t>National Lottery Heritage Fund</w:t>
      </w:r>
      <w:r w:rsidR="00144AD2">
        <w:rPr>
          <w:rStyle w:val="Strong"/>
          <w:b w:val="0"/>
        </w:rPr>
        <w:t xml:space="preserve"> (</w:t>
      </w:r>
      <w:proofErr w:type="spellStart"/>
      <w:r w:rsidR="00144AD2">
        <w:rPr>
          <w:rStyle w:val="Strong"/>
          <w:b w:val="0"/>
        </w:rPr>
        <w:t>Ref:NHMF</w:t>
      </w:r>
      <w:proofErr w:type="spellEnd"/>
      <w:r w:rsidR="00144AD2">
        <w:rPr>
          <w:rStyle w:val="Strong"/>
          <w:b w:val="0"/>
        </w:rPr>
        <w:t xml:space="preserve"> 276)</w:t>
      </w:r>
    </w:p>
    <w:p w14:paraId="7307A28D" w14:textId="2A4A9036" w:rsidR="007C40BC" w:rsidRDefault="007C40BC" w:rsidP="007C40BC">
      <w:pPr>
        <w:tabs>
          <w:tab w:val="left" w:pos="567"/>
          <w:tab w:val="left" w:pos="4111"/>
        </w:tabs>
        <w:spacing w:after="240"/>
      </w:pPr>
      <w:r w:rsidRPr="00234ED8">
        <w:rPr>
          <w:b/>
        </w:rPr>
        <w:t>Department</w:t>
      </w:r>
      <w:r w:rsidRPr="00B230B6">
        <w:tab/>
      </w:r>
      <w:r w:rsidR="00B86FAF">
        <w:t xml:space="preserve">Business Innovation and Insight. </w:t>
      </w:r>
    </w:p>
    <w:p w14:paraId="06F3F2BD" w14:textId="77777777" w:rsidR="007C40BC" w:rsidRPr="009E6389" w:rsidRDefault="007C40BC" w:rsidP="008B189F">
      <w:pPr>
        <w:tabs>
          <w:tab w:val="left" w:pos="567"/>
          <w:tab w:val="left" w:pos="3843"/>
          <w:tab w:val="left" w:pos="4111"/>
        </w:tabs>
        <w:spacing w:after="240"/>
        <w:rPr>
          <w:rStyle w:val="Strong"/>
          <w:b w:val="0"/>
          <w:bCs/>
        </w:rPr>
      </w:pPr>
      <w:r w:rsidRPr="0061657B">
        <w:rPr>
          <w:rStyle w:val="Strong"/>
        </w:rPr>
        <w:t>Title of procurement</w:t>
      </w:r>
      <w:r w:rsidRPr="00B230B6">
        <w:rPr>
          <w:rStyle w:val="Strong"/>
        </w:rPr>
        <w:tab/>
      </w:r>
      <w:r w:rsidR="008B189F">
        <w:rPr>
          <w:rStyle w:val="Strong"/>
        </w:rPr>
        <w:tab/>
      </w:r>
    </w:p>
    <w:p w14:paraId="57B3E558" w14:textId="33825FAF" w:rsidR="002C34F0" w:rsidRPr="002C34F0" w:rsidRDefault="007C40BC" w:rsidP="002C34F0">
      <w:pPr>
        <w:tabs>
          <w:tab w:val="left" w:pos="567"/>
          <w:tab w:val="left" w:pos="4111"/>
        </w:tabs>
        <w:spacing w:after="240"/>
        <w:ind w:left="4110" w:hanging="4110"/>
      </w:pPr>
      <w:r w:rsidRPr="00A87B76">
        <w:rPr>
          <w:b/>
        </w:rPr>
        <w:t>Brief description of supply</w:t>
      </w:r>
      <w:r w:rsidRPr="00B230B6">
        <w:tab/>
      </w:r>
      <w:r w:rsidR="00F041C0">
        <w:t xml:space="preserve">The Heritage Fund is </w:t>
      </w:r>
      <w:r w:rsidR="008B67BA">
        <w:t>seeking to commission business</w:t>
      </w:r>
      <w:r w:rsidR="002C34F0">
        <w:t xml:space="preserve"> analysis to </w:t>
      </w:r>
      <w:r w:rsidR="002C34F0" w:rsidRPr="002C34F0">
        <w:t xml:space="preserve">identify and prioritise the analytical needs of the National Lottery Heritage Fund and to make recommendations as to the technology and skills that are needed to </w:t>
      </w:r>
      <w:r w:rsidR="008B67BA">
        <w:t>fulfil</w:t>
      </w:r>
      <w:r w:rsidR="002C34F0" w:rsidRPr="002C34F0">
        <w:t xml:space="preserve"> these requirements. </w:t>
      </w:r>
    </w:p>
    <w:p w14:paraId="2B725303" w14:textId="77777777" w:rsidR="007C40BC" w:rsidRDefault="007C40BC" w:rsidP="007C40BC">
      <w:pPr>
        <w:tabs>
          <w:tab w:val="left" w:pos="567"/>
          <w:tab w:val="left" w:pos="4111"/>
        </w:tabs>
        <w:spacing w:after="240"/>
        <w:ind w:left="4110" w:hanging="4110"/>
      </w:pPr>
    </w:p>
    <w:p w14:paraId="5BE75F19"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2C34F0">
        <w:t>up to £35,000</w:t>
      </w:r>
    </w:p>
    <w:p w14:paraId="56382716"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2C34F0">
        <w:t>2 months</w:t>
      </w:r>
    </w:p>
    <w:p w14:paraId="43404B23" w14:textId="77777777" w:rsidR="007C40BC" w:rsidRDefault="007C40BC" w:rsidP="007C40BC">
      <w:pPr>
        <w:tabs>
          <w:tab w:val="left" w:pos="567"/>
          <w:tab w:val="left" w:pos="4111"/>
        </w:tabs>
        <w:spacing w:after="240"/>
      </w:pPr>
      <w:r w:rsidRPr="00A87B76">
        <w:rPr>
          <w:b/>
        </w:rPr>
        <w:t xml:space="preserve">Name of </w:t>
      </w:r>
      <w:r w:rsidR="008B189F">
        <w:rPr>
          <w:b/>
        </w:rPr>
        <w:t>NHMF</w:t>
      </w:r>
      <w:r w:rsidRPr="00A87B76">
        <w:rPr>
          <w:b/>
        </w:rPr>
        <w:t xml:space="preserve"> Contact</w:t>
      </w:r>
      <w:r w:rsidRPr="00EE3B0C">
        <w:tab/>
      </w:r>
      <w:r w:rsidR="002C34F0">
        <w:t>Tom Walters</w:t>
      </w:r>
    </w:p>
    <w:p w14:paraId="148F56E2" w14:textId="77777777" w:rsidR="007C40BC" w:rsidRDefault="007C40BC" w:rsidP="007C40BC">
      <w:pPr>
        <w:tabs>
          <w:tab w:val="left" w:pos="4111"/>
        </w:tabs>
        <w:spacing w:after="240"/>
        <w:ind w:left="4111" w:hanging="4111"/>
      </w:pPr>
      <w:r w:rsidRPr="008A4DA4">
        <w:rPr>
          <w:b/>
        </w:rPr>
        <w:t>Timetable</w:t>
      </w:r>
      <w:r w:rsidR="00697E37">
        <w:tab/>
        <w:t xml:space="preserve">Response deadline: </w:t>
      </w:r>
      <w:r w:rsidR="002C34F0">
        <w:t>14</w:t>
      </w:r>
      <w:r w:rsidR="002C34F0" w:rsidRPr="002C34F0">
        <w:rPr>
          <w:vertAlign w:val="superscript"/>
        </w:rPr>
        <w:t>th</w:t>
      </w:r>
      <w:r w:rsidR="002C34F0">
        <w:t xml:space="preserve"> February 2020</w:t>
      </w:r>
    </w:p>
    <w:p w14:paraId="5A04D56C" w14:textId="77777777" w:rsidR="007C40BC" w:rsidRDefault="00AE2088" w:rsidP="007C40BC">
      <w:pPr>
        <w:tabs>
          <w:tab w:val="left" w:pos="4111"/>
        </w:tabs>
        <w:spacing w:after="240"/>
        <w:ind w:left="4111"/>
      </w:pPr>
      <w:r>
        <w:t>Clarification</w:t>
      </w:r>
      <w:r w:rsidR="00185CD5">
        <w:t xml:space="preserve"> &amp; Negotia</w:t>
      </w:r>
      <w:r w:rsidR="009772DF">
        <w:t>t</w:t>
      </w:r>
      <w:r w:rsidR="00185CD5">
        <w:t>ion</w:t>
      </w:r>
      <w:r>
        <w:t xml:space="preserve"> meetings</w:t>
      </w:r>
      <w:r w:rsidR="00697E37">
        <w:t xml:space="preserve">: </w:t>
      </w:r>
      <w:r w:rsidR="002C34F0">
        <w:t>clarification questions by the 7</w:t>
      </w:r>
      <w:r w:rsidR="002C34F0" w:rsidRPr="002C34F0">
        <w:rPr>
          <w:vertAlign w:val="superscript"/>
        </w:rPr>
        <w:t>th</w:t>
      </w:r>
      <w:r w:rsidR="002C34F0">
        <w:t xml:space="preserve"> February and tender panel on the 18</w:t>
      </w:r>
      <w:r w:rsidR="002C34F0" w:rsidRPr="002C34F0">
        <w:rPr>
          <w:vertAlign w:val="superscript"/>
        </w:rPr>
        <w:t>th</w:t>
      </w:r>
      <w:r w:rsidR="002C34F0">
        <w:t xml:space="preserve"> February</w:t>
      </w:r>
    </w:p>
    <w:p w14:paraId="067C685B" w14:textId="77777777" w:rsidR="007C40BC" w:rsidRDefault="007C40BC" w:rsidP="007C40BC">
      <w:pPr>
        <w:tabs>
          <w:tab w:val="left" w:pos="4111"/>
        </w:tabs>
        <w:spacing w:after="240"/>
        <w:ind w:left="4110"/>
      </w:pPr>
      <w:r>
        <w:tab/>
        <w:t>Confirmatio</w:t>
      </w:r>
      <w:r w:rsidR="00E04BF0">
        <w:t xml:space="preserve">n of contract: </w:t>
      </w:r>
      <w:r w:rsidR="002C34F0">
        <w:t>20</w:t>
      </w:r>
      <w:r w:rsidR="002C34F0" w:rsidRPr="002C34F0">
        <w:rPr>
          <w:vertAlign w:val="superscript"/>
        </w:rPr>
        <w:t>th</w:t>
      </w:r>
      <w:r w:rsidR="002C34F0">
        <w:t xml:space="preserve"> February</w:t>
      </w:r>
    </w:p>
    <w:p w14:paraId="6DBC0F8C" w14:textId="77777777" w:rsidR="007C40BC" w:rsidRDefault="007C40BC" w:rsidP="007C40BC">
      <w:pPr>
        <w:tabs>
          <w:tab w:val="left" w:pos="4111"/>
        </w:tabs>
        <w:spacing w:after="240"/>
        <w:ind w:left="4110"/>
      </w:pPr>
      <w:r>
        <w:t>Completion o</w:t>
      </w:r>
      <w:r w:rsidR="00304AC1">
        <w:t>f</w:t>
      </w:r>
      <w:r>
        <w:t xml:space="preserve"> </w:t>
      </w:r>
      <w:r w:rsidR="002C34F0">
        <w:t>project</w:t>
      </w:r>
      <w:r>
        <w:t xml:space="preserve">: </w:t>
      </w:r>
      <w:r w:rsidR="002C34F0">
        <w:t>30</w:t>
      </w:r>
      <w:r w:rsidR="002C34F0" w:rsidRPr="002C34F0">
        <w:rPr>
          <w:vertAlign w:val="superscript"/>
        </w:rPr>
        <w:t>th</w:t>
      </w:r>
      <w:r w:rsidR="002C34F0">
        <w:t xml:space="preserve"> April 2020</w:t>
      </w:r>
    </w:p>
    <w:p w14:paraId="62AD594E" w14:textId="77777777" w:rsidR="0082194B" w:rsidRPr="00FB02BD" w:rsidRDefault="007C40BC" w:rsidP="0082194B">
      <w:pPr>
        <w:pStyle w:val="Heading1"/>
      </w:pPr>
      <w:r>
        <w:br w:type="page"/>
      </w:r>
      <w:r w:rsidR="0082194B" w:rsidRPr="00FB02BD">
        <w:lastRenderedPageBreak/>
        <w:t>1.</w:t>
      </w:r>
      <w:r w:rsidR="0082194B" w:rsidRPr="00FB02BD">
        <w:tab/>
        <w:t>Overview</w:t>
      </w:r>
    </w:p>
    <w:p w14:paraId="2F47F175" w14:textId="77777777" w:rsidR="002C34F0" w:rsidRPr="002C34F0" w:rsidRDefault="002C34F0" w:rsidP="00C43DE6">
      <w:pPr>
        <w:numPr>
          <w:ilvl w:val="1"/>
          <w:numId w:val="1"/>
        </w:numPr>
        <w:spacing w:after="240" w:line="276" w:lineRule="auto"/>
        <w:rPr>
          <w:rFonts w:cs="Arial"/>
          <w:szCs w:val="22"/>
          <w:lang w:val="en-US"/>
        </w:rPr>
      </w:pPr>
      <w:r w:rsidRPr="002C34F0">
        <w:rPr>
          <w:rFonts w:cs="Arial"/>
          <w:szCs w:val="22"/>
          <w:lang w:val="en-US"/>
        </w:rPr>
        <w:t xml:space="preserve">The National Lottery Heritage Fund is the single largest funder of heritage projects in the UK.  Since our inception in 1994 we have distributed grants amounting to £8 billion across 44,000 projects. </w:t>
      </w:r>
    </w:p>
    <w:p w14:paraId="7606F376" w14:textId="50C9C796" w:rsidR="002C34F0" w:rsidRPr="002C34F0" w:rsidRDefault="002C34F0" w:rsidP="00C43DE6">
      <w:pPr>
        <w:numPr>
          <w:ilvl w:val="1"/>
          <w:numId w:val="1"/>
        </w:numPr>
        <w:spacing w:after="240" w:line="276" w:lineRule="auto"/>
        <w:rPr>
          <w:rFonts w:cs="Arial"/>
          <w:szCs w:val="22"/>
          <w:lang w:val="en-US"/>
        </w:rPr>
      </w:pPr>
      <w:r w:rsidRPr="002C34F0">
        <w:rPr>
          <w:rFonts w:cs="Arial"/>
          <w:szCs w:val="22"/>
          <w:lang w:val="en-US"/>
        </w:rPr>
        <w:t xml:space="preserve">In 2019 we launched a Strategic Funding Framework which set a new vision and role for our organisation. Between now and 2024, </w:t>
      </w:r>
      <w:r w:rsidR="006F16CA" w:rsidRPr="002C34F0">
        <w:rPr>
          <w:rFonts w:cs="Arial"/>
          <w:szCs w:val="22"/>
          <w:lang w:val="en-US"/>
        </w:rPr>
        <w:t>all</w:t>
      </w:r>
      <w:r w:rsidRPr="002C34F0">
        <w:rPr>
          <w:rFonts w:cs="Arial"/>
          <w:szCs w:val="22"/>
          <w:lang w:val="en-US"/>
        </w:rPr>
        <w:t xml:space="preserve"> our </w:t>
      </w:r>
      <w:r w:rsidR="00B336D2">
        <w:rPr>
          <w:rFonts w:cs="Arial"/>
          <w:szCs w:val="22"/>
          <w:lang w:val="en-US"/>
        </w:rPr>
        <w:t>work should fit with our new role of</w:t>
      </w:r>
      <w:r w:rsidRPr="002C34F0">
        <w:rPr>
          <w:rFonts w:cs="Arial"/>
          <w:szCs w:val="22"/>
          <w:lang w:val="en-US"/>
        </w:rPr>
        <w:t>:</w:t>
      </w:r>
    </w:p>
    <w:p w14:paraId="03B6ED88" w14:textId="77777777" w:rsidR="002C34F0" w:rsidRDefault="002C34F0" w:rsidP="002C34F0">
      <w:pPr>
        <w:spacing w:after="240" w:line="276" w:lineRule="auto"/>
        <w:ind w:left="720"/>
        <w:rPr>
          <w:rFonts w:cs="Arial"/>
          <w:szCs w:val="22"/>
          <w:lang w:val="en-US"/>
        </w:rPr>
      </w:pPr>
      <w:r w:rsidRPr="002C34F0">
        <w:rPr>
          <w:rFonts w:cs="Arial"/>
          <w:szCs w:val="22"/>
          <w:lang w:val="en-US"/>
        </w:rPr>
        <w:t xml:space="preserve">‘inspiring, leading and resourcing the UK’s Heritage to create positive and lasting change for people and communities, now and in the future’. </w:t>
      </w:r>
    </w:p>
    <w:p w14:paraId="1BC33108" w14:textId="77777777" w:rsidR="0082194B" w:rsidRPr="002C34F0" w:rsidRDefault="008B189F" w:rsidP="00C43DE6">
      <w:pPr>
        <w:numPr>
          <w:ilvl w:val="1"/>
          <w:numId w:val="1"/>
        </w:numPr>
        <w:spacing w:after="240" w:line="276" w:lineRule="auto"/>
        <w:rPr>
          <w:rFonts w:cs="Arial"/>
          <w:szCs w:val="22"/>
          <w:lang w:val="en-US"/>
        </w:rPr>
      </w:pPr>
      <w:r w:rsidRPr="002C34F0">
        <w:rPr>
          <w:rFonts w:cs="Arial"/>
          <w:szCs w:val="22"/>
          <w:lang w:val="en-US"/>
        </w:rPr>
        <w:t>NHMF</w:t>
      </w:r>
      <w:r w:rsidR="0082194B" w:rsidRPr="002C34F0">
        <w:rPr>
          <w:rFonts w:cs="Arial"/>
          <w:szCs w:val="22"/>
          <w:lang w:val="en-US"/>
        </w:rPr>
        <w:t xml:space="preserve"> invests in the full breadth of the UK’s heritage and</w:t>
      </w:r>
      <w:r w:rsidR="00AE2088" w:rsidRPr="002C34F0">
        <w:rPr>
          <w:rFonts w:cs="Arial"/>
          <w:szCs w:val="22"/>
          <w:lang w:val="en-US"/>
        </w:rPr>
        <w:t>,</w:t>
      </w:r>
      <w:r w:rsidR="0082194B" w:rsidRPr="002C34F0">
        <w:rPr>
          <w:rFonts w:cs="Arial"/>
          <w:szCs w:val="22"/>
          <w:lang w:val="en-US"/>
        </w:rPr>
        <w:t xml:space="preserve"> through our funding</w:t>
      </w:r>
      <w:r w:rsidR="00AE2088" w:rsidRPr="002C34F0">
        <w:rPr>
          <w:rFonts w:cs="Arial"/>
          <w:szCs w:val="22"/>
          <w:lang w:val="en-US"/>
        </w:rPr>
        <w:t>,</w:t>
      </w:r>
      <w:r w:rsidR="0082194B" w:rsidRPr="002C34F0">
        <w:rPr>
          <w:rFonts w:cs="Arial"/>
          <w:szCs w:val="22"/>
          <w:lang w:val="en-US"/>
        </w:rPr>
        <w:t xml:space="preserve"> we aim to make a lasting difference for heritage and people. This is reflected in the outcomes for heritage, people and communities which underpin our grant-making.</w:t>
      </w:r>
    </w:p>
    <w:p w14:paraId="2A3CC358" w14:textId="24096FB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Data analysis and research has a key role to play in achieving the goals of our new framework – from supporting grant making decisions, to monitoring, evaluating and evidencing the impact of our work.  The Research, Data and Insight team provide this service for the organisation and deliver analysis for a range of audiences and stakeholders.  We also manage a series of data holdings and provide bespoke reports and intelligence on the profile and distribution of Heritage Fund grants.  In 2019 we published ‘open data’ for the first time on our website and via the 360 Giving </w:t>
      </w:r>
      <w:proofErr w:type="spellStart"/>
      <w:r w:rsidRPr="0063699D">
        <w:rPr>
          <w:rFonts w:cs="Arial"/>
          <w:szCs w:val="22"/>
          <w:lang w:val="en-US"/>
        </w:rPr>
        <w:t>GrantNav</w:t>
      </w:r>
      <w:proofErr w:type="spellEnd"/>
      <w:r w:rsidRPr="0063699D">
        <w:rPr>
          <w:rFonts w:cs="Arial"/>
          <w:szCs w:val="22"/>
          <w:lang w:val="en-US"/>
        </w:rPr>
        <w:t xml:space="preserve"> platform.  (See </w:t>
      </w:r>
      <w:r w:rsidR="00271353">
        <w:rPr>
          <w:rFonts w:cs="Arial"/>
          <w:szCs w:val="22"/>
          <w:lang w:val="en-US"/>
        </w:rPr>
        <w:t>Appendix C</w:t>
      </w:r>
      <w:r w:rsidRPr="0063699D">
        <w:rPr>
          <w:rFonts w:cs="Arial"/>
          <w:szCs w:val="22"/>
          <w:lang w:val="en-US"/>
        </w:rPr>
        <w:t xml:space="preserve"> for more detail about our work). </w:t>
      </w:r>
    </w:p>
    <w:p w14:paraId="781ECCB9"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There are a range of </w:t>
      </w:r>
      <w:proofErr w:type="spellStart"/>
      <w:r w:rsidRPr="0063699D">
        <w:rPr>
          <w:rFonts w:cs="Arial"/>
          <w:szCs w:val="22"/>
          <w:lang w:val="en-US"/>
        </w:rPr>
        <w:t>organisational</w:t>
      </w:r>
      <w:proofErr w:type="spellEnd"/>
      <w:r w:rsidRPr="0063699D">
        <w:rPr>
          <w:rFonts w:cs="Arial"/>
          <w:szCs w:val="22"/>
          <w:lang w:val="en-US"/>
        </w:rPr>
        <w:t xml:space="preserve"> objectives and changes that require us to take a new approach to data and analysis:</w:t>
      </w:r>
    </w:p>
    <w:p w14:paraId="50A0D988" w14:textId="5DE01496" w:rsidR="0063699D" w:rsidRPr="0063699D" w:rsidRDefault="0063699D" w:rsidP="00C43DE6">
      <w:pPr>
        <w:numPr>
          <w:ilvl w:val="0"/>
          <w:numId w:val="9"/>
        </w:numPr>
        <w:spacing w:after="160" w:line="259" w:lineRule="auto"/>
        <w:contextualSpacing/>
        <w:rPr>
          <w:rFonts w:ascii="Calibri" w:eastAsia="DengXian" w:hAnsi="Calibri" w:cs="Arial"/>
          <w:szCs w:val="22"/>
          <w:lang w:eastAsia="zh-CN"/>
        </w:rPr>
      </w:pPr>
      <w:r w:rsidRPr="0063699D">
        <w:rPr>
          <w:rFonts w:eastAsia="Arial" w:cs="Arial"/>
          <w:szCs w:val="22"/>
          <w:lang w:eastAsia="zh-CN"/>
        </w:rPr>
        <w:t xml:space="preserve">Our recent transformation programme (‘Shaping our Future Business’) places evidence and information at the heart of what we do, with the aim of becoming an insight led organisation that can communicate our impact in a clear and compelling </w:t>
      </w:r>
      <w:r w:rsidR="00271353">
        <w:rPr>
          <w:rFonts w:eastAsia="Arial" w:cs="Arial"/>
          <w:szCs w:val="22"/>
          <w:lang w:eastAsia="zh-CN"/>
        </w:rPr>
        <w:t>manner</w:t>
      </w:r>
      <w:r w:rsidRPr="0063699D">
        <w:rPr>
          <w:rFonts w:eastAsia="Arial" w:cs="Arial"/>
          <w:szCs w:val="22"/>
          <w:lang w:eastAsia="zh-CN"/>
        </w:rPr>
        <w:t xml:space="preserve">.  </w:t>
      </w:r>
    </w:p>
    <w:p w14:paraId="45C607DA" w14:textId="5082F12C" w:rsidR="0063699D" w:rsidRPr="0063699D" w:rsidRDefault="0063699D" w:rsidP="00C43DE6">
      <w:pPr>
        <w:numPr>
          <w:ilvl w:val="0"/>
          <w:numId w:val="9"/>
        </w:numPr>
        <w:spacing w:after="160" w:line="259" w:lineRule="auto"/>
        <w:contextualSpacing/>
        <w:rPr>
          <w:rFonts w:ascii="Calibri" w:eastAsia="DengXian" w:hAnsi="Calibri" w:cs="Arial"/>
          <w:szCs w:val="22"/>
          <w:lang w:eastAsia="zh-CN"/>
        </w:rPr>
      </w:pPr>
      <w:r w:rsidRPr="0063699D">
        <w:rPr>
          <w:rFonts w:eastAsia="Arial" w:cs="Arial"/>
          <w:szCs w:val="22"/>
          <w:lang w:eastAsia="zh-CN"/>
        </w:rPr>
        <w:t xml:space="preserve">During 2020 we will transition to a new grant management application – our current system is the primary source of grant and project information for the organisation and will be replaced in phases over the course of the </w:t>
      </w:r>
      <w:r w:rsidR="00271353">
        <w:rPr>
          <w:rFonts w:eastAsia="Arial" w:cs="Arial"/>
          <w:szCs w:val="22"/>
          <w:lang w:eastAsia="zh-CN"/>
        </w:rPr>
        <w:t>next three years</w:t>
      </w:r>
      <w:r w:rsidRPr="0063699D">
        <w:rPr>
          <w:rFonts w:eastAsia="Arial" w:cs="Arial"/>
          <w:szCs w:val="22"/>
          <w:lang w:eastAsia="zh-CN"/>
        </w:rPr>
        <w:t>.</w:t>
      </w:r>
    </w:p>
    <w:p w14:paraId="5928210B" w14:textId="77777777" w:rsidR="0063699D" w:rsidRPr="0063699D" w:rsidRDefault="0063699D" w:rsidP="00C43DE6">
      <w:pPr>
        <w:numPr>
          <w:ilvl w:val="0"/>
          <w:numId w:val="9"/>
        </w:numPr>
        <w:spacing w:after="160" w:line="259" w:lineRule="auto"/>
        <w:contextualSpacing/>
        <w:rPr>
          <w:rFonts w:ascii="Calibri" w:eastAsia="DengXian" w:hAnsi="Calibri" w:cs="Arial"/>
          <w:szCs w:val="22"/>
          <w:lang w:eastAsia="zh-CN"/>
        </w:rPr>
      </w:pPr>
      <w:r w:rsidRPr="0063699D">
        <w:rPr>
          <w:rFonts w:eastAsia="Arial" w:cs="Arial"/>
          <w:szCs w:val="22"/>
          <w:lang w:eastAsia="zh-CN"/>
        </w:rPr>
        <w:t xml:space="preserve">The Fund will also be implementing a new information and data strategy this year, which commits us to achieving industry standards in data management, analysis and visualisation. </w:t>
      </w:r>
    </w:p>
    <w:p w14:paraId="17A21051" w14:textId="77777777" w:rsidR="00B336D2" w:rsidRDefault="00B336D2" w:rsidP="00B336D2">
      <w:pPr>
        <w:spacing w:after="240" w:line="276" w:lineRule="auto"/>
        <w:ind w:left="720"/>
        <w:rPr>
          <w:rFonts w:cs="Arial"/>
          <w:szCs w:val="22"/>
          <w:lang w:val="en-US"/>
        </w:rPr>
      </w:pPr>
    </w:p>
    <w:p w14:paraId="73887D95" w14:textId="67FAB296"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These initiatives will change the information that our organisation collects and how it is managed, as well as how the Research and Data team accesses and handles data for reporting and analysis.  </w:t>
      </w:r>
    </w:p>
    <w:p w14:paraId="5646AE1F" w14:textId="49C81745"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Working with the relevant IT and Business Development teams, we now have the opportunity to advance our analytics capability to provide a more efficient and accessible </w:t>
      </w:r>
      <w:r w:rsidR="00770D2E">
        <w:rPr>
          <w:rFonts w:cs="Arial"/>
          <w:szCs w:val="22"/>
          <w:lang w:val="en-US"/>
        </w:rPr>
        <w:t>BI/MI</w:t>
      </w:r>
      <w:r w:rsidRPr="0063699D">
        <w:rPr>
          <w:rFonts w:cs="Arial"/>
          <w:szCs w:val="22"/>
          <w:lang w:val="en-US"/>
        </w:rPr>
        <w:t xml:space="preserve"> service, as well as setting the foundations for more sophisticated analysis that supports strategic decision making. </w:t>
      </w:r>
    </w:p>
    <w:p w14:paraId="7092B1CD"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lastRenderedPageBreak/>
        <w:t>This invitation to bid is for a contractor who can:</w:t>
      </w:r>
    </w:p>
    <w:p w14:paraId="46BBFDCF" w14:textId="77777777" w:rsidR="0063699D" w:rsidRPr="0063699D" w:rsidRDefault="0063699D" w:rsidP="00C43DE6">
      <w:pPr>
        <w:numPr>
          <w:ilvl w:val="0"/>
          <w:numId w:val="10"/>
        </w:numPr>
        <w:spacing w:after="160" w:line="259" w:lineRule="auto"/>
        <w:contextualSpacing/>
        <w:rPr>
          <w:rFonts w:ascii="Calibri" w:eastAsia="DengXian" w:hAnsi="Calibri" w:cs="Arial"/>
          <w:szCs w:val="22"/>
          <w:lang w:eastAsia="zh-CN"/>
        </w:rPr>
      </w:pPr>
      <w:r w:rsidRPr="0063699D">
        <w:rPr>
          <w:rFonts w:eastAsia="Arial" w:cs="Arial"/>
          <w:szCs w:val="22"/>
          <w:lang w:eastAsia="zh-CN"/>
        </w:rPr>
        <w:t>assess our current state of data ‘maturity’;</w:t>
      </w:r>
    </w:p>
    <w:p w14:paraId="3504BD40" w14:textId="49B48807" w:rsidR="0063699D" w:rsidRPr="0063699D" w:rsidRDefault="0063699D" w:rsidP="00C43DE6">
      <w:pPr>
        <w:numPr>
          <w:ilvl w:val="0"/>
          <w:numId w:val="10"/>
        </w:numPr>
        <w:spacing w:after="160" w:line="259" w:lineRule="auto"/>
        <w:contextualSpacing/>
        <w:rPr>
          <w:rFonts w:ascii="Calibri" w:eastAsia="DengXian" w:hAnsi="Calibri" w:cs="Arial"/>
          <w:szCs w:val="22"/>
          <w:lang w:eastAsia="zh-CN"/>
        </w:rPr>
      </w:pPr>
      <w:r w:rsidRPr="0063699D">
        <w:rPr>
          <w:rFonts w:eastAsia="Arial" w:cs="Arial"/>
          <w:szCs w:val="22"/>
          <w:lang w:eastAsia="zh-CN"/>
        </w:rPr>
        <w:t xml:space="preserve">develop a detailed set of requirements that will guide our organisational investments in technology and people for </w:t>
      </w:r>
      <w:r w:rsidR="00C61FAA">
        <w:rPr>
          <w:rFonts w:eastAsia="Arial" w:cs="Arial"/>
          <w:szCs w:val="22"/>
          <w:lang w:eastAsia="zh-CN"/>
        </w:rPr>
        <w:t>BI and analytics</w:t>
      </w:r>
      <w:r w:rsidRPr="0063699D">
        <w:rPr>
          <w:rFonts w:eastAsia="Arial" w:cs="Arial"/>
          <w:szCs w:val="22"/>
          <w:lang w:eastAsia="zh-CN"/>
        </w:rPr>
        <w:t xml:space="preserve">, for this year and beyond; </w:t>
      </w:r>
    </w:p>
    <w:p w14:paraId="11DD0BEE" w14:textId="4793883E" w:rsidR="0063699D" w:rsidRPr="0063699D" w:rsidRDefault="0063699D" w:rsidP="00C43DE6">
      <w:pPr>
        <w:numPr>
          <w:ilvl w:val="0"/>
          <w:numId w:val="10"/>
        </w:numPr>
        <w:spacing w:after="160" w:line="259" w:lineRule="auto"/>
        <w:contextualSpacing/>
        <w:rPr>
          <w:rFonts w:ascii="Calibri" w:eastAsia="DengXian" w:hAnsi="Calibri" w:cs="Arial"/>
          <w:szCs w:val="22"/>
          <w:lang w:eastAsia="zh-CN"/>
        </w:rPr>
      </w:pPr>
      <w:r w:rsidRPr="0063699D">
        <w:rPr>
          <w:rFonts w:eastAsia="Arial" w:cs="Arial"/>
          <w:szCs w:val="22"/>
          <w:lang w:eastAsia="zh-CN"/>
        </w:rPr>
        <w:t xml:space="preserve">propose a target state for the Fund’s data holdings, including data quality and compatibility standards that would allow comparisons with other lottery distributors and flexible analysis and reporting by geography and demographics (for example).  This includes an assessment of </w:t>
      </w:r>
      <w:r w:rsidR="00C61FAA">
        <w:rPr>
          <w:rFonts w:eastAsia="Arial" w:cs="Arial"/>
          <w:szCs w:val="22"/>
          <w:lang w:eastAsia="zh-CN"/>
        </w:rPr>
        <w:t>our approach to meeting the</w:t>
      </w:r>
      <w:r w:rsidRPr="0063699D">
        <w:rPr>
          <w:rFonts w:eastAsia="Arial" w:cs="Arial"/>
          <w:szCs w:val="22"/>
          <w:lang w:eastAsia="zh-CN"/>
        </w:rPr>
        <w:t xml:space="preserve"> 360 giving standard</w:t>
      </w:r>
      <w:r w:rsidR="00C61FAA">
        <w:rPr>
          <w:rFonts w:eastAsia="Arial" w:cs="Arial"/>
          <w:szCs w:val="22"/>
          <w:lang w:eastAsia="zh-CN"/>
        </w:rPr>
        <w:t xml:space="preserve">. </w:t>
      </w:r>
    </w:p>
    <w:p w14:paraId="681F6E78" w14:textId="77777777" w:rsidR="0063699D" w:rsidRDefault="0063699D" w:rsidP="0063699D">
      <w:pPr>
        <w:spacing w:after="160" w:line="259" w:lineRule="auto"/>
        <w:contextualSpacing/>
        <w:rPr>
          <w:rFonts w:eastAsia="Arial" w:cs="Arial"/>
          <w:szCs w:val="22"/>
          <w:lang w:eastAsia="zh-CN"/>
        </w:rPr>
      </w:pPr>
    </w:p>
    <w:p w14:paraId="18DDD69A" w14:textId="77777777" w:rsidR="0063699D" w:rsidRPr="00BE7CD9" w:rsidRDefault="0063699D" w:rsidP="0063699D">
      <w:pPr>
        <w:spacing w:after="160" w:line="259" w:lineRule="auto"/>
        <w:contextualSpacing/>
        <w:rPr>
          <w:rFonts w:eastAsia="Arial" w:cs="Arial"/>
          <w:i/>
          <w:iCs/>
          <w:sz w:val="28"/>
          <w:szCs w:val="28"/>
          <w:lang w:eastAsia="zh-CN"/>
        </w:rPr>
      </w:pPr>
      <w:r w:rsidRPr="00BE7CD9">
        <w:rPr>
          <w:rFonts w:eastAsia="Arial" w:cs="Arial"/>
          <w:i/>
          <w:iCs/>
          <w:sz w:val="28"/>
          <w:szCs w:val="28"/>
          <w:lang w:eastAsia="zh-CN"/>
        </w:rPr>
        <w:t xml:space="preserve">Aims and objectives </w:t>
      </w:r>
    </w:p>
    <w:p w14:paraId="117E7FBB" w14:textId="77777777" w:rsidR="0063699D" w:rsidRDefault="0063699D" w:rsidP="0063699D">
      <w:pPr>
        <w:spacing w:after="160" w:line="259" w:lineRule="auto"/>
        <w:contextualSpacing/>
        <w:rPr>
          <w:rFonts w:eastAsia="Arial" w:cs="Arial"/>
          <w:i/>
          <w:iCs/>
          <w:szCs w:val="22"/>
          <w:lang w:eastAsia="zh-CN"/>
        </w:rPr>
      </w:pPr>
    </w:p>
    <w:p w14:paraId="3CF6DBBC"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 aim of this project is to identify and </w:t>
      </w:r>
      <w:proofErr w:type="spellStart"/>
      <w:r w:rsidRPr="0063699D">
        <w:rPr>
          <w:rFonts w:cs="Arial"/>
          <w:szCs w:val="22"/>
          <w:lang w:val="en-US"/>
        </w:rPr>
        <w:t>prioritise</w:t>
      </w:r>
      <w:proofErr w:type="spellEnd"/>
      <w:r w:rsidRPr="0063699D">
        <w:rPr>
          <w:rFonts w:cs="Arial"/>
          <w:szCs w:val="22"/>
          <w:lang w:val="en-US"/>
        </w:rPr>
        <w:t xml:space="preserve"> the analytical needs of the National Lottery Heritage Fund and to make recommendations as to the technology and skills that are needed to serve these requirements. </w:t>
      </w:r>
    </w:p>
    <w:p w14:paraId="65589AFA" w14:textId="77777777" w:rsidR="0063699D" w:rsidRDefault="0063699D" w:rsidP="0063699D">
      <w:pPr>
        <w:rPr>
          <w:rFonts w:eastAsia="Arial" w:cs="Arial"/>
        </w:rPr>
      </w:pPr>
    </w:p>
    <w:p w14:paraId="133E674D"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The objectives of the project are to:</w:t>
      </w:r>
    </w:p>
    <w:p w14:paraId="5C0DBFD3" w14:textId="77777777" w:rsidR="0063699D" w:rsidRDefault="0063699D" w:rsidP="00C43DE6">
      <w:pPr>
        <w:pStyle w:val="ListParagraph"/>
        <w:numPr>
          <w:ilvl w:val="0"/>
          <w:numId w:val="11"/>
        </w:numPr>
        <w:spacing w:after="160" w:line="259" w:lineRule="auto"/>
      </w:pPr>
      <w:r w:rsidRPr="3FB33893">
        <w:rPr>
          <w:rFonts w:eastAsia="Arial" w:cs="Arial"/>
        </w:rPr>
        <w:t xml:space="preserve">Map and assess the current approach to data </w:t>
      </w:r>
      <w:r>
        <w:rPr>
          <w:rFonts w:eastAsia="Arial" w:cs="Arial"/>
        </w:rPr>
        <w:t xml:space="preserve">standards, </w:t>
      </w:r>
      <w:r w:rsidRPr="3FB33893">
        <w:rPr>
          <w:rFonts w:eastAsia="Arial" w:cs="Arial"/>
        </w:rPr>
        <w:t xml:space="preserve">wrangling, analysis and reporting, from the user and the analyst perspective. </w:t>
      </w:r>
    </w:p>
    <w:p w14:paraId="1684ED1A" w14:textId="0B07D760" w:rsidR="0063699D" w:rsidRDefault="0063699D" w:rsidP="00C43DE6">
      <w:pPr>
        <w:pStyle w:val="ListParagraph"/>
        <w:numPr>
          <w:ilvl w:val="0"/>
          <w:numId w:val="11"/>
        </w:numPr>
        <w:spacing w:after="160" w:line="259" w:lineRule="auto"/>
      </w:pPr>
      <w:r w:rsidRPr="3FB33893">
        <w:rPr>
          <w:rFonts w:eastAsia="Arial" w:cs="Arial"/>
        </w:rPr>
        <w:t>Work with the customers of analysis (Business Delivery</w:t>
      </w:r>
      <w:r>
        <w:rPr>
          <w:rFonts w:eastAsia="Arial" w:cs="Arial"/>
        </w:rPr>
        <w:t>, Services</w:t>
      </w:r>
      <w:r w:rsidRPr="3FB33893">
        <w:rPr>
          <w:rFonts w:eastAsia="Arial" w:cs="Arial"/>
        </w:rPr>
        <w:t xml:space="preserve"> and Innovation and Insight colleagues) to create</w:t>
      </w:r>
      <w:r w:rsidR="006D4828">
        <w:rPr>
          <w:rFonts w:eastAsia="Arial" w:cs="Arial"/>
        </w:rPr>
        <w:t xml:space="preserve"> high level user</w:t>
      </w:r>
      <w:r w:rsidRPr="3FB33893">
        <w:rPr>
          <w:rFonts w:eastAsia="Arial" w:cs="Arial"/>
        </w:rPr>
        <w:t xml:space="preserve"> stories that highlight the type of analysis that </w:t>
      </w:r>
      <w:r w:rsidR="006D4828">
        <w:rPr>
          <w:rFonts w:eastAsia="Arial" w:cs="Arial"/>
        </w:rPr>
        <w:t>our staff and external stakeholders</w:t>
      </w:r>
      <w:r w:rsidRPr="3FB33893">
        <w:rPr>
          <w:rFonts w:eastAsia="Arial" w:cs="Arial"/>
        </w:rPr>
        <w:t xml:space="preserve"> need.</w:t>
      </w:r>
    </w:p>
    <w:p w14:paraId="0488C40F" w14:textId="77777777" w:rsidR="0063699D" w:rsidRDefault="0063699D" w:rsidP="00C43DE6">
      <w:pPr>
        <w:pStyle w:val="ListParagraph"/>
        <w:numPr>
          <w:ilvl w:val="0"/>
          <w:numId w:val="11"/>
        </w:numPr>
        <w:spacing w:after="160" w:line="259" w:lineRule="auto"/>
      </w:pPr>
      <w:r w:rsidRPr="3FB33893">
        <w:rPr>
          <w:rFonts w:eastAsia="Arial" w:cs="Arial"/>
        </w:rPr>
        <w:t xml:space="preserve">Recommend a high-level analytical architecture that could support the priority user need, including design principles for data warehousing, wrangling, integration, analysis and BI/visualisation. </w:t>
      </w:r>
    </w:p>
    <w:p w14:paraId="0DD61D1D" w14:textId="314FCB5E" w:rsidR="0063699D" w:rsidRDefault="0063699D" w:rsidP="00C43DE6">
      <w:pPr>
        <w:pStyle w:val="ListParagraph"/>
        <w:numPr>
          <w:ilvl w:val="0"/>
          <w:numId w:val="11"/>
        </w:numPr>
        <w:spacing w:after="160" w:line="259" w:lineRule="auto"/>
      </w:pPr>
      <w:r w:rsidRPr="3FB33893">
        <w:rPr>
          <w:rFonts w:eastAsia="Arial" w:cs="Arial"/>
        </w:rPr>
        <w:t xml:space="preserve">Propose a technical approach that allows the Fund to gather insight from both its structured and unstructured data (see </w:t>
      </w:r>
      <w:r w:rsidR="00B2662F">
        <w:rPr>
          <w:rFonts w:eastAsia="Arial" w:cs="Arial"/>
        </w:rPr>
        <w:t>Appendix</w:t>
      </w:r>
      <w:r w:rsidRPr="3FB33893">
        <w:rPr>
          <w:rFonts w:eastAsia="Arial" w:cs="Arial"/>
        </w:rPr>
        <w:t xml:space="preserve"> for further information about our data)</w:t>
      </w:r>
      <w:r w:rsidR="006D4828">
        <w:rPr>
          <w:rFonts w:eastAsia="Arial" w:cs="Arial"/>
        </w:rPr>
        <w:t>.</w:t>
      </w:r>
      <w:r>
        <w:rPr>
          <w:rFonts w:eastAsia="Arial" w:cs="Arial"/>
        </w:rPr>
        <w:t xml:space="preserve"> Make recommendations for future data standards and architecture</w:t>
      </w:r>
    </w:p>
    <w:p w14:paraId="6A2794B5" w14:textId="20432DD9" w:rsidR="0063699D" w:rsidRDefault="0063699D" w:rsidP="00C43DE6">
      <w:pPr>
        <w:pStyle w:val="ListParagraph"/>
        <w:numPr>
          <w:ilvl w:val="0"/>
          <w:numId w:val="11"/>
        </w:numPr>
        <w:spacing w:after="160" w:line="259" w:lineRule="auto"/>
      </w:pPr>
      <w:r w:rsidRPr="3FB33893">
        <w:rPr>
          <w:rFonts w:eastAsia="Arial" w:cs="Arial"/>
        </w:rPr>
        <w:t xml:space="preserve">Write a set of </w:t>
      </w:r>
      <w:r w:rsidR="006D4828">
        <w:rPr>
          <w:rFonts w:eastAsia="Arial" w:cs="Arial"/>
        </w:rPr>
        <w:t xml:space="preserve">detailed </w:t>
      </w:r>
      <w:r w:rsidRPr="3FB33893">
        <w:rPr>
          <w:rFonts w:eastAsia="Arial" w:cs="Arial"/>
        </w:rPr>
        <w:t>requirements (</w:t>
      </w:r>
      <w:r>
        <w:rPr>
          <w:rFonts w:eastAsia="Arial" w:cs="Arial"/>
        </w:rPr>
        <w:t xml:space="preserve">reports, </w:t>
      </w:r>
      <w:r w:rsidRPr="3FB33893">
        <w:rPr>
          <w:rFonts w:eastAsia="Arial" w:cs="Arial"/>
        </w:rPr>
        <w:t xml:space="preserve">epics and stories) from the analyst perspective that describe the tasks that need to happen to fulfil the customer need.     </w:t>
      </w:r>
    </w:p>
    <w:p w14:paraId="0B80E648" w14:textId="77777777" w:rsidR="0063699D" w:rsidRDefault="0063699D" w:rsidP="00C43DE6">
      <w:pPr>
        <w:pStyle w:val="ListParagraph"/>
        <w:numPr>
          <w:ilvl w:val="0"/>
          <w:numId w:val="11"/>
        </w:numPr>
        <w:spacing w:after="160" w:line="259" w:lineRule="auto"/>
      </w:pPr>
      <w:r w:rsidRPr="3FB33893">
        <w:rPr>
          <w:rFonts w:eastAsia="Arial" w:cs="Arial"/>
        </w:rPr>
        <w:t xml:space="preserve">Liaise with IT colleagues throughout the project to ensure that the outputs from this work meet their standards for requirements/FRDs and fit with the overall enterprise architecture of the Heritage Fund. </w:t>
      </w:r>
    </w:p>
    <w:p w14:paraId="6B0F1BAA" w14:textId="77777777" w:rsidR="0063699D" w:rsidRDefault="0063699D" w:rsidP="00C43DE6">
      <w:pPr>
        <w:pStyle w:val="ListParagraph"/>
        <w:numPr>
          <w:ilvl w:val="0"/>
          <w:numId w:val="11"/>
        </w:numPr>
        <w:spacing w:after="160" w:line="259" w:lineRule="auto"/>
      </w:pPr>
      <w:r w:rsidRPr="3FB33893">
        <w:rPr>
          <w:rFonts w:eastAsia="Arial" w:cs="Arial"/>
        </w:rPr>
        <w:t xml:space="preserve">Support the Data Manager and Head of Research to compile a business case that makes the financial case for investment in reporting and analytics.   </w:t>
      </w:r>
    </w:p>
    <w:p w14:paraId="3DA53BD9" w14:textId="77777777" w:rsidR="0063699D" w:rsidRPr="0063699D" w:rsidRDefault="0063699D" w:rsidP="0063699D">
      <w:pPr>
        <w:spacing w:after="160" w:line="259" w:lineRule="auto"/>
        <w:contextualSpacing/>
        <w:rPr>
          <w:rFonts w:ascii="Calibri" w:eastAsia="DengXian" w:hAnsi="Calibri" w:cs="Arial"/>
          <w:szCs w:val="22"/>
          <w:lang w:eastAsia="zh-CN"/>
        </w:rPr>
      </w:pPr>
    </w:p>
    <w:p w14:paraId="06F5CDAD" w14:textId="77777777" w:rsidR="000B4E51" w:rsidRDefault="000B4E51" w:rsidP="00C43DE6">
      <w:pPr>
        <w:pStyle w:val="Heading1"/>
        <w:numPr>
          <w:ilvl w:val="0"/>
          <w:numId w:val="1"/>
        </w:numPr>
      </w:pPr>
      <w:r w:rsidRPr="000B4E51">
        <w:t>Method</w:t>
      </w:r>
    </w:p>
    <w:p w14:paraId="1EE01129"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Potential suppliers are invited to propose methods that would meet the brief by (</w:t>
      </w:r>
      <w:proofErr w:type="spellStart"/>
      <w:r w:rsidRPr="0063699D">
        <w:rPr>
          <w:rFonts w:cs="Arial"/>
          <w:szCs w:val="22"/>
          <w:lang w:val="en-US"/>
        </w:rPr>
        <w:t>i</w:t>
      </w:r>
      <w:proofErr w:type="spellEnd"/>
      <w:r w:rsidRPr="0063699D">
        <w:rPr>
          <w:rFonts w:cs="Arial"/>
          <w:szCs w:val="22"/>
          <w:lang w:val="en-US"/>
        </w:rPr>
        <w:t xml:space="preserve">) effectively gathering requirements from users and analysts and (ii) referencing best practice data reporting and </w:t>
      </w:r>
      <w:proofErr w:type="spellStart"/>
      <w:r w:rsidRPr="0063699D">
        <w:rPr>
          <w:rFonts w:cs="Arial"/>
          <w:szCs w:val="22"/>
          <w:lang w:val="en-US"/>
        </w:rPr>
        <w:t>visualisation</w:t>
      </w:r>
      <w:proofErr w:type="spellEnd"/>
      <w:r w:rsidRPr="0063699D">
        <w:rPr>
          <w:rFonts w:cs="Arial"/>
          <w:szCs w:val="22"/>
          <w:lang w:val="en-US"/>
        </w:rPr>
        <w:t xml:space="preserve"> practices.  </w:t>
      </w:r>
    </w:p>
    <w:p w14:paraId="14FF04EC" w14:textId="0C8F771E"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Methods of consultation to gather requirements could include interviews, workshops or surveys and the Fund will use provide staff time and office space to support consultations. A workshop with the Northern regional team has been provisionally booked for the 27th February, to be held either in Leeds, Sheffield or Manchester.  A </w:t>
      </w:r>
      <w:r w:rsidRPr="0063699D">
        <w:rPr>
          <w:rFonts w:cs="Arial"/>
          <w:szCs w:val="22"/>
          <w:lang w:val="en-US"/>
        </w:rPr>
        <w:lastRenderedPageBreak/>
        <w:t>second workshop with the South West team, in Exeter, is also planned</w:t>
      </w:r>
      <w:r w:rsidR="00AC002B">
        <w:rPr>
          <w:rFonts w:cs="Arial"/>
          <w:szCs w:val="22"/>
          <w:lang w:val="en-US"/>
        </w:rPr>
        <w:t xml:space="preserve"> for the middle of March</w:t>
      </w:r>
      <w:r w:rsidRPr="0063699D">
        <w:rPr>
          <w:rFonts w:cs="Arial"/>
          <w:szCs w:val="22"/>
          <w:lang w:val="en-US"/>
        </w:rPr>
        <w:t xml:space="preserve">. </w:t>
      </w:r>
    </w:p>
    <w:p w14:paraId="166C9FF6" w14:textId="77777777" w:rsidR="000B4E51" w:rsidRPr="000B4E51" w:rsidRDefault="0082194B" w:rsidP="00C43DE6">
      <w:pPr>
        <w:pStyle w:val="Heading1"/>
        <w:numPr>
          <w:ilvl w:val="0"/>
          <w:numId w:val="1"/>
        </w:numPr>
      </w:pPr>
      <w:r w:rsidRPr="0082194B">
        <w:t>Outputs</w:t>
      </w:r>
      <w:r w:rsidR="0063699D">
        <w:t xml:space="preserve"> &amp; Timescales</w:t>
      </w:r>
    </w:p>
    <w:p w14:paraId="60416C1E"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 following schedule of deliverables is provided as a guideline for suppliers and is open to negotiation via the tender process. </w:t>
      </w:r>
    </w:p>
    <w:p w14:paraId="48DDAD3D" w14:textId="5110F187" w:rsidR="0063699D" w:rsidRPr="001821AA" w:rsidRDefault="0063699D" w:rsidP="0063699D">
      <w:pPr>
        <w:rPr>
          <w:rFonts w:eastAsia="Arial" w:cs="Arial"/>
          <w:i/>
          <w:iCs/>
        </w:rPr>
      </w:pPr>
      <w:r w:rsidRPr="3FB33893">
        <w:rPr>
          <w:rFonts w:eastAsia="Arial" w:cs="Arial"/>
          <w:i/>
          <w:iCs/>
        </w:rPr>
        <w:t xml:space="preserve">Deliverable 1: current state </w:t>
      </w:r>
      <w:r w:rsidR="008C4A94">
        <w:rPr>
          <w:rFonts w:eastAsia="Arial" w:cs="Arial"/>
          <w:i/>
          <w:iCs/>
        </w:rPr>
        <w:t>assessment</w:t>
      </w:r>
      <w:r w:rsidRPr="3FB33893">
        <w:rPr>
          <w:rFonts w:eastAsia="Arial" w:cs="Arial"/>
          <w:i/>
          <w:iCs/>
        </w:rPr>
        <w:t xml:space="preserve"> and user stories from customers</w:t>
      </w:r>
    </w:p>
    <w:p w14:paraId="7B4BDE0A" w14:textId="32BC2B0F"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The supplier will be required to report back to the client on the current state o</w:t>
      </w:r>
      <w:r w:rsidR="00FE7438">
        <w:rPr>
          <w:rFonts w:cs="Arial"/>
          <w:szCs w:val="22"/>
          <w:lang w:val="en-US"/>
        </w:rPr>
        <w:t xml:space="preserve">f data and reporting in the Fund </w:t>
      </w:r>
      <w:r w:rsidRPr="0063699D">
        <w:rPr>
          <w:rFonts w:cs="Arial"/>
          <w:szCs w:val="22"/>
          <w:lang w:val="en-US"/>
        </w:rPr>
        <w:t xml:space="preserve">(objective 1), including any specific bottlenecks, inefficiencies or technological issues that hinder the </w:t>
      </w:r>
      <w:r w:rsidR="00FE7438">
        <w:rPr>
          <w:rFonts w:cs="Arial"/>
          <w:szCs w:val="22"/>
          <w:lang w:val="en-US"/>
        </w:rPr>
        <w:t>flow of information</w:t>
      </w:r>
      <w:r w:rsidRPr="0063699D">
        <w:rPr>
          <w:rFonts w:cs="Arial"/>
          <w:szCs w:val="22"/>
          <w:lang w:val="en-US"/>
        </w:rPr>
        <w:t xml:space="preserve">.  </w:t>
      </w:r>
    </w:p>
    <w:p w14:paraId="28922084"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At the same time, the contractor will be required to deliver 2-3 highly engaging user stories (based on feedback from delivery teams and policy/strategy leads), which demonstrate the potential value of analysis to the organisation. </w:t>
      </w:r>
    </w:p>
    <w:p w14:paraId="08F63D9A" w14:textId="21385D82" w:rsid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 Business Delivery team have already agreed that one of the user stories should relate to the process of compiling committee summaries ahead of grant decisions, to determine how it could benefit from greater automation and insight.  The successful supplier will be provided with examples of recent summaries and details of how they are compiled. </w:t>
      </w:r>
    </w:p>
    <w:p w14:paraId="0A68136E" w14:textId="2D4CEDAA" w:rsidR="00D162D1" w:rsidRPr="00070839" w:rsidRDefault="00D162D1" w:rsidP="00D162D1">
      <w:pPr>
        <w:spacing w:after="240" w:line="276" w:lineRule="auto"/>
        <w:ind w:left="720"/>
        <w:rPr>
          <w:rFonts w:cs="Arial"/>
          <w:b/>
          <w:bCs/>
          <w:szCs w:val="22"/>
          <w:lang w:val="en-US"/>
        </w:rPr>
      </w:pPr>
      <w:r w:rsidRPr="00070839">
        <w:rPr>
          <w:rFonts w:cs="Arial"/>
          <w:b/>
          <w:bCs/>
          <w:szCs w:val="22"/>
          <w:lang w:val="en-US"/>
        </w:rPr>
        <w:t xml:space="preserve">Deliverable 1 is required in draft form by the </w:t>
      </w:r>
      <w:r w:rsidR="00070839" w:rsidRPr="00070839">
        <w:rPr>
          <w:rFonts w:cs="Arial"/>
          <w:b/>
          <w:bCs/>
          <w:szCs w:val="22"/>
          <w:lang w:val="en-US"/>
        </w:rPr>
        <w:t>31</w:t>
      </w:r>
      <w:r w:rsidR="00070839" w:rsidRPr="00070839">
        <w:rPr>
          <w:rFonts w:cs="Arial"/>
          <w:b/>
          <w:bCs/>
          <w:szCs w:val="22"/>
          <w:vertAlign w:val="superscript"/>
          <w:lang w:val="en-US"/>
        </w:rPr>
        <w:t>st</w:t>
      </w:r>
      <w:r w:rsidR="00070839" w:rsidRPr="00070839">
        <w:rPr>
          <w:rFonts w:cs="Arial"/>
          <w:b/>
          <w:bCs/>
          <w:szCs w:val="22"/>
          <w:lang w:val="en-US"/>
        </w:rPr>
        <w:t xml:space="preserve"> March </w:t>
      </w:r>
    </w:p>
    <w:p w14:paraId="69A5E1A8" w14:textId="77777777" w:rsidR="0063699D" w:rsidRPr="001821AA" w:rsidRDefault="0063699D" w:rsidP="0063699D">
      <w:pPr>
        <w:rPr>
          <w:rFonts w:eastAsia="Arial" w:cs="Arial"/>
          <w:i/>
          <w:iCs/>
        </w:rPr>
      </w:pPr>
      <w:r w:rsidRPr="3FB33893">
        <w:rPr>
          <w:rFonts w:eastAsia="Arial" w:cs="Arial"/>
          <w:i/>
          <w:iCs/>
        </w:rPr>
        <w:t xml:space="preserve">Deliverable 2: recommended approach and documented requirements </w:t>
      </w:r>
    </w:p>
    <w:p w14:paraId="1BCEEA63" w14:textId="5FE0CAA6"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The supplier should deliver a proposal for a new data architecture at the Heritage Fund, which meets the principles set out in our data strategy and industry </w:t>
      </w:r>
      <w:r w:rsidR="00F2798F">
        <w:rPr>
          <w:rFonts w:cs="Arial"/>
          <w:szCs w:val="22"/>
          <w:lang w:val="en-US"/>
        </w:rPr>
        <w:t>good practice</w:t>
      </w:r>
      <w:r w:rsidRPr="0063699D">
        <w:rPr>
          <w:rFonts w:cs="Arial"/>
          <w:szCs w:val="22"/>
          <w:lang w:val="en-US"/>
        </w:rPr>
        <w:t xml:space="preserve"> for the design of data ‘ecosystems’. </w:t>
      </w:r>
    </w:p>
    <w:p w14:paraId="6C029135" w14:textId="6BB5929F" w:rsidR="0063699D" w:rsidRDefault="0063699D" w:rsidP="00C43DE6">
      <w:pPr>
        <w:numPr>
          <w:ilvl w:val="1"/>
          <w:numId w:val="1"/>
        </w:numPr>
        <w:spacing w:after="240" w:line="276" w:lineRule="auto"/>
        <w:rPr>
          <w:rFonts w:cs="Arial"/>
          <w:szCs w:val="22"/>
          <w:lang w:val="en-US"/>
        </w:rPr>
      </w:pPr>
      <w:r w:rsidRPr="0063699D">
        <w:rPr>
          <w:rFonts w:cs="Arial"/>
          <w:szCs w:val="22"/>
          <w:lang w:val="en-US"/>
        </w:rPr>
        <w:t xml:space="preserve">At a similar time, the supplier will be required to present a </w:t>
      </w:r>
      <w:proofErr w:type="spellStart"/>
      <w:r w:rsidRPr="0063699D">
        <w:rPr>
          <w:rFonts w:cs="Arial"/>
          <w:szCs w:val="22"/>
          <w:lang w:val="en-US"/>
        </w:rPr>
        <w:t>prioritised</w:t>
      </w:r>
      <w:proofErr w:type="spellEnd"/>
      <w:r w:rsidRPr="0063699D">
        <w:rPr>
          <w:rFonts w:cs="Arial"/>
          <w:szCs w:val="22"/>
          <w:lang w:val="en-US"/>
        </w:rPr>
        <w:t xml:space="preserve"> list (e.g. by </w:t>
      </w:r>
      <w:proofErr w:type="spellStart"/>
      <w:r w:rsidRPr="0063699D">
        <w:rPr>
          <w:rFonts w:cs="Arial"/>
          <w:szCs w:val="22"/>
          <w:lang w:val="en-US"/>
        </w:rPr>
        <w:t>MoSCoW</w:t>
      </w:r>
      <w:proofErr w:type="spellEnd"/>
      <w:r w:rsidRPr="0063699D">
        <w:rPr>
          <w:rFonts w:cs="Arial"/>
          <w:szCs w:val="22"/>
          <w:lang w:val="en-US"/>
        </w:rPr>
        <w:t xml:space="preserve"> method) of analytical requirements that would be suitable for use by the Heritage Fund to tender for data warehousing, wrangling, analysis, reporting and </w:t>
      </w:r>
      <w:proofErr w:type="spellStart"/>
      <w:r w:rsidRPr="0063699D">
        <w:rPr>
          <w:rFonts w:cs="Arial"/>
          <w:szCs w:val="22"/>
          <w:lang w:val="en-US"/>
        </w:rPr>
        <w:t>visualisation</w:t>
      </w:r>
      <w:proofErr w:type="spellEnd"/>
      <w:r w:rsidRPr="0063699D">
        <w:rPr>
          <w:rFonts w:cs="Arial"/>
          <w:szCs w:val="22"/>
          <w:lang w:val="en-US"/>
        </w:rPr>
        <w:t xml:space="preserve"> tools. These should be written from the perspective of the analytical user and follow a template and standard to be agreed with IT. </w:t>
      </w:r>
    </w:p>
    <w:p w14:paraId="2FC6DB92" w14:textId="19D56C39" w:rsidR="00070839" w:rsidRPr="00070839" w:rsidRDefault="00070839" w:rsidP="00070839">
      <w:pPr>
        <w:spacing w:after="240" w:line="276" w:lineRule="auto"/>
        <w:ind w:firstLine="720"/>
        <w:rPr>
          <w:rFonts w:cs="Arial"/>
          <w:b/>
          <w:bCs/>
          <w:szCs w:val="22"/>
          <w:lang w:val="en-US"/>
        </w:rPr>
      </w:pPr>
      <w:r w:rsidRPr="00070839">
        <w:rPr>
          <w:rFonts w:cs="Arial"/>
          <w:b/>
          <w:bCs/>
          <w:szCs w:val="22"/>
          <w:lang w:val="en-US"/>
        </w:rPr>
        <w:t xml:space="preserve">Deliverable </w:t>
      </w:r>
      <w:r>
        <w:rPr>
          <w:rFonts w:cs="Arial"/>
          <w:b/>
          <w:bCs/>
          <w:szCs w:val="22"/>
          <w:lang w:val="en-US"/>
        </w:rPr>
        <w:t>2</w:t>
      </w:r>
      <w:r w:rsidRPr="00070839">
        <w:rPr>
          <w:rFonts w:cs="Arial"/>
          <w:b/>
          <w:bCs/>
          <w:szCs w:val="22"/>
          <w:lang w:val="en-US"/>
        </w:rPr>
        <w:t xml:space="preserve"> is required in draft form</w:t>
      </w:r>
      <w:r>
        <w:rPr>
          <w:rFonts w:cs="Arial"/>
          <w:b/>
          <w:bCs/>
          <w:szCs w:val="22"/>
          <w:lang w:val="en-US"/>
        </w:rPr>
        <w:t xml:space="preserve"> alongside deliverable 1,</w:t>
      </w:r>
      <w:r w:rsidRPr="00070839">
        <w:rPr>
          <w:rFonts w:cs="Arial"/>
          <w:b/>
          <w:bCs/>
          <w:szCs w:val="22"/>
          <w:lang w:val="en-US"/>
        </w:rPr>
        <w:t xml:space="preserve"> by the 31</w:t>
      </w:r>
      <w:r w:rsidRPr="00070839">
        <w:rPr>
          <w:rFonts w:cs="Arial"/>
          <w:b/>
          <w:bCs/>
          <w:szCs w:val="22"/>
          <w:vertAlign w:val="superscript"/>
          <w:lang w:val="en-US"/>
        </w:rPr>
        <w:t>st</w:t>
      </w:r>
      <w:r w:rsidRPr="00070839">
        <w:rPr>
          <w:rFonts w:cs="Arial"/>
          <w:b/>
          <w:bCs/>
          <w:szCs w:val="22"/>
          <w:lang w:val="en-US"/>
        </w:rPr>
        <w:t xml:space="preserve"> March </w:t>
      </w:r>
    </w:p>
    <w:p w14:paraId="398995C4" w14:textId="77777777" w:rsidR="0063699D" w:rsidRPr="001821AA" w:rsidRDefault="0063699D" w:rsidP="0063699D">
      <w:pPr>
        <w:rPr>
          <w:rFonts w:eastAsia="Arial" w:cs="Arial"/>
          <w:i/>
          <w:iCs/>
        </w:rPr>
      </w:pPr>
      <w:r w:rsidRPr="3FB33893">
        <w:rPr>
          <w:rFonts w:eastAsia="Arial" w:cs="Arial"/>
          <w:i/>
          <w:iCs/>
        </w:rPr>
        <w:t>Deliverable 3: final report and presentation</w:t>
      </w:r>
    </w:p>
    <w:p w14:paraId="6E434F40" w14:textId="77777777" w:rsidR="0063699D" w:rsidRPr="0063699D" w:rsidRDefault="0063699D" w:rsidP="00C43DE6">
      <w:pPr>
        <w:numPr>
          <w:ilvl w:val="1"/>
          <w:numId w:val="1"/>
        </w:numPr>
        <w:spacing w:after="240" w:line="276" w:lineRule="auto"/>
        <w:rPr>
          <w:rFonts w:cs="Arial"/>
          <w:szCs w:val="22"/>
          <w:lang w:val="en-US"/>
        </w:rPr>
      </w:pPr>
      <w:r w:rsidRPr="0063699D">
        <w:rPr>
          <w:rFonts w:cs="Arial"/>
          <w:szCs w:val="22"/>
          <w:lang w:val="en-US"/>
        </w:rPr>
        <w:t>The supplier should provide their overall findings and recommendations to the client, which will include:</w:t>
      </w:r>
    </w:p>
    <w:p w14:paraId="27443C4B" w14:textId="77777777" w:rsidR="0063699D" w:rsidRDefault="0063699D" w:rsidP="00C43DE6">
      <w:pPr>
        <w:pStyle w:val="ListParagraph"/>
        <w:numPr>
          <w:ilvl w:val="0"/>
          <w:numId w:val="12"/>
        </w:numPr>
        <w:spacing w:after="160" w:line="259" w:lineRule="auto"/>
      </w:pPr>
      <w:r w:rsidRPr="3FB33893">
        <w:rPr>
          <w:rFonts w:eastAsia="Arial" w:cs="Arial"/>
        </w:rPr>
        <w:t>A presentation of key findings and recommendations, likely to be in Birmingham or London.</w:t>
      </w:r>
    </w:p>
    <w:p w14:paraId="7FC9CE67" w14:textId="77777777" w:rsidR="0063699D" w:rsidRDefault="0063699D" w:rsidP="00C43DE6">
      <w:pPr>
        <w:pStyle w:val="ListParagraph"/>
        <w:numPr>
          <w:ilvl w:val="0"/>
          <w:numId w:val="12"/>
        </w:numPr>
        <w:spacing w:after="160" w:line="259" w:lineRule="auto"/>
      </w:pPr>
      <w:r w:rsidRPr="3FB33893">
        <w:rPr>
          <w:rFonts w:eastAsia="Arial" w:cs="Arial"/>
        </w:rPr>
        <w:t xml:space="preserve">A brief accompanying report summarising the approach undertaken to the work and the proposals for the data architecture.  </w:t>
      </w:r>
    </w:p>
    <w:p w14:paraId="7C00385B" w14:textId="3A23536A" w:rsidR="0063699D" w:rsidRPr="0063699D" w:rsidRDefault="00070839" w:rsidP="00070839">
      <w:pPr>
        <w:spacing w:after="240" w:line="276" w:lineRule="auto"/>
        <w:ind w:left="720"/>
        <w:rPr>
          <w:rFonts w:cs="Arial"/>
          <w:szCs w:val="22"/>
          <w:lang w:val="en-US"/>
        </w:rPr>
      </w:pPr>
      <w:r>
        <w:rPr>
          <w:rFonts w:cs="Arial"/>
          <w:szCs w:val="22"/>
          <w:lang w:val="en-US"/>
        </w:rPr>
        <w:t xml:space="preserve">Deliverable 3 is required </w:t>
      </w:r>
      <w:r w:rsidR="00A25CBC">
        <w:rPr>
          <w:rFonts w:cs="Arial"/>
          <w:szCs w:val="22"/>
          <w:lang w:val="en-US"/>
        </w:rPr>
        <w:t xml:space="preserve">to coincide with the end of the project, at the end of April.  </w:t>
      </w:r>
      <w:r w:rsidR="0063699D" w:rsidRPr="0063699D">
        <w:rPr>
          <w:rFonts w:cs="Arial"/>
          <w:szCs w:val="22"/>
          <w:lang w:val="en-US"/>
        </w:rPr>
        <w:t>At this stage we would also expect the supplier to provide final versions of deliverables 1 and 2</w:t>
      </w:r>
      <w:r w:rsidR="00083BCF">
        <w:rPr>
          <w:rFonts w:cs="Arial"/>
          <w:szCs w:val="22"/>
          <w:lang w:val="en-US"/>
        </w:rPr>
        <w:t>, with any agreed amendments</w:t>
      </w:r>
      <w:r w:rsidR="0063699D" w:rsidRPr="0063699D">
        <w:rPr>
          <w:rFonts w:cs="Arial"/>
          <w:szCs w:val="22"/>
          <w:lang w:val="en-US"/>
        </w:rPr>
        <w:t xml:space="preserve">. </w:t>
      </w:r>
    </w:p>
    <w:p w14:paraId="2F7EED7A" w14:textId="77777777" w:rsidR="0082194B" w:rsidRPr="0082194B" w:rsidRDefault="00C26086" w:rsidP="00C43DE6">
      <w:pPr>
        <w:pStyle w:val="Heading1"/>
        <w:numPr>
          <w:ilvl w:val="0"/>
          <w:numId w:val="1"/>
        </w:numPr>
      </w:pPr>
      <w:r>
        <w:lastRenderedPageBreak/>
        <w:t>Contract</w:t>
      </w:r>
      <w:r w:rsidR="0082194B" w:rsidRPr="0082194B">
        <w:t xml:space="preserve"> management</w:t>
      </w:r>
    </w:p>
    <w:p w14:paraId="336922E2" w14:textId="77777777" w:rsidR="00DB2497" w:rsidRPr="0063699D" w:rsidRDefault="00E4627B" w:rsidP="00C43DE6">
      <w:pPr>
        <w:numPr>
          <w:ilvl w:val="1"/>
          <w:numId w:val="1"/>
        </w:numPr>
        <w:spacing w:before="240" w:after="200" w:line="276" w:lineRule="auto"/>
        <w:contextualSpacing/>
        <w:rPr>
          <w:rFonts w:cs="Arial"/>
          <w:szCs w:val="22"/>
        </w:rPr>
      </w:pPr>
      <w:r w:rsidRPr="0063699D">
        <w:rPr>
          <w:rFonts w:cs="Arial"/>
          <w:szCs w:val="22"/>
        </w:rPr>
        <w:t>We expect the research</w:t>
      </w:r>
      <w:r w:rsidR="00C26086" w:rsidRPr="0063699D">
        <w:rPr>
          <w:rFonts w:cs="Arial"/>
          <w:szCs w:val="22"/>
        </w:rPr>
        <w:t>/evaluation</w:t>
      </w:r>
      <w:r w:rsidRPr="0063699D">
        <w:rPr>
          <w:rFonts w:cs="Arial"/>
          <w:szCs w:val="22"/>
        </w:rPr>
        <w:t xml:space="preserve"> to begin </w:t>
      </w:r>
      <w:r w:rsidR="0063699D" w:rsidRPr="0063699D">
        <w:rPr>
          <w:rFonts w:cs="Arial"/>
          <w:szCs w:val="22"/>
        </w:rPr>
        <w:t>on the 24</w:t>
      </w:r>
      <w:r w:rsidR="0063699D" w:rsidRPr="0063699D">
        <w:rPr>
          <w:rFonts w:cs="Arial"/>
          <w:szCs w:val="22"/>
          <w:vertAlign w:val="superscript"/>
        </w:rPr>
        <w:t>th</w:t>
      </w:r>
      <w:r w:rsidR="0063699D" w:rsidRPr="0063699D">
        <w:rPr>
          <w:rFonts w:cs="Arial"/>
          <w:szCs w:val="22"/>
        </w:rPr>
        <w:t xml:space="preserve"> February 2020</w:t>
      </w:r>
      <w:r w:rsidRPr="0063699D">
        <w:rPr>
          <w:rFonts w:cs="Arial"/>
          <w:szCs w:val="22"/>
        </w:rPr>
        <w:t xml:space="preserve"> and be completed by </w:t>
      </w:r>
      <w:r w:rsidR="0063699D" w:rsidRPr="0063699D">
        <w:rPr>
          <w:rFonts w:cs="Arial"/>
          <w:szCs w:val="22"/>
        </w:rPr>
        <w:t>30</w:t>
      </w:r>
      <w:r w:rsidR="0063699D" w:rsidRPr="0063699D">
        <w:rPr>
          <w:rFonts w:cs="Arial"/>
          <w:szCs w:val="22"/>
          <w:vertAlign w:val="superscript"/>
        </w:rPr>
        <w:t>th</w:t>
      </w:r>
      <w:r w:rsidR="0063699D" w:rsidRPr="0063699D">
        <w:rPr>
          <w:rFonts w:cs="Arial"/>
          <w:szCs w:val="22"/>
        </w:rPr>
        <w:t xml:space="preserve"> April 2020</w:t>
      </w:r>
      <w:r w:rsidRPr="0063699D">
        <w:rPr>
          <w:rFonts w:cs="Arial"/>
          <w:szCs w:val="22"/>
        </w:rPr>
        <w:t xml:space="preserve">. </w:t>
      </w:r>
    </w:p>
    <w:p w14:paraId="636C0F77" w14:textId="77777777" w:rsidR="00C26086" w:rsidRPr="00697E37" w:rsidRDefault="00C26086" w:rsidP="00C26086">
      <w:pPr>
        <w:spacing w:before="240" w:after="200" w:line="276" w:lineRule="auto"/>
        <w:ind w:left="720"/>
        <w:contextualSpacing/>
        <w:rPr>
          <w:rFonts w:cs="Arial"/>
          <w:szCs w:val="22"/>
        </w:rPr>
      </w:pPr>
    </w:p>
    <w:p w14:paraId="439A407E" w14:textId="77777777" w:rsidR="0063699D" w:rsidRPr="0063699D" w:rsidRDefault="0063699D" w:rsidP="00C43DE6">
      <w:pPr>
        <w:numPr>
          <w:ilvl w:val="1"/>
          <w:numId w:val="1"/>
        </w:numPr>
        <w:spacing w:before="240" w:after="200" w:line="276" w:lineRule="auto"/>
        <w:contextualSpacing/>
        <w:rPr>
          <w:rFonts w:cs="Arial"/>
          <w:szCs w:val="22"/>
        </w:rPr>
      </w:pPr>
      <w:r w:rsidRPr="0063699D">
        <w:rPr>
          <w:rFonts w:cs="Arial"/>
          <w:szCs w:val="22"/>
        </w:rPr>
        <w:t>The Fund will consider bids of up to £35,000 maximum, to include all expenses and VAT. The contract will be let by the National Heritage Memorial Fund.</w:t>
      </w:r>
    </w:p>
    <w:p w14:paraId="0FA8E9B5" w14:textId="77777777" w:rsidR="00E4627B" w:rsidRDefault="0082194B" w:rsidP="00C43DE6">
      <w:pPr>
        <w:numPr>
          <w:ilvl w:val="1"/>
          <w:numId w:val="1"/>
        </w:numPr>
        <w:spacing w:before="240" w:after="240" w:line="276" w:lineRule="auto"/>
        <w:rPr>
          <w:rFonts w:cs="Arial"/>
          <w:szCs w:val="22"/>
        </w:rPr>
      </w:pPr>
      <w:r w:rsidRPr="0082194B">
        <w:rPr>
          <w:rFonts w:cs="Arial"/>
          <w:szCs w:val="22"/>
        </w:rPr>
        <w:t>The payment schedule will be</w:t>
      </w:r>
      <w:r w:rsidR="0063699D">
        <w:rPr>
          <w:rFonts w:cs="Arial"/>
          <w:szCs w:val="22"/>
        </w:rPr>
        <w:t>:</w:t>
      </w:r>
    </w:p>
    <w:p w14:paraId="5E1A869D" w14:textId="7708A1E9" w:rsidR="0063699D" w:rsidRDefault="002B0FB5" w:rsidP="00C43DE6">
      <w:pPr>
        <w:pStyle w:val="ListParagraph"/>
        <w:numPr>
          <w:ilvl w:val="0"/>
          <w:numId w:val="13"/>
        </w:numPr>
        <w:spacing w:before="240" w:after="240" w:line="276" w:lineRule="auto"/>
        <w:rPr>
          <w:rFonts w:cs="Arial"/>
          <w:szCs w:val="22"/>
        </w:rPr>
      </w:pPr>
      <w:r>
        <w:rPr>
          <w:rFonts w:cs="Arial"/>
          <w:szCs w:val="22"/>
        </w:rPr>
        <w:t>75% of total payment on successful completion and acceptance of deliverable 2</w:t>
      </w:r>
      <w:r w:rsidR="00D162D1">
        <w:rPr>
          <w:rFonts w:cs="Arial"/>
          <w:szCs w:val="22"/>
        </w:rPr>
        <w:t xml:space="preserve"> </w:t>
      </w:r>
    </w:p>
    <w:p w14:paraId="3AAB2847" w14:textId="77777777" w:rsidR="002B0FB5" w:rsidRPr="0063699D" w:rsidRDefault="002B0FB5" w:rsidP="00C43DE6">
      <w:pPr>
        <w:pStyle w:val="ListParagraph"/>
        <w:numPr>
          <w:ilvl w:val="0"/>
          <w:numId w:val="13"/>
        </w:numPr>
        <w:spacing w:before="240" w:after="240" w:line="276" w:lineRule="auto"/>
        <w:rPr>
          <w:rFonts w:cs="Arial"/>
          <w:szCs w:val="22"/>
        </w:rPr>
      </w:pPr>
      <w:r>
        <w:rPr>
          <w:rFonts w:cs="Arial"/>
          <w:szCs w:val="22"/>
        </w:rPr>
        <w:t xml:space="preserve">25% of total payment on successful completion and acceptance of deliverable 3. </w:t>
      </w:r>
    </w:p>
    <w:p w14:paraId="5334ED34" w14:textId="77777777" w:rsidR="00CF253B" w:rsidRPr="00CF253B" w:rsidRDefault="0082194B" w:rsidP="00C43DE6">
      <w:pPr>
        <w:numPr>
          <w:ilvl w:val="1"/>
          <w:numId w:val="1"/>
        </w:numPr>
        <w:spacing w:after="240" w:line="276" w:lineRule="auto"/>
        <w:rPr>
          <w:rFonts w:cs="Arial"/>
          <w:szCs w:val="22"/>
        </w:rPr>
      </w:pPr>
      <w:r w:rsidRPr="0082194B">
        <w:rPr>
          <w:rFonts w:cs="Arial"/>
          <w:szCs w:val="22"/>
        </w:rPr>
        <w:t xml:space="preserve">The contract will be based on the </w:t>
      </w:r>
      <w:r w:rsidR="008B189F">
        <w:rPr>
          <w:rFonts w:cs="Arial"/>
          <w:szCs w:val="22"/>
        </w:rPr>
        <w:t>NHMF</w:t>
      </w:r>
      <w:r w:rsidR="00CF253B">
        <w:rPr>
          <w:rFonts w:cs="Arial"/>
          <w:szCs w:val="22"/>
        </w:rPr>
        <w:t xml:space="preserve"> standard terms and conditions</w:t>
      </w:r>
      <w:r w:rsidR="00C26086">
        <w:rPr>
          <w:rFonts w:cs="Arial"/>
          <w:szCs w:val="22"/>
        </w:rPr>
        <w:t>.</w:t>
      </w:r>
    </w:p>
    <w:p w14:paraId="307CD3AF" w14:textId="77777777" w:rsidR="0082194B" w:rsidRPr="00697E37" w:rsidRDefault="0082194B" w:rsidP="00C43DE6">
      <w:pPr>
        <w:numPr>
          <w:ilvl w:val="1"/>
          <w:numId w:val="1"/>
        </w:numPr>
        <w:spacing w:after="200" w:line="276" w:lineRule="auto"/>
        <w:contextualSpacing/>
        <w:rPr>
          <w:rFonts w:cs="Arial"/>
          <w:szCs w:val="22"/>
        </w:rPr>
      </w:pPr>
      <w:r w:rsidRPr="0063699D">
        <w:rPr>
          <w:rFonts w:cs="Arial"/>
          <w:szCs w:val="22"/>
        </w:rPr>
        <w:t xml:space="preserve">The research will be managed on a day to day basis for </w:t>
      </w:r>
      <w:r w:rsidR="008B189F" w:rsidRPr="0063699D">
        <w:rPr>
          <w:rFonts w:cs="Arial"/>
          <w:szCs w:val="22"/>
        </w:rPr>
        <w:t>NHMF</w:t>
      </w:r>
      <w:r w:rsidRPr="0063699D">
        <w:rPr>
          <w:rFonts w:cs="Arial"/>
          <w:szCs w:val="22"/>
        </w:rPr>
        <w:t xml:space="preserve"> by</w:t>
      </w:r>
      <w:r w:rsidR="00E4627B" w:rsidRPr="0063699D">
        <w:rPr>
          <w:rFonts w:cs="Arial"/>
          <w:szCs w:val="22"/>
        </w:rPr>
        <w:t xml:space="preserve"> </w:t>
      </w:r>
      <w:r w:rsidR="0063699D" w:rsidRPr="0063699D">
        <w:rPr>
          <w:rFonts w:cs="Arial"/>
          <w:szCs w:val="22"/>
        </w:rPr>
        <w:t>Tom Walters, Head of Research, Data and Insight</w:t>
      </w:r>
      <w:r w:rsidRPr="00E4627B">
        <w:rPr>
          <w:rFonts w:cs="Arial"/>
          <w:color w:val="FF0000"/>
          <w:szCs w:val="22"/>
        </w:rPr>
        <w:t>.</w:t>
      </w:r>
    </w:p>
    <w:p w14:paraId="3FD1BAB7" w14:textId="77777777" w:rsidR="0082194B" w:rsidRPr="0082194B" w:rsidRDefault="00CF253B" w:rsidP="00C43DE6">
      <w:pPr>
        <w:pStyle w:val="Heading1"/>
        <w:numPr>
          <w:ilvl w:val="0"/>
          <w:numId w:val="1"/>
        </w:numPr>
      </w:pPr>
      <w:r>
        <w:t>Award Criteria</w:t>
      </w:r>
    </w:p>
    <w:p w14:paraId="6BF4C5A9" w14:textId="77777777" w:rsidR="0082194B" w:rsidRPr="0082194B" w:rsidRDefault="0082194B" w:rsidP="00C43DE6">
      <w:pPr>
        <w:numPr>
          <w:ilvl w:val="1"/>
          <w:numId w:val="1"/>
        </w:numPr>
        <w:spacing w:after="240" w:line="276" w:lineRule="auto"/>
        <w:rPr>
          <w:rFonts w:cs="Arial"/>
          <w:szCs w:val="22"/>
        </w:rPr>
      </w:pPr>
      <w:r w:rsidRPr="0082194B">
        <w:rPr>
          <w:rFonts w:cs="Arial"/>
          <w:szCs w:val="22"/>
        </w:rPr>
        <w:t>A proposal for undertaking the work should include:</w:t>
      </w:r>
    </w:p>
    <w:p w14:paraId="284FD3AA" w14:textId="1D6E6EF6" w:rsidR="0082194B" w:rsidRPr="0082194B" w:rsidRDefault="00C26086" w:rsidP="00C43DE6">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w:t>
      </w:r>
      <w:r w:rsidR="00101396">
        <w:rPr>
          <w:rFonts w:cs="Arial"/>
          <w:szCs w:val="22"/>
        </w:rPr>
        <w:t>project</w:t>
      </w:r>
      <w:r w:rsidR="0082194B" w:rsidRPr="0082194B">
        <w:rPr>
          <w:rFonts w:cs="Arial"/>
          <w:szCs w:val="22"/>
        </w:rPr>
        <w:t>;</w:t>
      </w:r>
    </w:p>
    <w:p w14:paraId="1977F08F" w14:textId="77777777" w:rsidR="0082194B" w:rsidRPr="0082194B" w:rsidRDefault="0082194B" w:rsidP="00C43DE6">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29546296" w14:textId="77777777" w:rsidR="0082194B" w:rsidRPr="0082194B" w:rsidRDefault="0082194B" w:rsidP="00C43DE6">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2556D6A8" w14:textId="77777777" w:rsidR="0082194B" w:rsidRPr="0082194B" w:rsidRDefault="0082194B" w:rsidP="00C43DE6">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F75AD6C" w14:textId="77777777" w:rsidR="0082194B" w:rsidRPr="0082194B" w:rsidRDefault="0082194B" w:rsidP="00C43DE6">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308AB92A" w14:textId="77777777" w:rsidR="0082194B" w:rsidRPr="0082194B" w:rsidRDefault="0082194B" w:rsidP="00C43DE6">
      <w:pPr>
        <w:numPr>
          <w:ilvl w:val="0"/>
          <w:numId w:val="4"/>
        </w:numPr>
        <w:tabs>
          <w:tab w:val="left" w:pos="1080"/>
        </w:tabs>
        <w:spacing w:after="200" w:line="276" w:lineRule="auto"/>
        <w:rPr>
          <w:rFonts w:cs="Arial"/>
          <w:szCs w:val="22"/>
        </w:rPr>
      </w:pPr>
      <w:r w:rsidRPr="0082194B">
        <w:rPr>
          <w:rFonts w:cs="Arial"/>
          <w:szCs w:val="22"/>
        </w:rPr>
        <w:t>an overall cost for the work.</w:t>
      </w:r>
    </w:p>
    <w:p w14:paraId="54EE4B2F" w14:textId="77777777" w:rsidR="003213D4" w:rsidRDefault="0082194B" w:rsidP="00C43DE6">
      <w:pPr>
        <w:numPr>
          <w:ilvl w:val="1"/>
          <w:numId w:val="1"/>
        </w:numPr>
        <w:spacing w:after="240" w:line="276" w:lineRule="auto"/>
        <w:rPr>
          <w:rFonts w:cs="Arial"/>
          <w:szCs w:val="22"/>
        </w:rPr>
      </w:pPr>
      <w:r w:rsidRPr="0082194B">
        <w:rPr>
          <w:rFonts w:cs="Arial"/>
          <w:szCs w:val="22"/>
        </w:rPr>
        <w:t xml:space="preserve">Your Bid will be scored out of 100%. </w:t>
      </w:r>
    </w:p>
    <w:p w14:paraId="54C73C7D" w14:textId="77777777" w:rsidR="003213D4" w:rsidRPr="003213D4" w:rsidRDefault="002B0FB5"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7A686F42"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13812DBE" w14:textId="77777777" w:rsidR="001B0833" w:rsidRDefault="001B0833" w:rsidP="001B0833">
      <w:pPr>
        <w:pStyle w:val="BodyTextIndent2"/>
        <w:spacing w:after="0"/>
        <w:ind w:left="709"/>
        <w:rPr>
          <w:b w:val="0"/>
          <w:szCs w:val="22"/>
        </w:rPr>
      </w:pPr>
      <w:r w:rsidRPr="00517834">
        <w:rPr>
          <w:b w:val="0"/>
          <w:szCs w:val="22"/>
        </w:rPr>
        <w:t xml:space="preserve">Tender responses submitted will be assessed by </w:t>
      </w:r>
      <w:r w:rsidR="008B189F">
        <w:rPr>
          <w:b w:val="0"/>
          <w:szCs w:val="22"/>
        </w:rPr>
        <w:t>NHMF</w:t>
      </w:r>
      <w:r w:rsidRPr="00517834">
        <w:rPr>
          <w:b w:val="0"/>
          <w:szCs w:val="22"/>
        </w:rPr>
        <w:t xml:space="preserve"> against the following </w:t>
      </w:r>
      <w:r w:rsidRPr="00517834">
        <w:rPr>
          <w:b w:val="0"/>
          <w:szCs w:val="22"/>
          <w:u w:val="single"/>
        </w:rPr>
        <w:t>Quality Questions</w:t>
      </w:r>
      <w:r w:rsidR="002B0FB5">
        <w:rPr>
          <w:b w:val="0"/>
          <w:szCs w:val="22"/>
          <w:u w:val="single"/>
        </w:rPr>
        <w:t>,</w:t>
      </w:r>
      <w:r w:rsidR="002B0FB5" w:rsidRPr="002B0FB5">
        <w:rPr>
          <w:b w:val="0"/>
          <w:szCs w:val="22"/>
        </w:rPr>
        <w:t xml:space="preserve"> which will be weighted equally</w:t>
      </w:r>
      <w:r w:rsidR="002B0FB5">
        <w:rPr>
          <w:b w:val="0"/>
          <w:szCs w:val="22"/>
        </w:rPr>
        <w:t xml:space="preserve"> when scored:</w:t>
      </w:r>
    </w:p>
    <w:p w14:paraId="5DC481C0" w14:textId="77777777" w:rsidR="002B0FB5" w:rsidRPr="00517834" w:rsidRDefault="002B0FB5" w:rsidP="001B0833">
      <w:pPr>
        <w:pStyle w:val="BodyTextIndent2"/>
        <w:spacing w:after="0"/>
        <w:ind w:left="709"/>
        <w:rPr>
          <w:b w:val="0"/>
          <w:szCs w:val="22"/>
        </w:rPr>
      </w:pPr>
    </w:p>
    <w:p w14:paraId="56B297A3" w14:textId="77777777" w:rsidR="002B0FB5" w:rsidRDefault="002B0FB5" w:rsidP="00C43DE6">
      <w:pPr>
        <w:pStyle w:val="Bullettext"/>
        <w:numPr>
          <w:ilvl w:val="0"/>
          <w:numId w:val="5"/>
        </w:numPr>
        <w:spacing w:line="276" w:lineRule="auto"/>
        <w:contextualSpacing/>
        <w:rPr>
          <w:rFonts w:cs="Arial"/>
        </w:rPr>
      </w:pPr>
      <w:r w:rsidRPr="3FB33893">
        <w:rPr>
          <w:rFonts w:eastAsia="Arial" w:cs="Arial"/>
        </w:rPr>
        <w:t>To what extent does the tender response demonstrate an understanding of the issues related to this brief?</w:t>
      </w:r>
    </w:p>
    <w:p w14:paraId="1C702FD8" w14:textId="77777777" w:rsidR="002B0FB5" w:rsidRPr="00504D1D" w:rsidRDefault="002B0FB5" w:rsidP="002B0FB5">
      <w:pPr>
        <w:pStyle w:val="Bullettext"/>
        <w:numPr>
          <w:ilvl w:val="0"/>
          <w:numId w:val="0"/>
        </w:numPr>
        <w:spacing w:line="276" w:lineRule="auto"/>
        <w:ind w:left="1495"/>
        <w:contextualSpacing/>
        <w:rPr>
          <w:rFonts w:eastAsia="Arial" w:cs="Arial"/>
        </w:rPr>
      </w:pPr>
    </w:p>
    <w:p w14:paraId="16E82CF7" w14:textId="77777777" w:rsidR="002B0FB5" w:rsidRDefault="002B0FB5" w:rsidP="00C43DE6">
      <w:pPr>
        <w:pStyle w:val="Bullettext"/>
        <w:numPr>
          <w:ilvl w:val="0"/>
          <w:numId w:val="5"/>
        </w:numPr>
        <w:spacing w:line="276" w:lineRule="auto"/>
        <w:contextualSpacing/>
        <w:rPr>
          <w:rFonts w:cs="Arial"/>
        </w:rPr>
      </w:pPr>
      <w:r w:rsidRPr="3FB33893">
        <w:rPr>
          <w:rFonts w:eastAsia="Arial" w:cs="Arial"/>
        </w:rPr>
        <w:t>To what extent is the method appropriate to the requirements set out in this brief?</w:t>
      </w:r>
    </w:p>
    <w:p w14:paraId="6411BBBF" w14:textId="77777777" w:rsidR="002B0FB5" w:rsidRPr="003C5497" w:rsidRDefault="002B0FB5" w:rsidP="002B0FB5">
      <w:pPr>
        <w:pStyle w:val="Bullettext"/>
        <w:numPr>
          <w:ilvl w:val="0"/>
          <w:numId w:val="0"/>
        </w:numPr>
        <w:spacing w:line="276" w:lineRule="auto"/>
        <w:ind w:left="1495"/>
        <w:contextualSpacing/>
        <w:rPr>
          <w:rFonts w:eastAsia="Arial" w:cs="Arial"/>
        </w:rPr>
      </w:pPr>
    </w:p>
    <w:p w14:paraId="175C7B2F" w14:textId="77777777" w:rsidR="002B0FB5" w:rsidRPr="00504D1D" w:rsidRDefault="002B0FB5" w:rsidP="00C43DE6">
      <w:pPr>
        <w:pStyle w:val="Bullettext"/>
        <w:numPr>
          <w:ilvl w:val="0"/>
          <w:numId w:val="5"/>
        </w:numPr>
        <w:spacing w:line="276" w:lineRule="auto"/>
        <w:contextualSpacing/>
        <w:rPr>
          <w:rFonts w:cs="Arial"/>
        </w:rPr>
      </w:pPr>
      <w:r w:rsidRPr="3FB33893">
        <w:rPr>
          <w:rFonts w:eastAsia="Arial" w:cs="Arial"/>
        </w:rPr>
        <w:t xml:space="preserve">What is the extent </w:t>
      </w:r>
      <w:r>
        <w:rPr>
          <w:rFonts w:eastAsia="Arial" w:cs="Arial"/>
        </w:rPr>
        <w:t>does the tenderer have</w:t>
      </w:r>
      <w:r w:rsidRPr="3FB33893">
        <w:rPr>
          <w:rFonts w:eastAsia="Arial" w:cs="Arial"/>
        </w:rPr>
        <w:t xml:space="preserve"> experience of similar </w:t>
      </w:r>
      <w:r>
        <w:rPr>
          <w:rFonts w:eastAsia="Arial" w:cs="Arial"/>
        </w:rPr>
        <w:t>projects and/or best practice data and visualisation methods and standards</w:t>
      </w:r>
      <w:r w:rsidRPr="3FB33893">
        <w:rPr>
          <w:rFonts w:eastAsia="Arial" w:cs="Arial"/>
        </w:rPr>
        <w:t>?</w:t>
      </w:r>
    </w:p>
    <w:p w14:paraId="51EE8A06" w14:textId="77777777" w:rsidR="002B0FB5" w:rsidRPr="003C5497" w:rsidRDefault="002B0FB5" w:rsidP="002B0FB5">
      <w:pPr>
        <w:pStyle w:val="Bullettext"/>
        <w:numPr>
          <w:ilvl w:val="0"/>
          <w:numId w:val="0"/>
        </w:numPr>
        <w:spacing w:line="276" w:lineRule="auto"/>
        <w:contextualSpacing/>
        <w:rPr>
          <w:rFonts w:eastAsia="Arial" w:cs="Arial"/>
        </w:rPr>
      </w:pPr>
    </w:p>
    <w:p w14:paraId="4731DAC0" w14:textId="77777777" w:rsidR="002B0FB5" w:rsidRPr="00697E37" w:rsidRDefault="002B0FB5" w:rsidP="00C43DE6">
      <w:pPr>
        <w:pStyle w:val="Bullettext"/>
        <w:numPr>
          <w:ilvl w:val="0"/>
          <w:numId w:val="5"/>
        </w:numPr>
        <w:spacing w:after="240" w:line="276" w:lineRule="auto"/>
        <w:contextualSpacing/>
        <w:rPr>
          <w:rFonts w:cs="Arial"/>
          <w:b/>
          <w:bCs/>
        </w:rPr>
      </w:pPr>
      <w:r w:rsidRPr="3FB33893">
        <w:rPr>
          <w:rFonts w:eastAsia="Arial" w:cs="Arial"/>
        </w:rPr>
        <w:t>How well has the tenderer structured a team in order to successfully manage the contract and deliver the required work to the budget and timetable required by HLF?</w:t>
      </w:r>
    </w:p>
    <w:p w14:paraId="5EA1D808"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5E2C9CC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1E99469" w14:textId="77777777" w:rsidR="001B0833" w:rsidRPr="009E147C" w:rsidRDefault="001B0833" w:rsidP="00164796">
            <w:pPr>
              <w:rPr>
                <w:rFonts w:cs="Arial"/>
                <w:lang w:val="en-US"/>
              </w:rPr>
            </w:pPr>
            <w:r w:rsidRPr="009E147C">
              <w:rPr>
                <w:rFonts w:cs="Arial"/>
                <w:lang w:val="en-US"/>
              </w:rPr>
              <w:t>Score</w:t>
            </w:r>
          </w:p>
        </w:tc>
        <w:tc>
          <w:tcPr>
            <w:tcW w:w="1957" w:type="dxa"/>
          </w:tcPr>
          <w:p w14:paraId="78EF2A07"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A2C3CF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E75ED5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87B3EB" w14:textId="77777777" w:rsidR="001B0833" w:rsidRPr="009E147C" w:rsidRDefault="001B0833" w:rsidP="00164796">
            <w:pPr>
              <w:rPr>
                <w:rFonts w:cs="Arial"/>
                <w:lang w:val="en-US"/>
              </w:rPr>
            </w:pPr>
            <w:r w:rsidRPr="009E147C">
              <w:rPr>
                <w:rFonts w:cs="Arial"/>
                <w:lang w:val="en-US"/>
              </w:rPr>
              <w:t>0</w:t>
            </w:r>
          </w:p>
        </w:tc>
        <w:tc>
          <w:tcPr>
            <w:tcW w:w="1957" w:type="dxa"/>
          </w:tcPr>
          <w:p w14:paraId="210E239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36788DB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9E12C8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8B189F">
              <w:rPr>
                <w:rFonts w:cs="Arial"/>
                <w:lang w:val="en-US"/>
              </w:rPr>
              <w:t>NHMF</w:t>
            </w:r>
            <w:r w:rsidRPr="009E147C">
              <w:rPr>
                <w:rFonts w:cs="Arial"/>
                <w:lang w:val="en-US"/>
              </w:rPr>
              <w:t xml:space="preserve"> confidence in the ability of the Bidder to deliver the Contract.</w:t>
            </w:r>
          </w:p>
        </w:tc>
      </w:tr>
      <w:tr w:rsidR="001B0833" w:rsidRPr="009E147C" w14:paraId="419CF657"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D1FFD12" w14:textId="77777777" w:rsidR="001B0833" w:rsidRPr="009E147C" w:rsidRDefault="001B0833" w:rsidP="00164796">
            <w:pPr>
              <w:rPr>
                <w:rFonts w:cs="Arial"/>
                <w:lang w:val="en-US"/>
              </w:rPr>
            </w:pPr>
            <w:r w:rsidRPr="009E147C">
              <w:rPr>
                <w:rFonts w:cs="Arial"/>
                <w:lang w:val="en-US"/>
              </w:rPr>
              <w:t>1</w:t>
            </w:r>
          </w:p>
        </w:tc>
        <w:tc>
          <w:tcPr>
            <w:tcW w:w="1957" w:type="dxa"/>
          </w:tcPr>
          <w:p w14:paraId="7F3C9824"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2A59FF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6F7204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72585D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DA33F32" w14:textId="77777777" w:rsidR="001B0833" w:rsidRPr="009E147C" w:rsidRDefault="001B0833" w:rsidP="00164796">
            <w:pPr>
              <w:rPr>
                <w:rFonts w:cs="Arial"/>
                <w:lang w:val="en-US"/>
              </w:rPr>
            </w:pPr>
            <w:r w:rsidRPr="009E147C">
              <w:rPr>
                <w:rFonts w:cs="Arial"/>
                <w:lang w:val="en-US"/>
              </w:rPr>
              <w:t>2</w:t>
            </w:r>
          </w:p>
        </w:tc>
        <w:tc>
          <w:tcPr>
            <w:tcW w:w="1957" w:type="dxa"/>
          </w:tcPr>
          <w:p w14:paraId="3ABC47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6421B0A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B832CB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53422A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30F6C6D" w14:textId="77777777" w:rsidR="001B0833" w:rsidRPr="009E147C" w:rsidRDefault="001B0833" w:rsidP="00164796">
            <w:pPr>
              <w:rPr>
                <w:rFonts w:cs="Arial"/>
                <w:lang w:val="en-US"/>
              </w:rPr>
            </w:pPr>
            <w:r w:rsidRPr="009E147C">
              <w:rPr>
                <w:rFonts w:cs="Arial"/>
                <w:lang w:val="en-US"/>
              </w:rPr>
              <w:t>3</w:t>
            </w:r>
          </w:p>
        </w:tc>
        <w:tc>
          <w:tcPr>
            <w:tcW w:w="1957" w:type="dxa"/>
          </w:tcPr>
          <w:p w14:paraId="41BF67B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6F9BFD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640E94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8B189F">
              <w:rPr>
                <w:rFonts w:cs="Arial"/>
                <w:lang w:val="en-US"/>
              </w:rPr>
              <w:t>NHMF</w:t>
            </w:r>
            <w:r w:rsidRPr="009E147C">
              <w:rPr>
                <w:rFonts w:cs="Arial"/>
                <w:lang w:val="en-US"/>
              </w:rPr>
              <w:t xml:space="preserve"> confidence in the ability of the Bidder to deliver the contract. Meets the </w:t>
            </w:r>
            <w:r w:rsidR="008B189F">
              <w:rPr>
                <w:rFonts w:cs="Arial"/>
                <w:lang w:val="en-US"/>
              </w:rPr>
              <w:t>NHMF</w:t>
            </w:r>
            <w:r w:rsidRPr="009E147C">
              <w:rPr>
                <w:rFonts w:cs="Arial"/>
                <w:lang w:val="en-US"/>
              </w:rPr>
              <w:t>’s requirements.</w:t>
            </w:r>
          </w:p>
        </w:tc>
      </w:tr>
      <w:tr w:rsidR="001B0833" w:rsidRPr="009E147C" w14:paraId="71DEF3F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C6B04B0" w14:textId="77777777" w:rsidR="001B0833" w:rsidRPr="009E147C" w:rsidRDefault="001B0833" w:rsidP="00164796">
            <w:pPr>
              <w:rPr>
                <w:rFonts w:cs="Arial"/>
                <w:lang w:val="en-US"/>
              </w:rPr>
            </w:pPr>
            <w:r w:rsidRPr="009E147C">
              <w:rPr>
                <w:rFonts w:cs="Arial"/>
                <w:lang w:val="en-US"/>
              </w:rPr>
              <w:t>4</w:t>
            </w:r>
          </w:p>
        </w:tc>
        <w:tc>
          <w:tcPr>
            <w:tcW w:w="1957" w:type="dxa"/>
          </w:tcPr>
          <w:p w14:paraId="209F9A5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25F1FE7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FBBC77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8B189F">
              <w:rPr>
                <w:rFonts w:cs="Arial"/>
                <w:lang w:val="en-US"/>
              </w:rPr>
              <w:t>NHMF</w:t>
            </w:r>
            <w:r w:rsidRPr="009E147C">
              <w:rPr>
                <w:rFonts w:cs="Arial"/>
                <w:lang w:val="en-US"/>
              </w:rPr>
              <w:t xml:space="preserve"> a high level of confidence in the ability of the Bidder to deliver the contract. May exceed the </w:t>
            </w:r>
            <w:r w:rsidR="008B189F">
              <w:rPr>
                <w:rFonts w:cs="Arial"/>
                <w:lang w:val="en-US"/>
              </w:rPr>
              <w:t>NHMF</w:t>
            </w:r>
            <w:r w:rsidRPr="009E147C">
              <w:rPr>
                <w:rFonts w:cs="Arial"/>
                <w:lang w:val="en-US"/>
              </w:rPr>
              <w:t xml:space="preserve">’s requirements in some respects. </w:t>
            </w:r>
          </w:p>
        </w:tc>
      </w:tr>
      <w:tr w:rsidR="001B0833" w:rsidRPr="009E147C" w14:paraId="1F4DE4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1425A99" w14:textId="77777777" w:rsidR="001B0833" w:rsidRPr="009E147C" w:rsidRDefault="001B0833" w:rsidP="00164796">
            <w:pPr>
              <w:rPr>
                <w:rFonts w:cs="Arial"/>
                <w:lang w:val="en-US"/>
              </w:rPr>
            </w:pPr>
            <w:r w:rsidRPr="009E147C">
              <w:rPr>
                <w:rFonts w:cs="Arial"/>
                <w:lang w:val="en-US"/>
              </w:rPr>
              <w:t>5</w:t>
            </w:r>
          </w:p>
        </w:tc>
        <w:tc>
          <w:tcPr>
            <w:tcW w:w="1957" w:type="dxa"/>
            <w:hideMark/>
          </w:tcPr>
          <w:p w14:paraId="399A497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F0148A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8B189F">
              <w:rPr>
                <w:rFonts w:cs="Arial"/>
                <w:lang w:val="en-US"/>
              </w:rPr>
              <w:t>NHMF</w:t>
            </w:r>
            <w:r w:rsidRPr="009E147C">
              <w:rPr>
                <w:rFonts w:cs="Arial"/>
                <w:lang w:val="en-US"/>
              </w:rPr>
              <w:t xml:space="preserve"> a very high level of confidence the ability of the Bidder to deliver the contract. May exceed the </w:t>
            </w:r>
            <w:r w:rsidR="008B189F">
              <w:rPr>
                <w:rFonts w:cs="Arial"/>
                <w:lang w:val="en-US"/>
              </w:rPr>
              <w:t>NHMF</w:t>
            </w:r>
            <w:r w:rsidRPr="009E147C">
              <w:rPr>
                <w:rFonts w:cs="Arial"/>
                <w:lang w:val="en-US"/>
              </w:rPr>
              <w:t>’s requirements in most respects.</w:t>
            </w:r>
          </w:p>
        </w:tc>
      </w:tr>
    </w:tbl>
    <w:p w14:paraId="0A497904" w14:textId="77777777" w:rsidR="001B0833" w:rsidRPr="006B27B4" w:rsidRDefault="002B0FB5"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3FB45795"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490D3C3" w14:textId="77777777" w:rsidR="00E00936" w:rsidRDefault="003A6DA0" w:rsidP="00E00936">
      <w:pPr>
        <w:pStyle w:val="Heading2"/>
        <w:rPr>
          <w:u w:val="single"/>
          <w:lang w:val="en-US"/>
        </w:rPr>
      </w:pPr>
      <w:r>
        <w:rPr>
          <w:u w:val="single"/>
          <w:lang w:val="en-US"/>
        </w:rPr>
        <w:t xml:space="preserve">Price Criterion at </w:t>
      </w:r>
      <w:r w:rsidR="002B0FB5">
        <w:rPr>
          <w:u w:val="single"/>
          <w:lang w:val="en-US"/>
        </w:rPr>
        <w:t>3</w:t>
      </w:r>
      <w:r w:rsidR="00E00936" w:rsidRPr="00E00936">
        <w:rPr>
          <w:u w:val="single"/>
          <w:lang w:val="en-US"/>
        </w:rPr>
        <w:t>0%</w:t>
      </w:r>
    </w:p>
    <w:p w14:paraId="43189125" w14:textId="4A697837" w:rsidR="00E00936" w:rsidRPr="00697E37" w:rsidRDefault="00DE01DA" w:rsidP="00C43DE6">
      <w:pPr>
        <w:pStyle w:val="ListParagraph"/>
        <w:numPr>
          <w:ilvl w:val="0"/>
          <w:numId w:val="7"/>
        </w:numPr>
        <w:rPr>
          <w:rFonts w:cs="Arial"/>
          <w:lang w:val="en-US"/>
        </w:rPr>
      </w:pPr>
      <w:r>
        <w:rPr>
          <w:rFonts w:cs="Arial"/>
          <w:lang w:val="en-US"/>
        </w:rPr>
        <w:t>30</w:t>
      </w:r>
      <w:r w:rsidR="00E00936" w:rsidRPr="00E00936">
        <w:rPr>
          <w:rFonts w:cs="Arial"/>
          <w:lang w:val="en-US"/>
        </w:rPr>
        <w:t xml:space="preserve"> marks will be awarded to the lowest priced bid and the remaining bidders will be allocated scores based on their deviation from this figure. Your fixed and total costs figure in your schedule of charges table will be used to score this question.</w:t>
      </w:r>
    </w:p>
    <w:p w14:paraId="2084FFDA" w14:textId="6D491178" w:rsidR="001B0833" w:rsidRPr="00697E37" w:rsidRDefault="00E00936" w:rsidP="00C43DE6">
      <w:pPr>
        <w:pStyle w:val="ListParagraph"/>
        <w:numPr>
          <w:ilvl w:val="0"/>
          <w:numId w:val="7"/>
        </w:numPr>
        <w:rPr>
          <w:lang w:val="en-US"/>
        </w:rPr>
      </w:pPr>
      <w:r w:rsidRPr="00E00936">
        <w:rPr>
          <w:rFonts w:cs="Arial"/>
          <w:lang w:val="en-US"/>
        </w:rPr>
        <w:t xml:space="preserve">For example, if the lowest price is £100 and the second lowest price is £108 then </w:t>
      </w:r>
      <w:r w:rsidR="00E83D68">
        <w:rPr>
          <w:rFonts w:cs="Arial"/>
          <w:lang w:val="en-US"/>
        </w:rPr>
        <w:t xml:space="preserve">the lowest priced bidder gets </w:t>
      </w:r>
      <w:r w:rsidR="00DE01DA">
        <w:rPr>
          <w:rFonts w:cs="Arial"/>
          <w:lang w:val="en-US"/>
        </w:rPr>
        <w:t>3</w:t>
      </w:r>
      <w:r w:rsidR="00E83D68">
        <w:rPr>
          <w:rFonts w:cs="Arial"/>
          <w:lang w:val="en-US"/>
        </w:rPr>
        <w:t>0</w:t>
      </w:r>
      <w:r w:rsidRPr="00E00936">
        <w:rPr>
          <w:rFonts w:cs="Arial"/>
          <w:lang w:val="en-US"/>
        </w:rPr>
        <w:t xml:space="preserve">% (full marks) for price and the second placed bidder </w:t>
      </w:r>
      <w:r w:rsidR="00E83D68">
        <w:rPr>
          <w:rFonts w:cs="Arial"/>
          <w:lang w:val="en-US"/>
        </w:rPr>
        <w:t xml:space="preserve">gets </w:t>
      </w:r>
      <w:r w:rsidR="00DE01DA">
        <w:rPr>
          <w:rFonts w:cs="Arial"/>
          <w:lang w:val="en-US"/>
        </w:rPr>
        <w:t>27.</w:t>
      </w:r>
      <w:r w:rsidR="00E83D68">
        <w:rPr>
          <w:rFonts w:cs="Arial"/>
          <w:lang w:val="en-US"/>
        </w:rPr>
        <w:t>6</w:t>
      </w:r>
      <w:r w:rsidR="003A6DA0">
        <w:rPr>
          <w:rFonts w:cs="Arial"/>
          <w:lang w:val="en-US"/>
        </w:rPr>
        <w:t xml:space="preserve">% and so on. (8/100 x </w:t>
      </w:r>
      <w:r w:rsidR="00DE01DA">
        <w:rPr>
          <w:rFonts w:cs="Arial"/>
          <w:lang w:val="en-US"/>
        </w:rPr>
        <w:t>3</w:t>
      </w:r>
      <w:r w:rsidR="003A6DA0">
        <w:rPr>
          <w:rFonts w:cs="Arial"/>
          <w:lang w:val="en-US"/>
        </w:rPr>
        <w:t xml:space="preserve">0 = </w:t>
      </w:r>
      <w:r w:rsidR="00DE01DA">
        <w:rPr>
          <w:rFonts w:cs="Arial"/>
          <w:lang w:val="en-US"/>
        </w:rPr>
        <w:t>2.</w:t>
      </w:r>
      <w:r w:rsidR="00286236">
        <w:rPr>
          <w:rFonts w:cs="Arial"/>
          <w:lang w:val="en-US"/>
        </w:rPr>
        <w:t xml:space="preserve">4 marks; </w:t>
      </w:r>
      <w:r w:rsidR="00DE01DA">
        <w:rPr>
          <w:rFonts w:cs="Arial"/>
          <w:lang w:val="en-US"/>
        </w:rPr>
        <w:t>3</w:t>
      </w:r>
      <w:r w:rsidR="00286236">
        <w:rPr>
          <w:rFonts w:cs="Arial"/>
          <w:lang w:val="en-US"/>
        </w:rPr>
        <w:t>0</w:t>
      </w:r>
      <w:r w:rsidR="00E34E4A">
        <w:rPr>
          <w:rFonts w:cs="Arial"/>
          <w:lang w:val="en-US"/>
        </w:rPr>
        <w:t xml:space="preserve"> </w:t>
      </w:r>
      <w:r w:rsidRPr="00E00936">
        <w:rPr>
          <w:rFonts w:cs="Arial"/>
          <w:lang w:val="en-US"/>
        </w:rPr>
        <w:t>-</w:t>
      </w:r>
      <w:r w:rsidR="00E34E4A">
        <w:rPr>
          <w:rFonts w:cs="Arial"/>
          <w:lang w:val="en-US"/>
        </w:rPr>
        <w:t xml:space="preserve"> </w:t>
      </w:r>
      <w:bookmarkStart w:id="0" w:name="_GoBack"/>
      <w:bookmarkEnd w:id="0"/>
      <w:r w:rsidR="00DE01DA">
        <w:rPr>
          <w:rFonts w:cs="Arial"/>
          <w:lang w:val="en-US"/>
        </w:rPr>
        <w:t>2.4</w:t>
      </w:r>
      <w:r w:rsidRPr="00E00936">
        <w:rPr>
          <w:rFonts w:cs="Arial"/>
          <w:lang w:val="en-US"/>
        </w:rPr>
        <w:t xml:space="preserve"> = </w:t>
      </w:r>
      <w:r w:rsidR="00DE01DA">
        <w:rPr>
          <w:rFonts w:cs="Arial"/>
          <w:lang w:val="en-US"/>
        </w:rPr>
        <w:t>27.</w:t>
      </w:r>
      <w:r w:rsidRPr="00E00936">
        <w:rPr>
          <w:rFonts w:cs="Arial"/>
          <w:lang w:val="en-US"/>
        </w:rPr>
        <w:t>6 marks)</w:t>
      </w:r>
    </w:p>
    <w:p w14:paraId="295805A5" w14:textId="77777777" w:rsidR="001B0833" w:rsidRPr="00E00936" w:rsidRDefault="001B0833" w:rsidP="00C43DE6">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30DD4E4E" w14:textId="77777777" w:rsidR="001B0833" w:rsidRPr="006B27B4" w:rsidRDefault="001B0833" w:rsidP="006B27B4">
      <w:pPr>
        <w:pStyle w:val="Heading2"/>
        <w:rPr>
          <w:u w:val="single"/>
        </w:rPr>
      </w:pPr>
      <w:r w:rsidRPr="00164796">
        <w:rPr>
          <w:u w:val="single"/>
        </w:rPr>
        <w:lastRenderedPageBreak/>
        <w:t>Table A - Schedule of Charges</w:t>
      </w:r>
    </w:p>
    <w:p w14:paraId="3511C520"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5C43EB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4A676AD"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1123AB49"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206EBA3B"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52EB3170"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1DF698C" w14:textId="77777777" w:rsidTr="005C1CA2">
        <w:trPr>
          <w:tblHeader/>
        </w:trPr>
        <w:tc>
          <w:tcPr>
            <w:tcW w:w="3655" w:type="dxa"/>
          </w:tcPr>
          <w:p w14:paraId="23D484E2"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AFA9ADC" w14:textId="77777777" w:rsidR="00CF253B" w:rsidRPr="0082194B" w:rsidRDefault="00CF253B" w:rsidP="00AA7BD2">
            <w:pPr>
              <w:rPr>
                <w:rFonts w:cs="Arial"/>
                <w:b/>
                <w:bCs/>
                <w:iCs/>
                <w:lang w:val="en-US"/>
              </w:rPr>
            </w:pPr>
            <w:r w:rsidRPr="0082194B">
              <w:rPr>
                <w:rFonts w:cs="Arial"/>
                <w:b/>
                <w:bCs/>
                <w:iCs/>
                <w:lang w:val="en-US"/>
              </w:rPr>
              <w:t>Post 1 @cost per day</w:t>
            </w:r>
          </w:p>
          <w:p w14:paraId="6B13ABB5" w14:textId="77777777" w:rsidR="00CF253B" w:rsidRPr="0082194B" w:rsidRDefault="00CF253B" w:rsidP="00AA7BD2">
            <w:pPr>
              <w:rPr>
                <w:rFonts w:cs="Arial"/>
                <w:b/>
                <w:bCs/>
                <w:iCs/>
                <w:lang w:val="en-US"/>
              </w:rPr>
            </w:pPr>
            <w:r w:rsidRPr="0082194B">
              <w:rPr>
                <w:rFonts w:cs="Arial"/>
                <w:b/>
                <w:bCs/>
                <w:iCs/>
                <w:lang w:val="en-US"/>
              </w:rPr>
              <w:t>(No of days)</w:t>
            </w:r>
          </w:p>
          <w:p w14:paraId="6CAF2B06" w14:textId="77777777" w:rsidR="00CF253B" w:rsidRPr="0082194B" w:rsidRDefault="00CF253B" w:rsidP="00AA7BD2">
            <w:pPr>
              <w:rPr>
                <w:rFonts w:cs="Arial"/>
                <w:bCs/>
                <w:i/>
                <w:iCs/>
                <w:lang w:val="en-US"/>
              </w:rPr>
            </w:pPr>
            <w:r w:rsidRPr="0082194B">
              <w:rPr>
                <w:rFonts w:cs="Arial"/>
                <w:bCs/>
                <w:i/>
                <w:iCs/>
                <w:lang w:val="en-US"/>
              </w:rPr>
              <w:t>e.g. Project Manager/ Director</w:t>
            </w:r>
          </w:p>
          <w:p w14:paraId="17127127"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398BB544" w14:textId="77777777" w:rsidR="00CF253B" w:rsidRPr="0082194B" w:rsidRDefault="00CF253B" w:rsidP="00AA7BD2">
            <w:pPr>
              <w:rPr>
                <w:rFonts w:cs="Arial"/>
                <w:b/>
                <w:bCs/>
                <w:iCs/>
                <w:lang w:val="en-US"/>
              </w:rPr>
            </w:pPr>
            <w:r w:rsidRPr="0082194B">
              <w:rPr>
                <w:rFonts w:cs="Arial"/>
                <w:b/>
                <w:bCs/>
                <w:iCs/>
                <w:lang w:val="en-US"/>
              </w:rPr>
              <w:t>Post 2 @cost per day</w:t>
            </w:r>
          </w:p>
          <w:p w14:paraId="3FB5D236" w14:textId="77777777" w:rsidR="00CF253B" w:rsidRPr="0082194B" w:rsidRDefault="00CF253B" w:rsidP="00AA7BD2">
            <w:pPr>
              <w:rPr>
                <w:rFonts w:cs="Arial"/>
                <w:b/>
                <w:bCs/>
                <w:iCs/>
                <w:lang w:val="en-US"/>
              </w:rPr>
            </w:pPr>
            <w:r w:rsidRPr="0082194B">
              <w:rPr>
                <w:rFonts w:cs="Arial"/>
                <w:b/>
                <w:bCs/>
                <w:iCs/>
                <w:lang w:val="en-US"/>
              </w:rPr>
              <w:t>(No of days)</w:t>
            </w:r>
          </w:p>
          <w:p w14:paraId="3D4E39A9"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7D06CC47" w14:textId="77777777" w:rsidR="00CF253B" w:rsidRPr="0082194B" w:rsidRDefault="007E2B81" w:rsidP="00AA7BD2">
            <w:pPr>
              <w:rPr>
                <w:rFonts w:cs="Arial"/>
                <w:b/>
                <w:bCs/>
                <w:iCs/>
                <w:lang w:val="en-US"/>
              </w:rPr>
            </w:pPr>
            <w:r>
              <w:rPr>
                <w:rFonts w:cs="Arial"/>
                <w:bCs/>
                <w:i/>
                <w:iCs/>
                <w:lang w:val="en-US"/>
              </w:rPr>
              <w:t>@£1.5</w:t>
            </w:r>
          </w:p>
        </w:tc>
        <w:tc>
          <w:tcPr>
            <w:tcW w:w="1302" w:type="dxa"/>
          </w:tcPr>
          <w:p w14:paraId="08D7AF5D" w14:textId="77777777" w:rsidR="00CF253B" w:rsidRPr="0082194B" w:rsidRDefault="00CF253B" w:rsidP="00AA7BD2">
            <w:pPr>
              <w:rPr>
                <w:rFonts w:cs="Arial"/>
                <w:b/>
                <w:bCs/>
                <w:iCs/>
                <w:lang w:val="en-US"/>
              </w:rPr>
            </w:pPr>
            <w:r w:rsidRPr="0082194B">
              <w:rPr>
                <w:rFonts w:cs="Arial"/>
                <w:b/>
                <w:bCs/>
                <w:iCs/>
                <w:lang w:val="en-US"/>
              </w:rPr>
              <w:t>Post 3 @cost per day</w:t>
            </w:r>
          </w:p>
          <w:p w14:paraId="556F4818" w14:textId="77777777" w:rsidR="00CF253B" w:rsidRPr="0082194B" w:rsidRDefault="00CF253B" w:rsidP="00AA7BD2">
            <w:pPr>
              <w:rPr>
                <w:rFonts w:cs="Arial"/>
                <w:b/>
                <w:bCs/>
                <w:iCs/>
                <w:lang w:val="en-US"/>
              </w:rPr>
            </w:pPr>
            <w:r w:rsidRPr="0082194B">
              <w:rPr>
                <w:rFonts w:cs="Arial"/>
                <w:b/>
                <w:bCs/>
                <w:iCs/>
                <w:lang w:val="en-US"/>
              </w:rPr>
              <w:t>(No of days)</w:t>
            </w:r>
          </w:p>
          <w:p w14:paraId="292D9B3C" w14:textId="77777777" w:rsidR="00CF253B" w:rsidRPr="0082194B" w:rsidRDefault="00CF253B" w:rsidP="00AA7BD2">
            <w:pPr>
              <w:rPr>
                <w:rFonts w:cs="Arial"/>
                <w:bCs/>
                <w:i/>
                <w:iCs/>
                <w:lang w:val="en-US"/>
              </w:rPr>
            </w:pPr>
            <w:r w:rsidRPr="0082194B">
              <w:rPr>
                <w:rFonts w:cs="Arial"/>
                <w:bCs/>
                <w:i/>
                <w:iCs/>
                <w:lang w:val="en-US"/>
              </w:rPr>
              <w:t xml:space="preserve">Junior </w:t>
            </w:r>
          </w:p>
          <w:p w14:paraId="55A91075"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51E9332B"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7A5CCA37"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54C698C4"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B874BFF" w14:textId="77777777" w:rsidTr="005C1CA2">
        <w:tc>
          <w:tcPr>
            <w:tcW w:w="3655" w:type="dxa"/>
            <w:hideMark/>
          </w:tcPr>
          <w:p w14:paraId="52E1119A"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1F6D1072"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361CB48A"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0646E4C8"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68C38D8B"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119F2E0" w14:textId="77777777" w:rsidR="00CF253B" w:rsidRPr="0082194B" w:rsidRDefault="007E2B81" w:rsidP="00AA7BD2">
            <w:pPr>
              <w:rPr>
                <w:rFonts w:cs="Arial"/>
                <w:bCs/>
                <w:i/>
                <w:iCs/>
                <w:lang w:val="en-US"/>
              </w:rPr>
            </w:pPr>
            <w:r>
              <w:rPr>
                <w:rFonts w:cs="Arial"/>
                <w:bCs/>
                <w:i/>
                <w:iCs/>
                <w:lang w:val="en-US"/>
              </w:rPr>
              <w:t>£4</w:t>
            </w:r>
          </w:p>
        </w:tc>
      </w:tr>
      <w:tr w:rsidR="00CF253B" w:rsidRPr="0082194B" w14:paraId="2950EE40" w14:textId="77777777" w:rsidTr="005C1CA2">
        <w:tc>
          <w:tcPr>
            <w:tcW w:w="3655" w:type="dxa"/>
            <w:hideMark/>
          </w:tcPr>
          <w:p w14:paraId="207B609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38342F82" w14:textId="77777777" w:rsidR="00CF253B" w:rsidRPr="0082194B" w:rsidRDefault="00CF253B" w:rsidP="00AA7BD2">
            <w:pPr>
              <w:rPr>
                <w:rFonts w:cs="Arial"/>
                <w:bCs/>
                <w:iCs/>
                <w:lang w:val="en-US"/>
              </w:rPr>
            </w:pPr>
          </w:p>
        </w:tc>
        <w:tc>
          <w:tcPr>
            <w:tcW w:w="1560" w:type="dxa"/>
          </w:tcPr>
          <w:p w14:paraId="450F54BC" w14:textId="77777777" w:rsidR="00CF253B" w:rsidRPr="0082194B" w:rsidRDefault="00CF253B" w:rsidP="00AA7BD2">
            <w:pPr>
              <w:rPr>
                <w:rFonts w:cs="Arial"/>
                <w:bCs/>
                <w:iCs/>
                <w:lang w:val="en-US"/>
              </w:rPr>
            </w:pPr>
          </w:p>
        </w:tc>
        <w:tc>
          <w:tcPr>
            <w:tcW w:w="1302" w:type="dxa"/>
          </w:tcPr>
          <w:p w14:paraId="78328736" w14:textId="77777777" w:rsidR="00CF253B" w:rsidRPr="0082194B" w:rsidRDefault="00CF253B" w:rsidP="00AA7BD2">
            <w:pPr>
              <w:rPr>
                <w:rFonts w:cs="Arial"/>
                <w:bCs/>
                <w:iCs/>
                <w:lang w:val="en-US"/>
              </w:rPr>
            </w:pPr>
          </w:p>
        </w:tc>
        <w:tc>
          <w:tcPr>
            <w:tcW w:w="823" w:type="dxa"/>
          </w:tcPr>
          <w:p w14:paraId="457A176E" w14:textId="77777777" w:rsidR="00CF253B" w:rsidRPr="0082194B" w:rsidRDefault="00CF253B" w:rsidP="00AA7BD2">
            <w:pPr>
              <w:rPr>
                <w:rFonts w:cs="Arial"/>
                <w:bCs/>
                <w:iCs/>
                <w:lang w:val="en-US"/>
              </w:rPr>
            </w:pPr>
          </w:p>
        </w:tc>
        <w:tc>
          <w:tcPr>
            <w:tcW w:w="850" w:type="dxa"/>
          </w:tcPr>
          <w:p w14:paraId="77E1B7B1" w14:textId="77777777" w:rsidR="00CF253B" w:rsidRPr="0082194B" w:rsidRDefault="00CF253B" w:rsidP="00AA7BD2">
            <w:pPr>
              <w:rPr>
                <w:rFonts w:cs="Arial"/>
                <w:bCs/>
                <w:iCs/>
                <w:lang w:val="en-US"/>
              </w:rPr>
            </w:pPr>
          </w:p>
        </w:tc>
      </w:tr>
      <w:tr w:rsidR="00CF253B" w:rsidRPr="0082194B" w14:paraId="41F9030F" w14:textId="77777777" w:rsidTr="005C1CA2">
        <w:tc>
          <w:tcPr>
            <w:tcW w:w="3655" w:type="dxa"/>
            <w:hideMark/>
          </w:tcPr>
          <w:p w14:paraId="20D0C4ED"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041F6A01" w14:textId="77777777" w:rsidR="00CF253B" w:rsidRPr="0082194B" w:rsidRDefault="00CF253B" w:rsidP="00AA7BD2">
            <w:pPr>
              <w:rPr>
                <w:rFonts w:cs="Arial"/>
                <w:bCs/>
                <w:iCs/>
                <w:lang w:val="en-US"/>
              </w:rPr>
            </w:pPr>
          </w:p>
        </w:tc>
        <w:tc>
          <w:tcPr>
            <w:tcW w:w="1560" w:type="dxa"/>
          </w:tcPr>
          <w:p w14:paraId="44325ACA" w14:textId="77777777" w:rsidR="00CF253B" w:rsidRPr="0082194B" w:rsidRDefault="00CF253B" w:rsidP="00AA7BD2">
            <w:pPr>
              <w:rPr>
                <w:rFonts w:cs="Arial"/>
                <w:bCs/>
                <w:iCs/>
                <w:lang w:val="en-US"/>
              </w:rPr>
            </w:pPr>
          </w:p>
        </w:tc>
        <w:tc>
          <w:tcPr>
            <w:tcW w:w="1302" w:type="dxa"/>
          </w:tcPr>
          <w:p w14:paraId="5AD1DA96" w14:textId="77777777" w:rsidR="00CF253B" w:rsidRPr="0082194B" w:rsidRDefault="00CF253B" w:rsidP="00AA7BD2">
            <w:pPr>
              <w:rPr>
                <w:rFonts w:cs="Arial"/>
                <w:bCs/>
                <w:iCs/>
                <w:lang w:val="en-US"/>
              </w:rPr>
            </w:pPr>
          </w:p>
        </w:tc>
        <w:tc>
          <w:tcPr>
            <w:tcW w:w="823" w:type="dxa"/>
          </w:tcPr>
          <w:p w14:paraId="3FBB9937" w14:textId="77777777" w:rsidR="00CF253B" w:rsidRPr="0082194B" w:rsidRDefault="00CF253B" w:rsidP="00AA7BD2">
            <w:pPr>
              <w:rPr>
                <w:rFonts w:cs="Arial"/>
                <w:bCs/>
                <w:iCs/>
                <w:lang w:val="en-US"/>
              </w:rPr>
            </w:pPr>
          </w:p>
        </w:tc>
        <w:tc>
          <w:tcPr>
            <w:tcW w:w="850" w:type="dxa"/>
          </w:tcPr>
          <w:p w14:paraId="1AF19BF7" w14:textId="77777777" w:rsidR="00CF253B" w:rsidRPr="0082194B" w:rsidRDefault="00CF253B" w:rsidP="00AA7BD2">
            <w:pPr>
              <w:rPr>
                <w:rFonts w:cs="Arial"/>
                <w:bCs/>
                <w:iCs/>
                <w:lang w:val="en-US"/>
              </w:rPr>
            </w:pPr>
          </w:p>
        </w:tc>
      </w:tr>
      <w:tr w:rsidR="00CF253B" w:rsidRPr="0082194B" w14:paraId="6335ABFB" w14:textId="77777777" w:rsidTr="005C1CA2">
        <w:tc>
          <w:tcPr>
            <w:tcW w:w="3655" w:type="dxa"/>
            <w:hideMark/>
          </w:tcPr>
          <w:p w14:paraId="08F7365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0EED2E15" w14:textId="77777777" w:rsidR="00CF253B" w:rsidRPr="0082194B" w:rsidRDefault="00CF253B" w:rsidP="00AA7BD2">
            <w:pPr>
              <w:rPr>
                <w:rFonts w:cs="Arial"/>
                <w:bCs/>
                <w:iCs/>
                <w:lang w:val="en-US"/>
              </w:rPr>
            </w:pPr>
          </w:p>
        </w:tc>
        <w:tc>
          <w:tcPr>
            <w:tcW w:w="1560" w:type="dxa"/>
          </w:tcPr>
          <w:p w14:paraId="3C0D9A1F" w14:textId="77777777" w:rsidR="00CF253B" w:rsidRPr="0082194B" w:rsidRDefault="00CF253B" w:rsidP="00AA7BD2">
            <w:pPr>
              <w:rPr>
                <w:rFonts w:cs="Arial"/>
                <w:bCs/>
                <w:iCs/>
                <w:lang w:val="en-US"/>
              </w:rPr>
            </w:pPr>
          </w:p>
        </w:tc>
        <w:tc>
          <w:tcPr>
            <w:tcW w:w="1302" w:type="dxa"/>
          </w:tcPr>
          <w:p w14:paraId="70DE5D78" w14:textId="77777777" w:rsidR="00CF253B" w:rsidRPr="0082194B" w:rsidRDefault="00CF253B" w:rsidP="00AA7BD2">
            <w:pPr>
              <w:rPr>
                <w:rFonts w:cs="Arial"/>
                <w:bCs/>
                <w:iCs/>
                <w:lang w:val="en-US"/>
              </w:rPr>
            </w:pPr>
          </w:p>
        </w:tc>
        <w:tc>
          <w:tcPr>
            <w:tcW w:w="823" w:type="dxa"/>
          </w:tcPr>
          <w:p w14:paraId="1DB4A601" w14:textId="77777777" w:rsidR="00CF253B" w:rsidRPr="0082194B" w:rsidRDefault="00CF253B" w:rsidP="00AA7BD2">
            <w:pPr>
              <w:rPr>
                <w:rFonts w:cs="Arial"/>
                <w:bCs/>
                <w:iCs/>
                <w:lang w:val="en-US"/>
              </w:rPr>
            </w:pPr>
          </w:p>
        </w:tc>
        <w:tc>
          <w:tcPr>
            <w:tcW w:w="850" w:type="dxa"/>
          </w:tcPr>
          <w:p w14:paraId="36512CEF" w14:textId="77777777" w:rsidR="00CF253B" w:rsidRPr="0082194B" w:rsidRDefault="00CF253B" w:rsidP="00AA7BD2">
            <w:pPr>
              <w:rPr>
                <w:rFonts w:cs="Arial"/>
                <w:bCs/>
                <w:iCs/>
                <w:lang w:val="en-US"/>
              </w:rPr>
            </w:pPr>
          </w:p>
        </w:tc>
      </w:tr>
    </w:tbl>
    <w:p w14:paraId="1D13B040"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260B80B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175D4897"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70B68B5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48AB18AC"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254A6E6"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2493798F"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5D239CF"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6DE616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C4B0A2C"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125D214F"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D00B5E8"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2F4F5AD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19D38B73" w14:textId="77777777" w:rsidR="00CF253B" w:rsidRPr="0082194B" w:rsidRDefault="00CF253B" w:rsidP="00CF253B">
      <w:pPr>
        <w:tabs>
          <w:tab w:val="right" w:pos="9072"/>
        </w:tabs>
        <w:rPr>
          <w:rFonts w:cs="Arial"/>
          <w:b/>
          <w:bCs/>
          <w:iCs/>
        </w:rPr>
      </w:pPr>
    </w:p>
    <w:p w14:paraId="639973A5"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10F67BFA"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8B189F">
        <w:rPr>
          <w:rFonts w:cs="Arial"/>
          <w:b/>
          <w:bCs/>
          <w:iCs/>
        </w:rPr>
        <w:t>NHMF</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8B189F">
        <w:rPr>
          <w:rFonts w:cs="Arial"/>
          <w:b/>
          <w:bCs/>
          <w:iCs/>
        </w:rPr>
        <w:t>NHMF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5AFEE309" w14:textId="77777777"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7F58B977" w14:textId="77777777" w:rsidR="00CF253B" w:rsidRPr="00CF253B" w:rsidRDefault="00CF253B" w:rsidP="00C43DE6">
      <w:pPr>
        <w:pStyle w:val="Heading1"/>
        <w:numPr>
          <w:ilvl w:val="0"/>
          <w:numId w:val="1"/>
        </w:numPr>
      </w:pPr>
      <w:r w:rsidRPr="0034414E">
        <w:t>Procurement Process</w:t>
      </w:r>
    </w:p>
    <w:p w14:paraId="09D00B56" w14:textId="77777777" w:rsidR="00E4627B" w:rsidRDefault="008B189F" w:rsidP="00C43DE6">
      <w:pPr>
        <w:numPr>
          <w:ilvl w:val="1"/>
          <w:numId w:val="1"/>
        </w:numPr>
        <w:spacing w:after="240" w:line="276" w:lineRule="auto"/>
        <w:rPr>
          <w:rFonts w:cs="Arial"/>
          <w:szCs w:val="22"/>
        </w:rPr>
      </w:pPr>
      <w:r>
        <w:rPr>
          <w:rFonts w:cs="Arial"/>
          <w:szCs w:val="22"/>
        </w:rPr>
        <w:t>NHMF</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NHMF</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0D4F9486" w14:textId="77777777" w:rsidR="00E4627B" w:rsidRPr="00E4627B" w:rsidRDefault="00E4627B" w:rsidP="00C43DE6">
      <w:pPr>
        <w:numPr>
          <w:ilvl w:val="1"/>
          <w:numId w:val="1"/>
        </w:numPr>
        <w:spacing w:after="240" w:line="276" w:lineRule="auto"/>
        <w:rPr>
          <w:rFonts w:cs="Arial"/>
          <w:szCs w:val="22"/>
        </w:rPr>
      </w:pPr>
      <w:r w:rsidRPr="00E4627B">
        <w:t>The procurement timetable will be:</w:t>
      </w:r>
    </w:p>
    <w:p w14:paraId="41018796" w14:textId="77777777" w:rsidR="002B0FB5" w:rsidRPr="002B0FB5" w:rsidRDefault="002B0FB5" w:rsidP="002B0FB5">
      <w:pPr>
        <w:spacing w:after="240" w:line="276" w:lineRule="auto"/>
        <w:rPr>
          <w:rFonts w:eastAsia="Arial" w:cs="Arial"/>
        </w:rPr>
      </w:pPr>
      <w:r w:rsidRPr="002B0FB5">
        <w:rPr>
          <w:rFonts w:eastAsia="Arial" w:cs="Arial"/>
        </w:rPr>
        <w:t>The procurement timetable will be:</w:t>
      </w:r>
    </w:p>
    <w:p w14:paraId="72BB5417" w14:textId="77777777" w:rsidR="002B0FB5" w:rsidRPr="002B0FB5" w:rsidRDefault="002B0FB5" w:rsidP="00C43DE6">
      <w:pPr>
        <w:pStyle w:val="ListParagraph"/>
        <w:numPr>
          <w:ilvl w:val="0"/>
          <w:numId w:val="14"/>
        </w:numPr>
        <w:spacing w:line="276" w:lineRule="auto"/>
      </w:pPr>
      <w:r w:rsidRPr="002B0FB5">
        <w:rPr>
          <w:rFonts w:eastAsia="Arial" w:cs="Arial"/>
        </w:rPr>
        <w:t>Deadline for clarification questions: 7</w:t>
      </w:r>
      <w:r w:rsidRPr="002B0FB5">
        <w:rPr>
          <w:rFonts w:eastAsia="Arial" w:cs="Arial"/>
          <w:vertAlign w:val="superscript"/>
        </w:rPr>
        <w:t>th</w:t>
      </w:r>
      <w:r w:rsidRPr="002B0FB5">
        <w:rPr>
          <w:rFonts w:eastAsia="Arial" w:cs="Arial"/>
        </w:rPr>
        <w:t xml:space="preserve"> February</w:t>
      </w:r>
    </w:p>
    <w:p w14:paraId="1795E4F4" w14:textId="69E433F4" w:rsidR="002B0FB5" w:rsidRPr="002B0FB5" w:rsidRDefault="002B0FB5" w:rsidP="00C43DE6">
      <w:pPr>
        <w:pStyle w:val="ListParagraph"/>
        <w:numPr>
          <w:ilvl w:val="0"/>
          <w:numId w:val="14"/>
        </w:numPr>
        <w:spacing w:line="276" w:lineRule="auto"/>
        <w:rPr>
          <w:rFonts w:asciiTheme="minorHAnsi" w:eastAsiaTheme="minorEastAsia" w:hAnsiTheme="minorHAnsi" w:cstheme="minorBidi"/>
        </w:rPr>
      </w:pPr>
      <w:r w:rsidRPr="002B0FB5">
        <w:rPr>
          <w:rFonts w:eastAsia="Arial" w:cs="Arial"/>
        </w:rPr>
        <w:t>Tender return deadline: 1</w:t>
      </w:r>
      <w:r w:rsidR="00654CF2">
        <w:rPr>
          <w:rFonts w:eastAsia="Arial" w:cs="Arial"/>
        </w:rPr>
        <w:t>4</w:t>
      </w:r>
      <w:r w:rsidRPr="002B0FB5">
        <w:rPr>
          <w:rFonts w:eastAsia="Arial" w:cs="Arial"/>
          <w:vertAlign w:val="superscript"/>
        </w:rPr>
        <w:t>th</w:t>
      </w:r>
      <w:r w:rsidRPr="002B0FB5">
        <w:rPr>
          <w:rFonts w:eastAsia="Arial" w:cs="Arial"/>
        </w:rPr>
        <w:t xml:space="preserve"> February</w:t>
      </w:r>
    </w:p>
    <w:p w14:paraId="6C7D1C03" w14:textId="77777777" w:rsidR="002B0FB5" w:rsidRPr="002B0FB5" w:rsidRDefault="002B0FB5" w:rsidP="00C43DE6">
      <w:pPr>
        <w:pStyle w:val="ListParagraph"/>
        <w:numPr>
          <w:ilvl w:val="0"/>
          <w:numId w:val="14"/>
        </w:numPr>
        <w:spacing w:line="276" w:lineRule="auto"/>
      </w:pPr>
      <w:r w:rsidRPr="002B0FB5">
        <w:rPr>
          <w:rFonts w:eastAsia="Arial" w:cs="Arial"/>
        </w:rPr>
        <w:t>Tender panel (London or Birmingham): 18</w:t>
      </w:r>
      <w:r w:rsidRPr="002B0FB5">
        <w:rPr>
          <w:rFonts w:eastAsia="Arial" w:cs="Arial"/>
          <w:vertAlign w:val="superscript"/>
        </w:rPr>
        <w:t>th</w:t>
      </w:r>
      <w:r w:rsidRPr="002B0FB5">
        <w:rPr>
          <w:rFonts w:eastAsia="Arial" w:cs="Arial"/>
        </w:rPr>
        <w:t xml:space="preserve"> February</w:t>
      </w:r>
    </w:p>
    <w:p w14:paraId="16A881D9" w14:textId="77777777" w:rsidR="002B0FB5" w:rsidRPr="002B0FB5" w:rsidRDefault="002B0FB5" w:rsidP="00C43DE6">
      <w:pPr>
        <w:pStyle w:val="ListParagraph"/>
        <w:numPr>
          <w:ilvl w:val="0"/>
          <w:numId w:val="14"/>
        </w:numPr>
        <w:spacing w:line="276" w:lineRule="auto"/>
        <w:rPr>
          <w:b/>
          <w:bCs/>
        </w:rPr>
      </w:pPr>
      <w:r w:rsidRPr="002B0FB5">
        <w:rPr>
          <w:rFonts w:eastAsia="Arial" w:cs="Arial"/>
        </w:rPr>
        <w:t xml:space="preserve">THE FUND will notify bidders of our procurement decision </w:t>
      </w:r>
      <w:r w:rsidRPr="002B0FB5">
        <w:rPr>
          <w:rFonts w:eastAsia="Arial" w:cs="Arial"/>
          <w:b/>
          <w:bCs/>
        </w:rPr>
        <w:t>by the 20</w:t>
      </w:r>
      <w:r w:rsidRPr="002B0FB5">
        <w:rPr>
          <w:rFonts w:eastAsia="Arial" w:cs="Arial"/>
          <w:b/>
          <w:bCs/>
          <w:vertAlign w:val="superscript"/>
        </w:rPr>
        <w:t>th</w:t>
      </w:r>
      <w:r w:rsidRPr="002B0FB5">
        <w:rPr>
          <w:rFonts w:eastAsia="Arial" w:cs="Arial"/>
          <w:b/>
          <w:bCs/>
        </w:rPr>
        <w:t xml:space="preserve"> February</w:t>
      </w:r>
    </w:p>
    <w:p w14:paraId="598A24E4" w14:textId="77777777" w:rsidR="002B0FB5" w:rsidRPr="004A093C" w:rsidRDefault="002B0FB5" w:rsidP="002B0FB5">
      <w:pPr>
        <w:spacing w:line="276" w:lineRule="auto"/>
        <w:ind w:left="360"/>
        <w:rPr>
          <w:rFonts w:eastAsia="Arial" w:cs="Arial"/>
          <w:b/>
          <w:bCs/>
        </w:rPr>
      </w:pPr>
    </w:p>
    <w:p w14:paraId="23B62E79" w14:textId="77777777" w:rsidR="002B0FB5" w:rsidRPr="00991E64" w:rsidRDefault="002B0FB5" w:rsidP="00C43DE6">
      <w:pPr>
        <w:pStyle w:val="ListParagraph"/>
        <w:numPr>
          <w:ilvl w:val="0"/>
          <w:numId w:val="14"/>
        </w:numPr>
        <w:spacing w:line="276" w:lineRule="auto"/>
      </w:pPr>
      <w:r w:rsidRPr="3FB33893">
        <w:rPr>
          <w:rFonts w:eastAsia="Arial" w:cs="Arial"/>
        </w:rPr>
        <w:t>*THE FUND will respond to clarification questions and send the answers to the organisations that have been sent the tender. Please note that we will make the questions anonymised</w:t>
      </w:r>
      <w:r>
        <w:rPr>
          <w:rFonts w:eastAsia="Arial" w:cs="Arial"/>
        </w:rPr>
        <w:t xml:space="preserve"> and our response to them will be available to everyone on our website. </w:t>
      </w:r>
    </w:p>
    <w:p w14:paraId="1F21A429" w14:textId="77777777" w:rsidR="002B0FB5" w:rsidRPr="006E0CDC" w:rsidRDefault="002B0FB5" w:rsidP="002B0FB5">
      <w:pPr>
        <w:spacing w:line="276" w:lineRule="auto"/>
        <w:rPr>
          <w:rFonts w:eastAsia="Arial" w:cs="Arial"/>
          <w:color w:val="FF0000"/>
        </w:rPr>
      </w:pPr>
    </w:p>
    <w:p w14:paraId="68A38851" w14:textId="77777777" w:rsidR="002B0FB5" w:rsidRPr="00223F05" w:rsidRDefault="002B0FB5" w:rsidP="00C43DE6">
      <w:pPr>
        <w:pStyle w:val="ListParagraph"/>
        <w:numPr>
          <w:ilvl w:val="0"/>
          <w:numId w:val="14"/>
        </w:numPr>
        <w:spacing w:line="276" w:lineRule="auto"/>
        <w:rPr>
          <w:color w:val="000000" w:themeColor="text1"/>
        </w:rPr>
      </w:pPr>
      <w:r w:rsidRPr="3FB33893">
        <w:rPr>
          <w:rFonts w:eastAsia="Arial" w:cs="Arial"/>
          <w:color w:val="000000" w:themeColor="text1"/>
        </w:rPr>
        <w:t xml:space="preserve">**We reserve the right to carry out clarifications if necessary; these may be carried out via email or by inviting bidders to attend a clarification meeting.  </w:t>
      </w:r>
    </w:p>
    <w:p w14:paraId="64B179F1" w14:textId="77777777" w:rsidR="002B0FB5" w:rsidRPr="00E4627B" w:rsidRDefault="002B0FB5" w:rsidP="002B0FB5">
      <w:pPr>
        <w:spacing w:after="240" w:line="276" w:lineRule="auto"/>
        <w:ind w:left="720"/>
        <w:rPr>
          <w:rFonts w:eastAsia="Arial" w:cs="Arial"/>
        </w:rPr>
      </w:pPr>
    </w:p>
    <w:p w14:paraId="07A00FAF" w14:textId="00A6DF10" w:rsidR="002B0FB5" w:rsidRPr="004D2C5F" w:rsidRDefault="002B0FB5" w:rsidP="00C43DE6">
      <w:pPr>
        <w:pStyle w:val="ListParagraph"/>
        <w:numPr>
          <w:ilvl w:val="1"/>
          <w:numId w:val="1"/>
        </w:numPr>
        <w:spacing w:after="240" w:line="276" w:lineRule="auto"/>
        <w:contextualSpacing w:val="0"/>
      </w:pPr>
      <w:r w:rsidRPr="3FB33893">
        <w:rPr>
          <w:rFonts w:eastAsia="Arial" w:cs="Arial"/>
        </w:rPr>
        <w:t xml:space="preserve">Your tender proposals must be sent electronically via e-mail before the tender return deadline of </w:t>
      </w:r>
      <w:r>
        <w:rPr>
          <w:rFonts w:eastAsia="Arial" w:cs="Arial"/>
          <w:b/>
          <w:bCs/>
        </w:rPr>
        <w:t>1</w:t>
      </w:r>
      <w:r w:rsidR="00654CF2">
        <w:rPr>
          <w:rFonts w:eastAsia="Arial" w:cs="Arial"/>
          <w:b/>
          <w:bCs/>
        </w:rPr>
        <w:t>4</w:t>
      </w:r>
      <w:r w:rsidRPr="009B58FA">
        <w:rPr>
          <w:rFonts w:eastAsia="Arial" w:cs="Arial"/>
          <w:b/>
          <w:bCs/>
          <w:vertAlign w:val="superscript"/>
        </w:rPr>
        <w:t>th</w:t>
      </w:r>
      <w:r>
        <w:rPr>
          <w:rFonts w:eastAsia="Arial" w:cs="Arial"/>
          <w:b/>
          <w:bCs/>
        </w:rPr>
        <w:t xml:space="preserve"> February</w:t>
      </w:r>
      <w:r w:rsidRPr="3FB33893">
        <w:rPr>
          <w:rFonts w:eastAsia="Arial" w:cs="Arial"/>
          <w:b/>
          <w:bCs/>
        </w:rPr>
        <w:t xml:space="preserve"> </w:t>
      </w:r>
      <w:r w:rsidRPr="3FB33893">
        <w:rPr>
          <w:rFonts w:eastAsia="Arial" w:cs="Arial"/>
        </w:rPr>
        <w:t>to the following contact:</w:t>
      </w:r>
    </w:p>
    <w:p w14:paraId="22866D17" w14:textId="77777777" w:rsidR="002B0FB5" w:rsidRPr="009B58FA" w:rsidRDefault="002B0FB5" w:rsidP="002B0FB5">
      <w:pPr>
        <w:spacing w:line="276" w:lineRule="auto"/>
        <w:ind w:left="720"/>
        <w:rPr>
          <w:rFonts w:eastAsia="Arial" w:cs="Arial"/>
          <w:b/>
          <w:bCs/>
          <w:lang w:val="sv-SE"/>
        </w:rPr>
      </w:pPr>
      <w:r w:rsidRPr="009B58FA">
        <w:rPr>
          <w:rFonts w:eastAsia="Arial" w:cs="Arial"/>
          <w:b/>
          <w:bCs/>
          <w:lang w:val="sv-SE"/>
        </w:rPr>
        <w:t>Tom Walters</w:t>
      </w:r>
    </w:p>
    <w:p w14:paraId="1A13CDE5" w14:textId="77777777" w:rsidR="002B0FB5" w:rsidRPr="009B58FA" w:rsidRDefault="00F964A9" w:rsidP="002B0FB5">
      <w:pPr>
        <w:spacing w:line="276" w:lineRule="auto"/>
        <w:ind w:left="720"/>
        <w:rPr>
          <w:rFonts w:eastAsia="Arial" w:cs="Arial"/>
          <w:b/>
          <w:bCs/>
          <w:lang w:val="sv-SE"/>
        </w:rPr>
      </w:pPr>
      <w:hyperlink r:id="rId11" w:history="1">
        <w:r w:rsidR="002B0FB5" w:rsidRPr="009B58FA">
          <w:rPr>
            <w:rStyle w:val="Hyperlink"/>
            <w:rFonts w:eastAsia="Arial" w:cs="Arial"/>
            <w:b/>
            <w:bCs/>
            <w:lang w:val="sv-SE"/>
          </w:rPr>
          <w:t>Tom.Walters@heritagefund.org.uk</w:t>
        </w:r>
      </w:hyperlink>
      <w:r w:rsidR="002B0FB5" w:rsidRPr="009B58FA">
        <w:rPr>
          <w:rFonts w:eastAsia="Arial" w:cs="Arial"/>
          <w:b/>
          <w:bCs/>
          <w:lang w:val="sv-SE"/>
        </w:rPr>
        <w:t xml:space="preserve"> </w:t>
      </w:r>
    </w:p>
    <w:p w14:paraId="04CE890F" w14:textId="77777777" w:rsidR="002B0FB5" w:rsidRPr="00056B22" w:rsidRDefault="002B0FB5" w:rsidP="002B0FB5">
      <w:pPr>
        <w:spacing w:line="276" w:lineRule="auto"/>
        <w:ind w:left="720"/>
        <w:rPr>
          <w:rFonts w:eastAsia="Arial" w:cs="Arial"/>
        </w:rPr>
      </w:pPr>
      <w:r w:rsidRPr="3FB33893">
        <w:rPr>
          <w:rFonts w:eastAsia="Arial" w:cs="Arial"/>
        </w:rPr>
        <w:t>Heritage Lottery Fund</w:t>
      </w:r>
    </w:p>
    <w:p w14:paraId="026CC724" w14:textId="77777777" w:rsidR="002B0FB5" w:rsidRDefault="002B0FB5" w:rsidP="002B0FB5">
      <w:pPr>
        <w:spacing w:line="276" w:lineRule="auto"/>
        <w:ind w:left="720"/>
        <w:rPr>
          <w:rFonts w:eastAsia="Arial" w:cs="Arial"/>
        </w:rPr>
      </w:pPr>
      <w:r>
        <w:rPr>
          <w:rFonts w:eastAsia="Arial" w:cs="Arial"/>
        </w:rPr>
        <w:t>Mezzanine Floor, International House,</w:t>
      </w:r>
    </w:p>
    <w:p w14:paraId="22205685" w14:textId="77777777" w:rsidR="002B0FB5" w:rsidRDefault="002B0FB5" w:rsidP="002B0FB5">
      <w:pPr>
        <w:spacing w:line="276" w:lineRule="auto"/>
        <w:ind w:left="720"/>
        <w:rPr>
          <w:rFonts w:eastAsia="Arial" w:cs="Arial"/>
        </w:rPr>
      </w:pPr>
      <w:r>
        <w:rPr>
          <w:rFonts w:eastAsia="Arial" w:cs="Arial"/>
        </w:rPr>
        <w:t>1 St Katherine’s Way,</w:t>
      </w:r>
    </w:p>
    <w:p w14:paraId="4DA3E6C3" w14:textId="77777777" w:rsidR="002B0FB5" w:rsidRPr="00056B22" w:rsidRDefault="002B0FB5" w:rsidP="002B0FB5">
      <w:pPr>
        <w:spacing w:line="276" w:lineRule="auto"/>
        <w:ind w:left="720"/>
        <w:rPr>
          <w:rFonts w:eastAsia="Arial" w:cs="Arial"/>
        </w:rPr>
      </w:pPr>
      <w:r w:rsidRPr="3FB33893">
        <w:rPr>
          <w:rFonts w:eastAsia="Arial" w:cs="Arial"/>
        </w:rPr>
        <w:t>London</w:t>
      </w:r>
    </w:p>
    <w:p w14:paraId="23D8AB65" w14:textId="77777777" w:rsidR="00C26086" w:rsidRPr="00E4627B" w:rsidRDefault="00C26086" w:rsidP="00697E37">
      <w:pPr>
        <w:ind w:left="720"/>
        <w:rPr>
          <w:rFonts w:cs="Arial"/>
          <w:color w:val="FF0000"/>
          <w:szCs w:val="22"/>
        </w:rPr>
      </w:pPr>
    </w:p>
    <w:p w14:paraId="4A341264" w14:textId="77777777" w:rsidR="0082194B" w:rsidRPr="00697E37" w:rsidRDefault="00E4627B" w:rsidP="00C43DE6">
      <w:pPr>
        <w:numPr>
          <w:ilvl w:val="1"/>
          <w:numId w:val="1"/>
        </w:numPr>
        <w:spacing w:after="240" w:line="276" w:lineRule="auto"/>
        <w:rPr>
          <w:rFonts w:cs="Arial"/>
          <w:szCs w:val="22"/>
        </w:rPr>
      </w:pPr>
      <w:r w:rsidRPr="00E4627B">
        <w:rPr>
          <w:szCs w:val="22"/>
        </w:rPr>
        <w:t xml:space="preserve">Please visit the </w:t>
      </w:r>
      <w:hyperlink r:id="rId12" w:history="1">
        <w:r w:rsidR="008B189F">
          <w:rPr>
            <w:rStyle w:val="Hyperlink"/>
            <w:rFonts w:cs="Arial"/>
            <w:szCs w:val="22"/>
          </w:rPr>
          <w:t>NHMF</w:t>
        </w:r>
        <w:r w:rsidRPr="00E4627B">
          <w:rPr>
            <w:rStyle w:val="Hyperlink"/>
            <w:rFonts w:cs="Arial"/>
            <w:szCs w:val="22"/>
          </w:rPr>
          <w:t xml:space="preserve"> website</w:t>
        </w:r>
      </w:hyperlink>
      <w:r w:rsidRPr="00E4627B">
        <w:rPr>
          <w:szCs w:val="22"/>
        </w:rPr>
        <w:t xml:space="preserve"> for further information about the organisation</w:t>
      </w:r>
      <w:r w:rsidR="00CF253B">
        <w:rPr>
          <w:rFonts w:cs="Arial"/>
          <w:color w:val="FF0000"/>
          <w:szCs w:val="22"/>
        </w:rPr>
        <w:t>.</w:t>
      </w:r>
    </w:p>
    <w:p w14:paraId="4AB251DB" w14:textId="77777777" w:rsidR="0082194B" w:rsidRPr="0082194B" w:rsidRDefault="0082194B" w:rsidP="0082194B">
      <w:pPr>
        <w:rPr>
          <w:rFonts w:cs="Arial"/>
          <w:szCs w:val="22"/>
        </w:rPr>
      </w:pPr>
      <w:r w:rsidRPr="0082194B">
        <w:rPr>
          <w:rFonts w:cs="Arial"/>
          <w:szCs w:val="22"/>
        </w:rPr>
        <w:br w:type="page"/>
      </w:r>
    </w:p>
    <w:p w14:paraId="35FB1BFF" w14:textId="77777777" w:rsidR="00A103BE" w:rsidRPr="002B0FB5" w:rsidRDefault="00A103BE" w:rsidP="00A103BE">
      <w:pPr>
        <w:pStyle w:val="Heading1"/>
        <w:rPr>
          <w:sz w:val="28"/>
          <w:szCs w:val="28"/>
        </w:rPr>
      </w:pPr>
      <w:r w:rsidRPr="002B0FB5">
        <w:rPr>
          <w:sz w:val="28"/>
          <w:szCs w:val="28"/>
        </w:rPr>
        <w:lastRenderedPageBreak/>
        <w:t>Appendix</w:t>
      </w:r>
      <w:r w:rsidR="002B0FB5" w:rsidRPr="002B0FB5">
        <w:rPr>
          <w:sz w:val="28"/>
          <w:szCs w:val="28"/>
        </w:rPr>
        <w:t xml:space="preserve"> A</w:t>
      </w:r>
      <w:r w:rsidRPr="002B0FB5">
        <w:rPr>
          <w:sz w:val="28"/>
          <w:szCs w:val="28"/>
        </w:rPr>
        <w:t>: Accessibility and formatting guidance</w:t>
      </w:r>
    </w:p>
    <w:p w14:paraId="7D6DCC84" w14:textId="77777777" w:rsidR="00A103BE" w:rsidRPr="00B96F7F" w:rsidRDefault="008B189F" w:rsidP="00A103BE">
      <w:pPr>
        <w:spacing w:after="240"/>
        <w:rPr>
          <w:rFonts w:cs="Arial"/>
        </w:rPr>
      </w:pPr>
      <w:r>
        <w:rPr>
          <w:rFonts w:cs="Arial"/>
        </w:rPr>
        <w:t>NHMF</w:t>
      </w:r>
      <w:r w:rsidR="00A103BE" w:rsidRPr="00B96F7F">
        <w:rPr>
          <w:rFonts w:cs="Arial"/>
        </w:rPr>
        <w:t xml:space="preserve"> is committed to providing a website that is accessible to the widest possible audience. Our </w:t>
      </w:r>
      <w:r w:rsidR="00A103BE">
        <w:rPr>
          <w:rFonts w:cs="Arial"/>
        </w:rPr>
        <w:t>web</w:t>
      </w:r>
      <w:r w:rsidR="00A103BE"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784BDDB5" w14:textId="77777777" w:rsidR="00A103BE" w:rsidRPr="008C409D" w:rsidRDefault="00A103BE" w:rsidP="00A103BE">
      <w:pPr>
        <w:spacing w:after="240"/>
      </w:pPr>
      <w:r w:rsidRPr="008C409D">
        <w:t xml:space="preserve">Reports and other documents created for </w:t>
      </w:r>
      <w:r w:rsidR="008B189F">
        <w:t>NHMF</w:t>
      </w:r>
      <w:r w:rsidRPr="008C409D">
        <w:t xml:space="preserve">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t>
      </w:r>
      <w:proofErr w:type="spellStart"/>
      <w:r>
        <w:t>WebAIM</w:t>
      </w:r>
      <w:proofErr w:type="spellEnd"/>
      <w:r>
        <w:t xml:space="preserve"> for more detailed information. </w:t>
      </w:r>
    </w:p>
    <w:p w14:paraId="11856F67" w14:textId="77777777" w:rsidR="00A103BE" w:rsidRPr="00164469" w:rsidRDefault="00A103BE" w:rsidP="00A103BE">
      <w:pPr>
        <w:pStyle w:val="Heading2"/>
      </w:pPr>
      <w:r w:rsidRPr="00164469">
        <w:t>Readability</w:t>
      </w:r>
    </w:p>
    <w:p w14:paraId="470F85A1"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398648B5" w14:textId="77777777" w:rsidR="00A103BE" w:rsidRPr="008C409D" w:rsidRDefault="00A103BE" w:rsidP="00C43DE6">
      <w:pPr>
        <w:numPr>
          <w:ilvl w:val="0"/>
          <w:numId w:val="6"/>
        </w:numPr>
        <w:contextualSpacing/>
        <w:rPr>
          <w:szCs w:val="24"/>
          <w:lang w:eastAsia="en-GB"/>
        </w:rPr>
      </w:pPr>
      <w:r w:rsidRPr="008C409D">
        <w:rPr>
          <w:szCs w:val="24"/>
          <w:lang w:eastAsia="en-GB"/>
        </w:rPr>
        <w:t>The size of the font is at least 11pt;</w:t>
      </w:r>
    </w:p>
    <w:p w14:paraId="6FA00BB6" w14:textId="77777777" w:rsidR="00A103BE" w:rsidRPr="008C409D" w:rsidRDefault="00A103BE" w:rsidP="00C43DE6">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9EE3BA7" w14:textId="77777777" w:rsidR="00A103BE" w:rsidRPr="008C409D" w:rsidRDefault="00A103BE" w:rsidP="00C43DE6">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3735D4A" w14:textId="77777777" w:rsidR="00A103BE" w:rsidRPr="008C409D" w:rsidRDefault="00A103BE" w:rsidP="00C43DE6">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2BCEE81B"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3" w:history="1">
        <w:r w:rsidRPr="008C409D">
          <w:rPr>
            <w:rFonts w:cs="Arial"/>
            <w:color w:val="0000FF"/>
            <w:u w:val="single"/>
          </w:rPr>
          <w:t>RNIB website</w:t>
        </w:r>
      </w:hyperlink>
      <w:r w:rsidRPr="008C409D">
        <w:rPr>
          <w:rFonts w:cs="Arial"/>
        </w:rPr>
        <w:t>.</w:t>
      </w:r>
    </w:p>
    <w:p w14:paraId="3BAB0FFA" w14:textId="77777777" w:rsidR="00A103BE" w:rsidRPr="00A103BE" w:rsidRDefault="00A103BE" w:rsidP="00A103BE">
      <w:pPr>
        <w:pStyle w:val="Heading2"/>
      </w:pPr>
      <w:r w:rsidRPr="00A103BE">
        <w:t>Accessibility</w:t>
      </w:r>
    </w:p>
    <w:p w14:paraId="2C90BE31" w14:textId="77777777" w:rsidR="00A103BE" w:rsidRPr="008C409D" w:rsidRDefault="00A103BE" w:rsidP="00A103BE">
      <w:r w:rsidRPr="008C409D">
        <w:t>Reports should adhere to the following guidelines:</w:t>
      </w:r>
    </w:p>
    <w:p w14:paraId="47DD2582" w14:textId="77777777" w:rsidR="00A103BE" w:rsidRPr="006738C2" w:rsidRDefault="00A103BE" w:rsidP="00A103BE">
      <w:pPr>
        <w:pStyle w:val="Heading3"/>
      </w:pPr>
      <w:r w:rsidRPr="006738C2">
        <w:t>Formatting</w:t>
      </w:r>
    </w:p>
    <w:p w14:paraId="09F4BF8D"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0D65371A" w14:textId="77777777" w:rsidR="00A103BE" w:rsidRPr="008C409D" w:rsidRDefault="00A103BE" w:rsidP="00A103BE">
      <w:pPr>
        <w:pStyle w:val="Heading3"/>
      </w:pPr>
      <w:bookmarkStart w:id="1" w:name="_Toc322438558"/>
      <w:r w:rsidRPr="008C409D">
        <w:t>Spacing</w:t>
      </w:r>
      <w:bookmarkEnd w:id="1"/>
    </w:p>
    <w:p w14:paraId="7EFFA0BB"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FC6204B" w14:textId="77777777" w:rsidR="00A103BE" w:rsidRPr="008C409D" w:rsidRDefault="00A103BE" w:rsidP="00A103BE">
      <w:pPr>
        <w:pStyle w:val="Heading3"/>
      </w:pPr>
      <w:r w:rsidRPr="008C409D">
        <w:t>Alternative text</w:t>
      </w:r>
    </w:p>
    <w:p w14:paraId="5ED1A88C"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C3BF1C1" w14:textId="77777777" w:rsidR="00A103BE" w:rsidRPr="008C409D" w:rsidRDefault="00A103BE" w:rsidP="00A103BE">
      <w:pPr>
        <w:pStyle w:val="Heading3"/>
      </w:pPr>
      <w:r w:rsidRPr="008C409D">
        <w:t>Images</w:t>
      </w:r>
    </w:p>
    <w:p w14:paraId="12B64C5D"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769C37B1" w14:textId="77777777" w:rsidR="00A103BE" w:rsidRPr="008C409D" w:rsidRDefault="00A103BE" w:rsidP="00A103BE">
      <w:pPr>
        <w:pStyle w:val="Heading3"/>
      </w:pPr>
      <w:r w:rsidRPr="008C409D">
        <w:lastRenderedPageBreak/>
        <w:t>Tables</w:t>
      </w:r>
    </w:p>
    <w:p w14:paraId="62116C12"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516BE899" w14:textId="77777777" w:rsidR="00A103BE" w:rsidRPr="008C409D" w:rsidRDefault="00A103BE" w:rsidP="00A103BE">
      <w:pPr>
        <w:pStyle w:val="Heading3"/>
      </w:pPr>
      <w:r w:rsidRPr="008C409D">
        <w:t>Additional documents</w:t>
      </w:r>
    </w:p>
    <w:p w14:paraId="33C70B4D"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6095B04" w14:textId="77777777" w:rsidR="00A103BE" w:rsidRPr="00164469" w:rsidRDefault="00A103BE" w:rsidP="00A103BE">
      <w:pPr>
        <w:pStyle w:val="Heading3"/>
      </w:pPr>
      <w:r w:rsidRPr="00164469">
        <w:t>Acknowledgement</w:t>
      </w:r>
    </w:p>
    <w:p w14:paraId="5FF5A4AF" w14:textId="77777777" w:rsidR="00A103BE" w:rsidRPr="00164469" w:rsidRDefault="00A103BE" w:rsidP="00A103BE">
      <w:pPr>
        <w:rPr>
          <w:rFonts w:cs="Arial"/>
        </w:rPr>
      </w:pPr>
      <w:r w:rsidRPr="00164469">
        <w:rPr>
          <w:rFonts w:cs="Arial"/>
        </w:rPr>
        <w:t xml:space="preserve">All reports should acknowledge </w:t>
      </w:r>
      <w:r w:rsidR="008B189F">
        <w:rPr>
          <w:rFonts w:cs="Arial"/>
        </w:rPr>
        <w:t>NHMF</w:t>
      </w:r>
      <w:r w:rsidRPr="00164469">
        <w:rPr>
          <w:rFonts w:cs="Arial"/>
        </w:rPr>
        <w:t xml:space="preserve">. Our logo can be found on the </w:t>
      </w:r>
      <w:hyperlink r:id="rId14" w:history="1">
        <w:r w:rsidR="008B189F">
          <w:rPr>
            <w:rStyle w:val="Hyperlink"/>
            <w:rFonts w:cs="Arial"/>
          </w:rPr>
          <w:t>NHMF</w:t>
        </w:r>
        <w:r w:rsidRPr="00164469">
          <w:rPr>
            <w:rStyle w:val="Hyperlink"/>
            <w:rFonts w:cs="Arial"/>
          </w:rPr>
          <w:t xml:space="preserve"> website</w:t>
        </w:r>
      </w:hyperlink>
      <w:r w:rsidRPr="00164469">
        <w:rPr>
          <w:rFonts w:cs="Arial"/>
        </w:rPr>
        <w:t>.</w:t>
      </w:r>
    </w:p>
    <w:p w14:paraId="6DBBADB4" w14:textId="77777777" w:rsidR="00A103BE" w:rsidRPr="00164469" w:rsidRDefault="00A103BE" w:rsidP="00A103BE">
      <w:pPr>
        <w:pStyle w:val="Heading3"/>
      </w:pPr>
      <w:r w:rsidRPr="00164469">
        <w:t>Further resources</w:t>
      </w:r>
    </w:p>
    <w:p w14:paraId="5403D451" w14:textId="77777777" w:rsidR="00A103BE" w:rsidRPr="00164469" w:rsidRDefault="00A103BE" w:rsidP="00A103BE">
      <w:pPr>
        <w:rPr>
          <w:rFonts w:cs="Arial"/>
        </w:rPr>
      </w:pPr>
      <w:r w:rsidRPr="00164469">
        <w:rPr>
          <w:rFonts w:cs="Arial"/>
        </w:rPr>
        <w:t>Please refer to the links below for further information:</w:t>
      </w:r>
    </w:p>
    <w:p w14:paraId="31F50011" w14:textId="77777777" w:rsidR="00A103BE" w:rsidRPr="00164469" w:rsidRDefault="00A103BE" w:rsidP="00A103BE">
      <w:pPr>
        <w:rPr>
          <w:rFonts w:cs="Arial"/>
        </w:rPr>
      </w:pPr>
    </w:p>
    <w:p w14:paraId="1F106172" w14:textId="77777777" w:rsidR="00A103BE" w:rsidRPr="00164469" w:rsidRDefault="00F964A9" w:rsidP="00C43DE6">
      <w:pPr>
        <w:pStyle w:val="ListParagraph"/>
        <w:numPr>
          <w:ilvl w:val="0"/>
          <w:numId w:val="8"/>
        </w:numPr>
        <w:spacing w:after="200" w:line="276" w:lineRule="auto"/>
        <w:rPr>
          <w:rFonts w:cs="Arial"/>
        </w:rPr>
      </w:pPr>
      <w:hyperlink r:id="rId15" w:history="1">
        <w:r w:rsidR="00A103BE" w:rsidRPr="00164469">
          <w:rPr>
            <w:rStyle w:val="Hyperlink"/>
            <w:rFonts w:cs="Arial"/>
          </w:rPr>
          <w:t>'Microsoft Word: creating accessible documents' - webaim.org</w:t>
        </w:r>
      </w:hyperlink>
    </w:p>
    <w:p w14:paraId="52772103" w14:textId="77777777" w:rsidR="00A103BE" w:rsidRPr="00164469" w:rsidRDefault="00F964A9" w:rsidP="00C43DE6">
      <w:pPr>
        <w:pStyle w:val="ListParagraph"/>
        <w:numPr>
          <w:ilvl w:val="0"/>
          <w:numId w:val="8"/>
        </w:numPr>
        <w:spacing w:after="200" w:line="276" w:lineRule="auto"/>
        <w:rPr>
          <w:rFonts w:cs="Arial"/>
        </w:rPr>
      </w:pPr>
      <w:hyperlink r:id="rId16" w:history="1">
        <w:r w:rsidR="00A103BE" w:rsidRPr="00164469">
          <w:rPr>
            <w:rStyle w:val="Hyperlink"/>
            <w:rFonts w:cs="Arial"/>
          </w:rPr>
          <w:t>'How to create an accessible PDF' - GOV.UK</w:t>
        </w:r>
      </w:hyperlink>
    </w:p>
    <w:p w14:paraId="3F3A5EAF"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w:t>
      </w:r>
      <w:r w:rsidR="008B189F">
        <w:rPr>
          <w:rFonts w:cs="Arial"/>
        </w:rPr>
        <w:t>NHMF</w:t>
      </w:r>
      <w:r w:rsidRPr="00164469">
        <w:rPr>
          <w:rFonts w:cs="Arial"/>
        </w:rPr>
        <w:t xml:space="preserve"> have worked with include </w:t>
      </w:r>
      <w:hyperlink r:id="rId17" w:history="1">
        <w:r w:rsidRPr="00164469">
          <w:rPr>
            <w:rStyle w:val="Hyperlink"/>
            <w:rFonts w:cs="Arial"/>
          </w:rPr>
          <w:t>Shaw Trust</w:t>
        </w:r>
      </w:hyperlink>
      <w:r w:rsidRPr="00164469">
        <w:rPr>
          <w:rFonts w:cs="Arial"/>
        </w:rPr>
        <w:t xml:space="preserve"> and </w:t>
      </w:r>
      <w:hyperlink r:id="rId18" w:history="1">
        <w:r w:rsidRPr="00164469">
          <w:rPr>
            <w:rStyle w:val="Hyperlink"/>
            <w:rFonts w:cs="Arial"/>
          </w:rPr>
          <w:t>The Accessible Digital Documents Company</w:t>
        </w:r>
      </w:hyperlink>
      <w:r w:rsidRPr="00164469">
        <w:rPr>
          <w:rFonts w:cs="Arial"/>
        </w:rPr>
        <w:t>.</w:t>
      </w:r>
    </w:p>
    <w:p w14:paraId="3D4F3D4F" w14:textId="77777777" w:rsidR="00A103BE" w:rsidRPr="00164469" w:rsidRDefault="00A103BE" w:rsidP="00A103BE">
      <w:pPr>
        <w:rPr>
          <w:rFonts w:cs="Arial"/>
        </w:rPr>
      </w:pPr>
    </w:p>
    <w:p w14:paraId="23EFE275" w14:textId="77777777" w:rsidR="00A103BE" w:rsidRPr="00164469" w:rsidRDefault="008B189F" w:rsidP="00A103BE">
      <w:pPr>
        <w:rPr>
          <w:rFonts w:cs="Arial"/>
        </w:rPr>
      </w:pPr>
      <w:r>
        <w:rPr>
          <w:rFonts w:cs="Arial"/>
        </w:rPr>
        <w:t>NHMF</w:t>
      </w:r>
      <w:r w:rsidR="00A103BE" w:rsidRPr="00164469">
        <w:rPr>
          <w:rFonts w:cs="Arial"/>
        </w:rPr>
        <w:t xml:space="preserve"> retains the right to amend documents in order to create accessible versions for publishing.</w:t>
      </w:r>
    </w:p>
    <w:p w14:paraId="44CF656A" w14:textId="77777777" w:rsidR="002B0FB5" w:rsidRDefault="002B0FB5">
      <w:pPr>
        <w:rPr>
          <w:rFonts w:cs="Arial"/>
          <w:szCs w:val="22"/>
        </w:rPr>
      </w:pPr>
      <w:r>
        <w:rPr>
          <w:rFonts w:cs="Arial"/>
          <w:szCs w:val="22"/>
        </w:rPr>
        <w:br w:type="page"/>
      </w:r>
    </w:p>
    <w:p w14:paraId="63727536" w14:textId="77777777" w:rsidR="002B0FB5" w:rsidRPr="002B0FB5" w:rsidRDefault="002B0FB5" w:rsidP="002B0FB5">
      <w:pPr>
        <w:rPr>
          <w:rFonts w:eastAsia="Arial" w:cs="Arial"/>
          <w:b/>
          <w:bCs/>
          <w:sz w:val="28"/>
          <w:szCs w:val="28"/>
        </w:rPr>
      </w:pPr>
      <w:r w:rsidRPr="002B0FB5">
        <w:rPr>
          <w:rFonts w:cs="Arial"/>
          <w:b/>
          <w:bCs/>
          <w:sz w:val="28"/>
          <w:szCs w:val="28"/>
        </w:rPr>
        <w:lastRenderedPageBreak/>
        <w:t xml:space="preserve">Appendix B: </w:t>
      </w:r>
      <w:r w:rsidRPr="002B0FB5">
        <w:rPr>
          <w:rFonts w:eastAsia="Arial" w:cs="Arial"/>
          <w:b/>
          <w:bCs/>
          <w:sz w:val="28"/>
          <w:szCs w:val="28"/>
        </w:rPr>
        <w:t>Scope</w:t>
      </w:r>
    </w:p>
    <w:p w14:paraId="3907936D" w14:textId="77777777" w:rsidR="002B0FB5" w:rsidRDefault="002B0FB5" w:rsidP="002B0FB5">
      <w:pPr>
        <w:rPr>
          <w:rFonts w:eastAsia="Arial" w:cs="Arial"/>
        </w:rPr>
      </w:pPr>
    </w:p>
    <w:p w14:paraId="72AF8B45" w14:textId="77777777" w:rsidR="002B0FB5" w:rsidRDefault="002B0FB5" w:rsidP="002B0FB5">
      <w:pPr>
        <w:rPr>
          <w:rFonts w:eastAsia="Arial" w:cs="Arial"/>
        </w:rPr>
      </w:pPr>
      <w:r w:rsidRPr="3FB33893">
        <w:rPr>
          <w:rFonts w:eastAsia="Arial" w:cs="Arial"/>
        </w:rPr>
        <w:t xml:space="preserve">The following table may help suppliers in understanding which elements of the Heritage Fund’s work are </w:t>
      </w:r>
      <w:r>
        <w:rPr>
          <w:rFonts w:eastAsia="Arial" w:cs="Arial"/>
        </w:rPr>
        <w:t xml:space="preserve">initially thought to be </w:t>
      </w:r>
      <w:r w:rsidRPr="3FB33893">
        <w:rPr>
          <w:rFonts w:eastAsia="Arial" w:cs="Arial"/>
        </w:rPr>
        <w:t xml:space="preserve">in and out of scope for this project. </w:t>
      </w:r>
    </w:p>
    <w:tbl>
      <w:tblPr>
        <w:tblStyle w:val="TableGrid"/>
        <w:tblW w:w="0" w:type="auto"/>
        <w:tblLook w:val="04A0" w:firstRow="1" w:lastRow="0" w:firstColumn="1" w:lastColumn="0" w:noHBand="0" w:noVBand="1"/>
      </w:tblPr>
      <w:tblGrid>
        <w:gridCol w:w="4508"/>
        <w:gridCol w:w="4508"/>
      </w:tblGrid>
      <w:tr w:rsidR="002B0FB5" w14:paraId="140ADD73" w14:textId="77777777" w:rsidTr="00384F2E">
        <w:tc>
          <w:tcPr>
            <w:tcW w:w="4508" w:type="dxa"/>
          </w:tcPr>
          <w:p w14:paraId="537ECBA1" w14:textId="77777777" w:rsidR="002B0FB5" w:rsidRPr="005C39F5" w:rsidRDefault="002B0FB5" w:rsidP="00384F2E">
            <w:pPr>
              <w:rPr>
                <w:rFonts w:eastAsia="Arial" w:cs="Arial"/>
                <w:b/>
                <w:bCs/>
              </w:rPr>
            </w:pPr>
            <w:r w:rsidRPr="005C39F5">
              <w:rPr>
                <w:rFonts w:eastAsia="Arial" w:cs="Arial"/>
                <w:b/>
                <w:bCs/>
              </w:rPr>
              <w:t>In scope</w:t>
            </w:r>
          </w:p>
        </w:tc>
        <w:tc>
          <w:tcPr>
            <w:tcW w:w="4508" w:type="dxa"/>
          </w:tcPr>
          <w:p w14:paraId="4256B92D" w14:textId="77777777" w:rsidR="002B0FB5" w:rsidRPr="005C39F5" w:rsidRDefault="002B0FB5" w:rsidP="00384F2E">
            <w:pPr>
              <w:rPr>
                <w:rFonts w:eastAsia="Arial" w:cs="Arial"/>
                <w:b/>
                <w:bCs/>
              </w:rPr>
            </w:pPr>
            <w:r w:rsidRPr="005C39F5">
              <w:rPr>
                <w:rFonts w:eastAsia="Arial" w:cs="Arial"/>
                <w:b/>
                <w:bCs/>
              </w:rPr>
              <w:t>Out of scope</w:t>
            </w:r>
          </w:p>
        </w:tc>
      </w:tr>
      <w:tr w:rsidR="002B0FB5" w14:paraId="562894C4" w14:textId="77777777" w:rsidTr="00384F2E">
        <w:tc>
          <w:tcPr>
            <w:tcW w:w="4508" w:type="dxa"/>
          </w:tcPr>
          <w:p w14:paraId="7FDE400B" w14:textId="77777777" w:rsidR="002B0FB5" w:rsidRDefault="002B0FB5" w:rsidP="00C43DE6">
            <w:pPr>
              <w:pStyle w:val="ListParagraph"/>
              <w:numPr>
                <w:ilvl w:val="0"/>
                <w:numId w:val="15"/>
              </w:numPr>
            </w:pPr>
            <w:r w:rsidRPr="3FB33893">
              <w:rPr>
                <w:rFonts w:eastAsia="Arial" w:cs="Arial"/>
              </w:rPr>
              <w:t>The process through which analysts access data and turn it into reports/statistics, including for FOI requests, reporting and insight.</w:t>
            </w:r>
          </w:p>
          <w:p w14:paraId="0C4BD9D7" w14:textId="77777777" w:rsidR="002B0FB5" w:rsidRDefault="002B0FB5" w:rsidP="00C43DE6">
            <w:pPr>
              <w:pStyle w:val="ListParagraph"/>
              <w:numPr>
                <w:ilvl w:val="0"/>
                <w:numId w:val="15"/>
              </w:numPr>
            </w:pPr>
            <w:r w:rsidRPr="3FB33893">
              <w:rPr>
                <w:rFonts w:eastAsia="Arial" w:cs="Arial"/>
              </w:rPr>
              <w:t>The means through which data is stored, mastered, integrated within the organisation, but especially within the data team.</w:t>
            </w:r>
          </w:p>
          <w:p w14:paraId="54F0B9B0" w14:textId="77777777" w:rsidR="002B0FB5" w:rsidRDefault="002B0FB5" w:rsidP="00C43DE6">
            <w:pPr>
              <w:pStyle w:val="ListParagraph"/>
              <w:numPr>
                <w:ilvl w:val="0"/>
                <w:numId w:val="15"/>
              </w:numPr>
            </w:pPr>
            <w:r w:rsidRPr="3FB33893">
              <w:rPr>
                <w:rFonts w:eastAsia="Arial" w:cs="Arial"/>
              </w:rPr>
              <w:t>Approaches to analysing information held in unstructured data (e.g. Word documents).</w:t>
            </w:r>
          </w:p>
          <w:p w14:paraId="321071B3" w14:textId="77777777" w:rsidR="002B0FB5" w:rsidRDefault="002B0FB5" w:rsidP="00C43DE6">
            <w:pPr>
              <w:pStyle w:val="ListParagraph"/>
              <w:numPr>
                <w:ilvl w:val="0"/>
                <w:numId w:val="15"/>
              </w:numPr>
            </w:pPr>
            <w:r w:rsidRPr="3FB33893">
              <w:rPr>
                <w:rFonts w:eastAsia="Arial" w:cs="Arial"/>
              </w:rPr>
              <w:t xml:space="preserve">The technology that the data team use to complete our work. </w:t>
            </w:r>
          </w:p>
          <w:p w14:paraId="3BE6B4EC" w14:textId="77777777" w:rsidR="002B0FB5" w:rsidRDefault="002B0FB5" w:rsidP="00C43DE6">
            <w:pPr>
              <w:pStyle w:val="ListParagraph"/>
              <w:numPr>
                <w:ilvl w:val="0"/>
                <w:numId w:val="15"/>
              </w:numPr>
            </w:pPr>
            <w:r w:rsidRPr="3FB33893">
              <w:rPr>
                <w:rFonts w:eastAsia="Arial" w:cs="Arial"/>
              </w:rPr>
              <w:t xml:space="preserve">Options for data warehousing, including how legacy data is stored for analysis. </w:t>
            </w:r>
          </w:p>
          <w:p w14:paraId="1CB793DC" w14:textId="77777777" w:rsidR="002B0FB5" w:rsidRDefault="002B0FB5" w:rsidP="00C43DE6">
            <w:pPr>
              <w:pStyle w:val="ListParagraph"/>
              <w:numPr>
                <w:ilvl w:val="0"/>
                <w:numId w:val="15"/>
              </w:numPr>
            </w:pPr>
            <w:r w:rsidRPr="3FB33893">
              <w:rPr>
                <w:rFonts w:eastAsia="Arial" w:cs="Arial"/>
              </w:rPr>
              <w:t>Structured and non-structured data holdings.</w:t>
            </w:r>
          </w:p>
          <w:p w14:paraId="49B01565" w14:textId="77777777" w:rsidR="002B0FB5" w:rsidRDefault="002B0FB5" w:rsidP="00C43DE6">
            <w:pPr>
              <w:pStyle w:val="ListParagraph"/>
              <w:numPr>
                <w:ilvl w:val="0"/>
                <w:numId w:val="15"/>
              </w:numPr>
            </w:pPr>
            <w:r w:rsidRPr="3FB33893">
              <w:rPr>
                <w:rFonts w:eastAsia="Arial" w:cs="Arial"/>
              </w:rPr>
              <w:t xml:space="preserve">The efficiency of our process and the business case for future investment. </w:t>
            </w:r>
          </w:p>
          <w:p w14:paraId="03319F8F" w14:textId="77777777" w:rsidR="002B0FB5" w:rsidRPr="009B58FA" w:rsidRDefault="002B0FB5" w:rsidP="00C43DE6">
            <w:pPr>
              <w:pStyle w:val="ListParagraph"/>
              <w:numPr>
                <w:ilvl w:val="0"/>
                <w:numId w:val="15"/>
              </w:numPr>
              <w:rPr>
                <w:rFonts w:asciiTheme="minorHAnsi" w:eastAsiaTheme="minorEastAsia" w:hAnsiTheme="minorHAnsi" w:cstheme="minorBidi"/>
              </w:rPr>
            </w:pPr>
            <w:r w:rsidRPr="3FB33893">
              <w:rPr>
                <w:rFonts w:eastAsia="Arial" w:cs="Arial"/>
              </w:rPr>
              <w:t>Reporting across legacy and current data in the transition to the new system (including how historic data is stored and accessed).</w:t>
            </w:r>
          </w:p>
          <w:p w14:paraId="0CFC64FF" w14:textId="77777777" w:rsidR="002B0FB5" w:rsidRDefault="002B0FB5" w:rsidP="00C43DE6">
            <w:pPr>
              <w:pStyle w:val="ListParagraph"/>
              <w:numPr>
                <w:ilvl w:val="0"/>
                <w:numId w:val="15"/>
              </w:numPr>
              <w:rPr>
                <w:rFonts w:asciiTheme="minorBidi" w:hAnsiTheme="minorBidi"/>
              </w:rPr>
            </w:pPr>
            <w:r w:rsidRPr="009B58FA">
              <w:rPr>
                <w:rFonts w:asciiTheme="minorBidi" w:hAnsiTheme="minorBidi"/>
              </w:rPr>
              <w:t>External data reporting by the Fund and how users from outside of our organisation access information (e.g. journalists, parliamentary staff).</w:t>
            </w:r>
          </w:p>
          <w:p w14:paraId="21C2D897" w14:textId="70C72F17" w:rsidR="00DF34A0" w:rsidRPr="009B58FA" w:rsidRDefault="006B62F2" w:rsidP="00C43DE6">
            <w:pPr>
              <w:pStyle w:val="ListParagraph"/>
              <w:numPr>
                <w:ilvl w:val="0"/>
                <w:numId w:val="15"/>
              </w:numPr>
              <w:rPr>
                <w:rFonts w:asciiTheme="minorBidi" w:hAnsiTheme="minorBidi"/>
              </w:rPr>
            </w:pPr>
            <w:r>
              <w:rPr>
                <w:rFonts w:asciiTheme="minorBidi" w:hAnsiTheme="minorBidi"/>
              </w:rPr>
              <w:t>Requirements which fit within our IT</w:t>
            </w:r>
            <w:r w:rsidR="00720BF1">
              <w:rPr>
                <w:rFonts w:asciiTheme="minorBidi" w:hAnsiTheme="minorBidi"/>
              </w:rPr>
              <w:t xml:space="preserve"> and data strategies and architectural principles. </w:t>
            </w:r>
          </w:p>
        </w:tc>
        <w:tc>
          <w:tcPr>
            <w:tcW w:w="4508" w:type="dxa"/>
          </w:tcPr>
          <w:p w14:paraId="5B82C840" w14:textId="77777777" w:rsidR="00AB1A7A" w:rsidRPr="00AB1A7A" w:rsidRDefault="005C39F5" w:rsidP="00C43DE6">
            <w:pPr>
              <w:pStyle w:val="ListParagraph"/>
              <w:numPr>
                <w:ilvl w:val="0"/>
                <w:numId w:val="15"/>
              </w:numPr>
            </w:pPr>
            <w:r>
              <w:rPr>
                <w:rFonts w:eastAsia="Arial" w:cs="Arial"/>
              </w:rPr>
              <w:t>Delivery of any new technology for the Fund</w:t>
            </w:r>
            <w:r w:rsidR="00AB1A7A">
              <w:rPr>
                <w:rFonts w:eastAsia="Arial" w:cs="Arial"/>
              </w:rPr>
              <w:t xml:space="preserve"> by the supplier.</w:t>
            </w:r>
          </w:p>
          <w:p w14:paraId="3F4AA151" w14:textId="51FF4311" w:rsidR="005C39F5" w:rsidRPr="005C39F5" w:rsidRDefault="00DF34A0" w:rsidP="00C43DE6">
            <w:pPr>
              <w:pStyle w:val="ListParagraph"/>
              <w:numPr>
                <w:ilvl w:val="0"/>
                <w:numId w:val="15"/>
              </w:numPr>
            </w:pPr>
            <w:r>
              <w:rPr>
                <w:rFonts w:eastAsia="Arial" w:cs="Arial"/>
              </w:rPr>
              <w:t>Endorsement of</w:t>
            </w:r>
            <w:r w:rsidR="00AB1A7A">
              <w:rPr>
                <w:rFonts w:eastAsia="Arial" w:cs="Arial"/>
              </w:rPr>
              <w:t xml:space="preserve"> any specific </w:t>
            </w:r>
            <w:r>
              <w:rPr>
                <w:rFonts w:eastAsia="Arial" w:cs="Arial"/>
              </w:rPr>
              <w:t xml:space="preserve">technology or toolset. </w:t>
            </w:r>
            <w:r w:rsidR="00AB1A7A">
              <w:rPr>
                <w:rFonts w:eastAsia="Arial" w:cs="Arial"/>
              </w:rPr>
              <w:t xml:space="preserve"> </w:t>
            </w:r>
          </w:p>
          <w:p w14:paraId="4AFBCFB4" w14:textId="62D5CDF2" w:rsidR="002B0FB5" w:rsidRDefault="002B0FB5" w:rsidP="00C43DE6">
            <w:pPr>
              <w:pStyle w:val="ListParagraph"/>
              <w:numPr>
                <w:ilvl w:val="0"/>
                <w:numId w:val="15"/>
              </w:numPr>
            </w:pPr>
            <w:r w:rsidRPr="3FB33893">
              <w:rPr>
                <w:rFonts w:eastAsia="Arial" w:cs="Arial"/>
              </w:rPr>
              <w:t>The fields and data collection in our new investment management system</w:t>
            </w:r>
          </w:p>
          <w:p w14:paraId="395C1BBC" w14:textId="77777777" w:rsidR="002B0FB5" w:rsidRDefault="002B0FB5" w:rsidP="00C43DE6">
            <w:pPr>
              <w:pStyle w:val="ListParagraph"/>
              <w:numPr>
                <w:ilvl w:val="0"/>
                <w:numId w:val="15"/>
              </w:numPr>
            </w:pPr>
            <w:r w:rsidRPr="3FB33893">
              <w:rPr>
                <w:rFonts w:eastAsia="Arial" w:cs="Arial"/>
              </w:rPr>
              <w:t>The platforms and architecture of the new system.</w:t>
            </w:r>
          </w:p>
          <w:p w14:paraId="3DA4B6D2" w14:textId="3310A974" w:rsidR="002B0FB5" w:rsidRPr="00720BF1" w:rsidRDefault="002B0FB5" w:rsidP="00C43DE6">
            <w:pPr>
              <w:pStyle w:val="ListParagraph"/>
              <w:numPr>
                <w:ilvl w:val="0"/>
                <w:numId w:val="15"/>
              </w:numPr>
            </w:pPr>
            <w:r w:rsidRPr="3FB33893">
              <w:rPr>
                <w:rFonts w:eastAsia="Arial" w:cs="Arial"/>
              </w:rPr>
              <w:t xml:space="preserve">Requirements that relate to information management, document sharing or workforce productivity at the Fund. </w:t>
            </w:r>
          </w:p>
          <w:p w14:paraId="214187F5" w14:textId="4B33F9CE" w:rsidR="00720BF1" w:rsidRDefault="00720BF1" w:rsidP="00C43DE6">
            <w:pPr>
              <w:pStyle w:val="ListParagraph"/>
              <w:numPr>
                <w:ilvl w:val="0"/>
                <w:numId w:val="15"/>
              </w:numPr>
            </w:pPr>
            <w:r>
              <w:rPr>
                <w:rFonts w:asciiTheme="minorBidi" w:hAnsiTheme="minorBidi"/>
              </w:rPr>
              <w:t>Requirements which do not within our IT and data strategies and architectural principles.</w:t>
            </w:r>
          </w:p>
          <w:p w14:paraId="73065CF2" w14:textId="601CAE19" w:rsidR="005C39F5" w:rsidRDefault="005C39F5" w:rsidP="00AB1A7A">
            <w:pPr>
              <w:pStyle w:val="ListParagraph"/>
            </w:pPr>
          </w:p>
        </w:tc>
      </w:tr>
    </w:tbl>
    <w:p w14:paraId="6DE00FEC" w14:textId="77777777" w:rsidR="002B0FB5" w:rsidRPr="00A54AFC" w:rsidRDefault="002B0FB5" w:rsidP="002B0FB5">
      <w:pPr>
        <w:rPr>
          <w:rFonts w:eastAsia="Arial" w:cs="Arial"/>
        </w:rPr>
      </w:pPr>
    </w:p>
    <w:p w14:paraId="47CFC014" w14:textId="77777777" w:rsidR="002B0FB5" w:rsidRDefault="002B0FB5" w:rsidP="002B0FB5">
      <w:pPr>
        <w:rPr>
          <w:rFonts w:eastAsia="Arial" w:cs="Arial"/>
        </w:rPr>
      </w:pPr>
      <w:r w:rsidRPr="3FB33893">
        <w:rPr>
          <w:rFonts w:eastAsia="Arial" w:cs="Arial"/>
        </w:rPr>
        <w:br w:type="page"/>
      </w:r>
    </w:p>
    <w:p w14:paraId="0808961C" w14:textId="77777777" w:rsidR="002B0FB5" w:rsidRPr="002B0FB5" w:rsidRDefault="002B0FB5" w:rsidP="002B0FB5">
      <w:pPr>
        <w:rPr>
          <w:rFonts w:eastAsia="Arial" w:cs="Arial"/>
          <w:b/>
          <w:bCs/>
          <w:sz w:val="28"/>
          <w:szCs w:val="28"/>
        </w:rPr>
      </w:pPr>
      <w:r w:rsidRPr="002B0FB5">
        <w:rPr>
          <w:rFonts w:eastAsia="Arial" w:cs="Arial"/>
          <w:b/>
          <w:bCs/>
          <w:sz w:val="28"/>
          <w:szCs w:val="28"/>
        </w:rPr>
        <w:lastRenderedPageBreak/>
        <w:t>Appendix C – the current demand for data at the Heritage Fund</w:t>
      </w:r>
    </w:p>
    <w:p w14:paraId="4C7377A7" w14:textId="77777777" w:rsidR="002B0FB5" w:rsidRDefault="002B0FB5" w:rsidP="002B0FB5">
      <w:pPr>
        <w:rPr>
          <w:rFonts w:eastAsia="Arial" w:cs="Arial"/>
        </w:rPr>
      </w:pPr>
    </w:p>
    <w:p w14:paraId="04C22673" w14:textId="77777777" w:rsidR="002B0FB5" w:rsidRDefault="002B0FB5" w:rsidP="002B0FB5">
      <w:pPr>
        <w:rPr>
          <w:rFonts w:eastAsia="Arial" w:cs="Arial"/>
        </w:rPr>
      </w:pPr>
      <w:r w:rsidRPr="3FB33893">
        <w:rPr>
          <w:rFonts w:eastAsia="Arial" w:cs="Arial"/>
        </w:rPr>
        <w:t>The current demand for reporting and analysis at our organisation is predominantly driven by the need to understand the profile and pattern of our grant-making.  As well as information we collect as part of the application and project monitoring process, this means that analysts are typically required to integrate or augment our core data regarding grants distributed with one or more of the following:</w:t>
      </w:r>
    </w:p>
    <w:p w14:paraId="2749C905" w14:textId="77777777" w:rsidR="002B0FB5" w:rsidRDefault="002B0FB5" w:rsidP="00C43DE6">
      <w:pPr>
        <w:pStyle w:val="ListParagraph"/>
        <w:numPr>
          <w:ilvl w:val="0"/>
          <w:numId w:val="16"/>
        </w:numPr>
        <w:spacing w:after="160" w:line="259" w:lineRule="auto"/>
      </w:pPr>
      <w:r w:rsidRPr="3FB33893">
        <w:rPr>
          <w:rFonts w:eastAsia="Arial" w:cs="Arial"/>
        </w:rPr>
        <w:t>Geographic or spatial data, including administrative geography.</w:t>
      </w:r>
    </w:p>
    <w:p w14:paraId="54B183FB" w14:textId="77777777" w:rsidR="002B0FB5" w:rsidRDefault="002B0FB5" w:rsidP="00C43DE6">
      <w:pPr>
        <w:pStyle w:val="ListParagraph"/>
        <w:numPr>
          <w:ilvl w:val="0"/>
          <w:numId w:val="16"/>
        </w:numPr>
        <w:spacing w:after="160" w:line="259" w:lineRule="auto"/>
      </w:pPr>
      <w:r w:rsidRPr="3FB33893">
        <w:rPr>
          <w:rFonts w:eastAsia="Arial" w:cs="Arial"/>
        </w:rPr>
        <w:t>Socio-economic data, such as the Indices of Multiple Deprivation.</w:t>
      </w:r>
    </w:p>
    <w:p w14:paraId="392112BE" w14:textId="77777777" w:rsidR="002B0FB5" w:rsidRDefault="002B0FB5" w:rsidP="00C43DE6">
      <w:pPr>
        <w:pStyle w:val="ListParagraph"/>
        <w:numPr>
          <w:ilvl w:val="0"/>
          <w:numId w:val="16"/>
        </w:numPr>
        <w:spacing w:after="160" w:line="259" w:lineRule="auto"/>
      </w:pPr>
      <w:r w:rsidRPr="3FB33893">
        <w:rPr>
          <w:rFonts w:eastAsia="Arial" w:cs="Arial"/>
        </w:rPr>
        <w:t xml:space="preserve">Demographic data, including population estimates in order to generate estimates of funding per capita. </w:t>
      </w:r>
    </w:p>
    <w:p w14:paraId="44D8E5B4" w14:textId="77777777" w:rsidR="002B0FB5" w:rsidRDefault="002B0FB5" w:rsidP="00C43DE6">
      <w:pPr>
        <w:pStyle w:val="ListParagraph"/>
        <w:numPr>
          <w:ilvl w:val="0"/>
          <w:numId w:val="16"/>
        </w:numPr>
        <w:spacing w:after="160" w:line="259" w:lineRule="auto"/>
      </w:pPr>
      <w:r w:rsidRPr="3FB33893">
        <w:rPr>
          <w:rFonts w:eastAsia="Arial" w:cs="Arial"/>
        </w:rPr>
        <w:t xml:space="preserve">Other Heritage datasets, published by </w:t>
      </w:r>
      <w:r>
        <w:rPr>
          <w:rFonts w:eastAsia="Arial" w:cs="Arial"/>
        </w:rPr>
        <w:t>partner</w:t>
      </w:r>
      <w:r w:rsidRPr="3FB33893">
        <w:rPr>
          <w:rFonts w:eastAsia="Arial" w:cs="Arial"/>
        </w:rPr>
        <w:t xml:space="preserve"> organisations</w:t>
      </w:r>
    </w:p>
    <w:p w14:paraId="4FF10CB2" w14:textId="77777777" w:rsidR="002B0FB5" w:rsidRDefault="002B0FB5" w:rsidP="00C43DE6">
      <w:pPr>
        <w:pStyle w:val="ListParagraph"/>
        <w:numPr>
          <w:ilvl w:val="0"/>
          <w:numId w:val="16"/>
        </w:numPr>
        <w:spacing w:after="160" w:line="259" w:lineRule="auto"/>
      </w:pPr>
      <w:r w:rsidRPr="3FB33893">
        <w:rPr>
          <w:rFonts w:eastAsia="Arial" w:cs="Arial"/>
        </w:rPr>
        <w:t xml:space="preserve">Monitoring and evaluation data, including VisitBritain statistics for sites we have funded. </w:t>
      </w:r>
    </w:p>
    <w:p w14:paraId="6D80EE7D" w14:textId="2155C3D1" w:rsidR="002B0FB5" w:rsidRDefault="002B0FB5" w:rsidP="00C43DE6">
      <w:pPr>
        <w:pStyle w:val="ListParagraph"/>
        <w:numPr>
          <w:ilvl w:val="0"/>
          <w:numId w:val="16"/>
        </w:numPr>
        <w:spacing w:after="160" w:line="259" w:lineRule="auto"/>
      </w:pPr>
      <w:r w:rsidRPr="3FB33893">
        <w:rPr>
          <w:rFonts w:eastAsia="Arial" w:cs="Arial"/>
        </w:rPr>
        <w:t xml:space="preserve">Datasets relating to </w:t>
      </w:r>
      <w:r w:rsidR="00CC7597" w:rsidRPr="3FB33893">
        <w:rPr>
          <w:rFonts w:eastAsia="Arial" w:cs="Arial"/>
        </w:rPr>
        <w:t>organisational</w:t>
      </w:r>
      <w:r w:rsidRPr="3FB33893">
        <w:rPr>
          <w:rFonts w:eastAsia="Arial" w:cs="Arial"/>
        </w:rPr>
        <w:t xml:space="preserve"> groupings or project types</w:t>
      </w:r>
    </w:p>
    <w:p w14:paraId="064A2BD9" w14:textId="77777777" w:rsidR="002B0FB5" w:rsidRDefault="002B0FB5" w:rsidP="00C43DE6">
      <w:pPr>
        <w:pStyle w:val="ListParagraph"/>
        <w:numPr>
          <w:ilvl w:val="0"/>
          <w:numId w:val="16"/>
        </w:numPr>
        <w:spacing w:after="160" w:line="259" w:lineRule="auto"/>
      </w:pPr>
      <w:r w:rsidRPr="3FB33893">
        <w:rPr>
          <w:rFonts w:eastAsia="Arial" w:cs="Arial"/>
        </w:rPr>
        <w:t>Natural assets, such as the location of Areas of Outstanding Natural Beauty</w:t>
      </w:r>
    </w:p>
    <w:p w14:paraId="6680CFD0" w14:textId="77777777" w:rsidR="002B0FB5" w:rsidRDefault="002B0FB5" w:rsidP="00C43DE6">
      <w:pPr>
        <w:pStyle w:val="ListParagraph"/>
        <w:numPr>
          <w:ilvl w:val="0"/>
          <w:numId w:val="16"/>
        </w:numPr>
        <w:spacing w:after="160" w:line="259" w:lineRule="auto"/>
      </w:pPr>
      <w:r w:rsidRPr="3FB33893">
        <w:rPr>
          <w:rFonts w:eastAsia="Arial" w:cs="Arial"/>
        </w:rPr>
        <w:t xml:space="preserve">360 Giving Standard identifiers </w:t>
      </w:r>
    </w:p>
    <w:p w14:paraId="76B1504D" w14:textId="7CF72F28" w:rsidR="002B0FB5" w:rsidRDefault="002B0FB5" w:rsidP="002B0FB5">
      <w:pPr>
        <w:rPr>
          <w:rFonts w:eastAsia="Arial" w:cs="Arial"/>
        </w:rPr>
      </w:pPr>
      <w:r w:rsidRPr="3FB33893">
        <w:rPr>
          <w:rFonts w:eastAsia="Arial" w:cs="Arial"/>
        </w:rPr>
        <w:t xml:space="preserve">Since the Heritage Fund is a UK wide organisation, these data assets must be sourced and integrated for </w:t>
      </w:r>
      <w:r w:rsidR="00CC7597" w:rsidRPr="3FB33893">
        <w:rPr>
          <w:rFonts w:eastAsia="Arial" w:cs="Arial"/>
        </w:rPr>
        <w:t>all</w:t>
      </w:r>
      <w:r w:rsidRPr="3FB33893">
        <w:rPr>
          <w:rFonts w:eastAsia="Arial" w:cs="Arial"/>
        </w:rPr>
        <w:t xml:space="preserve"> the devolved administrations. </w:t>
      </w:r>
    </w:p>
    <w:p w14:paraId="0B628FD7" w14:textId="77777777" w:rsidR="002B0FB5" w:rsidRDefault="002B0FB5" w:rsidP="002B0FB5">
      <w:pPr>
        <w:rPr>
          <w:rFonts w:eastAsia="Arial" w:cs="Arial"/>
        </w:rPr>
      </w:pPr>
    </w:p>
    <w:p w14:paraId="5F34D3F1" w14:textId="77777777" w:rsidR="002B0FB5" w:rsidRDefault="002B0FB5" w:rsidP="002B0FB5">
      <w:pPr>
        <w:rPr>
          <w:rFonts w:eastAsia="Arial" w:cs="Arial"/>
        </w:rPr>
      </w:pPr>
      <w:r w:rsidRPr="3FB33893">
        <w:rPr>
          <w:rFonts w:eastAsia="Arial" w:cs="Arial"/>
        </w:rPr>
        <w:t xml:space="preserve">Currently the team only has access to static extracts of the grant data in csv format, which means that most of the subsequent data handling and analysis is done in Excel.  This causes issues in terms of the reliability, replicability and efficiency of analysis.  It also causes challenges when transformations are required, either to report by a different entity (i.e. recipient organisation rather than project) or to provide data in a set format, such as 360 giving.  </w:t>
      </w:r>
    </w:p>
    <w:p w14:paraId="08B39E2B" w14:textId="77777777" w:rsidR="002B0FB5" w:rsidRDefault="002B0FB5" w:rsidP="002B0FB5">
      <w:pPr>
        <w:rPr>
          <w:rFonts w:eastAsia="Arial" w:cs="Arial"/>
        </w:rPr>
      </w:pPr>
    </w:p>
    <w:p w14:paraId="6DC79463" w14:textId="77777777" w:rsidR="002B0FB5" w:rsidRDefault="002B0FB5" w:rsidP="002B0FB5">
      <w:pPr>
        <w:rPr>
          <w:rFonts w:eastAsia="Arial" w:cs="Arial"/>
        </w:rPr>
      </w:pPr>
      <w:r>
        <w:rPr>
          <w:rFonts w:eastAsia="Arial" w:cs="Arial"/>
        </w:rPr>
        <w:t>T</w:t>
      </w:r>
      <w:r w:rsidRPr="3FB33893">
        <w:rPr>
          <w:rFonts w:eastAsia="Arial" w:cs="Arial"/>
        </w:rPr>
        <w:t xml:space="preserve">he analytical team currently focusses resource on the structured data that we can access through GEMS.  The organisation also holds an estimated 4.6Tb of unstructured file data, however, which we do not currently analyse.  This takes the form of a number or document such as grant applications, planning, progress and evaluation reports, and photographs of projects. </w:t>
      </w:r>
    </w:p>
    <w:p w14:paraId="1C947FB8" w14:textId="77777777" w:rsidR="002B0FB5" w:rsidRDefault="002B0FB5" w:rsidP="002B0FB5">
      <w:pPr>
        <w:rPr>
          <w:rFonts w:eastAsia="Arial" w:cs="Arial"/>
        </w:rPr>
      </w:pPr>
    </w:p>
    <w:p w14:paraId="07F48319" w14:textId="77777777" w:rsidR="002B0FB5" w:rsidRDefault="002B0FB5" w:rsidP="002B0FB5">
      <w:pPr>
        <w:rPr>
          <w:rFonts w:eastAsia="Arial" w:cs="Arial"/>
        </w:rPr>
      </w:pPr>
    </w:p>
    <w:p w14:paraId="4A5613F9" w14:textId="77777777" w:rsidR="002B0FB5" w:rsidRDefault="002B0FB5" w:rsidP="002B0FB5">
      <w:pPr>
        <w:rPr>
          <w:rFonts w:eastAsia="Arial" w:cs="Arial"/>
        </w:rPr>
      </w:pPr>
      <w:r>
        <w:rPr>
          <w:rFonts w:eastAsia="Arial" w:cs="Arial"/>
        </w:rPr>
        <w:t xml:space="preserve">To see a sample of our data, please visit our Open Data page: </w:t>
      </w:r>
      <w:hyperlink r:id="rId19" w:history="1">
        <w:r w:rsidRPr="00E8207F">
          <w:rPr>
            <w:rStyle w:val="Hyperlink"/>
            <w:rFonts w:eastAsia="Arial" w:cs="Arial"/>
          </w:rPr>
          <w:t>https://www.heritagefund.org.uk/about/insight/open-data</w:t>
        </w:r>
      </w:hyperlink>
      <w:r>
        <w:rPr>
          <w:rFonts w:eastAsia="Arial" w:cs="Arial"/>
        </w:rPr>
        <w:t xml:space="preserve"> </w:t>
      </w:r>
    </w:p>
    <w:p w14:paraId="634912A5" w14:textId="77777777" w:rsidR="002B0FB5" w:rsidRDefault="002B0FB5" w:rsidP="002B0FB5">
      <w:pPr>
        <w:rPr>
          <w:rFonts w:eastAsia="Arial" w:cs="Arial"/>
        </w:rPr>
      </w:pPr>
      <w:r>
        <w:rPr>
          <w:rFonts w:eastAsia="Arial" w:cs="Arial"/>
        </w:rPr>
        <w:t xml:space="preserve">Or view our information on the </w:t>
      </w:r>
      <w:proofErr w:type="spellStart"/>
      <w:r>
        <w:rPr>
          <w:rFonts w:eastAsia="Arial" w:cs="Arial"/>
        </w:rPr>
        <w:t>GrantNav</w:t>
      </w:r>
      <w:proofErr w:type="spellEnd"/>
      <w:r>
        <w:rPr>
          <w:rFonts w:eastAsia="Arial" w:cs="Arial"/>
        </w:rPr>
        <w:t xml:space="preserve"> website: </w:t>
      </w:r>
      <w:hyperlink r:id="rId20" w:history="1">
        <w:r w:rsidRPr="00E8207F">
          <w:rPr>
            <w:rStyle w:val="Hyperlink"/>
            <w:rFonts w:eastAsia="Arial" w:cs="Arial"/>
          </w:rPr>
          <w:t>https://grantnav.threesixtygiving.org/publisher/360G-NLHF</w:t>
        </w:r>
      </w:hyperlink>
      <w:r>
        <w:rPr>
          <w:rFonts w:eastAsia="Arial" w:cs="Arial"/>
        </w:rPr>
        <w:t xml:space="preserve"> </w:t>
      </w:r>
    </w:p>
    <w:p w14:paraId="055D1FF5" w14:textId="77777777" w:rsidR="00FA3F8F" w:rsidRPr="00697E37" w:rsidRDefault="00FA3F8F" w:rsidP="00A103BE">
      <w:pPr>
        <w:pStyle w:val="Heading1"/>
        <w:rPr>
          <w:rFonts w:cs="Arial"/>
          <w:szCs w:val="22"/>
        </w:rPr>
      </w:pPr>
    </w:p>
    <w:sectPr w:rsidR="00FA3F8F" w:rsidRPr="00697E37" w:rsidSect="00372811">
      <w:footerReference w:type="even" r:id="rId21"/>
      <w:footerReference w:type="default" r:id="rId22"/>
      <w:headerReference w:type="first" r:id="rId23"/>
      <w:footerReference w:type="first" r:id="rId24"/>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0991C" w14:textId="77777777" w:rsidR="00F964A9" w:rsidRDefault="00F964A9">
      <w:r>
        <w:separator/>
      </w:r>
    </w:p>
  </w:endnote>
  <w:endnote w:type="continuationSeparator" w:id="0">
    <w:p w14:paraId="36199835" w14:textId="77777777" w:rsidR="00F964A9" w:rsidRDefault="00F9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3BD2"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B9A2A"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75C9"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B189F">
      <w:rPr>
        <w:rStyle w:val="PageNumber"/>
        <w:rFonts w:cs="Arial"/>
        <w:noProof/>
        <w:sz w:val="20"/>
      </w:rPr>
      <w:t>2</w:t>
    </w:r>
    <w:r w:rsidRPr="00FE2F89">
      <w:rPr>
        <w:rStyle w:val="PageNumber"/>
        <w:rFonts w:cs="Arial"/>
        <w:sz w:val="20"/>
      </w:rPr>
      <w:fldChar w:fldCharType="end"/>
    </w:r>
  </w:p>
  <w:p w14:paraId="615F9F9F"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5CC5"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1B08C63D" wp14:editId="3AA9C483">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3BD6A7F7" w14:textId="77777777" w:rsidR="00847015" w:rsidRPr="00DC45DF" w:rsidRDefault="00847015" w:rsidP="00C93A35">
    <w:pPr>
      <w:pStyle w:val="Footer"/>
      <w:ind w:left="-1260" w:right="-1176"/>
      <w:jc w:val="center"/>
      <w:rPr>
        <w:sz w:val="20"/>
      </w:rPr>
    </w:pPr>
  </w:p>
  <w:p w14:paraId="34F683A0"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CEC9" w14:textId="77777777" w:rsidR="00F964A9" w:rsidRDefault="00F964A9">
      <w:r>
        <w:separator/>
      </w:r>
    </w:p>
  </w:footnote>
  <w:footnote w:type="continuationSeparator" w:id="0">
    <w:p w14:paraId="6DF62A91" w14:textId="77777777" w:rsidR="00F964A9" w:rsidRDefault="00F96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7399" w:type="dxa"/>
      <w:tblLook w:val="04A0" w:firstRow="1" w:lastRow="0" w:firstColumn="1" w:lastColumn="0" w:noHBand="0" w:noVBand="1"/>
    </w:tblPr>
    <w:tblGrid>
      <w:gridCol w:w="2278"/>
      <w:gridCol w:w="1508"/>
      <w:gridCol w:w="2761"/>
      <w:gridCol w:w="5018"/>
      <w:gridCol w:w="261"/>
      <w:gridCol w:w="261"/>
      <w:gridCol w:w="261"/>
      <w:gridCol w:w="5051"/>
    </w:tblGrid>
    <w:tr w:rsidR="00144AD2" w14:paraId="532764E4" w14:textId="77777777" w:rsidTr="00144AD2">
      <w:tc>
        <w:tcPr>
          <w:tcW w:w="0" w:type="auto"/>
          <w:tcBorders>
            <w:top w:val="nil"/>
            <w:left w:val="nil"/>
            <w:bottom w:val="nil"/>
            <w:right w:val="nil"/>
          </w:tcBorders>
        </w:tcPr>
        <w:p w14:paraId="49F2AFC8" w14:textId="77777777"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7E4E78C0" w14:textId="77777777"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237B4993" w14:textId="77777777"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4BC24E90" w14:textId="42D99926"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3E3C81B2" w14:textId="3D6E424F"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42D2FD78" w14:textId="4861BB80"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58FAB4E9" w14:textId="2FE6E812" w:rsidR="00144AD2" w:rsidRPr="00972B6B" w:rsidRDefault="00144AD2" w:rsidP="00144AD2">
          <w:pPr>
            <w:pStyle w:val="Header"/>
            <w:rPr>
              <w:color w:val="A6A6A6" w:themeColor="background1" w:themeShade="A6"/>
              <w:sz w:val="16"/>
              <w:szCs w:val="16"/>
            </w:rPr>
          </w:pPr>
        </w:p>
      </w:tc>
      <w:tc>
        <w:tcPr>
          <w:tcW w:w="5051" w:type="dxa"/>
          <w:tcBorders>
            <w:top w:val="nil"/>
            <w:left w:val="nil"/>
            <w:bottom w:val="nil"/>
            <w:right w:val="nil"/>
          </w:tcBorders>
        </w:tcPr>
        <w:p w14:paraId="24FB2E2E" w14:textId="228568EA" w:rsidR="00144AD2" w:rsidRPr="00F84D10" w:rsidRDefault="00144AD2" w:rsidP="00144AD2">
          <w:pPr>
            <w:pStyle w:val="Header"/>
            <w:rPr>
              <w:b/>
              <w:sz w:val="16"/>
              <w:szCs w:val="16"/>
            </w:rPr>
          </w:pPr>
        </w:p>
      </w:tc>
    </w:tr>
    <w:tr w:rsidR="00144AD2" w14:paraId="2C52F544" w14:textId="77777777" w:rsidTr="00144AD2">
      <w:tc>
        <w:tcPr>
          <w:tcW w:w="0" w:type="auto"/>
          <w:tcBorders>
            <w:top w:val="nil"/>
            <w:left w:val="nil"/>
            <w:bottom w:val="nil"/>
            <w:right w:val="nil"/>
          </w:tcBorders>
        </w:tcPr>
        <w:p w14:paraId="0597FC43" w14:textId="77777777" w:rsidR="00144AD2" w:rsidRDefault="00144AD2" w:rsidP="00144AD2">
          <w:pPr>
            <w:pStyle w:val="Header"/>
            <w:rPr>
              <w:sz w:val="16"/>
              <w:szCs w:val="16"/>
            </w:rPr>
          </w:pPr>
        </w:p>
        <w:p w14:paraId="32B53F8D" w14:textId="77777777" w:rsidR="00144AD2" w:rsidRPr="00AC433A" w:rsidRDefault="00144AD2" w:rsidP="00144AD2">
          <w:pPr>
            <w:ind w:left="37" w:hanging="37"/>
            <w:rPr>
              <w:rFonts w:cs="Arial"/>
              <w:sz w:val="16"/>
              <w:szCs w:val="16"/>
            </w:rPr>
          </w:pPr>
          <w:r w:rsidRPr="00AC433A">
            <w:rPr>
              <w:rFonts w:cs="Arial"/>
              <w:sz w:val="16"/>
              <w:szCs w:val="16"/>
            </w:rPr>
            <w:t>Mezzanine Floor (North)</w:t>
          </w:r>
        </w:p>
        <w:p w14:paraId="6E53DA50" w14:textId="77777777" w:rsidR="00144AD2" w:rsidRPr="00AC433A" w:rsidRDefault="00144AD2" w:rsidP="00144AD2">
          <w:pPr>
            <w:rPr>
              <w:rFonts w:cs="Arial"/>
              <w:sz w:val="16"/>
              <w:szCs w:val="16"/>
            </w:rPr>
          </w:pPr>
          <w:r w:rsidRPr="00AC433A">
            <w:rPr>
              <w:rFonts w:cs="Arial"/>
              <w:sz w:val="16"/>
              <w:szCs w:val="16"/>
            </w:rPr>
            <w:t>International House</w:t>
          </w:r>
        </w:p>
        <w:p w14:paraId="21EB23F4" w14:textId="77777777" w:rsidR="00144AD2" w:rsidRPr="00AC433A" w:rsidRDefault="00144AD2" w:rsidP="00144AD2">
          <w:pPr>
            <w:rPr>
              <w:rFonts w:cs="Arial"/>
              <w:sz w:val="16"/>
              <w:szCs w:val="16"/>
            </w:rPr>
          </w:pPr>
          <w:r>
            <w:rPr>
              <w:rFonts w:cs="Arial"/>
              <w:sz w:val="16"/>
              <w:szCs w:val="16"/>
            </w:rPr>
            <w:t>S</w:t>
          </w:r>
          <w:r w:rsidRPr="00AC433A">
            <w:rPr>
              <w:rFonts w:cs="Arial"/>
              <w:sz w:val="16"/>
              <w:szCs w:val="16"/>
            </w:rPr>
            <w:t>t Katharine’s Way</w:t>
          </w:r>
        </w:p>
        <w:p w14:paraId="54CF08E7" w14:textId="77777777" w:rsidR="00144AD2" w:rsidRPr="00AC433A" w:rsidRDefault="00144AD2" w:rsidP="00144AD2">
          <w:pPr>
            <w:rPr>
              <w:rFonts w:cs="Arial"/>
              <w:sz w:val="16"/>
              <w:szCs w:val="16"/>
            </w:rPr>
          </w:pPr>
          <w:r w:rsidRPr="00AC433A">
            <w:rPr>
              <w:rFonts w:cs="Arial"/>
              <w:sz w:val="16"/>
              <w:szCs w:val="16"/>
            </w:rPr>
            <w:t>London E1W 1UN</w:t>
          </w:r>
        </w:p>
        <w:p w14:paraId="259567C7" w14:textId="77777777" w:rsidR="00144AD2" w:rsidRPr="00F84D10" w:rsidRDefault="00144AD2" w:rsidP="00144AD2">
          <w:pPr>
            <w:pStyle w:val="Header"/>
            <w:rPr>
              <w:b/>
              <w:sz w:val="16"/>
              <w:szCs w:val="16"/>
            </w:rPr>
          </w:pPr>
          <w:r w:rsidRPr="00F84D10">
            <w:rPr>
              <w:b/>
              <w:sz w:val="16"/>
              <w:szCs w:val="16"/>
            </w:rPr>
            <w:t>Telephone</w:t>
          </w:r>
        </w:p>
        <w:p w14:paraId="44C3994F" w14:textId="6FBAF94F" w:rsidR="00144AD2" w:rsidRPr="00972B6B" w:rsidRDefault="00144AD2" w:rsidP="00144AD2">
          <w:pPr>
            <w:pStyle w:val="Header"/>
            <w:rPr>
              <w:color w:val="A6A6A6" w:themeColor="background1" w:themeShade="A6"/>
              <w:sz w:val="16"/>
              <w:szCs w:val="16"/>
            </w:rPr>
          </w:pPr>
          <w:r w:rsidRPr="00F84D10">
            <w:rPr>
              <w:sz w:val="16"/>
              <w:szCs w:val="16"/>
            </w:rPr>
            <w:t>020 7591 6000</w:t>
          </w:r>
        </w:p>
      </w:tc>
      <w:tc>
        <w:tcPr>
          <w:tcW w:w="0" w:type="auto"/>
          <w:tcBorders>
            <w:top w:val="nil"/>
            <w:left w:val="nil"/>
            <w:bottom w:val="nil"/>
            <w:right w:val="nil"/>
          </w:tcBorders>
        </w:tcPr>
        <w:p w14:paraId="72FB387E" w14:textId="77777777" w:rsidR="00144AD2" w:rsidRDefault="00144AD2" w:rsidP="00144AD2">
          <w:pPr>
            <w:pStyle w:val="Header"/>
            <w:rPr>
              <w:b/>
              <w:sz w:val="16"/>
              <w:szCs w:val="16"/>
            </w:rPr>
          </w:pPr>
        </w:p>
        <w:p w14:paraId="2AB33016" w14:textId="77777777" w:rsidR="00144AD2" w:rsidRPr="00F84D10" w:rsidRDefault="00144AD2" w:rsidP="00144AD2">
          <w:pPr>
            <w:pStyle w:val="Header"/>
            <w:rPr>
              <w:b/>
              <w:sz w:val="16"/>
              <w:szCs w:val="16"/>
            </w:rPr>
          </w:pPr>
          <w:r w:rsidRPr="00F84D10">
            <w:rPr>
              <w:b/>
              <w:sz w:val="16"/>
              <w:szCs w:val="16"/>
            </w:rPr>
            <w:t>Facsimile</w:t>
          </w:r>
        </w:p>
        <w:p w14:paraId="37488EA4" w14:textId="77777777" w:rsidR="00144AD2" w:rsidRPr="00F84D10" w:rsidRDefault="00144AD2" w:rsidP="00144AD2">
          <w:pPr>
            <w:pStyle w:val="Header"/>
            <w:rPr>
              <w:sz w:val="16"/>
              <w:szCs w:val="16"/>
            </w:rPr>
          </w:pPr>
          <w:r w:rsidRPr="00F84D10">
            <w:rPr>
              <w:sz w:val="16"/>
              <w:szCs w:val="16"/>
            </w:rPr>
            <w:t>020 7591 6001</w:t>
          </w:r>
        </w:p>
        <w:p w14:paraId="7594EA77" w14:textId="77777777" w:rsidR="00144AD2" w:rsidRPr="00F84D10" w:rsidRDefault="00144AD2" w:rsidP="00144AD2">
          <w:pPr>
            <w:pStyle w:val="Header"/>
            <w:rPr>
              <w:b/>
              <w:sz w:val="16"/>
              <w:szCs w:val="16"/>
            </w:rPr>
          </w:pPr>
        </w:p>
        <w:p w14:paraId="6CF3BC9B" w14:textId="77777777" w:rsidR="00144AD2" w:rsidRDefault="00144AD2" w:rsidP="00144AD2">
          <w:pPr>
            <w:pStyle w:val="Header"/>
            <w:rPr>
              <w:b/>
              <w:sz w:val="16"/>
              <w:szCs w:val="16"/>
            </w:rPr>
          </w:pPr>
        </w:p>
        <w:p w14:paraId="5D977D5E" w14:textId="77777777" w:rsidR="00144AD2" w:rsidRPr="00F84D10" w:rsidRDefault="00144AD2" w:rsidP="00144AD2">
          <w:pPr>
            <w:pStyle w:val="Header"/>
            <w:rPr>
              <w:b/>
              <w:sz w:val="16"/>
              <w:szCs w:val="16"/>
            </w:rPr>
          </w:pPr>
          <w:r w:rsidRPr="00F84D10">
            <w:rPr>
              <w:b/>
              <w:sz w:val="16"/>
              <w:szCs w:val="16"/>
            </w:rPr>
            <w:t>Textphone</w:t>
          </w:r>
        </w:p>
        <w:p w14:paraId="1EDD440B" w14:textId="17B1711E" w:rsidR="00144AD2" w:rsidRPr="00972B6B" w:rsidRDefault="00144AD2" w:rsidP="00144AD2">
          <w:pPr>
            <w:pStyle w:val="Header"/>
            <w:rPr>
              <w:color w:val="A6A6A6" w:themeColor="background1" w:themeShade="A6"/>
              <w:sz w:val="16"/>
              <w:szCs w:val="16"/>
            </w:rPr>
          </w:pPr>
          <w:r w:rsidRPr="00F84D10">
            <w:rPr>
              <w:sz w:val="16"/>
              <w:szCs w:val="16"/>
            </w:rPr>
            <w:t>020 7591 6255</w:t>
          </w:r>
        </w:p>
      </w:tc>
      <w:tc>
        <w:tcPr>
          <w:tcW w:w="0" w:type="auto"/>
          <w:tcBorders>
            <w:top w:val="nil"/>
            <w:left w:val="nil"/>
            <w:bottom w:val="nil"/>
            <w:right w:val="nil"/>
          </w:tcBorders>
        </w:tcPr>
        <w:p w14:paraId="0D4D49F1" w14:textId="77777777" w:rsidR="00144AD2" w:rsidRDefault="00144AD2" w:rsidP="00144AD2">
          <w:pPr>
            <w:pStyle w:val="Header"/>
            <w:rPr>
              <w:b/>
              <w:sz w:val="16"/>
              <w:szCs w:val="16"/>
            </w:rPr>
          </w:pPr>
        </w:p>
        <w:p w14:paraId="691A654F" w14:textId="77777777" w:rsidR="00144AD2" w:rsidRPr="00F84D10" w:rsidRDefault="00144AD2" w:rsidP="00144AD2">
          <w:pPr>
            <w:pStyle w:val="Header"/>
            <w:rPr>
              <w:b/>
              <w:sz w:val="16"/>
              <w:szCs w:val="16"/>
            </w:rPr>
          </w:pPr>
          <w:r w:rsidRPr="00F84D10">
            <w:rPr>
              <w:b/>
              <w:sz w:val="16"/>
              <w:szCs w:val="16"/>
            </w:rPr>
            <w:t>Website</w:t>
          </w:r>
        </w:p>
        <w:p w14:paraId="34AD81D5" w14:textId="77777777" w:rsidR="00144AD2" w:rsidRPr="00F84D10" w:rsidRDefault="00144AD2" w:rsidP="00144AD2">
          <w:pPr>
            <w:pStyle w:val="Header"/>
            <w:rPr>
              <w:sz w:val="16"/>
              <w:szCs w:val="16"/>
            </w:rPr>
          </w:pPr>
          <w:r w:rsidRPr="00F84D10">
            <w:rPr>
              <w:sz w:val="16"/>
              <w:szCs w:val="16"/>
            </w:rPr>
            <w:t>www.heritagefund.org.uk</w:t>
          </w:r>
        </w:p>
        <w:p w14:paraId="7F5AA510" w14:textId="77777777" w:rsidR="00144AD2" w:rsidRPr="00F84D10" w:rsidRDefault="00144AD2" w:rsidP="00144AD2">
          <w:pPr>
            <w:pStyle w:val="Header"/>
            <w:rPr>
              <w:sz w:val="16"/>
              <w:szCs w:val="16"/>
            </w:rPr>
          </w:pPr>
        </w:p>
        <w:p w14:paraId="537B4B1A" w14:textId="77777777" w:rsidR="00144AD2" w:rsidRDefault="00144AD2" w:rsidP="00144AD2">
          <w:pPr>
            <w:pStyle w:val="Header"/>
            <w:rPr>
              <w:b/>
              <w:sz w:val="16"/>
              <w:szCs w:val="16"/>
            </w:rPr>
          </w:pPr>
        </w:p>
        <w:p w14:paraId="3BFCFAB0" w14:textId="77777777" w:rsidR="00144AD2" w:rsidRPr="00F84D10" w:rsidRDefault="00144AD2" w:rsidP="00144AD2">
          <w:pPr>
            <w:pStyle w:val="Header"/>
            <w:rPr>
              <w:b/>
              <w:sz w:val="16"/>
              <w:szCs w:val="16"/>
            </w:rPr>
          </w:pPr>
          <w:r w:rsidRPr="00F84D10">
            <w:rPr>
              <w:b/>
              <w:sz w:val="16"/>
              <w:szCs w:val="16"/>
            </w:rPr>
            <w:t>Social</w:t>
          </w:r>
        </w:p>
        <w:p w14:paraId="29881365" w14:textId="732A0E65" w:rsidR="00144AD2" w:rsidRPr="00972B6B" w:rsidRDefault="00144AD2" w:rsidP="00144AD2">
          <w:pPr>
            <w:pStyle w:val="Header"/>
            <w:rPr>
              <w:color w:val="A6A6A6" w:themeColor="background1" w:themeShade="A6"/>
              <w:sz w:val="16"/>
              <w:szCs w:val="16"/>
            </w:rPr>
          </w:pPr>
          <w:r w:rsidRPr="00F84D10">
            <w:rPr>
              <w:sz w:val="16"/>
              <w:szCs w:val="16"/>
            </w:rPr>
            <w:t>#</w:t>
          </w:r>
          <w:proofErr w:type="spellStart"/>
          <w:r w:rsidRPr="00F84D10">
            <w:rPr>
              <w:sz w:val="16"/>
              <w:szCs w:val="16"/>
            </w:rPr>
            <w:t>NationalLotteryHeritageFund</w:t>
          </w:r>
          <w:proofErr w:type="spellEnd"/>
        </w:p>
      </w:tc>
      <w:tc>
        <w:tcPr>
          <w:tcW w:w="0" w:type="auto"/>
          <w:tcBorders>
            <w:top w:val="nil"/>
            <w:left w:val="nil"/>
            <w:bottom w:val="nil"/>
            <w:right w:val="nil"/>
          </w:tcBorders>
        </w:tcPr>
        <w:p w14:paraId="645CC269" w14:textId="4817CBCD" w:rsidR="00144AD2" w:rsidRDefault="00144AD2" w:rsidP="00144AD2">
          <w:pPr>
            <w:pStyle w:val="Header"/>
            <w:rPr>
              <w:noProof/>
              <w:lang w:eastAsia="en-GB"/>
            </w:rPr>
          </w:pPr>
          <w:r>
            <w:rPr>
              <w:noProof/>
              <w:lang w:eastAsia="en-GB"/>
            </w:rPr>
            <w:drawing>
              <wp:inline distT="0" distB="0" distL="0" distR="0" wp14:anchorId="53F2556F" wp14:editId="12C46017">
                <wp:extent cx="2576512" cy="98481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LHLF_Mono_Logo_Englis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6512" cy="984817"/>
                        </a:xfrm>
                        <a:prstGeom prst="rect">
                          <a:avLst/>
                        </a:prstGeom>
                      </pic:spPr>
                    </pic:pic>
                  </a:graphicData>
                </a:graphic>
              </wp:inline>
            </w:drawing>
          </w:r>
        </w:p>
      </w:tc>
      <w:tc>
        <w:tcPr>
          <w:tcW w:w="0" w:type="auto"/>
          <w:tcBorders>
            <w:top w:val="nil"/>
            <w:left w:val="nil"/>
            <w:bottom w:val="nil"/>
            <w:right w:val="nil"/>
          </w:tcBorders>
        </w:tcPr>
        <w:p w14:paraId="559B233D" w14:textId="77777777"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3BA3C6FC" w14:textId="77777777" w:rsidR="00144AD2" w:rsidRPr="00972B6B" w:rsidRDefault="00144AD2" w:rsidP="00144AD2">
          <w:pPr>
            <w:pStyle w:val="Header"/>
            <w:rPr>
              <w:color w:val="A6A6A6" w:themeColor="background1" w:themeShade="A6"/>
              <w:sz w:val="16"/>
              <w:szCs w:val="16"/>
            </w:rPr>
          </w:pPr>
        </w:p>
      </w:tc>
      <w:tc>
        <w:tcPr>
          <w:tcW w:w="0" w:type="auto"/>
          <w:tcBorders>
            <w:top w:val="nil"/>
            <w:left w:val="nil"/>
            <w:bottom w:val="nil"/>
            <w:right w:val="nil"/>
          </w:tcBorders>
        </w:tcPr>
        <w:p w14:paraId="151573A3" w14:textId="77777777" w:rsidR="00144AD2" w:rsidRPr="00972B6B" w:rsidRDefault="00144AD2" w:rsidP="00144AD2">
          <w:pPr>
            <w:pStyle w:val="Header"/>
            <w:rPr>
              <w:color w:val="A6A6A6" w:themeColor="background1" w:themeShade="A6"/>
              <w:sz w:val="16"/>
              <w:szCs w:val="16"/>
            </w:rPr>
          </w:pPr>
        </w:p>
      </w:tc>
      <w:tc>
        <w:tcPr>
          <w:tcW w:w="5051" w:type="dxa"/>
          <w:tcBorders>
            <w:top w:val="nil"/>
            <w:left w:val="nil"/>
            <w:bottom w:val="nil"/>
            <w:right w:val="nil"/>
          </w:tcBorders>
        </w:tcPr>
        <w:p w14:paraId="7301EFA1" w14:textId="77777777" w:rsidR="00144AD2" w:rsidRPr="00F84D10" w:rsidRDefault="00144AD2" w:rsidP="00144AD2">
          <w:pPr>
            <w:pStyle w:val="Header"/>
            <w:rPr>
              <w:b/>
              <w:sz w:val="16"/>
              <w:szCs w:val="16"/>
            </w:rPr>
          </w:pPr>
        </w:p>
      </w:tc>
    </w:tr>
  </w:tbl>
  <w:p w14:paraId="295651ED" w14:textId="77777777" w:rsidR="00972B6B" w:rsidRDefault="00972B6B" w:rsidP="00972B6B">
    <w:pPr>
      <w:pStyle w:val="Header"/>
    </w:pPr>
  </w:p>
  <w:p w14:paraId="6F91B56E" w14:textId="77777777" w:rsidR="00847015" w:rsidRDefault="00847015"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075"/>
    <w:multiLevelType w:val="hybridMultilevel"/>
    <w:tmpl w:val="DBAC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6075"/>
    <w:multiLevelType w:val="hybridMultilevel"/>
    <w:tmpl w:val="63064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15:restartNumberingAfterBreak="0">
    <w:nsid w:val="363F5093"/>
    <w:multiLevelType w:val="hybridMultilevel"/>
    <w:tmpl w:val="F81869F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BAD4722"/>
    <w:multiLevelType w:val="hybridMultilevel"/>
    <w:tmpl w:val="2D7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C6B88"/>
    <w:multiLevelType w:val="hybridMultilevel"/>
    <w:tmpl w:val="24B456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63DA5C43"/>
    <w:multiLevelType w:val="hybridMultilevel"/>
    <w:tmpl w:val="962ED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87CB2"/>
    <w:multiLevelType w:val="hybridMultilevel"/>
    <w:tmpl w:val="3CEC77E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5"/>
  </w:num>
  <w:num w:numId="3">
    <w:abstractNumId w:val="8"/>
  </w:num>
  <w:num w:numId="4">
    <w:abstractNumId w:val="4"/>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3"/>
  </w:num>
  <w:num w:numId="8">
    <w:abstractNumId w:val="7"/>
  </w:num>
  <w:num w:numId="9">
    <w:abstractNumId w:val="12"/>
  </w:num>
  <w:num w:numId="10">
    <w:abstractNumId w:val="5"/>
  </w:num>
  <w:num w:numId="11">
    <w:abstractNumId w:val="14"/>
  </w:num>
  <w:num w:numId="12">
    <w:abstractNumId w:val="2"/>
  </w:num>
  <w:num w:numId="13">
    <w:abstractNumId w:val="11"/>
  </w:num>
  <w:num w:numId="14">
    <w:abstractNumId w:val="1"/>
  </w:num>
  <w:num w:numId="15">
    <w:abstractNumId w:val="0"/>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36"/>
    <w:rsid w:val="00010655"/>
    <w:rsid w:val="0001354B"/>
    <w:rsid w:val="000232DC"/>
    <w:rsid w:val="00023FF3"/>
    <w:rsid w:val="000302FA"/>
    <w:rsid w:val="00044308"/>
    <w:rsid w:val="00056B22"/>
    <w:rsid w:val="000600B0"/>
    <w:rsid w:val="00065DF2"/>
    <w:rsid w:val="00070839"/>
    <w:rsid w:val="0007195E"/>
    <w:rsid w:val="00080479"/>
    <w:rsid w:val="00083BCF"/>
    <w:rsid w:val="00084D37"/>
    <w:rsid w:val="00087032"/>
    <w:rsid w:val="000B1288"/>
    <w:rsid w:val="000B4E51"/>
    <w:rsid w:val="000C0DC9"/>
    <w:rsid w:val="000C1537"/>
    <w:rsid w:val="000D05FE"/>
    <w:rsid w:val="000E4409"/>
    <w:rsid w:val="00100665"/>
    <w:rsid w:val="00101396"/>
    <w:rsid w:val="0010334A"/>
    <w:rsid w:val="0011075E"/>
    <w:rsid w:val="00113497"/>
    <w:rsid w:val="0012514A"/>
    <w:rsid w:val="00130E94"/>
    <w:rsid w:val="00131128"/>
    <w:rsid w:val="00144AD2"/>
    <w:rsid w:val="001467AF"/>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C3408"/>
    <w:rsid w:val="001D5F79"/>
    <w:rsid w:val="001E0220"/>
    <w:rsid w:val="0021230D"/>
    <w:rsid w:val="00230F44"/>
    <w:rsid w:val="00234ED8"/>
    <w:rsid w:val="002409F5"/>
    <w:rsid w:val="00245CDA"/>
    <w:rsid w:val="002501E5"/>
    <w:rsid w:val="00252DBB"/>
    <w:rsid w:val="00271353"/>
    <w:rsid w:val="00274270"/>
    <w:rsid w:val="00286236"/>
    <w:rsid w:val="00286E4F"/>
    <w:rsid w:val="0029057B"/>
    <w:rsid w:val="002A3C07"/>
    <w:rsid w:val="002B0FB5"/>
    <w:rsid w:val="002B736C"/>
    <w:rsid w:val="002C34F0"/>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90875"/>
    <w:rsid w:val="003A3FA3"/>
    <w:rsid w:val="003A6577"/>
    <w:rsid w:val="003A6DA0"/>
    <w:rsid w:val="003B180F"/>
    <w:rsid w:val="003C0CAC"/>
    <w:rsid w:val="003C5497"/>
    <w:rsid w:val="003D688D"/>
    <w:rsid w:val="003E0579"/>
    <w:rsid w:val="003E1863"/>
    <w:rsid w:val="00406171"/>
    <w:rsid w:val="00410299"/>
    <w:rsid w:val="0042281E"/>
    <w:rsid w:val="004328A0"/>
    <w:rsid w:val="00437E6F"/>
    <w:rsid w:val="00441942"/>
    <w:rsid w:val="00457454"/>
    <w:rsid w:val="00481AC9"/>
    <w:rsid w:val="00485DF2"/>
    <w:rsid w:val="004A1711"/>
    <w:rsid w:val="004A57F3"/>
    <w:rsid w:val="004A60CE"/>
    <w:rsid w:val="004B3DC9"/>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43341"/>
    <w:rsid w:val="00551CF6"/>
    <w:rsid w:val="00586075"/>
    <w:rsid w:val="0058712E"/>
    <w:rsid w:val="0059222F"/>
    <w:rsid w:val="005949B6"/>
    <w:rsid w:val="005956B7"/>
    <w:rsid w:val="005A5561"/>
    <w:rsid w:val="005C1CA2"/>
    <w:rsid w:val="005C39F5"/>
    <w:rsid w:val="005C5052"/>
    <w:rsid w:val="005D78CC"/>
    <w:rsid w:val="005E2B6C"/>
    <w:rsid w:val="005F01C7"/>
    <w:rsid w:val="005F3B9A"/>
    <w:rsid w:val="005F7F3F"/>
    <w:rsid w:val="00601065"/>
    <w:rsid w:val="006018FA"/>
    <w:rsid w:val="006101AF"/>
    <w:rsid w:val="0061033A"/>
    <w:rsid w:val="0061657B"/>
    <w:rsid w:val="00617D51"/>
    <w:rsid w:val="00635984"/>
    <w:rsid w:val="0063699D"/>
    <w:rsid w:val="0063783B"/>
    <w:rsid w:val="0064695C"/>
    <w:rsid w:val="00646D58"/>
    <w:rsid w:val="00654CF2"/>
    <w:rsid w:val="0066252D"/>
    <w:rsid w:val="00671D59"/>
    <w:rsid w:val="00690EA9"/>
    <w:rsid w:val="00697E37"/>
    <w:rsid w:val="006B27B4"/>
    <w:rsid w:val="006B62F2"/>
    <w:rsid w:val="006D3573"/>
    <w:rsid w:val="006D4828"/>
    <w:rsid w:val="006E4C66"/>
    <w:rsid w:val="006F16CA"/>
    <w:rsid w:val="006F375E"/>
    <w:rsid w:val="006F41A3"/>
    <w:rsid w:val="006F47FA"/>
    <w:rsid w:val="00701F0C"/>
    <w:rsid w:val="0070362F"/>
    <w:rsid w:val="00705DBB"/>
    <w:rsid w:val="00711011"/>
    <w:rsid w:val="00720BF1"/>
    <w:rsid w:val="00734E40"/>
    <w:rsid w:val="00743E11"/>
    <w:rsid w:val="00770D2E"/>
    <w:rsid w:val="00774489"/>
    <w:rsid w:val="00785B3B"/>
    <w:rsid w:val="007A096A"/>
    <w:rsid w:val="007A3B89"/>
    <w:rsid w:val="007B4B9B"/>
    <w:rsid w:val="007C0317"/>
    <w:rsid w:val="007C29BF"/>
    <w:rsid w:val="007C40BC"/>
    <w:rsid w:val="007C42CF"/>
    <w:rsid w:val="007D5EE0"/>
    <w:rsid w:val="007D7154"/>
    <w:rsid w:val="007D750C"/>
    <w:rsid w:val="007E2B81"/>
    <w:rsid w:val="007F22D4"/>
    <w:rsid w:val="00807DE0"/>
    <w:rsid w:val="0082194B"/>
    <w:rsid w:val="0082540F"/>
    <w:rsid w:val="008341BC"/>
    <w:rsid w:val="0084478B"/>
    <w:rsid w:val="00847015"/>
    <w:rsid w:val="0086443C"/>
    <w:rsid w:val="0087078E"/>
    <w:rsid w:val="00871A60"/>
    <w:rsid w:val="00895A89"/>
    <w:rsid w:val="008A4DA4"/>
    <w:rsid w:val="008A5F51"/>
    <w:rsid w:val="008B189F"/>
    <w:rsid w:val="008B67BA"/>
    <w:rsid w:val="008C4A94"/>
    <w:rsid w:val="008D4111"/>
    <w:rsid w:val="008E4937"/>
    <w:rsid w:val="009012D3"/>
    <w:rsid w:val="00914043"/>
    <w:rsid w:val="00916ECA"/>
    <w:rsid w:val="00933D4B"/>
    <w:rsid w:val="00972B6B"/>
    <w:rsid w:val="0097623A"/>
    <w:rsid w:val="009772DF"/>
    <w:rsid w:val="009901B6"/>
    <w:rsid w:val="009970CC"/>
    <w:rsid w:val="009A0AFE"/>
    <w:rsid w:val="009B0D88"/>
    <w:rsid w:val="009D7BCE"/>
    <w:rsid w:val="009E147C"/>
    <w:rsid w:val="009E7000"/>
    <w:rsid w:val="009F733A"/>
    <w:rsid w:val="00A05123"/>
    <w:rsid w:val="00A06A66"/>
    <w:rsid w:val="00A103BE"/>
    <w:rsid w:val="00A25CBC"/>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1A7A"/>
    <w:rsid w:val="00AB6493"/>
    <w:rsid w:val="00AC002B"/>
    <w:rsid w:val="00AC14FF"/>
    <w:rsid w:val="00AC368F"/>
    <w:rsid w:val="00AE0C61"/>
    <w:rsid w:val="00AE2088"/>
    <w:rsid w:val="00AE436A"/>
    <w:rsid w:val="00AF57EC"/>
    <w:rsid w:val="00B11CB8"/>
    <w:rsid w:val="00B2662F"/>
    <w:rsid w:val="00B3228E"/>
    <w:rsid w:val="00B336D2"/>
    <w:rsid w:val="00B42AA0"/>
    <w:rsid w:val="00B47373"/>
    <w:rsid w:val="00B50AEE"/>
    <w:rsid w:val="00B52005"/>
    <w:rsid w:val="00B61E0C"/>
    <w:rsid w:val="00B62348"/>
    <w:rsid w:val="00B63A91"/>
    <w:rsid w:val="00B66C11"/>
    <w:rsid w:val="00B831A0"/>
    <w:rsid w:val="00B86FAF"/>
    <w:rsid w:val="00BA1623"/>
    <w:rsid w:val="00BA6125"/>
    <w:rsid w:val="00BB427C"/>
    <w:rsid w:val="00BC0577"/>
    <w:rsid w:val="00BC6770"/>
    <w:rsid w:val="00BD163B"/>
    <w:rsid w:val="00BD4BBE"/>
    <w:rsid w:val="00BE7CD9"/>
    <w:rsid w:val="00C10E1D"/>
    <w:rsid w:val="00C231DD"/>
    <w:rsid w:val="00C26086"/>
    <w:rsid w:val="00C43DE6"/>
    <w:rsid w:val="00C507FB"/>
    <w:rsid w:val="00C53228"/>
    <w:rsid w:val="00C61FAA"/>
    <w:rsid w:val="00C75004"/>
    <w:rsid w:val="00C75AE9"/>
    <w:rsid w:val="00C819A0"/>
    <w:rsid w:val="00C93A35"/>
    <w:rsid w:val="00CB4ACA"/>
    <w:rsid w:val="00CB6EA7"/>
    <w:rsid w:val="00CC7597"/>
    <w:rsid w:val="00CD6F79"/>
    <w:rsid w:val="00CD7B50"/>
    <w:rsid w:val="00CF0490"/>
    <w:rsid w:val="00CF116D"/>
    <w:rsid w:val="00CF253B"/>
    <w:rsid w:val="00CF3EFA"/>
    <w:rsid w:val="00CF6323"/>
    <w:rsid w:val="00D00803"/>
    <w:rsid w:val="00D07124"/>
    <w:rsid w:val="00D13DCB"/>
    <w:rsid w:val="00D162D1"/>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E01DA"/>
    <w:rsid w:val="00DF0940"/>
    <w:rsid w:val="00DF17DC"/>
    <w:rsid w:val="00DF1B4E"/>
    <w:rsid w:val="00DF34A0"/>
    <w:rsid w:val="00DF3BDB"/>
    <w:rsid w:val="00E00936"/>
    <w:rsid w:val="00E01E77"/>
    <w:rsid w:val="00E041AC"/>
    <w:rsid w:val="00E04BF0"/>
    <w:rsid w:val="00E13B2A"/>
    <w:rsid w:val="00E34E4A"/>
    <w:rsid w:val="00E446E6"/>
    <w:rsid w:val="00E4627B"/>
    <w:rsid w:val="00E61EE1"/>
    <w:rsid w:val="00E63058"/>
    <w:rsid w:val="00E7611E"/>
    <w:rsid w:val="00E83D56"/>
    <w:rsid w:val="00E83D68"/>
    <w:rsid w:val="00E87C87"/>
    <w:rsid w:val="00E91339"/>
    <w:rsid w:val="00EA3ED2"/>
    <w:rsid w:val="00EA7234"/>
    <w:rsid w:val="00ED3A60"/>
    <w:rsid w:val="00ED5E78"/>
    <w:rsid w:val="00EE21A0"/>
    <w:rsid w:val="00EF0AA1"/>
    <w:rsid w:val="00EF1286"/>
    <w:rsid w:val="00EF48E1"/>
    <w:rsid w:val="00F03DBE"/>
    <w:rsid w:val="00F041C0"/>
    <w:rsid w:val="00F2798F"/>
    <w:rsid w:val="00F45311"/>
    <w:rsid w:val="00F471F2"/>
    <w:rsid w:val="00F52988"/>
    <w:rsid w:val="00F61389"/>
    <w:rsid w:val="00F61636"/>
    <w:rsid w:val="00F70CBA"/>
    <w:rsid w:val="00F721AD"/>
    <w:rsid w:val="00F75A7D"/>
    <w:rsid w:val="00F964A9"/>
    <w:rsid w:val="00FA3F8F"/>
    <w:rsid w:val="00FB5F73"/>
    <w:rsid w:val="00FC222D"/>
    <w:rsid w:val="00FC6B0C"/>
    <w:rsid w:val="00FE2F89"/>
    <w:rsid w:val="00FE7438"/>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86DC7E"/>
  <w15:docId w15:val="{3DE04683-1DDF-4233-BF49-3C19388C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hyperlink" Target="http://www.accessible-digital-document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lf.org.uk/Pages/Home.aspx" TargetMode="External"/><Relationship Id="rId17" Type="http://schemas.openxmlformats.org/officeDocument/2006/relationships/hyperlink" Target="http://webacc.shaw-trust.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how-to-publish-on-gov-uk/accessible-pdfs" TargetMode="External"/><Relationship Id="rId20" Type="http://schemas.openxmlformats.org/officeDocument/2006/relationships/hyperlink" Target="https://grantnav.threesixtygiving.org/publisher/360G-NLH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Walters@heritagefund.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ebaim.org/techniques/wor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ritagefund.org.uk/about/insight/open-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lf.org.uk/grantholders/acknowledgement/Pages/Logosandacknowledgement.aspx"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isp\Desktop\Template%20Brief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60E26CADBD746B50689DA2DC72230" ma:contentTypeVersion="8" ma:contentTypeDescription="Create a new document." ma:contentTypeScope="" ma:versionID="93b98140e747a6fe414b753bffd29406">
  <xsd:schema xmlns:xsd="http://www.w3.org/2001/XMLSchema" xmlns:xs="http://www.w3.org/2001/XMLSchema" xmlns:p="http://schemas.microsoft.com/office/2006/metadata/properties" xmlns:ns3="5abb217d-7864-4de8-a597-ff0fa4ce0b08" xmlns:ns4="48fc7797-9118-4056-acbb-0e65fc5c19e3" targetNamespace="http://schemas.microsoft.com/office/2006/metadata/properties" ma:root="true" ma:fieldsID="573820c6de440e5f88d18cb1d960c0ef" ns3:_="" ns4:_="">
    <xsd:import namespace="5abb217d-7864-4de8-a597-ff0fa4ce0b08"/>
    <xsd:import namespace="48fc7797-9118-4056-acbb-0e65fc5c1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b217d-7864-4de8-a597-ff0fa4ce0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c7797-9118-4056-acbb-0e65fc5c1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F418-ADAD-48BB-9F73-AAA66C573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b217d-7864-4de8-a597-ff0fa4ce0b08"/>
    <ds:schemaRef ds:uri="48fc7797-9118-4056-acbb-0e65fc5c1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3445-3282-4A5E-B950-ACBA5CE16EA6}">
  <ds:schemaRefs>
    <ds:schemaRef ds:uri="http://schemas.microsoft.com/sharepoint/v3/contenttype/forms"/>
  </ds:schemaRefs>
</ds:datastoreItem>
</file>

<file path=customXml/itemProps3.xml><?xml version="1.0" encoding="utf-8"?>
<ds:datastoreItem xmlns:ds="http://schemas.openxmlformats.org/officeDocument/2006/customXml" ds:itemID="{F86A56F9-6DDA-497F-92D2-1A1873A05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4A563-04D4-4766-9C78-4A6579A9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Brief_accessible.dotx</Template>
  <TotalTime>0</TotalTime>
  <Pages>12</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35</cp:revision>
  <cp:lastPrinted>2012-10-15T14:38:00Z</cp:lastPrinted>
  <dcterms:created xsi:type="dcterms:W3CDTF">2020-01-23T13:24:00Z</dcterms:created>
  <dcterms:modified xsi:type="dcterms:W3CDTF">2020-01-28T09:26:00Z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0x010100A6660E26CADBD746B50689DA2DC72230</vt:lpwstr>
  </property>
</Properties>
</file>