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004B3" w14:textId="77777777" w:rsidR="00501C43" w:rsidRDefault="00501C43" w:rsidP="007468F2"/>
    <w:p w14:paraId="360F31C4" w14:textId="1F3C671F" w:rsidR="00277F8E" w:rsidRDefault="00277F8E" w:rsidP="007468F2">
      <w:r>
        <w:rPr>
          <w:noProof/>
          <w:lang w:eastAsia="en-GB"/>
        </w:rPr>
        <w:drawing>
          <wp:anchor distT="0" distB="0" distL="114300" distR="114300" simplePos="0" relativeHeight="251658240" behindDoc="0" locked="0" layoutInCell="1" allowOverlap="1" wp14:anchorId="4971235A" wp14:editId="33BCF165">
            <wp:simplePos x="0" y="0"/>
            <wp:positionH relativeFrom="column">
              <wp:posOffset>-85725</wp:posOffset>
            </wp:positionH>
            <wp:positionV relativeFrom="paragraph">
              <wp:posOffset>56515</wp:posOffset>
            </wp:positionV>
            <wp:extent cx="1122045" cy="1231265"/>
            <wp:effectExtent l="0" t="0" r="190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1231265"/>
                    </a:xfrm>
                    <a:prstGeom prst="rect">
                      <a:avLst/>
                    </a:prstGeom>
                    <a:noFill/>
                  </pic:spPr>
                </pic:pic>
              </a:graphicData>
            </a:graphic>
          </wp:anchor>
        </w:drawing>
      </w:r>
    </w:p>
    <w:p w14:paraId="7706D062" w14:textId="5817AC5E" w:rsidR="00277F8E" w:rsidRDefault="00277F8E" w:rsidP="007468F2"/>
    <w:p w14:paraId="33FEDFB5" w14:textId="5D1BB332" w:rsidR="00501C43" w:rsidRPr="00277F8E" w:rsidRDefault="00277F8E" w:rsidP="00277F8E">
      <w:pPr>
        <w:jc w:val="center"/>
        <w:rPr>
          <w:sz w:val="28"/>
          <w:szCs w:val="28"/>
        </w:rPr>
      </w:pPr>
      <w:r w:rsidRPr="00277F8E">
        <w:rPr>
          <w:sz w:val="28"/>
          <w:szCs w:val="28"/>
        </w:rPr>
        <w:t>I</w:t>
      </w:r>
      <w:r w:rsidRPr="00277F8E">
        <w:rPr>
          <w:sz w:val="28"/>
          <w:szCs w:val="28"/>
        </w:rPr>
        <w:t xml:space="preserve">ntelligence, </w:t>
      </w:r>
      <w:r w:rsidRPr="00277F8E">
        <w:rPr>
          <w:sz w:val="28"/>
          <w:szCs w:val="28"/>
        </w:rPr>
        <w:t>R</w:t>
      </w:r>
      <w:r w:rsidRPr="00277F8E">
        <w:rPr>
          <w:sz w:val="28"/>
          <w:szCs w:val="28"/>
        </w:rPr>
        <w:t xml:space="preserve">isk </w:t>
      </w:r>
      <w:r w:rsidRPr="00277F8E">
        <w:rPr>
          <w:sz w:val="28"/>
          <w:szCs w:val="28"/>
        </w:rPr>
        <w:t>and S</w:t>
      </w:r>
      <w:r w:rsidRPr="00277F8E">
        <w:rPr>
          <w:sz w:val="28"/>
          <w:szCs w:val="28"/>
        </w:rPr>
        <w:t>ecurity</w:t>
      </w:r>
      <w:r w:rsidRPr="00277F8E">
        <w:rPr>
          <w:sz w:val="28"/>
          <w:szCs w:val="28"/>
        </w:rPr>
        <w:t xml:space="preserve"> – Early Supplier Engagement Opportunity</w:t>
      </w:r>
      <w:r w:rsidRPr="00277F8E">
        <w:rPr>
          <w:noProof/>
          <w:sz w:val="28"/>
          <w:szCs w:val="28"/>
          <w:lang w:eastAsia="en-GB"/>
        </w:rPr>
        <w:t xml:space="preserve"> </w:t>
      </w:r>
      <w:r w:rsidRPr="00277F8E">
        <w:rPr>
          <w:sz w:val="28"/>
          <w:szCs w:val="28"/>
        </w:rPr>
        <w:br w:type="textWrapping" w:clear="all"/>
      </w:r>
    </w:p>
    <w:p w14:paraId="752B176D" w14:textId="77777777" w:rsidR="00FA43E4" w:rsidRDefault="005071C1" w:rsidP="00FA43E4">
      <w:pPr>
        <w:jc w:val="both"/>
      </w:pPr>
      <w:r>
        <w:t xml:space="preserve"> </w:t>
      </w:r>
      <w:r w:rsidR="00FA43E4">
        <w:t>The Francis Crick institute, a leading biomedical research facility based in central London, is seeking supplier engagement in the areas of intelligence, risk and security ahead of 2017 formal tender activity. This is to gain a better understanding of the solutions available, the ways in which they could be supplied, budgetary impacts, and to help determine the most effective way of packaging and scoping its requirements for future procurement opportunities.</w:t>
      </w:r>
    </w:p>
    <w:p w14:paraId="112EA617" w14:textId="77777777" w:rsidR="00FA43E4" w:rsidRDefault="00FA43E4" w:rsidP="00FA43E4">
      <w:r>
        <w:t>The areas the Crick would like to engage in are:</w:t>
      </w:r>
    </w:p>
    <w:p w14:paraId="45A66CA3" w14:textId="77777777" w:rsidR="00FA43E4" w:rsidRDefault="00FA43E4" w:rsidP="00FA43E4"/>
    <w:p w14:paraId="1CA29078" w14:textId="77777777" w:rsidR="00FA43E4" w:rsidRDefault="00FA43E4" w:rsidP="00FA43E4">
      <w:pPr>
        <w:pStyle w:val="ListParagraph"/>
        <w:numPr>
          <w:ilvl w:val="0"/>
          <w:numId w:val="1"/>
        </w:numPr>
      </w:pPr>
      <w:r>
        <w:t xml:space="preserve">Intelligence Services </w:t>
      </w:r>
    </w:p>
    <w:p w14:paraId="238D0A9C" w14:textId="77777777" w:rsidR="00FA43E4" w:rsidRDefault="00FA43E4" w:rsidP="00277F8E">
      <w:pPr>
        <w:jc w:val="both"/>
      </w:pPr>
      <w:r>
        <w:t>Focusing on the ability for the organisation to assess risk and provide the right mix of recommendations based upon experience, knowledge of specific incidents and trends from previous, similar examples. The Crick would be interested in solutions covering the following key areas:</w:t>
      </w:r>
    </w:p>
    <w:p w14:paraId="74DCD34B" w14:textId="77777777" w:rsidR="00FA43E4" w:rsidRDefault="00FA43E4" w:rsidP="00FA43E4">
      <w:pPr>
        <w:pStyle w:val="ListParagraph"/>
        <w:numPr>
          <w:ilvl w:val="0"/>
          <w:numId w:val="2"/>
        </w:numPr>
      </w:pPr>
      <w:r>
        <w:t>Crick specific intelligence – Any specific risks and intelligence regarding the Crick and its founder organisations.</w:t>
      </w:r>
    </w:p>
    <w:p w14:paraId="56A2CF2B" w14:textId="77777777" w:rsidR="00FA43E4" w:rsidRDefault="00FA43E4" w:rsidP="00FA43E4">
      <w:pPr>
        <w:pStyle w:val="ListParagraph"/>
      </w:pPr>
    </w:p>
    <w:p w14:paraId="3EF28641" w14:textId="77777777" w:rsidR="00FA43E4" w:rsidRDefault="00FA43E4" w:rsidP="00FA43E4">
      <w:pPr>
        <w:pStyle w:val="ListParagraph"/>
        <w:numPr>
          <w:ilvl w:val="0"/>
          <w:numId w:val="2"/>
        </w:numPr>
      </w:pPr>
      <w:r>
        <w:t>Sector Specific – Specific focus on scientific research &amp; pharmaceutical environments and higher education establishments</w:t>
      </w:r>
    </w:p>
    <w:p w14:paraId="79153916" w14:textId="77777777" w:rsidR="00FA43E4" w:rsidRDefault="00FA43E4" w:rsidP="00FA43E4">
      <w:pPr>
        <w:pStyle w:val="ListParagraph"/>
      </w:pPr>
    </w:p>
    <w:p w14:paraId="3E3BFA27" w14:textId="77777777" w:rsidR="00FA43E4" w:rsidRDefault="00FA43E4" w:rsidP="00FA43E4">
      <w:pPr>
        <w:pStyle w:val="ListParagraph"/>
        <w:numPr>
          <w:ilvl w:val="0"/>
          <w:numId w:val="2"/>
        </w:numPr>
      </w:pPr>
      <w:r>
        <w:t>Geographic (Area specific) – Intelligence relating to the immediate area in which the Crick operates, specifically focusing on the transport network and other key sites in the immediate area including the University College Hospital and the British Library.</w:t>
      </w:r>
    </w:p>
    <w:p w14:paraId="1DF87912" w14:textId="77777777" w:rsidR="00FA43E4" w:rsidRDefault="00FA43E4" w:rsidP="00FA43E4">
      <w:pPr>
        <w:pStyle w:val="ListParagraph"/>
      </w:pPr>
    </w:p>
    <w:p w14:paraId="60496547" w14:textId="77777777" w:rsidR="00FA43E4" w:rsidRDefault="00FA43E4" w:rsidP="00FA43E4">
      <w:pPr>
        <w:pStyle w:val="ListParagraph"/>
        <w:numPr>
          <w:ilvl w:val="0"/>
          <w:numId w:val="2"/>
        </w:numPr>
      </w:pPr>
      <w:r>
        <w:t>Geographic (Wider environment) – Intelligence with regards to incidents in major Western cities. The threat should be imminent, an ongoing incident or the follow up to an incident which has global reach and may require the Crick to inform or enhance its security service.</w:t>
      </w:r>
    </w:p>
    <w:p w14:paraId="7ABF4867" w14:textId="77777777" w:rsidR="00FA43E4" w:rsidRDefault="00FA43E4" w:rsidP="00FA43E4">
      <w:pPr>
        <w:pStyle w:val="ListParagraph"/>
      </w:pPr>
    </w:p>
    <w:p w14:paraId="5AFA2565" w14:textId="6766B324" w:rsidR="00FA43E4" w:rsidRDefault="00FA43E4" w:rsidP="00FA43E4">
      <w:pPr>
        <w:pStyle w:val="ListParagraph"/>
        <w:numPr>
          <w:ilvl w:val="0"/>
          <w:numId w:val="2"/>
        </w:numPr>
      </w:pPr>
      <w:r>
        <w:t>Critical suppliers – Intellige</w:t>
      </w:r>
      <w:bookmarkStart w:id="0" w:name="_GoBack"/>
      <w:bookmarkEnd w:id="0"/>
      <w:r>
        <w:t>nce relating to threats specifically targeting the Crick’s top 10 critical suppliers.</w:t>
      </w:r>
    </w:p>
    <w:p w14:paraId="35F62CB9" w14:textId="77777777" w:rsidR="00FA43E4" w:rsidRDefault="00FA43E4" w:rsidP="00FA43E4">
      <w:pPr>
        <w:pStyle w:val="ListParagraph"/>
      </w:pPr>
    </w:p>
    <w:p w14:paraId="69F34DA2" w14:textId="77777777" w:rsidR="00FA43E4" w:rsidRDefault="00FA43E4" w:rsidP="00FA43E4">
      <w:pPr>
        <w:pStyle w:val="ListParagraph"/>
      </w:pPr>
    </w:p>
    <w:p w14:paraId="5C1AC9D2" w14:textId="77777777" w:rsidR="00FA43E4" w:rsidRDefault="00FA43E4" w:rsidP="00FA43E4">
      <w:pPr>
        <w:pStyle w:val="ListParagraph"/>
        <w:numPr>
          <w:ilvl w:val="0"/>
          <w:numId w:val="1"/>
        </w:numPr>
      </w:pPr>
      <w:r>
        <w:t>Travel Risk</w:t>
      </w:r>
    </w:p>
    <w:p w14:paraId="10FFB667" w14:textId="16831A7D" w:rsidR="00FA43E4" w:rsidRDefault="00FA43E4" w:rsidP="00277F8E">
      <w:pPr>
        <w:jc w:val="both"/>
      </w:pPr>
      <w:r>
        <w:t>The Crick would also require solutions for an on-going travel risk role to support the Crick, its employees and key strategic partners for any travel requirements where a risk is associated. This requirement is likely to be location specific including an assessment of and recommendations relating to the area, the itinerary and the nature of work being undertaken during the trip. The provider would undertake this assessment based upon trips organised via the Crick’s travel supplier.</w:t>
      </w:r>
    </w:p>
    <w:p w14:paraId="4CF59484" w14:textId="22788277" w:rsidR="00B67291" w:rsidRDefault="00FA43E4" w:rsidP="00277F8E">
      <w:pPr>
        <w:jc w:val="both"/>
      </w:pPr>
      <w:r>
        <w:t xml:space="preserve">Any organisations interested to engage and share information are invited to register their interest by contacting Crick Procurement under </w:t>
      </w:r>
      <w:hyperlink r:id="rId9" w:history="1">
        <w:r w:rsidRPr="008909DA">
          <w:rPr>
            <w:rStyle w:val="Hyperlink"/>
            <w:b/>
          </w:rPr>
          <w:t>tenders@crick.ac.uk</w:t>
        </w:r>
      </w:hyperlink>
      <w:r w:rsidRPr="008909DA">
        <w:rPr>
          <w:b/>
        </w:rPr>
        <w:t>.</w:t>
      </w:r>
      <w:r>
        <w:t xml:space="preserve"> </w:t>
      </w:r>
      <w:r w:rsidR="00226C1A">
        <w:t xml:space="preserve">The date for this engagement is the </w:t>
      </w:r>
      <w:r w:rsidR="00501C43" w:rsidRPr="008909DA">
        <w:rPr>
          <w:b/>
        </w:rPr>
        <w:t>13</w:t>
      </w:r>
      <w:r w:rsidR="00501C43" w:rsidRPr="008909DA">
        <w:rPr>
          <w:b/>
          <w:vertAlign w:val="superscript"/>
        </w:rPr>
        <w:t>th</w:t>
      </w:r>
      <w:r w:rsidR="00501C43" w:rsidRPr="008909DA">
        <w:rPr>
          <w:b/>
        </w:rPr>
        <w:t xml:space="preserve"> </w:t>
      </w:r>
      <w:r w:rsidR="00226C1A" w:rsidRPr="008909DA">
        <w:rPr>
          <w:b/>
        </w:rPr>
        <w:t>December 2016</w:t>
      </w:r>
      <w:r w:rsidR="00DF195B" w:rsidRPr="008909DA">
        <w:rPr>
          <w:b/>
        </w:rPr>
        <w:t xml:space="preserve"> between </w:t>
      </w:r>
      <w:r w:rsidR="00501C43" w:rsidRPr="008909DA">
        <w:rPr>
          <w:b/>
        </w:rPr>
        <w:t>9 am and 12pm</w:t>
      </w:r>
      <w:r w:rsidR="00226C1A">
        <w:t>. Further information will be shared when interest is registered via the</w:t>
      </w:r>
      <w:r w:rsidR="001F1365">
        <w:t xml:space="preserve"> above e-mail. </w:t>
      </w:r>
    </w:p>
    <w:sectPr w:rsidR="00B67291" w:rsidSect="00FA43E4">
      <w:pgSz w:w="11906" w:h="16838"/>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C0108"/>
    <w:multiLevelType w:val="hybridMultilevel"/>
    <w:tmpl w:val="614E4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AF2A92"/>
    <w:multiLevelType w:val="hybridMultilevel"/>
    <w:tmpl w:val="79A4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F2"/>
    <w:rsid w:val="000C1068"/>
    <w:rsid w:val="001F1365"/>
    <w:rsid w:val="00226C1A"/>
    <w:rsid w:val="00273DE8"/>
    <w:rsid w:val="00277F8E"/>
    <w:rsid w:val="00501C43"/>
    <w:rsid w:val="005071C1"/>
    <w:rsid w:val="005903AC"/>
    <w:rsid w:val="00645400"/>
    <w:rsid w:val="006B608A"/>
    <w:rsid w:val="007468F2"/>
    <w:rsid w:val="00864BA6"/>
    <w:rsid w:val="008909DA"/>
    <w:rsid w:val="009832A5"/>
    <w:rsid w:val="00A91C41"/>
    <w:rsid w:val="00AA3766"/>
    <w:rsid w:val="00B54540"/>
    <w:rsid w:val="00B67291"/>
    <w:rsid w:val="00BA1D2B"/>
    <w:rsid w:val="00CC7B4F"/>
    <w:rsid w:val="00D64D25"/>
    <w:rsid w:val="00DE7053"/>
    <w:rsid w:val="00DF195B"/>
    <w:rsid w:val="00FA4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FB86DD"/>
  <w15:chartTrackingRefBased/>
  <w15:docId w15:val="{5FE9B651-5228-4C98-AC21-A03ABE29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8F2"/>
    <w:rPr>
      <w:color w:val="0563C1" w:themeColor="hyperlink"/>
      <w:u w:val="single"/>
    </w:rPr>
  </w:style>
  <w:style w:type="paragraph" w:styleId="ListParagraph">
    <w:name w:val="List Paragraph"/>
    <w:basedOn w:val="Normal"/>
    <w:uiPriority w:val="34"/>
    <w:qFormat/>
    <w:rsid w:val="00DE7053"/>
    <w:pPr>
      <w:ind w:left="720"/>
      <w:contextualSpacing/>
    </w:pPr>
  </w:style>
  <w:style w:type="paragraph" w:styleId="BalloonText">
    <w:name w:val="Balloon Text"/>
    <w:basedOn w:val="Normal"/>
    <w:link w:val="BalloonTextChar"/>
    <w:uiPriority w:val="99"/>
    <w:semiHidden/>
    <w:unhideWhenUsed/>
    <w:rsid w:val="0086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A6"/>
    <w:rPr>
      <w:rFonts w:ascii="Segoe UI" w:hAnsi="Segoe UI" w:cs="Segoe UI"/>
      <w:sz w:val="18"/>
      <w:szCs w:val="18"/>
    </w:rPr>
  </w:style>
  <w:style w:type="character" w:styleId="CommentReference">
    <w:name w:val="annotation reference"/>
    <w:basedOn w:val="DefaultParagraphFont"/>
    <w:uiPriority w:val="99"/>
    <w:semiHidden/>
    <w:unhideWhenUsed/>
    <w:rsid w:val="005071C1"/>
    <w:rPr>
      <w:sz w:val="16"/>
      <w:szCs w:val="16"/>
    </w:rPr>
  </w:style>
  <w:style w:type="paragraph" w:styleId="CommentText">
    <w:name w:val="annotation text"/>
    <w:basedOn w:val="Normal"/>
    <w:link w:val="CommentTextChar"/>
    <w:uiPriority w:val="99"/>
    <w:semiHidden/>
    <w:unhideWhenUsed/>
    <w:rsid w:val="005071C1"/>
    <w:pPr>
      <w:spacing w:line="240" w:lineRule="auto"/>
    </w:pPr>
    <w:rPr>
      <w:sz w:val="20"/>
      <w:szCs w:val="20"/>
    </w:rPr>
  </w:style>
  <w:style w:type="character" w:customStyle="1" w:styleId="CommentTextChar">
    <w:name w:val="Comment Text Char"/>
    <w:basedOn w:val="DefaultParagraphFont"/>
    <w:link w:val="CommentText"/>
    <w:uiPriority w:val="99"/>
    <w:semiHidden/>
    <w:rsid w:val="005071C1"/>
    <w:rPr>
      <w:sz w:val="20"/>
      <w:szCs w:val="20"/>
    </w:rPr>
  </w:style>
  <w:style w:type="paragraph" w:styleId="CommentSubject">
    <w:name w:val="annotation subject"/>
    <w:basedOn w:val="CommentText"/>
    <w:next w:val="CommentText"/>
    <w:link w:val="CommentSubjectChar"/>
    <w:uiPriority w:val="99"/>
    <w:semiHidden/>
    <w:unhideWhenUsed/>
    <w:rsid w:val="005071C1"/>
    <w:rPr>
      <w:b/>
      <w:bCs/>
    </w:rPr>
  </w:style>
  <w:style w:type="character" w:customStyle="1" w:styleId="CommentSubjectChar">
    <w:name w:val="Comment Subject Char"/>
    <w:basedOn w:val="CommentTextChar"/>
    <w:link w:val="CommentSubject"/>
    <w:uiPriority w:val="99"/>
    <w:semiHidden/>
    <w:rsid w:val="005071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s@cric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FB31D42321C46B955BE8262778DCF" ma:contentTypeVersion="" ma:contentTypeDescription="Create a new document." ma:contentTypeScope="" ma:versionID="195e080ad1e0f8b878e93cd3c2fb48e7">
  <xsd:schema xmlns:xsd="http://www.w3.org/2001/XMLSchema" xmlns:xs="http://www.w3.org/2001/XMLSchema" xmlns:p="http://schemas.microsoft.com/office/2006/metadata/properties" xmlns:ns2="de467673-a26f-46e8-a2be-c83706705adc" targetNamespace="http://schemas.microsoft.com/office/2006/metadata/properties" ma:root="true" ma:fieldsID="24267ee4ab06b46e91cb232561824750" ns2:_="">
    <xsd:import namespace="de467673-a26f-46e8-a2be-c83706705ad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67673-a26f-46e8-a2be-c83706705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description=""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B01C2-35F5-4331-B7CA-EF5A71E0B392}">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de467673-a26f-46e8-a2be-c83706705adc"/>
  </ds:schemaRefs>
</ds:datastoreItem>
</file>

<file path=customXml/itemProps2.xml><?xml version="1.0" encoding="utf-8"?>
<ds:datastoreItem xmlns:ds="http://schemas.openxmlformats.org/officeDocument/2006/customXml" ds:itemID="{119B40F2-D2AC-4974-91FE-91550C115560}">
  <ds:schemaRefs>
    <ds:schemaRef ds:uri="http://schemas.microsoft.com/sharepoint/v3/contenttype/forms"/>
  </ds:schemaRefs>
</ds:datastoreItem>
</file>

<file path=customXml/itemProps3.xml><?xml version="1.0" encoding="utf-8"?>
<ds:datastoreItem xmlns:ds="http://schemas.openxmlformats.org/officeDocument/2006/customXml" ds:itemID="{0698BD6F-FFD3-46AD-8B58-4FA3FA8C4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67673-a26f-46e8-a2be-c837067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Francis Crick Institute</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McFadden</dc:creator>
  <cp:keywords/>
  <dc:description/>
  <cp:lastModifiedBy>Nora McFadden</cp:lastModifiedBy>
  <cp:revision>6</cp:revision>
  <dcterms:created xsi:type="dcterms:W3CDTF">2016-11-29T17:39:00Z</dcterms:created>
  <dcterms:modified xsi:type="dcterms:W3CDTF">2016-11-29T17:47:00Z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0x010100ECCFB31D42321C46B955BE8262778DCF</vt:lpwstr>
  </property>
</Properties>
</file>