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4" w:hRule="atLeast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trHeight w:val="718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trHeight w:val="285" w:hRule="atLeast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9" w:hRule="atLeast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pos="4513"/>
        <w:tab w:val="right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RM6179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pos="4513"/>
        <w:tab w:val="right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5baTnWWN1XJ0YTv2Ogi97Qt6Q==">AMUW2mW7irIWAhiKaAix8/9rCdTkIwwcoTmMhGzMCjatJARbpYu2ET5NTdFx6U8cCRNAZrjzwd66JcBcLcZoNYxaeVa7t86SOBrEBLcQdVdNb8DPmQQ+a0OjPgqvIS6JZ9rt8L5jH43E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2018-07-25T13:45:00Z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