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D103" w14:textId="5129A6E4" w:rsidR="008D3773" w:rsidRDefault="0097006B" w:rsidP="0039182C">
      <w:pPr>
        <w:rPr>
          <w:rFonts w:ascii="Arial" w:hAnsi="Arial" w:cs="Arial"/>
          <w:b/>
          <w:caps/>
          <w:sz w:val="24"/>
          <w:szCs w:val="24"/>
        </w:rPr>
      </w:pPr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DC0DC98" wp14:editId="29E97228">
            <wp:simplePos x="0" y="0"/>
            <wp:positionH relativeFrom="column">
              <wp:posOffset>96520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52136E" w:rsidRDefault="0052136E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7DCBAA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2FAF8E6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412B559D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36803B82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52136E" w:rsidRDefault="0052136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52136E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52136E" w:rsidRDefault="0052136E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3005F3E7" w14:textId="77777777" w:rsidR="0052136E" w:rsidRDefault="0052136E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367DCBAA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2FAF8E6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412B559D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36803B82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52136E" w:rsidRDefault="0052136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52136E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52136E" w:rsidRDefault="0052136E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520240CE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47F4AD23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53E07FDD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2916DB3A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2B061DFE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76B91147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7AB470F4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73806BF1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1AA0C42C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25BD262F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038B06F0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1977F103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3F3061A1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29CCF136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7CA97C6C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4E9531EA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018D5B65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0CEEED84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2917720D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3FBF421E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0284CD2C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4700531E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6F642C6E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114E4C49" w14:textId="77777777" w:rsidR="008D3773" w:rsidRPr="008D3773" w:rsidRDefault="008D3773" w:rsidP="008D3773">
      <w:pPr>
        <w:rPr>
          <w:rFonts w:ascii="Arial" w:hAnsi="Arial" w:cs="Arial"/>
          <w:sz w:val="24"/>
          <w:szCs w:val="24"/>
        </w:rPr>
      </w:pPr>
    </w:p>
    <w:p w14:paraId="57416BD4" w14:textId="6BDC45BE" w:rsidR="00D378AB" w:rsidRPr="008D3773" w:rsidRDefault="008D3773" w:rsidP="008D3773">
      <w:pPr>
        <w:tabs>
          <w:tab w:val="left" w:pos="1890"/>
        </w:tabs>
        <w:rPr>
          <w:rFonts w:ascii="Arial" w:hAnsi="Arial" w:cs="Arial"/>
          <w:sz w:val="24"/>
          <w:szCs w:val="24"/>
        </w:rPr>
        <w:sectPr w:rsidR="00D378AB" w:rsidRPr="008D3773" w:rsidSect="002E6F1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Arial" w:hAnsi="Arial" w:cs="Arial"/>
          <w:sz w:val="24"/>
          <w:szCs w:val="24"/>
        </w:rPr>
        <w:tab/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362AB098" w:rsidR="00D378AB" w:rsidRPr="002E6F19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>includes CCS and the Supplier’s contact details.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77777777" w:rsidR="00D378AB" w:rsidRPr="002E6F19" w:rsidRDefault="0052136E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77777777" w:rsidR="00F62058" w:rsidRDefault="009E71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T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0448"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="00F62058"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 w:rsidR="00E40448">
              <w:rPr>
                <w:rFonts w:ascii="Arial" w:hAnsi="Arial" w:cs="Arial"/>
                <w:sz w:val="24"/>
                <w:szCs w:val="24"/>
              </w:rPr>
              <w:t>the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14:paraId="4B3DA13E" w14:textId="77777777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B7803D" w14:textId="12EAC55E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  <w:p w14:paraId="46D637E1" w14:textId="77777777" w:rsidR="009E7100" w:rsidRPr="002E6F19" w:rsidRDefault="009E7100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D378AB" w:rsidRPr="002E6F19" w14:paraId="53708DE6" w14:textId="77777777" w:rsidTr="00413CAD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2CBF7443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C97AC2" w:rsidRPr="002E6F19" w14:paraId="31D7B212" w14:textId="77777777">
              <w:tc>
                <w:tcPr>
                  <w:tcW w:w="2296" w:type="dxa"/>
                  <w:shd w:val="clear" w:color="auto" w:fill="auto"/>
                </w:tcPr>
                <w:p w14:paraId="5E21CE66" w14:textId="77777777" w:rsidR="00C97AC2" w:rsidRPr="002E6F19" w:rsidRDefault="00C97AC2" w:rsidP="00C97AC2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51F7FDFD" w14:textId="2797372A" w:rsidR="00C97AC2" w:rsidRPr="00C97AC2" w:rsidRDefault="00BB019F" w:rsidP="00BB019F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[REDACTED]</w:t>
                  </w:r>
                </w:p>
              </w:tc>
            </w:tr>
            <w:tr w:rsidR="00BB019F" w:rsidRPr="002E6F19" w14:paraId="1AC3D9C0" w14:textId="77777777">
              <w:tc>
                <w:tcPr>
                  <w:tcW w:w="2296" w:type="dxa"/>
                  <w:shd w:val="clear" w:color="auto" w:fill="auto"/>
                </w:tcPr>
                <w:p w14:paraId="3AD72A3E" w14:textId="446D43B5" w:rsidR="00BB019F" w:rsidRPr="002E6F19" w:rsidRDefault="00BB019F" w:rsidP="00BB019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</w:tcPr>
                <w:p w14:paraId="6B7C4DDC" w14:textId="4118F9D3" w:rsidR="00BB019F" w:rsidRPr="00C97AC2" w:rsidRDefault="00BB019F" w:rsidP="00BB019F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33D7">
                    <w:rPr>
                      <w:rFonts w:ascii="Arial" w:hAnsi="Arial" w:cs="Arial"/>
                      <w:sz w:val="24"/>
                      <w:szCs w:val="24"/>
                    </w:rPr>
                    <w:t>[REDACTED]</w:t>
                  </w:r>
                </w:p>
              </w:tc>
            </w:tr>
            <w:tr w:rsidR="00BB019F" w:rsidRPr="002E6F19" w14:paraId="17069BDB" w14:textId="77777777">
              <w:tc>
                <w:tcPr>
                  <w:tcW w:w="2296" w:type="dxa"/>
                  <w:shd w:val="clear" w:color="auto" w:fill="auto"/>
                </w:tcPr>
                <w:p w14:paraId="668552B8" w14:textId="53A26916" w:rsidR="00BB019F" w:rsidRPr="002E6F19" w:rsidRDefault="00BB019F" w:rsidP="00BB019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</w:tcPr>
                <w:p w14:paraId="23C350FC" w14:textId="64E16AF7" w:rsidR="00BB019F" w:rsidRPr="00C97AC2" w:rsidRDefault="00BB019F" w:rsidP="00BB019F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33D7">
                    <w:rPr>
                      <w:rFonts w:ascii="Arial" w:hAnsi="Arial" w:cs="Arial"/>
                      <w:sz w:val="24"/>
                      <w:szCs w:val="24"/>
                    </w:rPr>
                    <w:t>[REDACTED]</w:t>
                  </w:r>
                </w:p>
              </w:tc>
            </w:tr>
            <w:tr w:rsidR="00C97AC2" w:rsidRPr="002E6F19" w14:paraId="099BA72A" w14:textId="77777777">
              <w:tc>
                <w:tcPr>
                  <w:tcW w:w="2296" w:type="dxa"/>
                  <w:shd w:val="clear" w:color="auto" w:fill="auto"/>
                </w:tcPr>
                <w:p w14:paraId="7395DEE5" w14:textId="47FCAB54" w:rsidR="00C97AC2" w:rsidRPr="002E6F19" w:rsidRDefault="00C97AC2" w:rsidP="00C97AC2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5794FC30" w14:textId="53784505" w:rsidR="00C97AC2" w:rsidRPr="00F62058" w:rsidRDefault="00C97AC2" w:rsidP="00C97AC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  <w:tr w:rsidR="00C97AC2" w:rsidRPr="002E6F19" w14:paraId="531E12F9" w14:textId="77777777">
              <w:tc>
                <w:tcPr>
                  <w:tcW w:w="2296" w:type="dxa"/>
                  <w:shd w:val="clear" w:color="auto" w:fill="auto"/>
                </w:tcPr>
                <w:p w14:paraId="3368B50C" w14:textId="77777777" w:rsidR="00C97AC2" w:rsidRPr="002E6F19" w:rsidRDefault="00C97AC2" w:rsidP="00C97AC2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52F66F71" w14:textId="77777777" w:rsidR="00C97AC2" w:rsidRPr="002E6F19" w:rsidRDefault="00C97AC2" w:rsidP="00C97AC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5CBB4D23" w:rsidR="00646C7E" w:rsidRDefault="0051380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between CCS and the </w:t>
            </w:r>
            <w:r w:rsidR="007C10AD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Call-off Contracts to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D3773">
              <w:rPr>
                <w:rFonts w:ascii="Arial" w:hAnsi="Arial" w:cs="Arial"/>
                <w:b w:val="0"/>
                <w:sz w:val="24"/>
                <w:szCs w:val="24"/>
              </w:rPr>
              <w:t xml:space="preserve">in Lot </w:t>
            </w:r>
            <w:r w:rsidR="00BB019F">
              <w:rPr>
                <w:rFonts w:ascii="Arial" w:hAnsi="Arial" w:cs="Arial"/>
                <w:b w:val="0"/>
                <w:sz w:val="24"/>
                <w:szCs w:val="24"/>
              </w:rPr>
              <w:t>[REDACTED]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</w:p>
          <w:p w14:paraId="5B81EDFC" w14:textId="1AABA9E9" w:rsidR="00D378AB" w:rsidRPr="002E6F19" w:rsidRDefault="008C7EA8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>ppor</w:t>
            </w:r>
            <w:r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AB5036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="0052136E" w:rsidRPr="00AB5036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>European Union reference</w:t>
            </w:r>
            <w:r w:rsidR="008E73C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46122">
              <w:rPr>
                <w:rFonts w:ascii="Arial" w:hAnsi="Arial" w:cs="Arial"/>
                <w:b w:val="0"/>
                <w:sz w:val="24"/>
                <w:szCs w:val="24"/>
              </w:rPr>
              <w:t>RM6134</w:t>
            </w:r>
            <w:r w:rsidR="00846122" w:rsidRPr="007D5F96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="0052136E" w:rsidRPr="007D5F96">
              <w:rPr>
                <w:rFonts w:ascii="Arial" w:hAnsi="Arial" w:cs="Arial"/>
                <w:b w:val="0"/>
                <w:sz w:val="24"/>
                <w:szCs w:val="24"/>
              </w:rPr>
              <w:t>OJEU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 Contract Notice)</w:t>
            </w:r>
            <w:r w:rsidR="009E7100" w:rsidRP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E261D38" w14:textId="73973D78" w:rsidR="009E7100" w:rsidRPr="002E6F19" w:rsidRDefault="009E7100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</w:p>
        </w:tc>
      </w:tr>
      <w:tr w:rsidR="00D378AB" w:rsidRPr="002E6F19" w14:paraId="5AF7C79F" w14:textId="77777777" w:rsidTr="00413CAD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7BA7143" w14:textId="77777777" w:rsidR="00D378AB" w:rsidRPr="002E6F19" w:rsidRDefault="00D378AB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97DCE0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240E8145" w14:textId="6C5B567B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See Framework Schedule 1 (Specification) for further details</w:t>
            </w:r>
            <w:r w:rsid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5B01466E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378AB" w:rsidRPr="002E6F19" w14:paraId="173C1A0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E5BA41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E8D8BE0" w14:textId="650DF934" w:rsidR="00D378AB" w:rsidRPr="00B603C0" w:rsidRDefault="00B603C0">
            <w:pPr>
              <w:spacing w:after="0"/>
              <w:ind w:right="936"/>
              <w:rPr>
                <w:rFonts w:ascii="Arial" w:eastAsia="STZhongsong" w:hAnsi="Arial" w:cs="Arial"/>
                <w:sz w:val="24"/>
                <w:szCs w:val="24"/>
                <w:lang w:eastAsia="zh-CN"/>
              </w:rPr>
            </w:pPr>
            <w:r w:rsidRPr="00B603C0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01/06/2020</w:t>
            </w:r>
          </w:p>
        </w:tc>
      </w:tr>
      <w:tr w:rsidR="00D378AB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641E26FD" w:rsidR="00D378AB" w:rsidRPr="00B603C0" w:rsidRDefault="00B603C0" w:rsidP="008D3773">
            <w:pPr>
              <w:spacing w:after="0"/>
              <w:ind w:right="936"/>
              <w:rPr>
                <w:rFonts w:ascii="Arial" w:eastAsia="STZhongsong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31/05/2022</w:t>
            </w:r>
          </w:p>
        </w:tc>
      </w:tr>
      <w:tr w:rsidR="00D378AB" w:rsidRPr="002E6F19" w14:paraId="79653F2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DB4A37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026F6" w14:textId="77777777" w:rsidR="00D378AB" w:rsidRPr="002E6F19" w:rsidRDefault="0052136E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EDE8370" w14:textId="5EA29F67" w:rsidR="00D378AB" w:rsidRPr="008D3773" w:rsidRDefault="008D3773" w:rsidP="009C49DD">
            <w:pPr>
              <w:spacing w:after="0"/>
              <w:ind w:right="93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framework may be </w:t>
            </w:r>
            <w:r w:rsidRPr="00B43148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extended by up to two (2</w:t>
            </w:r>
            <w:r w:rsidR="00B43148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)</w:t>
            </w:r>
            <w:r w:rsidRPr="00B43148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 xml:space="preserve"> twelve-month periods</w:t>
            </w:r>
            <w:r w:rsidR="009C49DD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.</w:t>
            </w:r>
          </w:p>
        </w:tc>
      </w:tr>
      <w:tr w:rsidR="00D378AB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97006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569CBA6" w14:textId="7D185A34" w:rsidR="000C2302" w:rsidRPr="000C2302" w:rsidRDefault="00AC3B01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a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ward </w:t>
            </w:r>
          </w:p>
          <w:p w14:paraId="7FBC3250" w14:textId="4EF721A5" w:rsidR="00135884" w:rsidRPr="000C2302" w:rsidRDefault="00AC3B01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640451" w:rsidRPr="000C2302">
              <w:rPr>
                <w:rFonts w:ascii="Arial" w:hAnsi="Arial" w:cs="Arial"/>
                <w:sz w:val="24"/>
                <w:szCs w:val="24"/>
              </w:rPr>
              <w:t>urther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>ompetition</w:t>
            </w:r>
          </w:p>
          <w:p w14:paraId="07119AE8" w14:textId="77777777" w:rsidR="002E6F19" w:rsidRPr="002E6F19" w:rsidRDefault="002E6F19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14:paraId="4A3D1E9C" w14:textId="77777777" w:rsidR="00D378AB" w:rsidRDefault="00AC3B01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ee </w:t>
            </w:r>
            <w:r w:rsidR="00640451" w:rsidRPr="002E6F19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Schedule 7 (Call-o</w:t>
            </w:r>
            <w:r>
              <w:rPr>
                <w:rFonts w:ascii="Arial" w:hAnsi="Arial" w:cs="Arial"/>
                <w:sz w:val="24"/>
                <w:szCs w:val="24"/>
              </w:rPr>
              <w:t xml:space="preserve">ff </w:t>
            </w:r>
            <w:r w:rsidR="0022464F">
              <w:rPr>
                <w:rFonts w:ascii="Arial" w:hAnsi="Arial" w:cs="Arial"/>
                <w:sz w:val="24"/>
                <w:szCs w:val="24"/>
              </w:rPr>
              <w:t xml:space="preserve">Award </w:t>
            </w:r>
            <w:r>
              <w:rPr>
                <w:rFonts w:ascii="Arial" w:hAnsi="Arial" w:cs="Arial"/>
                <w:sz w:val="24"/>
                <w:szCs w:val="24"/>
              </w:rPr>
              <w:t>Procedure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1E3197A" w14:textId="6D57340D" w:rsidR="00E25EEE" w:rsidRPr="002E6F19" w:rsidRDefault="00E25EEE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18118C" w:rsidRP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lastRenderedPageBreak/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14B930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18118C" w:rsidRPr="002E6F19" w:rsidRDefault="0018118C" w:rsidP="00F3000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D378AB" w:rsidRPr="002E6F19" w:rsidRDefault="005213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The following documents are incorporated into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</w:t>
            </w:r>
            <w:r w:rsidR="00F30003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Where numbers are missing we are not using these schedules.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If the documents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77777777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14:paraId="7A2F74C1" w14:textId="55FAD96F" w:rsidR="00423B2A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lastRenderedPageBreak/>
              <w:t>Any Framework Special Terms (see Section 10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E2EB19" w14:textId="1B37C678" w:rsidR="003779BF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 (Definitions)</w:t>
            </w:r>
            <w:r w:rsidR="0097006B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8D377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RM6134</w:t>
            </w:r>
            <w:r w:rsidR="0097006B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6A000A" w14:textId="736DD69D" w:rsidR="0097006B" w:rsidRPr="002E6F19" w:rsidRDefault="0097006B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8D377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RM6134</w:t>
            </w:r>
          </w:p>
          <w:p w14:paraId="2EF8C599" w14:textId="01F2131B" w:rsidR="00423B2A" w:rsidRDefault="00423B2A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="00E25EE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for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8D377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RM6134</w:t>
            </w:r>
            <w:r w:rsidR="008D3773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(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2C32664" w14:textId="77777777" w:rsidR="00ED09A4" w:rsidRPr="002E6F19" w:rsidRDefault="00ED09A4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437F7F94" w14:textId="5406CE26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14:paraId="18CE517D" w14:textId="241F59B4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B0440E" w:rsidRPr="002E6F19" w:rsidRDefault="00F2763A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4F0EF4" w:rsidRPr="002E6F19" w:rsidRDefault="003779BF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6 (</w:t>
            </w:r>
            <w:r w:rsidR="00F2763A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Order Form 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</w:t>
            </w:r>
            <w:r w:rsidR="00B0440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F2763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</w:t>
            </w:r>
            <w:r w:rsidR="004F0EF4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following </w:t>
            </w:r>
            <w:r w:rsidR="00176EF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</w:t>
            </w:r>
            <w:r w:rsidR="004F0EF4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Schedules: </w:t>
            </w:r>
          </w:p>
          <w:p w14:paraId="77EBB746" w14:textId="77777777" w:rsidR="007D0068" w:rsidRPr="002E6F19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1DC7726F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</w:t>
            </w:r>
            <w:r w:rsidR="0026083E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26083E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6083E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1041249" w14:textId="1715C73F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085C20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E25EEE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</w:t>
            </w:r>
          </w:p>
          <w:p w14:paraId="543E5CC9" w14:textId="2A5981BC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6 (ICT Services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77A8094" w14:textId="50E08FE9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7 (Key Supplier Staff)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31A3ADBF" w14:textId="2D3F2089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8 (Business Continuity and Disaster Recovery) </w:t>
            </w:r>
          </w:p>
          <w:p w14:paraId="6F4D3527" w14:textId="4273E5C1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7FFCFEEB" w14:textId="46284857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10 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(Exit Management) 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0108AEE5" w14:textId="292C2C49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14 (Service Levels) 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52A442F" w14:textId="01EE256B" w:rsidR="007D0068" w:rsidRPr="00085C20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le 15 (</w:t>
            </w:r>
            <w:r w:rsidR="00E5592B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Contract Management)</w:t>
            </w:r>
          </w:p>
          <w:p w14:paraId="01869360" w14:textId="421B8896" w:rsidR="007D0068" w:rsidRPr="00085C20" w:rsidRDefault="007D0068" w:rsidP="00085C20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 16 (Benchmarking) 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22D06FB7" w14:textId="1423B3E8" w:rsidR="007D0068" w:rsidRPr="00085C20" w:rsidRDefault="007D0068" w:rsidP="00085C20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17 (M</w:t>
            </w:r>
            <w:r w:rsidR="00E5592B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O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D Terms) 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    </w:t>
            </w:r>
          </w:p>
          <w:p w14:paraId="315A8EE8" w14:textId="26CF5F3B" w:rsidR="007D0068" w:rsidRPr="00085C20" w:rsidRDefault="007D0068" w:rsidP="00085C20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18 (Background Checks</w:t>
            </w:r>
            <w:r w:rsidR="00176EFA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176EFA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A292DEF" w14:textId="2E89AE81" w:rsidR="007D0068" w:rsidRPr="00085C20" w:rsidRDefault="007D0068" w:rsidP="00085C20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19 (Scottish Law)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</w:t>
            </w:r>
          </w:p>
          <w:p w14:paraId="2B507B0F" w14:textId="2E293141" w:rsidR="00042B0C" w:rsidRPr="00085C20" w:rsidRDefault="000662CD" w:rsidP="00085C20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20 (</w:t>
            </w:r>
            <w:r w:rsidR="00AC3B01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</w:t>
            </w:r>
            <w:r w:rsidR="008B4FAA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ff Specification)   </w:t>
            </w:r>
            <w:r w:rsidR="002E6F19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18D4359B" w14:textId="06C4DF4D" w:rsidR="007D0068" w:rsidRPr="00085C20" w:rsidRDefault="00042B0C" w:rsidP="00085C20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21</w:t>
            </w:r>
            <w:r w:rsidR="00E25EEE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(</w:t>
            </w:r>
            <w:r w:rsidR="00F04538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Northern Ireland Law</w:t>
            </w:r>
            <w:r w:rsidR="00176EFA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F04538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1EE0376B" w14:textId="7EEF0DB4" w:rsidR="00D378AB" w:rsidRPr="00085C20" w:rsidRDefault="0052136E" w:rsidP="00085C20">
            <w:pPr>
              <w:pStyle w:val="ListParagraph"/>
              <w:numPr>
                <w:ilvl w:val="1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</w:t>
            </w:r>
            <w:r w:rsidR="003779BF"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Award Procedure</w:t>
            </w: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DC525FD" w14:textId="77777777" w:rsidR="00FE3BE6" w:rsidRPr="00085C20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085C20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14:paraId="0A3C7F4B" w14:textId="49830561" w:rsidR="00B0440E" w:rsidRPr="00E002CC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9 (Cyber Essentials Scheme) </w:t>
            </w:r>
          </w:p>
          <w:p w14:paraId="210E49C7" w14:textId="27F76B2E" w:rsidR="00D378AB" w:rsidRPr="002E6F19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14:paraId="3C312718" w14:textId="5CD3A09A" w:rsidR="00D378AB" w:rsidRPr="00E002CC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D378AB" w:rsidRPr="00E002CC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4AB7196D" w:rsidR="00D378AB" w:rsidRPr="00E002CC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6 (Key Subcontractors)</w:t>
            </w:r>
          </w:p>
          <w:p w14:paraId="4E99C618" w14:textId="21542953" w:rsidR="00D378AB" w:rsidRPr="00E002CC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7 (Financial </w:t>
            </w:r>
            <w:r w:rsidR="007D0068"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Difficulties</w:t>
            </w: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7C515E02" w14:textId="4DF9F68A" w:rsidR="00D378AB" w:rsidRPr="00E002CC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8 (Guarantee)</w:t>
            </w:r>
          </w:p>
          <w:p w14:paraId="23BDD83D" w14:textId="60EED5E0" w:rsidR="007D0068" w:rsidRPr="00E002CC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14:paraId="67B3B46A" w14:textId="573DED49" w:rsidR="007D0068" w:rsidRPr="00E002CC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12 (</w:t>
            </w:r>
            <w:r w:rsidR="00F04538"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Supply Chain Visibility</w:t>
            </w:r>
            <w:r w:rsidRPr="00E002C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CD8AD7" w14:textId="2A9CA6B0" w:rsidR="001E3B0F" w:rsidRPr="002E6F19" w:rsidRDefault="001E3B0F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</w:t>
            </w:r>
            <w:r w:rsidR="00E96C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.</w:t>
            </w:r>
            <w:r w:rsidR="00B376E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7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9CC583E" w14:textId="121222A6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 xml:space="preserve">Joint Schedule </w:t>
            </w:r>
            <w:r w:rsidRPr="002E6F19">
              <w:rPr>
                <w:rFonts w:ascii="Arial" w:hAnsi="Arial" w:cs="Arial"/>
                <w:sz w:val="24"/>
                <w:szCs w:val="24"/>
              </w:rPr>
              <w:t>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 w:rsidR="00C22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377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RM6134</w:t>
            </w:r>
          </w:p>
          <w:p w14:paraId="72CA71BE" w14:textId="56C9205E" w:rsidR="002D3935" w:rsidRPr="002D3935" w:rsidRDefault="0052136E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Framework Schedule 2 (Framework Tender) </w:t>
            </w:r>
            <w:r w:rsidR="008D377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RM6134</w:t>
            </w:r>
            <w:r w:rsidR="00C22CB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AC3B01"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AC3B01"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a better commercial position for CCS or Buyers (as decided by CCS) take precedence over the documents above </w:t>
            </w:r>
          </w:p>
          <w:p w14:paraId="1F6BAA0A" w14:textId="581965D6" w:rsidR="00D378AB" w:rsidRPr="002D3935" w:rsidRDefault="00D378AB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B3153" w:rsidRPr="002E6F19" w14:paraId="698FEF14" w14:textId="77777777" w:rsidTr="008D3773">
        <w:trPr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D09147B" w14:textId="552C5F7B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0635EF8" w14:textId="30D8D3C3" w:rsidR="007A4D26" w:rsidRPr="002E6F19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 w:rsidR="007A4D26"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561BD22" w14:textId="5AF3CDE2" w:rsidR="00F0285C" w:rsidRPr="00F0285C" w:rsidRDefault="00F0285C" w:rsidP="00F0285C">
            <w:pPr>
              <w:shd w:val="clear" w:color="auto" w:fill="FFFFFF"/>
              <w:suppressAutoHyphens w:val="0"/>
              <w:autoSpaceDN/>
              <w:spacing w:line="224" w:lineRule="atLeast"/>
              <w:textAlignment w:val="auto"/>
              <w:rPr>
                <w:rFonts w:eastAsia="Times New Roman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>Special Term 1</w:t>
            </w:r>
            <w:r w:rsidRPr="00F0285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 – Core Terms Clause 11.5</w:t>
            </w:r>
          </w:p>
          <w:p w14:paraId="01A18D1C" w14:textId="77777777" w:rsidR="00F0285C" w:rsidRPr="00F0285C" w:rsidRDefault="00F0285C" w:rsidP="00F0285C">
            <w:pPr>
              <w:shd w:val="clear" w:color="auto" w:fill="FFFFFF"/>
              <w:suppressAutoHyphens w:val="0"/>
              <w:autoSpaceDN/>
              <w:spacing w:line="253" w:lineRule="atLeast"/>
              <w:ind w:left="360"/>
              <w:textAlignment w:val="auto"/>
              <w:rPr>
                <w:rFonts w:eastAsia="Times New Roman"/>
                <w:color w:val="222222"/>
                <w:sz w:val="24"/>
                <w:szCs w:val="24"/>
                <w:lang w:eastAsia="en-GB"/>
              </w:rPr>
            </w:pPr>
            <w:r w:rsidRPr="00F0285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1.</w:t>
            </w:r>
            <w:r w:rsidRPr="00F0285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en-GB"/>
              </w:rPr>
              <w:t>    </w:t>
            </w:r>
            <w:r w:rsidRPr="00F0285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Clause 11.5 of the CCS Core Terms is varied with deletions marked as strikeout and insertions underlined as follows:</w:t>
            </w:r>
          </w:p>
          <w:p w14:paraId="2DAF10CA" w14:textId="77777777" w:rsidR="00F0285C" w:rsidRPr="00F0285C" w:rsidRDefault="00F0285C" w:rsidP="00F0285C">
            <w:pPr>
              <w:shd w:val="clear" w:color="auto" w:fill="FFFFFF"/>
              <w:suppressAutoHyphens w:val="0"/>
              <w:autoSpaceDN/>
              <w:spacing w:line="253" w:lineRule="atLeast"/>
              <w:ind w:left="360"/>
              <w:textAlignment w:val="auto"/>
              <w:rPr>
                <w:rFonts w:eastAsia="Times New Roman"/>
                <w:color w:val="222222"/>
                <w:sz w:val="24"/>
                <w:szCs w:val="24"/>
                <w:lang w:eastAsia="en-GB"/>
              </w:rPr>
            </w:pPr>
            <w:r w:rsidRPr="00F0285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“</w:t>
            </w:r>
            <w:r w:rsidRPr="00F0285C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en-GB"/>
              </w:rPr>
              <w:t>11.5 In spite of Clauses 11.1 and 11.2, the Supplier does not limit or exclude its liability for any indemnity given under Clauses 7.5, 8.3, 9.5, </w:t>
            </w:r>
            <w:r w:rsidRPr="00F0285C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u w:val="single"/>
                <w:lang w:eastAsia="en-GB"/>
              </w:rPr>
              <w:t>or </w:t>
            </w:r>
            <w:r w:rsidRPr="00F0285C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en-GB"/>
              </w:rPr>
              <w:t>12.2 </w:t>
            </w:r>
            <w:r w:rsidRPr="00F0285C">
              <w:rPr>
                <w:rFonts w:ascii="Arial" w:eastAsia="Times New Roman" w:hAnsi="Arial" w:cs="Arial"/>
                <w:i/>
                <w:iCs/>
                <w:strike/>
                <w:color w:val="222222"/>
                <w:sz w:val="24"/>
                <w:szCs w:val="24"/>
                <w:lang w:eastAsia="en-GB"/>
              </w:rPr>
              <w:t>or 14.8</w:t>
            </w:r>
            <w:r w:rsidRPr="00F0285C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en-GB"/>
              </w:rPr>
              <w:t> or Call-Off Schedule 2 (Staff Transfer) of a Contract.”</w:t>
            </w:r>
          </w:p>
          <w:p w14:paraId="0F632505" w14:textId="790D2456" w:rsidR="007A4D26" w:rsidRPr="002E6F19" w:rsidRDefault="00F0285C" w:rsidP="00F0285C">
            <w:pPr>
              <w:ind w:left="459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0285C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GB"/>
              </w:rPr>
              <w:t>2.</w:t>
            </w:r>
            <w:r w:rsidRPr="00F0285C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en-GB"/>
              </w:rPr>
              <w:t>    </w:t>
            </w:r>
            <w:r w:rsidRPr="00F0285C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GB"/>
              </w:rPr>
              <w:t>In spite of Clauses 11.1, 11.2 but subject to Clauses 11.3 and 11.4, the Supplier's aggregate lia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GB"/>
              </w:rPr>
              <w:t xml:space="preserve">bility in each and any Contract Year </w:t>
            </w:r>
            <w:r w:rsidRPr="00F0285C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GB"/>
              </w:rPr>
              <w:t>under each Contract under Clause 14.8 shall in no event exceed £10 million   </w:t>
            </w:r>
          </w:p>
        </w:tc>
      </w:tr>
      <w:tr w:rsidR="00D378AB" w:rsidRPr="002E6F19" w14:paraId="25010211" w14:textId="77777777" w:rsidTr="008D3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EABB04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9156643" w14:textId="00530FFD" w:rsidR="00D378AB" w:rsidRPr="002E6F19" w:rsidRDefault="002D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  <w:r w:rsidR="00BB019F">
              <w:rPr>
                <w:rFonts w:ascii="Arial" w:hAnsi="Arial" w:cs="Arial"/>
                <w:sz w:val="24"/>
                <w:szCs w:val="24"/>
              </w:rPr>
              <w:t xml:space="preserve"> [REDA</w:t>
            </w:r>
            <w:r w:rsidR="00706CC9">
              <w:rPr>
                <w:rFonts w:ascii="Arial" w:hAnsi="Arial" w:cs="Arial"/>
                <w:sz w:val="24"/>
                <w:szCs w:val="24"/>
              </w:rPr>
              <w:t>C</w:t>
            </w:r>
            <w:bookmarkStart w:id="0" w:name="_GoBack"/>
            <w:bookmarkEnd w:id="0"/>
            <w:r w:rsidR="00BB019F">
              <w:rPr>
                <w:rFonts w:ascii="Arial" w:hAnsi="Arial" w:cs="Arial"/>
                <w:sz w:val="24"/>
                <w:szCs w:val="24"/>
              </w:rPr>
              <w:t>TED]</w:t>
            </w:r>
          </w:p>
        </w:tc>
      </w:tr>
      <w:tr w:rsidR="00DC3703" w:rsidRPr="002E6F19" w14:paraId="7AF3FC80" w14:textId="77777777" w:rsidTr="00413CAD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DC3703" w:rsidRPr="002E6F19" w:rsidRDefault="00DC370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66BD" w14:textId="7D2AA3FF" w:rsidR="00DC3703" w:rsidRPr="002E60FD" w:rsidRDefault="00DC370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5F344668" w:rsidR="002E60FD" w:rsidRPr="002E60FD" w:rsidRDefault="002E60FD" w:rsidP="002E60FD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Details in Annex of Joint Schedule 3 (Insurance Requirements).</w:t>
            </w:r>
          </w:p>
        </w:tc>
      </w:tr>
      <w:tr w:rsidR="00D378AB" w:rsidRPr="002E6F19" w14:paraId="74C52F7B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F1096A" w14:textId="77777777" w:rsidR="00EB5FF7" w:rsidRPr="008D3773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D3773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D378AB" w:rsidRPr="008D3773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8D3773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0959C2" w14:textId="1C728185" w:rsidR="00D378AB" w:rsidRPr="008D3773" w:rsidRDefault="00EC3702" w:rsidP="009C49DD">
            <w:p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8D3773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Cyber Essentials Scheme Basic Certificate</w:t>
            </w:r>
            <w:r w:rsidR="00523625" w:rsidRPr="008D3773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 xml:space="preserve"> (or equivalent). Details in</w:t>
            </w:r>
            <w:r w:rsidRPr="008D3773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 xml:space="preserve"> </w:t>
            </w:r>
            <w:r w:rsidR="00523625" w:rsidRPr="008D3773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 xml:space="preserve">Framework </w:t>
            </w:r>
            <w:r w:rsidRPr="008D3773">
              <w:rPr>
                <w:rFonts w:ascii="Arial" w:eastAsia="STZhongsong" w:hAnsi="Arial" w:cs="Arial"/>
                <w:sz w:val="24"/>
                <w:szCs w:val="24"/>
                <w:lang w:eastAsia="zh-CN"/>
              </w:rPr>
              <w:t>Schedule 9 (Cyber Essentials Scheme)</w:t>
            </w:r>
          </w:p>
        </w:tc>
      </w:tr>
      <w:tr w:rsidR="00D378AB" w:rsidRPr="002E6F19" w14:paraId="13BDFF29" w14:textId="77777777" w:rsidTr="00413CAD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BBB70E0" w14:textId="4B242522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6307E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609EC199" w14:textId="2CEAA6B4" w:rsidR="008D3773" w:rsidRPr="008D3773" w:rsidRDefault="00031AC4" w:rsidP="008D37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xcluding VAT, </w:t>
            </w:r>
            <w:r w:rsidR="00BB019F">
              <w:rPr>
                <w:rFonts w:ascii="Arial" w:hAnsi="Arial" w:cs="Arial"/>
                <w:sz w:val="24"/>
                <w:szCs w:val="24"/>
              </w:rPr>
              <w:t>[REDACTED]</w:t>
            </w:r>
            <w:r w:rsidR="0018118C" w:rsidRPr="002E6F19">
              <w:rPr>
                <w:rFonts w:ascii="Arial" w:hAnsi="Arial" w:cs="Arial"/>
                <w:sz w:val="24"/>
                <w:szCs w:val="24"/>
              </w:rPr>
              <w:t>%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of all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Charges for the Deliverables invoic</w:t>
            </w:r>
            <w:r>
              <w:rPr>
                <w:rFonts w:ascii="Arial" w:hAnsi="Arial" w:cs="Arial"/>
                <w:sz w:val="24"/>
                <w:szCs w:val="24"/>
              </w:rPr>
              <w:t>ed to the Buyer under all Call-O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ff </w:t>
            </w:r>
            <w:r w:rsidR="0052136E" w:rsidRPr="008D3773">
              <w:rPr>
                <w:rFonts w:ascii="Arial" w:hAnsi="Arial" w:cs="Arial"/>
                <w:sz w:val="24"/>
                <w:szCs w:val="24"/>
              </w:rPr>
              <w:t>Contracts</w:t>
            </w:r>
            <w:r w:rsidRPr="008D37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E17041" w14:textId="77777777" w:rsidR="008D3773" w:rsidRPr="008D3773" w:rsidRDefault="008D3773" w:rsidP="008D3773">
            <w:pPr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>The Supplier will note that t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>he Management Charge will apply in the following way</w:t>
            </w: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>:</w:t>
            </w:r>
          </w:p>
          <w:p w14:paraId="47448C66" w14:textId="34FB42A3" w:rsidR="008D3773" w:rsidRPr="008D3773" w:rsidRDefault="008D3773" w:rsidP="008D377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All Charges for Deliverables invoiced to </w:t>
            </w: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>Buyers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 in respect of a Call-off-Contract will be charged at </w:t>
            </w:r>
            <w:r w:rsidR="00BB019F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>[REDACTED]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>%. This charge is in consideration of the management and administration of this Framework Agreement. The Supplier shall not pass this charge through to the Buyer. </w:t>
            </w:r>
          </w:p>
          <w:p w14:paraId="49DF39EC" w14:textId="263844CD" w:rsidR="008D3773" w:rsidRPr="008D3773" w:rsidRDefault="008D3773" w:rsidP="00BB019F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4"/>
                <w:szCs w:val="24"/>
              </w:rPr>
            </w:pP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All 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Charges for Deliverables invoiced </w:t>
            </w: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>from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 Buyers who are Central Government Bodies, including departments ALBs, NDPBs and Executive Agencies</w:t>
            </w:r>
            <w:r w:rsidR="00F0285C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>, will be charged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. This charge is payable by the </w:t>
            </w: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>B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uyer to the Supplier on behalf of CCS. CCS will collect this </w:t>
            </w:r>
            <w:r w:rsidR="00BB019F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[REDACTED] 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% charge on behalf of Government Communications 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Service (GCS). </w:t>
            </w: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>Supplier</w:t>
            </w: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should add this charge to their charges for all Deliverables invoiced to Central Government </w:t>
            </w:r>
            <w:r w:rsidRPr="008D3773">
              <w:rPr>
                <w:rFonts w:ascii="Arial" w:hAnsi="Arial"/>
                <w:iCs/>
                <w:color w:val="222222"/>
                <w:sz w:val="24"/>
                <w:szCs w:val="24"/>
                <w:shd w:val="clear" w:color="auto" w:fill="FFFFFF"/>
              </w:rPr>
              <w:t>Buyer</w:t>
            </w:r>
            <w:r w:rsidRPr="008D377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>s. </w:t>
            </w:r>
          </w:p>
        </w:tc>
      </w:tr>
      <w:tr w:rsidR="00EB5FF7" w:rsidRPr="002E6F19" w14:paraId="2228257D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B5FF7" w:rsidRPr="002E6F19" w:rsidRDefault="00EB5FF7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B5FF7" w:rsidRPr="002E6F19" w:rsidRDefault="009A5D48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89F4BB4" w14:textId="1097D514" w:rsidR="0018118C" w:rsidRPr="002E6F19" w:rsidRDefault="00BB019F" w:rsidP="00BB01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D378AB" w:rsidRPr="002E6F19" w14:paraId="26D64EC4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55C091C" w14:textId="50893D22" w:rsidR="00D378AB" w:rsidRPr="002E6F19" w:rsidRDefault="00BB019F" w:rsidP="00C97A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BB019F" w:rsidRPr="002E6F19" w14:paraId="5D2E7BF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BB019F" w:rsidRPr="002E6F19" w:rsidRDefault="00BB019F" w:rsidP="00BB019F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BB019F" w:rsidRPr="002E6F19" w:rsidRDefault="00BB019F" w:rsidP="00BB019F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BB019F" w:rsidRPr="002E6F19" w:rsidRDefault="00BB019F" w:rsidP="00BB019F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26B3DCE8" w14:textId="3006D6E2" w:rsidR="00BB019F" w:rsidRPr="002E6F19" w:rsidRDefault="00BB019F" w:rsidP="00BB019F">
            <w:pPr>
              <w:rPr>
                <w:rFonts w:ascii="Arial" w:hAnsi="Arial" w:cs="Arial"/>
                <w:sz w:val="24"/>
                <w:szCs w:val="24"/>
              </w:rPr>
            </w:pPr>
            <w:r w:rsidRPr="00B149B2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BB019F" w:rsidRPr="002E6F19" w14:paraId="160B2222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BB019F" w:rsidRPr="002E6F19" w:rsidRDefault="00BB019F" w:rsidP="00BB019F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BB019F" w:rsidRPr="002E6F19" w:rsidRDefault="00BB019F" w:rsidP="00BB019F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BB019F" w:rsidRPr="002E6F19" w:rsidRDefault="00BB019F" w:rsidP="00BB019F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74E687B" w14:textId="51AD3E64" w:rsidR="00BB019F" w:rsidRPr="002E6F19" w:rsidRDefault="00BB019F" w:rsidP="00BB019F">
            <w:pPr>
              <w:rPr>
                <w:rFonts w:ascii="Arial" w:hAnsi="Arial" w:cs="Arial"/>
                <w:sz w:val="24"/>
                <w:szCs w:val="24"/>
              </w:rPr>
            </w:pPr>
            <w:r w:rsidRPr="00B149B2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F2763A" w:rsidRPr="002E6F19" w14:paraId="42FCF6B7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F2763A" w:rsidRPr="002E6F19" w:rsidRDefault="00F2763A" w:rsidP="007810C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64DD54F" w14:textId="61B0F8EB" w:rsidR="00F2763A" w:rsidRPr="002E6F19" w:rsidRDefault="00BB019F" w:rsidP="00C97A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F2763A" w:rsidRPr="002E6F19" w14:paraId="4ADC11E6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3B402F49" w14:textId="5D4A38CB" w:rsidR="0006715E" w:rsidRPr="0006715E" w:rsidRDefault="000671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715E">
              <w:rPr>
                <w:rFonts w:ascii="Arial" w:hAnsi="Arial" w:cs="Arial"/>
                <w:b/>
                <w:sz w:val="24"/>
                <w:szCs w:val="24"/>
              </w:rPr>
              <w:t>Key Sub</w:t>
            </w:r>
            <w:r w:rsidR="0052362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6715E">
              <w:rPr>
                <w:rFonts w:ascii="Arial" w:hAnsi="Arial" w:cs="Arial"/>
                <w:b/>
                <w:sz w:val="24"/>
                <w:szCs w:val="24"/>
              </w:rPr>
              <w:t xml:space="preserve">ontractor </w:t>
            </w:r>
          </w:p>
          <w:p w14:paraId="3FD78A29" w14:textId="3BFBCF88" w:rsidR="0006715E" w:rsidRPr="002E6F19" w:rsidRDefault="00BB019F" w:rsidP="0006715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F2763A" w:rsidRPr="002E6F19" w14:paraId="4A62685E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77777777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CCS </w:t>
            </w:r>
          </w:p>
          <w:p w14:paraId="4798CD67" w14:textId="42610122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6ACCB5AC" w14:textId="7B770EA5" w:rsidR="00F2763A" w:rsidRPr="002E6F19" w:rsidRDefault="00BB019F" w:rsidP="00B60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D3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E098D58" w14:textId="77777777" w:rsidR="00D378AB" w:rsidRPr="002E6F19" w:rsidRDefault="0052136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CCS:</w:t>
            </w:r>
          </w:p>
        </w:tc>
      </w:tr>
      <w:tr w:rsidR="00D378AB" w:rsidRPr="002E6F19" w14:paraId="6EFE514C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63E503" w14:textId="2179B8D8" w:rsidR="00D378AB" w:rsidRPr="002E6F19" w:rsidRDefault="00BB019F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58206CE4" w14:textId="70F4C543" w:rsidR="00D378AB" w:rsidRPr="002E6F19" w:rsidRDefault="00BB019F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</w:tr>
      <w:tr w:rsidR="00D378AB" w:rsidRPr="002E6F19" w14:paraId="7E236C8A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8D865DC" w14:textId="1A34A6EE" w:rsidR="00D378AB" w:rsidRPr="002E6F19" w:rsidRDefault="00BB019F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3C46AB39" w14:textId="79407C25" w:rsidR="00D378AB" w:rsidRPr="002E6F19" w:rsidRDefault="00BB019F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</w:tr>
      <w:tr w:rsidR="00D378AB" w:rsidRPr="002E6F19" w14:paraId="5EA9A18A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AD83570" w14:textId="55B4F555" w:rsidR="00D378AB" w:rsidRPr="002E6F19" w:rsidRDefault="00BB019F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8242B9B" w14:textId="39E78B5B" w:rsidR="00D378AB" w:rsidRPr="002E6F19" w:rsidRDefault="00BB019F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</w:tr>
      <w:tr w:rsidR="00D378AB" w:rsidRPr="002E6F19" w14:paraId="13FB4C2C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F0C0F68" w14:textId="708E2276" w:rsidR="00D378AB" w:rsidRPr="002E6F19" w:rsidRDefault="00BB019F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220E2702" w14:textId="17CCEE19" w:rsidR="00D378AB" w:rsidRPr="002E6F19" w:rsidRDefault="00BB019F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[REDACTED]</w:t>
            </w: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1" w:name="LASTCURSORPOSITION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2BA86" w14:textId="77777777" w:rsidR="00CC148E" w:rsidRDefault="00CC148E">
      <w:pPr>
        <w:spacing w:after="0" w:line="240" w:lineRule="auto"/>
      </w:pPr>
      <w:r>
        <w:separator/>
      </w:r>
    </w:p>
  </w:endnote>
  <w:endnote w:type="continuationSeparator" w:id="0">
    <w:p w14:paraId="6176C9D1" w14:textId="77777777" w:rsidR="00CC148E" w:rsidRDefault="00CC148E">
      <w:pPr>
        <w:spacing w:after="0" w:line="240" w:lineRule="auto"/>
      </w:pPr>
      <w:r>
        <w:continuationSeparator/>
      </w:r>
    </w:p>
  </w:endnote>
  <w:endnote w:type="continuationNotice" w:id="1">
    <w:p w14:paraId="39269688" w14:textId="77777777" w:rsidR="00CC148E" w:rsidRDefault="00CC1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F9B9" w14:textId="77777777" w:rsidR="005B1B1B" w:rsidRPr="00E40448" w:rsidRDefault="005B1B1B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2608B36D" w14:textId="4C2AEBE6" w:rsidR="008D3773" w:rsidRPr="00914338" w:rsidRDefault="006D4345" w:rsidP="008D3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sz w:val="20"/>
        <w:szCs w:val="20"/>
      </w:rPr>
      <w:t xml:space="preserve">Framework Ref: </w:t>
    </w:r>
    <w:r w:rsidR="008D3773">
      <w:rPr>
        <w:rFonts w:ascii="Arial" w:eastAsia="Arial" w:hAnsi="Arial"/>
        <w:sz w:val="20"/>
        <w:szCs w:val="20"/>
      </w:rPr>
      <w:t>RM6134 Media Monitoring and Associated Services</w:t>
    </w:r>
    <w:r w:rsidR="008D3773">
      <w:rPr>
        <w:rFonts w:ascii="Arial" w:eastAsia="Arial" w:hAnsi="Arial"/>
        <w:color w:val="000000"/>
        <w:sz w:val="20"/>
        <w:szCs w:val="20"/>
      </w:rPr>
      <w:t xml:space="preserve"> Framework </w:t>
    </w:r>
    <w:r w:rsidR="008D3773" w:rsidRPr="00914338">
      <w:rPr>
        <w:rFonts w:ascii="Arial" w:hAnsi="Arial"/>
        <w:b/>
        <w:sz w:val="20"/>
      </w:rPr>
      <w:t xml:space="preserve">                                           </w:t>
    </w:r>
  </w:p>
  <w:p w14:paraId="437594C1" w14:textId="77777777" w:rsidR="006D4345" w:rsidRDefault="006D4345" w:rsidP="008D3773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>Project Version: v1.0</w:t>
    </w:r>
  </w:p>
  <w:p w14:paraId="201503C9" w14:textId="5D202A75" w:rsidR="000662CD" w:rsidRPr="00E5592B" w:rsidRDefault="006D4345" w:rsidP="008D3773">
    <w:pPr>
      <w:pStyle w:val="Footer"/>
      <w:rPr>
        <w:rFonts w:ascii="Arial" w:hAnsi="Arial" w:cs="Arial"/>
        <w:sz w:val="20"/>
      </w:rPr>
    </w:pPr>
    <w:r>
      <w:rPr>
        <w:rFonts w:ascii="Arial" w:hAnsi="Arial"/>
        <w:sz w:val="20"/>
      </w:rPr>
      <w:t xml:space="preserve">Model Version: </w:t>
    </w:r>
    <w:r w:rsidR="008D3773">
      <w:rPr>
        <w:rFonts w:ascii="Arial" w:hAnsi="Arial"/>
        <w:sz w:val="20"/>
      </w:rPr>
      <w:t>v3.5.1</w:t>
    </w:r>
    <w:r w:rsidR="00E002CC">
      <w:rPr>
        <w:rFonts w:ascii="Arial" w:hAnsi="Arial"/>
        <w:sz w:val="20"/>
      </w:rPr>
      <w:tab/>
      <w:t xml:space="preserve">                                                                                                               </w:t>
    </w:r>
    <w:r w:rsidR="00E002CC" w:rsidRPr="00E002CC">
      <w:rPr>
        <w:rFonts w:ascii="Arial" w:hAnsi="Arial"/>
        <w:sz w:val="20"/>
      </w:rPr>
      <w:fldChar w:fldCharType="begin"/>
    </w:r>
    <w:r w:rsidR="00E002CC" w:rsidRPr="00E002CC">
      <w:rPr>
        <w:rFonts w:ascii="Arial" w:hAnsi="Arial"/>
        <w:sz w:val="20"/>
      </w:rPr>
      <w:instrText xml:space="preserve"> PAGE   \* MERGEFORMAT </w:instrText>
    </w:r>
    <w:r w:rsidR="00E002CC" w:rsidRPr="00E002CC">
      <w:rPr>
        <w:rFonts w:ascii="Arial" w:hAnsi="Arial"/>
        <w:sz w:val="20"/>
      </w:rPr>
      <w:fldChar w:fldCharType="separate"/>
    </w:r>
    <w:r w:rsidR="007325A9">
      <w:rPr>
        <w:rFonts w:ascii="Arial" w:hAnsi="Arial"/>
        <w:noProof/>
        <w:sz w:val="20"/>
      </w:rPr>
      <w:t>4</w:t>
    </w:r>
    <w:r w:rsidR="00E002CC" w:rsidRPr="00E002CC">
      <w:rPr>
        <w:rFonts w:ascii="Arial" w:hAnsi="Arial"/>
        <w:noProof/>
        <w:sz w:val="20"/>
      </w:rPr>
      <w:fldChar w:fldCharType="end"/>
    </w:r>
    <w:r w:rsidR="00E002CC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9592" w14:textId="77777777" w:rsidR="00E40448" w:rsidRDefault="00E40448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117B60" w:rsidRPr="00E40448" w:rsidRDefault="00117B60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117B60" w:rsidRPr="00E40448" w:rsidRDefault="00117B60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 w:rsidR="00E5592B"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52136E" w:rsidRPr="00E40448" w:rsidRDefault="00117B60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Model Version : v2.</w:t>
    </w:r>
    <w:r w:rsidR="00731E60" w:rsidRPr="00E40448">
      <w:rPr>
        <w:rFonts w:ascii="Arial" w:hAnsi="Arial" w:cs="Arial"/>
        <w:color w:val="A6A6A6" w:themeColor="background1" w:themeShade="A6"/>
        <w:sz w:val="20"/>
      </w:rPr>
      <w:t>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FE600" w14:textId="77777777" w:rsidR="00CC148E" w:rsidRDefault="00CC14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A09B2B" w14:textId="77777777" w:rsidR="00CC148E" w:rsidRDefault="00CC148E">
      <w:pPr>
        <w:spacing w:after="0" w:line="240" w:lineRule="auto"/>
      </w:pPr>
      <w:r>
        <w:continuationSeparator/>
      </w:r>
    </w:p>
  </w:footnote>
  <w:footnote w:type="continuationNotice" w:id="1">
    <w:p w14:paraId="67ED42F2" w14:textId="77777777" w:rsidR="00CC148E" w:rsidRDefault="00CC1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C5F6" w14:textId="16CD2F4F" w:rsidR="00E5592B" w:rsidRPr="004D7EEE" w:rsidRDefault="00E5592B">
    <w:pPr>
      <w:pStyle w:val="Header"/>
      <w:rPr>
        <w:b/>
      </w:rPr>
    </w:pPr>
    <w:r w:rsidRPr="004D7EEE">
      <w:rPr>
        <w:b/>
      </w:rPr>
      <w:t>Framework Award Form</w:t>
    </w:r>
  </w:p>
  <w:p w14:paraId="52C2D0B2" w14:textId="7C702D90" w:rsidR="00E5592B" w:rsidRDefault="008D3773">
    <w:pPr>
      <w:pStyle w:val="Header"/>
    </w:pPr>
    <w:r>
      <w:t>Crown Copyright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163A" w14:textId="71424DD1" w:rsidR="0097006B" w:rsidRPr="00E40448" w:rsidRDefault="0097006B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97006B" w:rsidRPr="00E40448" w:rsidRDefault="0097006B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 w:rsidR="00E40448"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97006B" w:rsidRPr="0097006B" w:rsidRDefault="0097006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2C24388"/>
    <w:multiLevelType w:val="hybridMultilevel"/>
    <w:tmpl w:val="046051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7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3A93613"/>
    <w:multiLevelType w:val="multilevel"/>
    <w:tmpl w:val="F470F8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4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8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4"/>
  </w:num>
  <w:num w:numId="4">
    <w:abstractNumId w:val="22"/>
  </w:num>
  <w:num w:numId="5">
    <w:abstractNumId w:val="12"/>
  </w:num>
  <w:num w:numId="6">
    <w:abstractNumId w:val="18"/>
  </w:num>
  <w:num w:numId="7">
    <w:abstractNumId w:val="38"/>
  </w:num>
  <w:num w:numId="8">
    <w:abstractNumId w:val="26"/>
  </w:num>
  <w:num w:numId="9">
    <w:abstractNumId w:val="10"/>
  </w:num>
  <w:num w:numId="10">
    <w:abstractNumId w:val="25"/>
  </w:num>
  <w:num w:numId="11">
    <w:abstractNumId w:val="31"/>
  </w:num>
  <w:num w:numId="12">
    <w:abstractNumId w:val="9"/>
  </w:num>
  <w:num w:numId="13">
    <w:abstractNumId w:val="17"/>
  </w:num>
  <w:num w:numId="14">
    <w:abstractNumId w:val="14"/>
  </w:num>
  <w:num w:numId="15">
    <w:abstractNumId w:val="29"/>
  </w:num>
  <w:num w:numId="16">
    <w:abstractNumId w:val="15"/>
  </w:num>
  <w:num w:numId="17">
    <w:abstractNumId w:val="6"/>
  </w:num>
  <w:num w:numId="18">
    <w:abstractNumId w:val="34"/>
  </w:num>
  <w:num w:numId="19">
    <w:abstractNumId w:val="30"/>
  </w:num>
  <w:num w:numId="20">
    <w:abstractNumId w:val="5"/>
  </w:num>
  <w:num w:numId="21">
    <w:abstractNumId w:val="8"/>
  </w:num>
  <w:num w:numId="22">
    <w:abstractNumId w:val="35"/>
  </w:num>
  <w:num w:numId="23">
    <w:abstractNumId w:val="3"/>
  </w:num>
  <w:num w:numId="24">
    <w:abstractNumId w:val="23"/>
  </w:num>
  <w:num w:numId="25">
    <w:abstractNumId w:val="31"/>
  </w:num>
  <w:num w:numId="26">
    <w:abstractNumId w:val="31"/>
  </w:num>
  <w:num w:numId="27">
    <w:abstractNumId w:val="31"/>
  </w:num>
  <w:num w:numId="28">
    <w:abstractNumId w:val="20"/>
  </w:num>
  <w:num w:numId="29">
    <w:abstractNumId w:val="11"/>
  </w:num>
  <w:num w:numId="30">
    <w:abstractNumId w:val="39"/>
  </w:num>
  <w:num w:numId="31">
    <w:abstractNumId w:val="31"/>
  </w:num>
  <w:num w:numId="32">
    <w:abstractNumId w:val="1"/>
  </w:num>
  <w:num w:numId="33">
    <w:abstractNumId w:val="31"/>
  </w:num>
  <w:num w:numId="34">
    <w:abstractNumId w:val="24"/>
  </w:num>
  <w:num w:numId="35">
    <w:abstractNumId w:val="37"/>
  </w:num>
  <w:num w:numId="36">
    <w:abstractNumId w:val="21"/>
  </w:num>
  <w:num w:numId="37">
    <w:abstractNumId w:val="13"/>
  </w:num>
  <w:num w:numId="38">
    <w:abstractNumId w:val="2"/>
  </w:num>
  <w:num w:numId="39">
    <w:abstractNumId w:val="32"/>
  </w:num>
  <w:num w:numId="40">
    <w:abstractNumId w:val="28"/>
  </w:num>
  <w:num w:numId="41">
    <w:abstractNumId w:val="19"/>
  </w:num>
  <w:num w:numId="42">
    <w:abstractNumId w:val="33"/>
  </w:num>
  <w:num w:numId="43">
    <w:abstractNumId w:val="16"/>
  </w:num>
  <w:num w:numId="44">
    <w:abstractNumId w:val="27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12B90"/>
    <w:rsid w:val="00026858"/>
    <w:rsid w:val="00031AC4"/>
    <w:rsid w:val="00042537"/>
    <w:rsid w:val="00042B0C"/>
    <w:rsid w:val="00046868"/>
    <w:rsid w:val="0005069B"/>
    <w:rsid w:val="000662CD"/>
    <w:rsid w:val="0006715E"/>
    <w:rsid w:val="00085C20"/>
    <w:rsid w:val="000A66EC"/>
    <w:rsid w:val="000C2302"/>
    <w:rsid w:val="000C2B52"/>
    <w:rsid w:val="000E0E88"/>
    <w:rsid w:val="000F52FF"/>
    <w:rsid w:val="001136C3"/>
    <w:rsid w:val="00117B60"/>
    <w:rsid w:val="00135884"/>
    <w:rsid w:val="00151699"/>
    <w:rsid w:val="00176EFA"/>
    <w:rsid w:val="0018118C"/>
    <w:rsid w:val="001B4B2B"/>
    <w:rsid w:val="001D6784"/>
    <w:rsid w:val="001E3B0F"/>
    <w:rsid w:val="0022464F"/>
    <w:rsid w:val="0026083E"/>
    <w:rsid w:val="00267824"/>
    <w:rsid w:val="00291529"/>
    <w:rsid w:val="002D3935"/>
    <w:rsid w:val="002E60FD"/>
    <w:rsid w:val="002E6F19"/>
    <w:rsid w:val="003779BF"/>
    <w:rsid w:val="0039182C"/>
    <w:rsid w:val="003F2AB8"/>
    <w:rsid w:val="00413CAD"/>
    <w:rsid w:val="00417138"/>
    <w:rsid w:val="00423B2A"/>
    <w:rsid w:val="00437647"/>
    <w:rsid w:val="004A7B7B"/>
    <w:rsid w:val="004C5C67"/>
    <w:rsid w:val="004D7EEE"/>
    <w:rsid w:val="004F0EF4"/>
    <w:rsid w:val="0051380D"/>
    <w:rsid w:val="0052136E"/>
    <w:rsid w:val="00523625"/>
    <w:rsid w:val="005506A1"/>
    <w:rsid w:val="005B1B1B"/>
    <w:rsid w:val="005B6742"/>
    <w:rsid w:val="00615018"/>
    <w:rsid w:val="00624EFC"/>
    <w:rsid w:val="00640451"/>
    <w:rsid w:val="00646C7E"/>
    <w:rsid w:val="006673DF"/>
    <w:rsid w:val="00675918"/>
    <w:rsid w:val="006902C0"/>
    <w:rsid w:val="006D4345"/>
    <w:rsid w:val="006E1671"/>
    <w:rsid w:val="00701B1C"/>
    <w:rsid w:val="007023F4"/>
    <w:rsid w:val="00706CC9"/>
    <w:rsid w:val="00731E60"/>
    <w:rsid w:val="007325A9"/>
    <w:rsid w:val="00741323"/>
    <w:rsid w:val="00770C24"/>
    <w:rsid w:val="007A4D26"/>
    <w:rsid w:val="007C10AD"/>
    <w:rsid w:val="007D0068"/>
    <w:rsid w:val="007D24C9"/>
    <w:rsid w:val="007D5F96"/>
    <w:rsid w:val="00801037"/>
    <w:rsid w:val="0080199C"/>
    <w:rsid w:val="00846122"/>
    <w:rsid w:val="00870621"/>
    <w:rsid w:val="008B4FAA"/>
    <w:rsid w:val="008C7EA8"/>
    <w:rsid w:val="008D3773"/>
    <w:rsid w:val="008E600B"/>
    <w:rsid w:val="008E73CD"/>
    <w:rsid w:val="00943D45"/>
    <w:rsid w:val="0097006B"/>
    <w:rsid w:val="009857A3"/>
    <w:rsid w:val="00992A68"/>
    <w:rsid w:val="009A5D48"/>
    <w:rsid w:val="009B3153"/>
    <w:rsid w:val="009C49DD"/>
    <w:rsid w:val="009E7100"/>
    <w:rsid w:val="00A05695"/>
    <w:rsid w:val="00A11EDB"/>
    <w:rsid w:val="00A14BB5"/>
    <w:rsid w:val="00AB5036"/>
    <w:rsid w:val="00AC033A"/>
    <w:rsid w:val="00AC3B01"/>
    <w:rsid w:val="00B0440E"/>
    <w:rsid w:val="00B30278"/>
    <w:rsid w:val="00B376E9"/>
    <w:rsid w:val="00B402DD"/>
    <w:rsid w:val="00B43148"/>
    <w:rsid w:val="00B603C0"/>
    <w:rsid w:val="00B85514"/>
    <w:rsid w:val="00B9342C"/>
    <w:rsid w:val="00BB019F"/>
    <w:rsid w:val="00BF0E1F"/>
    <w:rsid w:val="00BF6A5A"/>
    <w:rsid w:val="00C22CB9"/>
    <w:rsid w:val="00C3016F"/>
    <w:rsid w:val="00C876CE"/>
    <w:rsid w:val="00C90D81"/>
    <w:rsid w:val="00C97AC2"/>
    <w:rsid w:val="00CC148E"/>
    <w:rsid w:val="00CE095A"/>
    <w:rsid w:val="00D27FF1"/>
    <w:rsid w:val="00D378AB"/>
    <w:rsid w:val="00DC1640"/>
    <w:rsid w:val="00DC3703"/>
    <w:rsid w:val="00DF0EED"/>
    <w:rsid w:val="00E002CC"/>
    <w:rsid w:val="00E25EEE"/>
    <w:rsid w:val="00E34543"/>
    <w:rsid w:val="00E40448"/>
    <w:rsid w:val="00E44A33"/>
    <w:rsid w:val="00E5592B"/>
    <w:rsid w:val="00E7460F"/>
    <w:rsid w:val="00E823CC"/>
    <w:rsid w:val="00E96CC1"/>
    <w:rsid w:val="00EB5FF7"/>
    <w:rsid w:val="00EC3702"/>
    <w:rsid w:val="00ED09A4"/>
    <w:rsid w:val="00F0285C"/>
    <w:rsid w:val="00F04538"/>
    <w:rsid w:val="00F04AEB"/>
    <w:rsid w:val="00F15B6B"/>
    <w:rsid w:val="00F2763A"/>
    <w:rsid w:val="00F30003"/>
    <w:rsid w:val="00F62058"/>
    <w:rsid w:val="00F66844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97AC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7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7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60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43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7A11-FCA3-404A-97D2-BB2CFEE6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2020-05-04T11:44:00Z</dcterms:created>
  <dcterms:modified xsi:type="dcterms:W3CDTF">2020-05-04T11:44:00Z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