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D79BF1F"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085896">
        <w:rPr>
          <w:rFonts w:ascii="Arial" w:hAnsi="Arial" w:cs="Arial"/>
          <w:b/>
          <w:sz w:val="28"/>
          <w:szCs w:val="24"/>
        </w:rPr>
        <w:t>Dark Peak</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7EE2658B"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E0F2B">
        <w:rPr>
          <w:rFonts w:ascii="Arial" w:hAnsi="Arial" w:cs="Arial"/>
          <w:b/>
          <w:bCs/>
          <w:sz w:val="24"/>
          <w:szCs w:val="24"/>
        </w:rPr>
        <w:t xml:space="preserve"> 22nd</w:t>
      </w:r>
      <w:r w:rsidR="006F5659" w:rsidRPr="006F5659">
        <w:rPr>
          <w:rFonts w:ascii="Arial" w:hAnsi="Arial" w:cs="Arial"/>
          <w:b/>
          <w:bCs/>
          <w:sz w:val="24"/>
          <w:szCs w:val="24"/>
        </w:rPr>
        <w:t xml:space="preserve"> 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66D44200"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E0F2B">
        <w:rPr>
          <w:rFonts w:ascii="Arial" w:hAnsi="Arial" w:cs="Arial"/>
          <w:sz w:val="24"/>
          <w:szCs w:val="24"/>
        </w:rPr>
        <w:t xml:space="preserve"> 22</w:t>
      </w:r>
      <w:r w:rsidR="00BE0F2B" w:rsidRPr="00BE0F2B">
        <w:rPr>
          <w:rFonts w:ascii="Arial" w:hAnsi="Arial" w:cs="Arial"/>
          <w:sz w:val="24"/>
          <w:szCs w:val="24"/>
          <w:vertAlign w:val="superscript"/>
        </w:rPr>
        <w:t>nd</w:t>
      </w:r>
      <w:r w:rsidR="00BE0F2B">
        <w:rPr>
          <w:rFonts w:ascii="Arial" w:hAnsi="Arial" w:cs="Arial"/>
          <w:sz w:val="24"/>
          <w:szCs w:val="24"/>
        </w:rPr>
        <w:t xml:space="preserve"> </w:t>
      </w:r>
      <w:r w:rsidR="006F5659" w:rsidRPr="006F5659">
        <w:rPr>
          <w:rFonts w:ascii="Arial" w:hAnsi="Arial" w:cs="Arial"/>
          <w:sz w:val="24"/>
          <w:szCs w:val="24"/>
        </w:rPr>
        <w:t>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BE0F2B" w:rsidRPr="00F543F2" w14:paraId="56C7160B" w14:textId="77777777" w:rsidTr="00A104B8">
        <w:trPr>
          <w:trHeight w:val="239"/>
        </w:trPr>
        <w:tc>
          <w:tcPr>
            <w:tcW w:w="5180" w:type="dxa"/>
            <w:shd w:val="clear" w:color="auto" w:fill="00B050"/>
          </w:tcPr>
          <w:p w14:paraId="66C8EF1C" w14:textId="2EA58840" w:rsidR="00BE0F2B" w:rsidRPr="00A104B8" w:rsidRDefault="00BE0F2B" w:rsidP="00BE0F2B">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74BB80F" w:rsidR="00BE0F2B" w:rsidRPr="006F5659" w:rsidRDefault="00BE0F2B" w:rsidP="00BE0F2B">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BE0F2B" w:rsidRPr="0075528C" w14:paraId="7A6F9719" w14:textId="77777777" w:rsidTr="00A104B8">
        <w:tc>
          <w:tcPr>
            <w:tcW w:w="5180" w:type="dxa"/>
            <w:shd w:val="clear" w:color="auto" w:fill="00B050"/>
          </w:tcPr>
          <w:p w14:paraId="18274C84" w14:textId="339F0CBE" w:rsidR="00BE0F2B" w:rsidRPr="001A3FFD" w:rsidRDefault="00BE0F2B" w:rsidP="00BE0F2B">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9B49199" w:rsidR="00BE0F2B" w:rsidRPr="006F5659" w:rsidRDefault="00BE0F2B" w:rsidP="00BE0F2B">
            <w:pPr>
              <w:rPr>
                <w:rFonts w:ascii="Arial" w:hAnsi="Arial" w:cs="Arial"/>
              </w:rPr>
            </w:pPr>
            <w:r>
              <w:rPr>
                <w:rFonts w:ascii="Arial" w:hAnsi="Arial" w:cs="Arial"/>
              </w:rPr>
              <w:t>16</w:t>
            </w:r>
            <w:r w:rsidRPr="006F5659">
              <w:rPr>
                <w:rFonts w:ascii="Arial" w:hAnsi="Arial" w:cs="Arial"/>
              </w:rPr>
              <w:t>/03/2023, midnight</w:t>
            </w:r>
          </w:p>
        </w:tc>
      </w:tr>
      <w:tr w:rsidR="00BE0F2B" w:rsidRPr="0075528C" w14:paraId="1715E7D5" w14:textId="77777777" w:rsidTr="00A104B8">
        <w:tc>
          <w:tcPr>
            <w:tcW w:w="5180" w:type="dxa"/>
            <w:shd w:val="clear" w:color="auto" w:fill="00B050"/>
          </w:tcPr>
          <w:p w14:paraId="2604945E" w14:textId="53BC2C92" w:rsidR="00BE0F2B" w:rsidRPr="001A3FFD" w:rsidRDefault="00BE0F2B" w:rsidP="00BE0F2B">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9F0DA7D" w:rsidR="00BE0F2B" w:rsidRPr="006F5659" w:rsidRDefault="00BE0F2B" w:rsidP="00BE0F2B">
            <w:pPr>
              <w:rPr>
                <w:rFonts w:ascii="Arial" w:hAnsi="Arial" w:cs="Arial"/>
                <w:b/>
                <w:bCs/>
              </w:rPr>
            </w:pPr>
            <w:r>
              <w:rPr>
                <w:rFonts w:ascii="Arial" w:hAnsi="Arial" w:cs="Arial"/>
                <w:b/>
                <w:bCs/>
              </w:rPr>
              <w:t>22</w:t>
            </w:r>
            <w:r w:rsidRPr="006F5659">
              <w:rPr>
                <w:rFonts w:ascii="Arial" w:hAnsi="Arial" w:cs="Arial"/>
                <w:b/>
                <w:bCs/>
              </w:rPr>
              <w:t>/03/2023, midnight</w:t>
            </w:r>
          </w:p>
        </w:tc>
      </w:tr>
      <w:tr w:rsidR="00BE0F2B" w:rsidRPr="0075528C" w14:paraId="7FFBC0F9" w14:textId="77777777" w:rsidTr="00A104B8">
        <w:tc>
          <w:tcPr>
            <w:tcW w:w="5180" w:type="dxa"/>
            <w:shd w:val="clear" w:color="auto" w:fill="00B050"/>
          </w:tcPr>
          <w:p w14:paraId="3E6B8702" w14:textId="77777777" w:rsidR="00BE0F2B" w:rsidRPr="001A3FFD" w:rsidRDefault="00BE0F2B" w:rsidP="00BE0F2B">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C6CC065" w:rsidR="00BE0F2B" w:rsidRPr="006F5659" w:rsidRDefault="00BE0F2B" w:rsidP="00BE0F2B">
            <w:pPr>
              <w:rPr>
                <w:rFonts w:ascii="Arial" w:hAnsi="Arial" w:cs="Arial"/>
              </w:rPr>
            </w:pPr>
            <w:r>
              <w:rPr>
                <w:rFonts w:ascii="Arial" w:hAnsi="Arial" w:cs="Arial"/>
              </w:rPr>
              <w:t>13</w:t>
            </w:r>
            <w:r w:rsidRPr="006F5659">
              <w:rPr>
                <w:rFonts w:ascii="Arial" w:hAnsi="Arial" w:cs="Arial"/>
              </w:rPr>
              <w:t>/04/2023, midnight</w:t>
            </w:r>
          </w:p>
        </w:tc>
      </w:tr>
      <w:tr w:rsidR="00BE0F2B" w:rsidRPr="0075528C" w14:paraId="2ED93A20" w14:textId="77777777" w:rsidTr="00A104B8">
        <w:tc>
          <w:tcPr>
            <w:tcW w:w="5180" w:type="dxa"/>
            <w:shd w:val="clear" w:color="auto" w:fill="00B050"/>
          </w:tcPr>
          <w:p w14:paraId="78271D2B" w14:textId="77777777" w:rsidR="00BE0F2B" w:rsidRPr="001A3FFD" w:rsidRDefault="00BE0F2B" w:rsidP="00BE0F2B">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15806E79" w:rsidR="00BE0F2B" w:rsidRPr="006F5659" w:rsidRDefault="00BE0F2B" w:rsidP="00BE0F2B">
            <w:pPr>
              <w:rPr>
                <w:rFonts w:ascii="Arial" w:hAnsi="Arial" w:cs="Arial"/>
              </w:rPr>
            </w:pPr>
            <w:r>
              <w:rPr>
                <w:rFonts w:ascii="Arial" w:hAnsi="Arial" w:cs="Arial"/>
              </w:rPr>
              <w:t>13</w:t>
            </w:r>
            <w:r w:rsidRPr="006F5659">
              <w:rPr>
                <w:rFonts w:ascii="Arial" w:hAnsi="Arial" w:cs="Arial"/>
              </w:rPr>
              <w:t>/04/2023, midnight</w:t>
            </w:r>
          </w:p>
        </w:tc>
      </w:tr>
      <w:tr w:rsidR="00BE0F2B" w:rsidRPr="0075528C" w14:paraId="50E421C7" w14:textId="77777777" w:rsidTr="00A104B8">
        <w:tc>
          <w:tcPr>
            <w:tcW w:w="5180" w:type="dxa"/>
            <w:shd w:val="clear" w:color="auto" w:fill="00B050"/>
          </w:tcPr>
          <w:p w14:paraId="5E979C6A" w14:textId="77777777" w:rsidR="00BE0F2B" w:rsidRPr="001A3FFD" w:rsidRDefault="00BE0F2B" w:rsidP="00BE0F2B">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BE0F2B" w:rsidRPr="006F5659" w:rsidRDefault="00BE0F2B" w:rsidP="00BE0F2B">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5896"/>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0F2B"/>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docProps/app.xml><?xml version="1.0" encoding="utf-8"?>
<Properties xmlns="http://schemas.openxmlformats.org/officeDocument/2006/extended-properties" xmlns:vt="http://schemas.openxmlformats.org/officeDocument/2006/docPropsVTypes">
  <Template>SAAgendatemplate[1]</Template>
  <TotalTime>65</TotalTime>
  <Pages>8</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7</cp:revision>
  <cp:lastPrinted>2013-03-20T15:29:00Z</cp:lastPrinted>
  <dcterms:created xsi:type="dcterms:W3CDTF">2023-01-31T09:01:00Z</dcterms:created>
  <dcterms:modified xsi:type="dcterms:W3CDTF">2023-02-21T10:09:00Z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