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24BE0" w14:textId="77777777" w:rsidR="00184B91" w:rsidRPr="009D7BD5" w:rsidRDefault="00184B91" w:rsidP="00C83FBA">
      <w:pPr>
        <w:pStyle w:val="CoversheetStaticText"/>
        <w:spacing w:before="120" w:after="240" w:line="240" w:lineRule="auto"/>
      </w:pPr>
    </w:p>
    <w:p w14:paraId="592E9D14" w14:textId="56231D70" w:rsidR="4AD8B2A7" w:rsidRPr="009D7BD5" w:rsidRDefault="0035025B" w:rsidP="00C83FBA">
      <w:pPr>
        <w:pStyle w:val="CoversheetTitle"/>
        <w:spacing w:before="120" w:after="240" w:line="240" w:lineRule="auto"/>
      </w:pPr>
      <w:r w:rsidRPr="009D7BD5">
        <w:rPr>
          <w:noProof/>
        </w:rPr>
        <w:drawing>
          <wp:inline distT="0" distB="0" distL="0" distR="0" wp14:anchorId="21E3176E" wp14:editId="0F309725">
            <wp:extent cx="5943600" cy="1997710"/>
            <wp:effectExtent l="0" t="0" r="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997710"/>
                    </a:xfrm>
                    <a:prstGeom prst="rect">
                      <a:avLst/>
                    </a:prstGeom>
                    <a:noFill/>
                    <a:ln>
                      <a:noFill/>
                    </a:ln>
                  </pic:spPr>
                </pic:pic>
              </a:graphicData>
            </a:graphic>
          </wp:inline>
        </w:drawing>
      </w:r>
      <w:r w:rsidRPr="009D7BD5">
        <w:rPr>
          <w:rFonts w:cs="Calibri"/>
          <w:color w:val="000000"/>
          <w:shd w:val="clear" w:color="auto" w:fill="FFFFFF"/>
        </w:rPr>
        <w:br/>
      </w:r>
    </w:p>
    <w:p w14:paraId="1BB9BF4E" w14:textId="11C7AEB3" w:rsidR="00F64CCD" w:rsidRPr="009D7BD5" w:rsidRDefault="00F33767" w:rsidP="00C83FBA">
      <w:pPr>
        <w:pStyle w:val="CoversheetTitle"/>
        <w:spacing w:before="120" w:after="240" w:line="240" w:lineRule="auto"/>
      </w:pPr>
      <w:r w:rsidRPr="009D7BD5">
        <w:t xml:space="preserve">Invitation to </w:t>
      </w:r>
      <w:r w:rsidR="00D405FB" w:rsidRPr="009D7BD5">
        <w:t>Negotiate</w:t>
      </w:r>
      <w:r w:rsidR="00F64CCD" w:rsidRPr="009D7BD5">
        <w:t xml:space="preserve"> </w:t>
      </w:r>
    </w:p>
    <w:p w14:paraId="26CEE225" w14:textId="6DCC7B24" w:rsidR="00F64CCD" w:rsidRDefault="00F64CCD" w:rsidP="00C83FBA">
      <w:pPr>
        <w:pStyle w:val="CoversheetTitle"/>
        <w:spacing w:before="120" w:after="240" w:line="240" w:lineRule="auto"/>
      </w:pPr>
      <w:r w:rsidRPr="009D7BD5">
        <w:t>DATA ANALYTICS &amp; REPORTING SYSTE</w:t>
      </w:r>
      <w:r w:rsidR="0035025B" w:rsidRPr="009D7BD5">
        <w:t>M</w:t>
      </w:r>
      <w:r w:rsidR="006E31BA" w:rsidRPr="009D7BD5">
        <w:t xml:space="preserve"> </w:t>
      </w:r>
    </w:p>
    <w:p w14:paraId="1DC69868" w14:textId="77777777" w:rsidR="009D7BD5" w:rsidRPr="009D7BD5" w:rsidRDefault="009D7BD5" w:rsidP="00C83FBA">
      <w:pPr>
        <w:pStyle w:val="CoversheetTitle"/>
        <w:spacing w:before="120" w:after="240" w:line="240" w:lineRule="auto"/>
      </w:pPr>
    </w:p>
    <w:p w14:paraId="08A05E5B" w14:textId="2526F60F" w:rsidR="4AD8B2A7" w:rsidRPr="009D7BD5" w:rsidRDefault="4AD8B2A7" w:rsidP="00C83FBA">
      <w:pPr>
        <w:pStyle w:val="CoversheetTitle"/>
        <w:spacing w:before="120" w:after="240" w:line="240" w:lineRule="auto"/>
      </w:pPr>
      <w:r w:rsidRPr="009D7BD5">
        <w:t>COMPETITIVE PROCEDURE WITH NEGOTIATION</w:t>
      </w:r>
    </w:p>
    <w:p w14:paraId="10FE0660" w14:textId="77777777" w:rsidR="006E31BA" w:rsidRPr="009D7BD5" w:rsidRDefault="006E31BA" w:rsidP="00C83FBA">
      <w:pPr>
        <w:pStyle w:val="CoversheetTitle"/>
        <w:spacing w:before="120" w:after="240" w:line="240" w:lineRule="auto"/>
      </w:pPr>
    </w:p>
    <w:p w14:paraId="6517D598" w14:textId="3922D80C" w:rsidR="006E31BA" w:rsidRPr="009D7BD5" w:rsidRDefault="006E31BA" w:rsidP="00C83FBA">
      <w:pPr>
        <w:pStyle w:val="CoversheetTitle"/>
        <w:spacing w:before="120" w:after="240" w:line="240" w:lineRule="auto"/>
        <w:sectPr w:rsidR="006E31BA" w:rsidRPr="009D7BD5" w:rsidSect="009E11D0">
          <w:pgSz w:w="12240" w:h="15840"/>
          <w:pgMar w:top="1440" w:right="1440" w:bottom="1440" w:left="1440" w:header="720" w:footer="720" w:gutter="0"/>
          <w:cols w:space="720"/>
          <w:titlePg/>
          <w:docGrid w:linePitch="299"/>
        </w:sectPr>
      </w:pPr>
    </w:p>
    <w:p w14:paraId="5E6A1C48" w14:textId="77777777" w:rsidR="00FE4581" w:rsidRPr="009D7BD5" w:rsidRDefault="00FE4581" w:rsidP="00C83FBA">
      <w:pPr>
        <w:spacing w:before="120" w:after="240" w:line="240" w:lineRule="auto"/>
        <w:rPr>
          <w:rFonts w:ascii="Lato Light" w:hAnsi="Lato Light"/>
        </w:rPr>
        <w:sectPr w:rsidR="00FE4581" w:rsidRPr="009D7BD5">
          <w:type w:val="continuous"/>
          <w:pgSz w:w="12240" w:h="15840"/>
          <w:pgMar w:top="1440" w:right="1440" w:bottom="1440" w:left="1440" w:header="720" w:footer="720" w:gutter="0"/>
          <w:cols w:space="720"/>
        </w:sectPr>
      </w:pPr>
    </w:p>
    <w:p w14:paraId="6F9EB775" w14:textId="77777777" w:rsidR="00C43718" w:rsidRPr="009D7BD5" w:rsidRDefault="00C43718" w:rsidP="00C83FBA">
      <w:pPr>
        <w:pStyle w:val="HeadingLevel2"/>
        <w:spacing w:before="120" w:after="240" w:line="240" w:lineRule="auto"/>
        <w:rPr>
          <w:rFonts w:ascii="Lato Light" w:hAnsi="Lato Light"/>
          <w:sz w:val="22"/>
          <w:szCs w:val="22"/>
        </w:rPr>
      </w:pPr>
    </w:p>
    <w:p w14:paraId="27CBDDDC" w14:textId="3E521FE7" w:rsidR="000F2F0C" w:rsidRPr="009D7BD5" w:rsidRDefault="00F33767" w:rsidP="00C83FBA">
      <w:pPr>
        <w:pStyle w:val="HeadingLevel2"/>
        <w:spacing w:before="120" w:after="240" w:line="240" w:lineRule="auto"/>
        <w:rPr>
          <w:rFonts w:ascii="Lato Light" w:hAnsi="Lato Light"/>
          <w:sz w:val="22"/>
          <w:szCs w:val="22"/>
        </w:rPr>
      </w:pPr>
      <w:r w:rsidRPr="009D7BD5">
        <w:rPr>
          <w:rFonts w:ascii="Lato Light" w:hAnsi="Lato Light"/>
          <w:sz w:val="22"/>
          <w:szCs w:val="22"/>
        </w:rPr>
        <w:t>CONTENTS</w:t>
      </w:r>
    </w:p>
    <w:p w14:paraId="530B0362" w14:textId="77777777" w:rsidR="000F2F0C" w:rsidRPr="009D7BD5" w:rsidRDefault="00F33767" w:rsidP="00C83FBA">
      <w:pPr>
        <w:pStyle w:val="HeadingLevel2"/>
        <w:spacing w:before="120" w:after="240" w:line="240" w:lineRule="auto"/>
        <w:rPr>
          <w:rFonts w:ascii="Lato Light" w:hAnsi="Lato Light"/>
          <w:sz w:val="22"/>
          <w:szCs w:val="22"/>
        </w:rPr>
      </w:pPr>
      <w:r w:rsidRPr="009D7BD5">
        <w:rPr>
          <w:rFonts w:ascii="Lato Light" w:hAnsi="Lato Light"/>
          <w:sz w:val="22"/>
          <w:szCs w:val="22"/>
        </w:rPr>
        <w:t>____________________________________________________________</w:t>
      </w:r>
    </w:p>
    <w:p w14:paraId="688DA4DC" w14:textId="77777777" w:rsidR="000F2F0C" w:rsidRPr="009D7BD5" w:rsidRDefault="00F33767" w:rsidP="00C83FBA">
      <w:pPr>
        <w:pStyle w:val="HeadingLevel2"/>
        <w:spacing w:before="120" w:after="240" w:line="240" w:lineRule="auto"/>
        <w:rPr>
          <w:rFonts w:ascii="Lato Light" w:hAnsi="Lato Light"/>
          <w:sz w:val="22"/>
          <w:szCs w:val="22"/>
        </w:rPr>
      </w:pPr>
      <w:r w:rsidRPr="009D7BD5">
        <w:rPr>
          <w:rFonts w:ascii="Lato Light" w:hAnsi="Lato Light"/>
          <w:sz w:val="22"/>
          <w:szCs w:val="22"/>
        </w:rPr>
        <w:t>CLAUSE</w:t>
      </w:r>
    </w:p>
    <w:p w14:paraId="150BF521" w14:textId="5C07C709" w:rsidR="00B44B03" w:rsidRDefault="00F33767">
      <w:pPr>
        <w:pStyle w:val="TOC1"/>
        <w:tabs>
          <w:tab w:val="left" w:pos="440"/>
          <w:tab w:val="right" w:leader="dot" w:pos="9350"/>
        </w:tabs>
        <w:rPr>
          <w:rFonts w:eastAsiaTheme="minorEastAsia"/>
          <w:noProof/>
          <w:lang w:eastAsia="en-GB"/>
        </w:rPr>
      </w:pPr>
      <w:r w:rsidRPr="009D7BD5">
        <w:rPr>
          <w:rFonts w:ascii="Lato Light" w:eastAsia="Arial" w:hAnsi="Lato Light"/>
          <w:lang w:eastAsia="en-GB"/>
        </w:rPr>
        <w:fldChar w:fldCharType="begin"/>
      </w:r>
      <w:r w:rsidRPr="009D7BD5">
        <w:rPr>
          <w:rFonts w:ascii="Lato Light" w:hAnsi="Lato Light"/>
        </w:rPr>
        <w:instrText>TOC \t "Title Clause, 1" \h</w:instrText>
      </w:r>
      <w:r w:rsidRPr="009D7BD5">
        <w:rPr>
          <w:rFonts w:ascii="Lato Light" w:eastAsia="Arial" w:hAnsi="Lato Light"/>
          <w:lang w:eastAsia="en-GB"/>
        </w:rPr>
        <w:fldChar w:fldCharType="separate"/>
      </w:r>
      <w:hyperlink w:anchor="_Toc111036750" w:history="1">
        <w:r w:rsidR="00B44B03" w:rsidRPr="004D439C">
          <w:rPr>
            <w:rStyle w:val="Hyperlink"/>
            <w:rFonts w:ascii="Lato Light" w:hAnsi="Lato Light"/>
            <w:caps/>
            <w:noProof/>
          </w:rPr>
          <w:t>1.</w:t>
        </w:r>
        <w:r w:rsidR="00B44B03">
          <w:rPr>
            <w:rFonts w:eastAsiaTheme="minorEastAsia"/>
            <w:noProof/>
            <w:lang w:eastAsia="en-GB"/>
          </w:rPr>
          <w:tab/>
        </w:r>
        <w:r w:rsidR="00B44B03" w:rsidRPr="004D439C">
          <w:rPr>
            <w:rStyle w:val="Hyperlink"/>
            <w:rFonts w:ascii="Lato Light" w:hAnsi="Lato Light"/>
            <w:caps/>
            <w:noProof/>
          </w:rPr>
          <w:t>Contents of the ITN</w:t>
        </w:r>
        <w:r w:rsidR="00B44B03">
          <w:rPr>
            <w:noProof/>
          </w:rPr>
          <w:tab/>
        </w:r>
        <w:r w:rsidR="00B44B03">
          <w:rPr>
            <w:noProof/>
          </w:rPr>
          <w:fldChar w:fldCharType="begin"/>
        </w:r>
        <w:r w:rsidR="00B44B03">
          <w:rPr>
            <w:noProof/>
          </w:rPr>
          <w:instrText xml:space="preserve"> PAGEREF _Toc111036750 \h </w:instrText>
        </w:r>
        <w:r w:rsidR="00B44B03">
          <w:rPr>
            <w:noProof/>
          </w:rPr>
        </w:r>
        <w:r w:rsidR="00B44B03">
          <w:rPr>
            <w:noProof/>
          </w:rPr>
          <w:fldChar w:fldCharType="separate"/>
        </w:r>
        <w:r w:rsidR="00B44B03">
          <w:rPr>
            <w:noProof/>
          </w:rPr>
          <w:t>2</w:t>
        </w:r>
        <w:r w:rsidR="00B44B03">
          <w:rPr>
            <w:noProof/>
          </w:rPr>
          <w:fldChar w:fldCharType="end"/>
        </w:r>
      </w:hyperlink>
    </w:p>
    <w:p w14:paraId="06C7AB43" w14:textId="78625C6A" w:rsidR="00B44B03" w:rsidRDefault="00DD4BB4">
      <w:pPr>
        <w:pStyle w:val="TOC1"/>
        <w:tabs>
          <w:tab w:val="left" w:pos="440"/>
          <w:tab w:val="right" w:leader="dot" w:pos="9350"/>
        </w:tabs>
        <w:rPr>
          <w:rFonts w:eastAsiaTheme="minorEastAsia"/>
          <w:noProof/>
          <w:lang w:eastAsia="en-GB"/>
        </w:rPr>
      </w:pPr>
      <w:hyperlink w:anchor="_Toc111036751" w:history="1">
        <w:r w:rsidR="00B44B03" w:rsidRPr="004D439C">
          <w:rPr>
            <w:rStyle w:val="Hyperlink"/>
            <w:rFonts w:ascii="Lato Light" w:hAnsi="Lato Light"/>
            <w:caps/>
            <w:noProof/>
          </w:rPr>
          <w:t>2.</w:t>
        </w:r>
        <w:r w:rsidR="00B44B03">
          <w:rPr>
            <w:rFonts w:eastAsiaTheme="minorEastAsia"/>
            <w:noProof/>
            <w:lang w:eastAsia="en-GB"/>
          </w:rPr>
          <w:tab/>
        </w:r>
        <w:r w:rsidR="00B44B03" w:rsidRPr="004D439C">
          <w:rPr>
            <w:rStyle w:val="Hyperlink"/>
            <w:rFonts w:ascii="Lato Light" w:hAnsi="Lato Light"/>
            <w:caps/>
            <w:noProof/>
          </w:rPr>
          <w:t>Introduction and background</w:t>
        </w:r>
        <w:r w:rsidR="00B44B03">
          <w:rPr>
            <w:noProof/>
          </w:rPr>
          <w:tab/>
        </w:r>
        <w:r w:rsidR="00B44B03">
          <w:rPr>
            <w:noProof/>
          </w:rPr>
          <w:fldChar w:fldCharType="begin"/>
        </w:r>
        <w:r w:rsidR="00B44B03">
          <w:rPr>
            <w:noProof/>
          </w:rPr>
          <w:instrText xml:space="preserve"> PAGEREF _Toc111036751 \h </w:instrText>
        </w:r>
        <w:r w:rsidR="00B44B03">
          <w:rPr>
            <w:noProof/>
          </w:rPr>
        </w:r>
        <w:r w:rsidR="00B44B03">
          <w:rPr>
            <w:noProof/>
          </w:rPr>
          <w:fldChar w:fldCharType="separate"/>
        </w:r>
        <w:r w:rsidR="00B44B03">
          <w:rPr>
            <w:noProof/>
          </w:rPr>
          <w:t>2</w:t>
        </w:r>
        <w:r w:rsidR="00B44B03">
          <w:rPr>
            <w:noProof/>
          </w:rPr>
          <w:fldChar w:fldCharType="end"/>
        </w:r>
      </w:hyperlink>
    </w:p>
    <w:p w14:paraId="3501ECA0" w14:textId="0CADD775" w:rsidR="00B44B03" w:rsidRDefault="00DD4BB4">
      <w:pPr>
        <w:pStyle w:val="TOC1"/>
        <w:tabs>
          <w:tab w:val="left" w:pos="440"/>
          <w:tab w:val="right" w:leader="dot" w:pos="9350"/>
        </w:tabs>
        <w:rPr>
          <w:rFonts w:eastAsiaTheme="minorEastAsia"/>
          <w:noProof/>
          <w:lang w:eastAsia="en-GB"/>
        </w:rPr>
      </w:pPr>
      <w:hyperlink w:anchor="_Toc111036752" w:history="1">
        <w:r w:rsidR="00B44B03" w:rsidRPr="004D439C">
          <w:rPr>
            <w:rStyle w:val="Hyperlink"/>
            <w:rFonts w:ascii="Lato Light" w:hAnsi="Lato Light"/>
            <w:caps/>
            <w:noProof/>
          </w:rPr>
          <w:t>3.</w:t>
        </w:r>
        <w:r w:rsidR="00B44B03">
          <w:rPr>
            <w:rFonts w:eastAsiaTheme="minorEastAsia"/>
            <w:noProof/>
            <w:lang w:eastAsia="en-GB"/>
          </w:rPr>
          <w:tab/>
        </w:r>
        <w:r w:rsidR="00B44B03" w:rsidRPr="004D439C">
          <w:rPr>
            <w:rStyle w:val="Hyperlink"/>
            <w:rFonts w:ascii="Lato Light" w:hAnsi="Lato Light"/>
            <w:caps/>
            <w:noProof/>
          </w:rPr>
          <w:t>Tender Timetable</w:t>
        </w:r>
        <w:r w:rsidR="00B44B03">
          <w:rPr>
            <w:noProof/>
          </w:rPr>
          <w:tab/>
        </w:r>
        <w:r w:rsidR="00B44B03">
          <w:rPr>
            <w:noProof/>
          </w:rPr>
          <w:fldChar w:fldCharType="begin"/>
        </w:r>
        <w:r w:rsidR="00B44B03">
          <w:rPr>
            <w:noProof/>
          </w:rPr>
          <w:instrText xml:space="preserve"> PAGEREF _Toc111036752 \h </w:instrText>
        </w:r>
        <w:r w:rsidR="00B44B03">
          <w:rPr>
            <w:noProof/>
          </w:rPr>
        </w:r>
        <w:r w:rsidR="00B44B03">
          <w:rPr>
            <w:noProof/>
          </w:rPr>
          <w:fldChar w:fldCharType="separate"/>
        </w:r>
        <w:r w:rsidR="00B44B03">
          <w:rPr>
            <w:noProof/>
          </w:rPr>
          <w:t>4</w:t>
        </w:r>
        <w:r w:rsidR="00B44B03">
          <w:rPr>
            <w:noProof/>
          </w:rPr>
          <w:fldChar w:fldCharType="end"/>
        </w:r>
      </w:hyperlink>
    </w:p>
    <w:p w14:paraId="25DF9450" w14:textId="245BFC9E" w:rsidR="00B44B03" w:rsidRDefault="00DD4BB4">
      <w:pPr>
        <w:pStyle w:val="TOC1"/>
        <w:tabs>
          <w:tab w:val="left" w:pos="440"/>
          <w:tab w:val="right" w:leader="dot" w:pos="9350"/>
        </w:tabs>
        <w:rPr>
          <w:rFonts w:eastAsiaTheme="minorEastAsia"/>
          <w:noProof/>
          <w:lang w:eastAsia="en-GB"/>
        </w:rPr>
      </w:pPr>
      <w:hyperlink w:anchor="_Toc111036753" w:history="1">
        <w:r w:rsidR="00B44B03" w:rsidRPr="004D439C">
          <w:rPr>
            <w:rStyle w:val="Hyperlink"/>
            <w:rFonts w:ascii="Lato Light" w:hAnsi="Lato Light"/>
            <w:caps/>
            <w:noProof/>
          </w:rPr>
          <w:t>4.</w:t>
        </w:r>
        <w:r w:rsidR="00B44B03">
          <w:rPr>
            <w:rFonts w:eastAsiaTheme="minorEastAsia"/>
            <w:noProof/>
            <w:lang w:eastAsia="en-GB"/>
          </w:rPr>
          <w:tab/>
        </w:r>
        <w:r w:rsidR="00B44B03" w:rsidRPr="004D439C">
          <w:rPr>
            <w:rStyle w:val="Hyperlink"/>
            <w:rFonts w:ascii="Lato Light" w:hAnsi="Lato Light"/>
            <w:caps/>
            <w:noProof/>
          </w:rPr>
          <w:t>Tender completion information</w:t>
        </w:r>
        <w:r w:rsidR="00B44B03">
          <w:rPr>
            <w:noProof/>
          </w:rPr>
          <w:tab/>
        </w:r>
        <w:r w:rsidR="00B44B03">
          <w:rPr>
            <w:noProof/>
          </w:rPr>
          <w:fldChar w:fldCharType="begin"/>
        </w:r>
        <w:r w:rsidR="00B44B03">
          <w:rPr>
            <w:noProof/>
          </w:rPr>
          <w:instrText xml:space="preserve"> PAGEREF _Toc111036753 \h </w:instrText>
        </w:r>
        <w:r w:rsidR="00B44B03">
          <w:rPr>
            <w:noProof/>
          </w:rPr>
        </w:r>
        <w:r w:rsidR="00B44B03">
          <w:rPr>
            <w:noProof/>
          </w:rPr>
          <w:fldChar w:fldCharType="separate"/>
        </w:r>
        <w:r w:rsidR="00B44B03">
          <w:rPr>
            <w:noProof/>
          </w:rPr>
          <w:t>6</w:t>
        </w:r>
        <w:r w:rsidR="00B44B03">
          <w:rPr>
            <w:noProof/>
          </w:rPr>
          <w:fldChar w:fldCharType="end"/>
        </w:r>
      </w:hyperlink>
    </w:p>
    <w:p w14:paraId="0D4980E8" w14:textId="5BE84C1D" w:rsidR="00B44B03" w:rsidRDefault="00DD4BB4">
      <w:pPr>
        <w:pStyle w:val="TOC1"/>
        <w:tabs>
          <w:tab w:val="left" w:pos="440"/>
          <w:tab w:val="right" w:leader="dot" w:pos="9350"/>
        </w:tabs>
        <w:rPr>
          <w:rFonts w:eastAsiaTheme="minorEastAsia"/>
          <w:noProof/>
          <w:lang w:eastAsia="en-GB"/>
        </w:rPr>
      </w:pPr>
      <w:hyperlink w:anchor="_Toc111036754" w:history="1">
        <w:r w:rsidR="00B44B03" w:rsidRPr="004D439C">
          <w:rPr>
            <w:rStyle w:val="Hyperlink"/>
            <w:rFonts w:ascii="Lato Light" w:hAnsi="Lato Light"/>
            <w:caps/>
            <w:noProof/>
          </w:rPr>
          <w:t>5.</w:t>
        </w:r>
        <w:r w:rsidR="00B44B03">
          <w:rPr>
            <w:rFonts w:eastAsiaTheme="minorEastAsia"/>
            <w:noProof/>
            <w:lang w:eastAsia="en-GB"/>
          </w:rPr>
          <w:tab/>
        </w:r>
        <w:r w:rsidR="00B44B03" w:rsidRPr="004D439C">
          <w:rPr>
            <w:rStyle w:val="Hyperlink"/>
            <w:rFonts w:ascii="Lato Light" w:hAnsi="Lato Light"/>
            <w:caps/>
            <w:noProof/>
          </w:rPr>
          <w:t>Tender evaluation model</w:t>
        </w:r>
        <w:r w:rsidR="00B44B03">
          <w:rPr>
            <w:noProof/>
          </w:rPr>
          <w:tab/>
        </w:r>
        <w:r w:rsidR="00B44B03">
          <w:rPr>
            <w:noProof/>
          </w:rPr>
          <w:fldChar w:fldCharType="begin"/>
        </w:r>
        <w:r w:rsidR="00B44B03">
          <w:rPr>
            <w:noProof/>
          </w:rPr>
          <w:instrText xml:space="preserve"> PAGEREF _Toc111036754 \h </w:instrText>
        </w:r>
        <w:r w:rsidR="00B44B03">
          <w:rPr>
            <w:noProof/>
          </w:rPr>
        </w:r>
        <w:r w:rsidR="00B44B03">
          <w:rPr>
            <w:noProof/>
          </w:rPr>
          <w:fldChar w:fldCharType="separate"/>
        </w:r>
        <w:r w:rsidR="00B44B03">
          <w:rPr>
            <w:noProof/>
          </w:rPr>
          <w:t>11</w:t>
        </w:r>
        <w:r w:rsidR="00B44B03">
          <w:rPr>
            <w:noProof/>
          </w:rPr>
          <w:fldChar w:fldCharType="end"/>
        </w:r>
      </w:hyperlink>
    </w:p>
    <w:p w14:paraId="57E2EE77" w14:textId="32B2B4F5" w:rsidR="00B44B03" w:rsidRDefault="00DD4BB4">
      <w:pPr>
        <w:pStyle w:val="TOC1"/>
        <w:tabs>
          <w:tab w:val="left" w:pos="440"/>
          <w:tab w:val="right" w:leader="dot" w:pos="9350"/>
        </w:tabs>
        <w:rPr>
          <w:rFonts w:eastAsiaTheme="minorEastAsia"/>
          <w:noProof/>
          <w:lang w:eastAsia="en-GB"/>
        </w:rPr>
      </w:pPr>
      <w:hyperlink w:anchor="_Toc111036755" w:history="1">
        <w:r w:rsidR="00B44B03" w:rsidRPr="004D439C">
          <w:rPr>
            <w:rStyle w:val="Hyperlink"/>
            <w:rFonts w:ascii="Lato Light" w:hAnsi="Lato Light"/>
            <w:caps/>
            <w:noProof/>
          </w:rPr>
          <w:t>6.</w:t>
        </w:r>
        <w:r w:rsidR="00B44B03">
          <w:rPr>
            <w:rFonts w:eastAsiaTheme="minorEastAsia"/>
            <w:noProof/>
            <w:lang w:eastAsia="en-GB"/>
          </w:rPr>
          <w:tab/>
        </w:r>
        <w:r w:rsidR="00B44B03" w:rsidRPr="004D439C">
          <w:rPr>
            <w:rStyle w:val="Hyperlink"/>
            <w:rFonts w:ascii="Lato Light" w:hAnsi="Lato Light"/>
            <w:caps/>
            <w:noProof/>
          </w:rPr>
          <w:t>Negotiation</w:t>
        </w:r>
        <w:r w:rsidR="00B44B03">
          <w:rPr>
            <w:noProof/>
          </w:rPr>
          <w:tab/>
        </w:r>
        <w:r w:rsidR="00B44B03">
          <w:rPr>
            <w:noProof/>
          </w:rPr>
          <w:fldChar w:fldCharType="begin"/>
        </w:r>
        <w:r w:rsidR="00B44B03">
          <w:rPr>
            <w:noProof/>
          </w:rPr>
          <w:instrText xml:space="preserve"> PAGEREF _Toc111036755 \h </w:instrText>
        </w:r>
        <w:r w:rsidR="00B44B03">
          <w:rPr>
            <w:noProof/>
          </w:rPr>
        </w:r>
        <w:r w:rsidR="00B44B03">
          <w:rPr>
            <w:noProof/>
          </w:rPr>
          <w:fldChar w:fldCharType="separate"/>
        </w:r>
        <w:r w:rsidR="00B44B03">
          <w:rPr>
            <w:noProof/>
          </w:rPr>
          <w:t>12</w:t>
        </w:r>
        <w:r w:rsidR="00B44B03">
          <w:rPr>
            <w:noProof/>
          </w:rPr>
          <w:fldChar w:fldCharType="end"/>
        </w:r>
      </w:hyperlink>
    </w:p>
    <w:p w14:paraId="402E1024" w14:textId="37E32F30" w:rsidR="000F2F0C" w:rsidRPr="009D7BD5" w:rsidRDefault="00F33767" w:rsidP="00C83FBA">
      <w:pPr>
        <w:pStyle w:val="HeadingLevel2"/>
        <w:spacing w:before="120" w:after="240" w:line="240" w:lineRule="auto"/>
        <w:rPr>
          <w:rFonts w:ascii="Lato Light" w:hAnsi="Lato Light"/>
          <w:sz w:val="22"/>
          <w:szCs w:val="22"/>
        </w:rPr>
      </w:pPr>
      <w:r w:rsidRPr="009D7BD5">
        <w:rPr>
          <w:rFonts w:ascii="Lato Light" w:hAnsi="Lato Light"/>
          <w:sz w:val="22"/>
          <w:szCs w:val="22"/>
        </w:rPr>
        <w:fldChar w:fldCharType="end"/>
      </w:r>
    </w:p>
    <w:p w14:paraId="422DF990" w14:textId="77777777" w:rsidR="000F2F0C" w:rsidRPr="00BD0A14" w:rsidRDefault="00F33767" w:rsidP="00C83FBA">
      <w:pPr>
        <w:pStyle w:val="HeadingLevel2"/>
        <w:spacing w:before="120" w:after="240" w:line="240" w:lineRule="auto"/>
        <w:rPr>
          <w:rFonts w:ascii="Lato Light" w:hAnsi="Lato Light"/>
          <w:sz w:val="22"/>
          <w:szCs w:val="22"/>
        </w:rPr>
      </w:pPr>
      <w:r w:rsidRPr="00BD0A14">
        <w:rPr>
          <w:rFonts w:ascii="Lato Light" w:hAnsi="Lato Light"/>
          <w:sz w:val="22"/>
          <w:szCs w:val="22"/>
        </w:rPr>
        <w:t>SCHEDULE</w:t>
      </w:r>
    </w:p>
    <w:p w14:paraId="24587460" w14:textId="044E38DC" w:rsidR="00B44B03" w:rsidRPr="00E0640E" w:rsidRDefault="00F33767">
      <w:pPr>
        <w:pStyle w:val="TOC1"/>
        <w:tabs>
          <w:tab w:val="right" w:leader="dot" w:pos="9350"/>
        </w:tabs>
        <w:rPr>
          <w:rFonts w:ascii="Lato Light" w:eastAsiaTheme="minorEastAsia" w:hAnsi="Lato Light"/>
          <w:noProof/>
          <w:lang w:eastAsia="en-GB"/>
        </w:rPr>
      </w:pPr>
      <w:r w:rsidRPr="00E0640E">
        <w:rPr>
          <w:rFonts w:ascii="Lato Light" w:eastAsia="Arial" w:hAnsi="Lato Light" w:cstheme="minorHAnsi"/>
          <w:lang w:eastAsia="en-GB"/>
        </w:rPr>
        <w:fldChar w:fldCharType="begin"/>
      </w:r>
      <w:r w:rsidRPr="00E0640E">
        <w:rPr>
          <w:rFonts w:ascii="Lato Light" w:hAnsi="Lato Light" w:cstheme="minorHAnsi"/>
        </w:rPr>
        <w:instrText>TOC \t "Schedule Title Clause, 1, Schedule, 1, Part, 1, Part Title, 1" \h</w:instrText>
      </w:r>
      <w:r w:rsidRPr="00E0640E">
        <w:rPr>
          <w:rFonts w:ascii="Lato Light" w:eastAsia="Arial" w:hAnsi="Lato Light" w:cstheme="minorHAnsi"/>
          <w:lang w:eastAsia="en-GB"/>
        </w:rPr>
        <w:fldChar w:fldCharType="separate"/>
      </w:r>
      <w:hyperlink w:anchor="_Toc111036756" w:history="1">
        <w:r w:rsidR="00B44B03" w:rsidRPr="00E0640E">
          <w:rPr>
            <w:rStyle w:val="Hyperlink"/>
            <w:rFonts w:ascii="Lato Light" w:hAnsi="Lato Light"/>
            <w:noProof/>
          </w:rPr>
          <w:t>Annex 1 – Specification</w:t>
        </w:r>
        <w:r w:rsidR="00B44B03" w:rsidRPr="00E0640E">
          <w:rPr>
            <w:rFonts w:ascii="Lato Light" w:hAnsi="Lato Light"/>
            <w:noProof/>
          </w:rPr>
          <w:tab/>
        </w:r>
        <w:r w:rsidR="00B44B03" w:rsidRPr="00E0640E">
          <w:rPr>
            <w:rFonts w:ascii="Lato Light" w:hAnsi="Lato Light"/>
            <w:noProof/>
          </w:rPr>
          <w:fldChar w:fldCharType="begin"/>
        </w:r>
        <w:r w:rsidR="00B44B03" w:rsidRPr="00E0640E">
          <w:rPr>
            <w:rFonts w:ascii="Lato Light" w:hAnsi="Lato Light"/>
            <w:noProof/>
          </w:rPr>
          <w:instrText xml:space="preserve"> PAGEREF _Toc111036756 \h </w:instrText>
        </w:r>
        <w:r w:rsidR="00B44B03" w:rsidRPr="00E0640E">
          <w:rPr>
            <w:rFonts w:ascii="Lato Light" w:hAnsi="Lato Light"/>
            <w:noProof/>
          </w:rPr>
        </w:r>
        <w:r w:rsidR="00B44B03" w:rsidRPr="00E0640E">
          <w:rPr>
            <w:rFonts w:ascii="Lato Light" w:hAnsi="Lato Light"/>
            <w:noProof/>
          </w:rPr>
          <w:fldChar w:fldCharType="separate"/>
        </w:r>
        <w:r w:rsidR="00B44B03" w:rsidRPr="00E0640E">
          <w:rPr>
            <w:rFonts w:ascii="Lato Light" w:hAnsi="Lato Light"/>
            <w:noProof/>
          </w:rPr>
          <w:t>14</w:t>
        </w:r>
        <w:r w:rsidR="00B44B03" w:rsidRPr="00E0640E">
          <w:rPr>
            <w:rFonts w:ascii="Lato Light" w:hAnsi="Lato Light"/>
            <w:noProof/>
          </w:rPr>
          <w:fldChar w:fldCharType="end"/>
        </w:r>
      </w:hyperlink>
    </w:p>
    <w:p w14:paraId="707541B2" w14:textId="3AF5BC85" w:rsidR="00B44B03" w:rsidRPr="00E0640E" w:rsidRDefault="00DD4BB4">
      <w:pPr>
        <w:pStyle w:val="TOC1"/>
        <w:tabs>
          <w:tab w:val="right" w:leader="dot" w:pos="9350"/>
        </w:tabs>
        <w:rPr>
          <w:rFonts w:ascii="Lato Light" w:eastAsiaTheme="minorEastAsia" w:hAnsi="Lato Light"/>
          <w:noProof/>
          <w:lang w:eastAsia="en-GB"/>
        </w:rPr>
      </w:pPr>
      <w:hyperlink w:anchor="_Toc111036757" w:history="1">
        <w:r w:rsidR="00B44B03" w:rsidRPr="00E0640E">
          <w:rPr>
            <w:rStyle w:val="Hyperlink"/>
            <w:rFonts w:ascii="Lato Light" w:hAnsi="Lato Light"/>
            <w:noProof/>
            <w:lang w:eastAsia="en-GB"/>
          </w:rPr>
          <w:t>Annex 2 – Executive Summary &amp; Technical/Quality Questionnaire</w:t>
        </w:r>
        <w:r w:rsidR="00B44B03" w:rsidRPr="00E0640E">
          <w:rPr>
            <w:rFonts w:ascii="Lato Light" w:hAnsi="Lato Light"/>
            <w:noProof/>
          </w:rPr>
          <w:tab/>
        </w:r>
        <w:r w:rsidR="00B44B03" w:rsidRPr="00E0640E">
          <w:rPr>
            <w:rFonts w:ascii="Lato Light" w:hAnsi="Lato Light"/>
            <w:noProof/>
          </w:rPr>
          <w:fldChar w:fldCharType="begin"/>
        </w:r>
        <w:r w:rsidR="00B44B03" w:rsidRPr="00E0640E">
          <w:rPr>
            <w:rFonts w:ascii="Lato Light" w:hAnsi="Lato Light"/>
            <w:noProof/>
          </w:rPr>
          <w:instrText xml:space="preserve"> PAGEREF _Toc111036757 \h </w:instrText>
        </w:r>
        <w:r w:rsidR="00B44B03" w:rsidRPr="00E0640E">
          <w:rPr>
            <w:rFonts w:ascii="Lato Light" w:hAnsi="Lato Light"/>
            <w:noProof/>
          </w:rPr>
        </w:r>
        <w:r w:rsidR="00B44B03" w:rsidRPr="00E0640E">
          <w:rPr>
            <w:rFonts w:ascii="Lato Light" w:hAnsi="Lato Light"/>
            <w:noProof/>
          </w:rPr>
          <w:fldChar w:fldCharType="separate"/>
        </w:r>
        <w:r w:rsidR="00B44B03" w:rsidRPr="00E0640E">
          <w:rPr>
            <w:rFonts w:ascii="Lato Light" w:hAnsi="Lato Light"/>
            <w:noProof/>
          </w:rPr>
          <w:t>18</w:t>
        </w:r>
        <w:r w:rsidR="00B44B03" w:rsidRPr="00E0640E">
          <w:rPr>
            <w:rFonts w:ascii="Lato Light" w:hAnsi="Lato Light"/>
            <w:noProof/>
          </w:rPr>
          <w:fldChar w:fldCharType="end"/>
        </w:r>
      </w:hyperlink>
    </w:p>
    <w:p w14:paraId="5D662AB2" w14:textId="43FA27FA" w:rsidR="00B44B03" w:rsidRPr="00E0640E" w:rsidRDefault="00DD4BB4">
      <w:pPr>
        <w:pStyle w:val="TOC1"/>
        <w:tabs>
          <w:tab w:val="right" w:leader="dot" w:pos="9350"/>
        </w:tabs>
        <w:rPr>
          <w:rFonts w:ascii="Lato Light" w:eastAsiaTheme="minorEastAsia" w:hAnsi="Lato Light"/>
          <w:noProof/>
          <w:lang w:eastAsia="en-GB"/>
        </w:rPr>
      </w:pPr>
      <w:hyperlink w:anchor="_Toc111036758" w:history="1">
        <w:r w:rsidR="00B44B03" w:rsidRPr="00E0640E">
          <w:rPr>
            <w:rStyle w:val="Hyperlink"/>
            <w:rFonts w:ascii="Lato Light" w:hAnsi="Lato Light"/>
            <w:noProof/>
            <w:lang w:eastAsia="en-GB"/>
          </w:rPr>
          <w:t>Annex 3 – Commercial Model</w:t>
        </w:r>
        <w:r w:rsidR="00B44B03" w:rsidRPr="00E0640E">
          <w:rPr>
            <w:rFonts w:ascii="Lato Light" w:hAnsi="Lato Light"/>
            <w:noProof/>
          </w:rPr>
          <w:tab/>
        </w:r>
        <w:r w:rsidR="00B44B03" w:rsidRPr="00E0640E">
          <w:rPr>
            <w:rFonts w:ascii="Lato Light" w:hAnsi="Lato Light"/>
            <w:noProof/>
          </w:rPr>
          <w:fldChar w:fldCharType="begin"/>
        </w:r>
        <w:r w:rsidR="00B44B03" w:rsidRPr="00E0640E">
          <w:rPr>
            <w:rFonts w:ascii="Lato Light" w:hAnsi="Lato Light"/>
            <w:noProof/>
          </w:rPr>
          <w:instrText xml:space="preserve"> PAGEREF _Toc111036758 \h </w:instrText>
        </w:r>
        <w:r w:rsidR="00B44B03" w:rsidRPr="00E0640E">
          <w:rPr>
            <w:rFonts w:ascii="Lato Light" w:hAnsi="Lato Light"/>
            <w:noProof/>
          </w:rPr>
        </w:r>
        <w:r w:rsidR="00B44B03" w:rsidRPr="00E0640E">
          <w:rPr>
            <w:rFonts w:ascii="Lato Light" w:hAnsi="Lato Light"/>
            <w:noProof/>
          </w:rPr>
          <w:fldChar w:fldCharType="separate"/>
        </w:r>
        <w:r w:rsidR="00B44B03" w:rsidRPr="00E0640E">
          <w:rPr>
            <w:rFonts w:ascii="Lato Light" w:hAnsi="Lato Light"/>
            <w:noProof/>
          </w:rPr>
          <w:t>18</w:t>
        </w:r>
        <w:r w:rsidR="00B44B03" w:rsidRPr="00E0640E">
          <w:rPr>
            <w:rFonts w:ascii="Lato Light" w:hAnsi="Lato Light"/>
            <w:noProof/>
          </w:rPr>
          <w:fldChar w:fldCharType="end"/>
        </w:r>
      </w:hyperlink>
    </w:p>
    <w:p w14:paraId="3380D132" w14:textId="0E934BBE" w:rsidR="00B44B03" w:rsidRPr="00E0640E" w:rsidRDefault="00DD4BB4">
      <w:pPr>
        <w:pStyle w:val="TOC1"/>
        <w:tabs>
          <w:tab w:val="right" w:leader="dot" w:pos="9350"/>
        </w:tabs>
        <w:rPr>
          <w:rFonts w:ascii="Lato Light" w:eastAsiaTheme="minorEastAsia" w:hAnsi="Lato Light"/>
          <w:noProof/>
          <w:lang w:eastAsia="en-GB"/>
        </w:rPr>
      </w:pPr>
      <w:hyperlink w:anchor="_Toc111036759" w:history="1">
        <w:r w:rsidR="00B44B03" w:rsidRPr="00E0640E">
          <w:rPr>
            <w:rStyle w:val="Hyperlink"/>
            <w:rFonts w:ascii="Lato Light" w:hAnsi="Lato Light"/>
            <w:noProof/>
            <w:lang w:eastAsia="en-GB"/>
          </w:rPr>
          <w:t>Annex 4 – Service Provider Terms and Conditions</w:t>
        </w:r>
        <w:r w:rsidR="00B44B03" w:rsidRPr="00E0640E">
          <w:rPr>
            <w:rFonts w:ascii="Lato Light" w:hAnsi="Lato Light"/>
            <w:noProof/>
          </w:rPr>
          <w:tab/>
        </w:r>
        <w:r w:rsidR="00B44B03" w:rsidRPr="00E0640E">
          <w:rPr>
            <w:rFonts w:ascii="Lato Light" w:hAnsi="Lato Light"/>
            <w:noProof/>
          </w:rPr>
          <w:fldChar w:fldCharType="begin"/>
        </w:r>
        <w:r w:rsidR="00B44B03" w:rsidRPr="00E0640E">
          <w:rPr>
            <w:rFonts w:ascii="Lato Light" w:hAnsi="Lato Light"/>
            <w:noProof/>
          </w:rPr>
          <w:instrText xml:space="preserve"> PAGEREF _Toc111036759 \h </w:instrText>
        </w:r>
        <w:r w:rsidR="00B44B03" w:rsidRPr="00E0640E">
          <w:rPr>
            <w:rFonts w:ascii="Lato Light" w:hAnsi="Lato Light"/>
            <w:noProof/>
          </w:rPr>
        </w:r>
        <w:r w:rsidR="00B44B03" w:rsidRPr="00E0640E">
          <w:rPr>
            <w:rFonts w:ascii="Lato Light" w:hAnsi="Lato Light"/>
            <w:noProof/>
          </w:rPr>
          <w:fldChar w:fldCharType="separate"/>
        </w:r>
        <w:r w:rsidR="00B44B03" w:rsidRPr="00E0640E">
          <w:rPr>
            <w:rFonts w:ascii="Lato Light" w:hAnsi="Lato Light"/>
            <w:noProof/>
          </w:rPr>
          <w:t>18</w:t>
        </w:r>
        <w:r w:rsidR="00B44B03" w:rsidRPr="00E0640E">
          <w:rPr>
            <w:rFonts w:ascii="Lato Light" w:hAnsi="Lato Light"/>
            <w:noProof/>
          </w:rPr>
          <w:fldChar w:fldCharType="end"/>
        </w:r>
      </w:hyperlink>
    </w:p>
    <w:p w14:paraId="62A8340D" w14:textId="6FE63F88" w:rsidR="000F2F0C" w:rsidRPr="00E0640E" w:rsidRDefault="00F33767" w:rsidP="00C83FBA">
      <w:pPr>
        <w:pStyle w:val="HeadingLevel2"/>
        <w:spacing w:before="120" w:after="240" w:line="240" w:lineRule="auto"/>
        <w:rPr>
          <w:rFonts w:ascii="Lato Light" w:hAnsi="Lato Light" w:cstheme="minorHAnsi"/>
          <w:sz w:val="22"/>
          <w:szCs w:val="22"/>
        </w:rPr>
      </w:pPr>
      <w:r w:rsidRPr="00E0640E">
        <w:rPr>
          <w:rFonts w:ascii="Lato Light" w:hAnsi="Lato Light" w:cstheme="minorHAnsi"/>
          <w:sz w:val="22"/>
          <w:szCs w:val="22"/>
        </w:rPr>
        <w:fldChar w:fldCharType="end"/>
      </w:r>
    </w:p>
    <w:p w14:paraId="69E1B02F" w14:textId="77777777" w:rsidR="000F2F0C" w:rsidRPr="00E0640E" w:rsidRDefault="000F2F0C" w:rsidP="00C83FBA">
      <w:pPr>
        <w:pStyle w:val="HeadingLevel2"/>
        <w:spacing w:before="120" w:after="240" w:line="240" w:lineRule="auto"/>
        <w:rPr>
          <w:rFonts w:ascii="Lato Light" w:hAnsi="Lato Light" w:cstheme="minorHAnsi"/>
          <w:sz w:val="22"/>
          <w:szCs w:val="22"/>
        </w:rPr>
        <w:sectPr w:rsidR="000F2F0C" w:rsidRPr="00E0640E">
          <w:footerReference w:type="default" r:id="rId15"/>
          <w:pgSz w:w="12240" w:h="15840"/>
          <w:pgMar w:top="1440" w:right="1440" w:bottom="1440" w:left="1440" w:header="720" w:footer="720" w:gutter="0"/>
          <w:pgNumType w:start="1"/>
          <w:cols w:space="720"/>
        </w:sectPr>
      </w:pPr>
    </w:p>
    <w:p w14:paraId="1230F6A2" w14:textId="77777777" w:rsidR="000F2F0C" w:rsidRPr="009D7BD5" w:rsidRDefault="000F2F0C" w:rsidP="00C83FBA">
      <w:pPr>
        <w:pStyle w:val="HeadingLevel2"/>
        <w:spacing w:before="120" w:after="240" w:line="240" w:lineRule="auto"/>
        <w:rPr>
          <w:rFonts w:ascii="Lato Light" w:hAnsi="Lato Light"/>
          <w:sz w:val="22"/>
          <w:szCs w:val="22"/>
        </w:rPr>
      </w:pPr>
    </w:p>
    <w:p w14:paraId="7B726C7B" w14:textId="77777777" w:rsidR="000F2F0C" w:rsidRPr="009D7BD5" w:rsidRDefault="000F2F0C" w:rsidP="00C83FBA">
      <w:pPr>
        <w:pStyle w:val="DescriptiveHeading"/>
        <w:spacing w:before="120" w:after="240"/>
        <w:rPr>
          <w:rFonts w:ascii="Lato Light" w:hAnsi="Lato Light"/>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0"/>
      </w:tblGrid>
      <w:tr w:rsidR="000F2F0C" w:rsidRPr="009D7BD5" w14:paraId="187B2F7E" w14:textId="77777777" w:rsidTr="000F2F0C">
        <w:trPr>
          <w:jc w:val="center"/>
        </w:trPr>
        <w:tc>
          <w:tcPr>
            <w:tcW w:w="5000" w:type="pct"/>
            <w:tcBorders>
              <w:top w:val="single" w:sz="8" w:space="0" w:color="000000"/>
              <w:left w:val="single" w:sz="8" w:space="0" w:color="000000"/>
              <w:bottom w:val="single" w:sz="8" w:space="0" w:color="000000"/>
              <w:right w:val="single" w:sz="8" w:space="0" w:color="000000"/>
            </w:tcBorders>
          </w:tcPr>
          <w:p w14:paraId="6FB89D65" w14:textId="4D7D811B" w:rsidR="000F2F0C" w:rsidRPr="009D7BD5" w:rsidRDefault="00F33767" w:rsidP="00C83FBA">
            <w:pPr>
              <w:pStyle w:val="Paragraph"/>
              <w:spacing w:before="120" w:after="240" w:line="240" w:lineRule="auto"/>
              <w:jc w:val="center"/>
              <w:rPr>
                <w:rFonts w:ascii="Lato Light" w:hAnsi="Lato Light"/>
                <w:szCs w:val="22"/>
              </w:rPr>
            </w:pPr>
            <w:r w:rsidRPr="009D7BD5">
              <w:rPr>
                <w:rFonts w:ascii="Lato Light" w:hAnsi="Lato Light"/>
                <w:szCs w:val="22"/>
              </w:rPr>
              <w:t xml:space="preserve">NAME OF </w:t>
            </w:r>
            <w:r w:rsidR="009917CE" w:rsidRPr="009D7BD5">
              <w:rPr>
                <w:rFonts w:ascii="Lato Light" w:hAnsi="Lato Light"/>
                <w:szCs w:val="22"/>
              </w:rPr>
              <w:t>THE</w:t>
            </w:r>
            <w:r w:rsidR="00C5592D" w:rsidRPr="009D7BD5">
              <w:rPr>
                <w:rFonts w:ascii="Lato Light" w:hAnsi="Lato Light"/>
                <w:szCs w:val="22"/>
              </w:rPr>
              <w:t xml:space="preserve"> AUTHORITY</w:t>
            </w:r>
            <w:r w:rsidRPr="009D7BD5">
              <w:rPr>
                <w:rFonts w:ascii="Lato Light" w:hAnsi="Lato Light"/>
                <w:szCs w:val="22"/>
              </w:rPr>
              <w:t>:</w:t>
            </w:r>
            <w:r w:rsidR="006A4F66" w:rsidRPr="009D7BD5">
              <w:rPr>
                <w:rFonts w:ascii="Lato Light" w:hAnsi="Lato Light"/>
                <w:szCs w:val="22"/>
              </w:rPr>
              <w:t xml:space="preserve"> </w:t>
            </w:r>
            <w:r w:rsidR="006A4F66" w:rsidRPr="009D7BD5">
              <w:rPr>
                <w:rFonts w:ascii="Lato Light" w:hAnsi="Lato Light"/>
                <w:b/>
                <w:bCs/>
                <w:szCs w:val="22"/>
              </w:rPr>
              <w:t>LONDON LGPS CIV LIMITED</w:t>
            </w:r>
          </w:p>
        </w:tc>
      </w:tr>
      <w:tr w:rsidR="000F2F0C" w:rsidRPr="009D7BD5" w14:paraId="6403CF4C" w14:textId="77777777" w:rsidTr="000F2F0C">
        <w:trPr>
          <w:jc w:val="center"/>
        </w:trPr>
        <w:tc>
          <w:tcPr>
            <w:tcW w:w="5000" w:type="pct"/>
            <w:tcBorders>
              <w:top w:val="single" w:sz="8" w:space="0" w:color="000000"/>
              <w:left w:val="single" w:sz="8" w:space="0" w:color="000000"/>
              <w:bottom w:val="single" w:sz="8" w:space="0" w:color="000000"/>
              <w:right w:val="single" w:sz="8" w:space="0" w:color="000000"/>
            </w:tcBorders>
          </w:tcPr>
          <w:p w14:paraId="48D9BBBB" w14:textId="51346E8C" w:rsidR="000F2F0C" w:rsidRPr="009D7BD5" w:rsidRDefault="00F33767" w:rsidP="00C83FBA">
            <w:pPr>
              <w:pStyle w:val="Paragraph"/>
              <w:spacing w:before="120" w:after="240" w:line="240" w:lineRule="auto"/>
              <w:jc w:val="center"/>
              <w:rPr>
                <w:rFonts w:ascii="Lato Light" w:hAnsi="Lato Light"/>
                <w:szCs w:val="22"/>
              </w:rPr>
            </w:pPr>
            <w:r w:rsidRPr="009D7BD5">
              <w:rPr>
                <w:rFonts w:ascii="Lato Light" w:hAnsi="Lato Light"/>
                <w:szCs w:val="22"/>
              </w:rPr>
              <w:t xml:space="preserve">TENDER FOR: </w:t>
            </w:r>
            <w:r w:rsidR="00F837EE" w:rsidRPr="009D7BD5">
              <w:rPr>
                <w:rFonts w:ascii="Lato Light" w:hAnsi="Lato Light"/>
                <w:b/>
                <w:bCs/>
                <w:szCs w:val="22"/>
              </w:rPr>
              <w:t>COMPETITIVE PROCEDURE WITH NEGOTIATION</w:t>
            </w:r>
          </w:p>
        </w:tc>
      </w:tr>
      <w:tr w:rsidR="000F2F0C" w:rsidRPr="009D7BD5" w14:paraId="5420F992" w14:textId="77777777" w:rsidTr="000F2F0C">
        <w:trPr>
          <w:jc w:val="center"/>
        </w:trPr>
        <w:tc>
          <w:tcPr>
            <w:tcW w:w="5000" w:type="pct"/>
            <w:tcBorders>
              <w:top w:val="single" w:sz="8" w:space="0" w:color="000000"/>
              <w:left w:val="single" w:sz="8" w:space="0" w:color="000000"/>
              <w:bottom w:val="single" w:sz="8" w:space="0" w:color="000000"/>
              <w:right w:val="single" w:sz="8" w:space="0" w:color="000000"/>
            </w:tcBorders>
          </w:tcPr>
          <w:p w14:paraId="013472B3" w14:textId="33C6A5ED" w:rsidR="000F2F0C" w:rsidRPr="009D7BD5" w:rsidRDefault="00F33767" w:rsidP="00C83FBA">
            <w:pPr>
              <w:pStyle w:val="Paragraph"/>
              <w:spacing w:before="120" w:after="240" w:line="240" w:lineRule="auto"/>
              <w:jc w:val="center"/>
              <w:rPr>
                <w:rFonts w:ascii="Lato Light" w:hAnsi="Lato Light"/>
                <w:szCs w:val="22"/>
              </w:rPr>
            </w:pPr>
            <w:r w:rsidRPr="009D7BD5">
              <w:rPr>
                <w:rFonts w:ascii="Lato Light" w:hAnsi="Lato Light"/>
                <w:szCs w:val="22"/>
              </w:rPr>
              <w:t>CONTRACT NOTICE REFERENCE NUMBER</w:t>
            </w:r>
            <w:r w:rsidR="00F837EE" w:rsidRPr="009D7BD5">
              <w:rPr>
                <w:rFonts w:ascii="Lato Light" w:hAnsi="Lato Light"/>
                <w:szCs w:val="22"/>
              </w:rPr>
              <w:t xml:space="preserve">: </w:t>
            </w:r>
            <w:r w:rsidR="002410B4">
              <w:rPr>
                <w:rFonts w:ascii="Lato Light" w:hAnsi="Lato Light"/>
                <w:szCs w:val="22"/>
              </w:rPr>
              <w:t>001</w:t>
            </w:r>
            <w:r w:rsidR="00DD4BB4">
              <w:rPr>
                <w:rFonts w:ascii="Lato Light" w:hAnsi="Lato Light"/>
                <w:szCs w:val="22"/>
              </w:rPr>
              <w:t>/17082022</w:t>
            </w:r>
          </w:p>
        </w:tc>
      </w:tr>
      <w:tr w:rsidR="000F2F0C" w:rsidRPr="009D7BD5" w14:paraId="49C7B765" w14:textId="77777777" w:rsidTr="000F2F0C">
        <w:trPr>
          <w:jc w:val="center"/>
        </w:trPr>
        <w:tc>
          <w:tcPr>
            <w:tcW w:w="5000" w:type="pct"/>
            <w:tcBorders>
              <w:top w:val="single" w:sz="8" w:space="0" w:color="000000"/>
              <w:left w:val="single" w:sz="8" w:space="0" w:color="000000"/>
              <w:bottom w:val="single" w:sz="8" w:space="0" w:color="000000"/>
              <w:right w:val="single" w:sz="8" w:space="0" w:color="000000"/>
            </w:tcBorders>
          </w:tcPr>
          <w:p w14:paraId="101326E4" w14:textId="0EEDFA71" w:rsidR="000F2F0C" w:rsidRPr="009D7BD5" w:rsidRDefault="00F33767" w:rsidP="00C83FBA">
            <w:pPr>
              <w:pStyle w:val="Paragraph"/>
              <w:spacing w:before="120" w:after="240" w:line="240" w:lineRule="auto"/>
              <w:jc w:val="center"/>
              <w:rPr>
                <w:rFonts w:ascii="Lato Light" w:hAnsi="Lato Light"/>
                <w:szCs w:val="22"/>
              </w:rPr>
            </w:pPr>
            <w:r w:rsidRPr="009D7BD5">
              <w:rPr>
                <w:rFonts w:ascii="Lato Light" w:hAnsi="Lato Light"/>
                <w:szCs w:val="22"/>
              </w:rPr>
              <w:t>TENDER RETURN DATE AND TIME (</w:t>
            </w:r>
            <w:r w:rsidRPr="009D7BD5">
              <w:rPr>
                <w:rFonts w:ascii="Lato Light" w:hAnsi="Lato Light"/>
                <w:b/>
                <w:szCs w:val="22"/>
              </w:rPr>
              <w:t>DEADLINE</w:t>
            </w:r>
            <w:r w:rsidRPr="009D7BD5">
              <w:rPr>
                <w:rFonts w:ascii="Lato Light" w:hAnsi="Lato Light"/>
                <w:szCs w:val="22"/>
              </w:rPr>
              <w:t xml:space="preserve">): </w:t>
            </w:r>
            <w:r w:rsidR="0003442A" w:rsidRPr="0003442A">
              <w:rPr>
                <w:rFonts w:ascii="Lato Light" w:hAnsi="Lato Light"/>
                <w:b/>
                <w:bCs/>
                <w:szCs w:val="22"/>
              </w:rPr>
              <w:t>7 October 2022 at 5pm</w:t>
            </w:r>
          </w:p>
        </w:tc>
      </w:tr>
    </w:tbl>
    <w:p w14:paraId="3D9F3934" w14:textId="77777777" w:rsidR="00220355" w:rsidRPr="009D7BD5" w:rsidRDefault="00220355" w:rsidP="00C83FBA">
      <w:pPr>
        <w:pStyle w:val="TitleClause"/>
        <w:spacing w:before="120" w:line="240" w:lineRule="auto"/>
        <w:rPr>
          <w:rFonts w:ascii="Lato Light" w:hAnsi="Lato Light"/>
          <w:caps/>
          <w:szCs w:val="22"/>
        </w:rPr>
      </w:pPr>
      <w:bookmarkStart w:id="0" w:name="a770563"/>
      <w:bookmarkStart w:id="1" w:name="_Toc111036750"/>
      <w:r w:rsidRPr="009D7BD5">
        <w:rPr>
          <w:rFonts w:ascii="Lato Light" w:hAnsi="Lato Light"/>
          <w:caps/>
          <w:szCs w:val="22"/>
        </w:rPr>
        <w:t>Contents of the ITN</w:t>
      </w:r>
      <w:bookmarkEnd w:id="0"/>
      <w:bookmarkEnd w:id="1"/>
    </w:p>
    <w:p w14:paraId="20625131" w14:textId="77777777" w:rsidR="00220355" w:rsidRPr="009D7BD5" w:rsidRDefault="00220355" w:rsidP="00C83FBA">
      <w:pPr>
        <w:pStyle w:val="Parasubclause1"/>
        <w:spacing w:before="120" w:after="240" w:line="240" w:lineRule="auto"/>
        <w:rPr>
          <w:rFonts w:ascii="Lato Light" w:hAnsi="Lato Light"/>
          <w:szCs w:val="22"/>
        </w:rPr>
      </w:pPr>
      <w:r w:rsidRPr="009D7BD5">
        <w:rPr>
          <w:rFonts w:ascii="Lato Light" w:hAnsi="Lato Light"/>
          <w:szCs w:val="22"/>
        </w:rPr>
        <w:t>This invitation to negotiate (</w:t>
      </w:r>
      <w:r w:rsidRPr="009D7BD5">
        <w:rPr>
          <w:rStyle w:val="DefTerm"/>
          <w:rFonts w:ascii="Lato Light" w:hAnsi="Lato Light"/>
          <w:szCs w:val="22"/>
        </w:rPr>
        <w:t>ITN</w:t>
      </w:r>
      <w:r w:rsidRPr="009D7BD5">
        <w:rPr>
          <w:rFonts w:ascii="Lato Light" w:hAnsi="Lato Light"/>
          <w:szCs w:val="22"/>
        </w:rPr>
        <w:t>) comprises:</w:t>
      </w:r>
    </w:p>
    <w:p w14:paraId="76D17B58" w14:textId="4FAC09EB" w:rsidR="00220355" w:rsidRPr="009D7BD5" w:rsidRDefault="00220355" w:rsidP="00C83FBA">
      <w:pPr>
        <w:pStyle w:val="subclause1Bullet1"/>
        <w:numPr>
          <w:ilvl w:val="0"/>
          <w:numId w:val="0"/>
        </w:numPr>
        <w:spacing w:before="120" w:after="240" w:line="240" w:lineRule="auto"/>
        <w:ind w:left="1077" w:hanging="357"/>
        <w:rPr>
          <w:rFonts w:ascii="Lato Light" w:hAnsi="Lato Light"/>
          <w:szCs w:val="22"/>
        </w:rPr>
      </w:pPr>
      <w:r w:rsidRPr="009D7BD5">
        <w:rPr>
          <w:rFonts w:ascii="Lato Light" w:hAnsi="Lato Light"/>
          <w:szCs w:val="22"/>
        </w:rPr>
        <w:t xml:space="preserve">Section </w:t>
      </w:r>
      <w:r w:rsidR="00311394" w:rsidRPr="009D7BD5">
        <w:rPr>
          <w:rFonts w:ascii="Lato Light" w:hAnsi="Lato Light"/>
          <w:szCs w:val="22"/>
        </w:rPr>
        <w:t>2</w:t>
      </w:r>
      <w:r w:rsidRPr="009D7BD5">
        <w:rPr>
          <w:rFonts w:ascii="Lato Light" w:hAnsi="Lato Light"/>
          <w:szCs w:val="22"/>
        </w:rPr>
        <w:t>: Introduction &amp; Background</w:t>
      </w:r>
    </w:p>
    <w:p w14:paraId="4E822DB0" w14:textId="63D7DDA9" w:rsidR="009978C1" w:rsidRPr="009D7BD5" w:rsidRDefault="00220355" w:rsidP="00C83FBA">
      <w:pPr>
        <w:pStyle w:val="subclause1Bullet1"/>
        <w:numPr>
          <w:ilvl w:val="0"/>
          <w:numId w:val="0"/>
        </w:numPr>
        <w:spacing w:before="120" w:after="240" w:line="240" w:lineRule="auto"/>
        <w:ind w:left="1077" w:hanging="357"/>
        <w:rPr>
          <w:rFonts w:ascii="Lato Light" w:hAnsi="Lato Light"/>
          <w:szCs w:val="22"/>
        </w:rPr>
      </w:pPr>
      <w:r w:rsidRPr="009D7BD5">
        <w:rPr>
          <w:rFonts w:ascii="Lato Light" w:hAnsi="Lato Light"/>
          <w:szCs w:val="22"/>
        </w:rPr>
        <w:t xml:space="preserve">Section </w:t>
      </w:r>
      <w:r w:rsidR="00311394" w:rsidRPr="009D7BD5">
        <w:rPr>
          <w:rFonts w:ascii="Lato Light" w:hAnsi="Lato Light"/>
          <w:szCs w:val="22"/>
        </w:rPr>
        <w:t>3</w:t>
      </w:r>
      <w:r w:rsidRPr="009D7BD5">
        <w:rPr>
          <w:rFonts w:ascii="Lato Light" w:hAnsi="Lato Light"/>
          <w:szCs w:val="22"/>
        </w:rPr>
        <w:t xml:space="preserve">: </w:t>
      </w:r>
      <w:r w:rsidR="009978C1" w:rsidRPr="009D7BD5">
        <w:rPr>
          <w:rFonts w:ascii="Lato Light" w:hAnsi="Lato Light"/>
          <w:szCs w:val="22"/>
        </w:rPr>
        <w:t>Tender Timetable</w:t>
      </w:r>
    </w:p>
    <w:p w14:paraId="5D75E829" w14:textId="4B91E793" w:rsidR="00220355" w:rsidRPr="009D7BD5" w:rsidRDefault="009978C1" w:rsidP="00C83FBA">
      <w:pPr>
        <w:pStyle w:val="subclause1Bullet1"/>
        <w:numPr>
          <w:ilvl w:val="0"/>
          <w:numId w:val="0"/>
        </w:numPr>
        <w:spacing w:before="120" w:after="240" w:line="240" w:lineRule="auto"/>
        <w:ind w:left="1077" w:hanging="357"/>
        <w:rPr>
          <w:rFonts w:ascii="Lato Light" w:hAnsi="Lato Light"/>
          <w:szCs w:val="22"/>
        </w:rPr>
      </w:pPr>
      <w:r w:rsidRPr="009D7BD5">
        <w:rPr>
          <w:rFonts w:ascii="Lato Light" w:hAnsi="Lato Light"/>
          <w:szCs w:val="22"/>
        </w:rPr>
        <w:t xml:space="preserve">Section </w:t>
      </w:r>
      <w:r w:rsidR="00311394" w:rsidRPr="009D7BD5">
        <w:rPr>
          <w:rFonts w:ascii="Lato Light" w:hAnsi="Lato Light"/>
          <w:szCs w:val="22"/>
        </w:rPr>
        <w:t>4</w:t>
      </w:r>
      <w:r w:rsidRPr="009D7BD5">
        <w:rPr>
          <w:rFonts w:ascii="Lato Light" w:hAnsi="Lato Light"/>
          <w:szCs w:val="22"/>
        </w:rPr>
        <w:t xml:space="preserve">: </w:t>
      </w:r>
      <w:r w:rsidR="00220355" w:rsidRPr="009D7BD5">
        <w:rPr>
          <w:rFonts w:ascii="Lato Light" w:hAnsi="Lato Light"/>
          <w:szCs w:val="22"/>
        </w:rPr>
        <w:t xml:space="preserve">Tender completion requirements </w:t>
      </w:r>
    </w:p>
    <w:p w14:paraId="0F585D37" w14:textId="0D38160F" w:rsidR="00220355" w:rsidRPr="009D7BD5" w:rsidRDefault="00220355" w:rsidP="00C83FBA">
      <w:pPr>
        <w:pStyle w:val="subclause1Bullet1"/>
        <w:numPr>
          <w:ilvl w:val="0"/>
          <w:numId w:val="0"/>
        </w:numPr>
        <w:spacing w:before="120" w:after="240" w:line="240" w:lineRule="auto"/>
        <w:ind w:left="1077" w:hanging="357"/>
        <w:rPr>
          <w:rFonts w:ascii="Lato Light" w:hAnsi="Lato Light"/>
          <w:szCs w:val="22"/>
        </w:rPr>
      </w:pPr>
      <w:r w:rsidRPr="009D7BD5">
        <w:rPr>
          <w:rFonts w:ascii="Lato Light" w:hAnsi="Lato Light"/>
          <w:szCs w:val="22"/>
        </w:rPr>
        <w:t xml:space="preserve">Section </w:t>
      </w:r>
      <w:r w:rsidR="00311394" w:rsidRPr="009D7BD5">
        <w:rPr>
          <w:rFonts w:ascii="Lato Light" w:hAnsi="Lato Light"/>
          <w:szCs w:val="22"/>
        </w:rPr>
        <w:t>5</w:t>
      </w:r>
      <w:r w:rsidRPr="009D7BD5">
        <w:rPr>
          <w:rFonts w:ascii="Lato Light" w:hAnsi="Lato Light"/>
          <w:szCs w:val="22"/>
        </w:rPr>
        <w:t xml:space="preserve">: Evaluation model </w:t>
      </w:r>
    </w:p>
    <w:p w14:paraId="4BFCC52C" w14:textId="58AF5E57" w:rsidR="00220355" w:rsidRPr="009D7BD5" w:rsidRDefault="00220355" w:rsidP="00C83FBA">
      <w:pPr>
        <w:pStyle w:val="subclause1Bullet1"/>
        <w:numPr>
          <w:ilvl w:val="0"/>
          <w:numId w:val="0"/>
        </w:numPr>
        <w:spacing w:before="120" w:after="240" w:line="240" w:lineRule="auto"/>
        <w:ind w:left="1077" w:hanging="357"/>
        <w:rPr>
          <w:rFonts w:ascii="Lato Light" w:hAnsi="Lato Light"/>
          <w:szCs w:val="22"/>
        </w:rPr>
      </w:pPr>
      <w:r w:rsidRPr="009D7BD5">
        <w:rPr>
          <w:rFonts w:ascii="Lato Light" w:hAnsi="Lato Light"/>
          <w:szCs w:val="22"/>
        </w:rPr>
        <w:t xml:space="preserve">Section </w:t>
      </w:r>
      <w:r w:rsidR="00311394" w:rsidRPr="009D7BD5">
        <w:rPr>
          <w:rFonts w:ascii="Lato Light" w:hAnsi="Lato Light"/>
          <w:szCs w:val="22"/>
        </w:rPr>
        <w:t>6</w:t>
      </w:r>
      <w:r w:rsidRPr="009D7BD5">
        <w:rPr>
          <w:rFonts w:ascii="Lato Light" w:hAnsi="Lato Light"/>
          <w:szCs w:val="22"/>
        </w:rPr>
        <w:t>: Negotiation elements</w:t>
      </w:r>
    </w:p>
    <w:p w14:paraId="3B24F9AF" w14:textId="77777777" w:rsidR="00220355" w:rsidRPr="009D7BD5" w:rsidRDefault="00220355" w:rsidP="00C83FBA">
      <w:pPr>
        <w:pStyle w:val="subclause1Bullet1"/>
        <w:numPr>
          <w:ilvl w:val="0"/>
          <w:numId w:val="0"/>
        </w:numPr>
        <w:spacing w:before="120" w:after="240" w:line="240" w:lineRule="auto"/>
        <w:ind w:left="1077" w:hanging="357"/>
        <w:rPr>
          <w:rFonts w:ascii="Lato Light" w:hAnsi="Lato Light"/>
          <w:szCs w:val="22"/>
        </w:rPr>
      </w:pPr>
      <w:r w:rsidRPr="009D7BD5">
        <w:rPr>
          <w:rFonts w:ascii="Lato Light" w:hAnsi="Lato Light"/>
          <w:szCs w:val="22"/>
        </w:rPr>
        <w:t xml:space="preserve">Annex 1 – Specification  </w:t>
      </w:r>
    </w:p>
    <w:p w14:paraId="148B7A1B" w14:textId="3C494DD4" w:rsidR="00220355" w:rsidRPr="009D7BD5" w:rsidRDefault="00220355" w:rsidP="00C83FBA">
      <w:pPr>
        <w:pStyle w:val="subclause1Bullet1"/>
        <w:numPr>
          <w:ilvl w:val="0"/>
          <w:numId w:val="0"/>
        </w:numPr>
        <w:spacing w:before="120" w:after="240" w:line="240" w:lineRule="auto"/>
        <w:ind w:left="1077" w:hanging="357"/>
        <w:rPr>
          <w:rFonts w:ascii="Lato Light" w:hAnsi="Lato Light"/>
          <w:szCs w:val="22"/>
        </w:rPr>
      </w:pPr>
      <w:r w:rsidRPr="009D7BD5">
        <w:rPr>
          <w:rFonts w:ascii="Lato Light" w:hAnsi="Lato Light"/>
          <w:szCs w:val="22"/>
        </w:rPr>
        <w:t>Annex 2 – Technical</w:t>
      </w:r>
      <w:r w:rsidR="0005266D" w:rsidRPr="009D7BD5">
        <w:rPr>
          <w:rFonts w:ascii="Lato Light" w:hAnsi="Lato Light"/>
          <w:szCs w:val="22"/>
        </w:rPr>
        <w:t>/Quality</w:t>
      </w:r>
      <w:r w:rsidRPr="009D7BD5">
        <w:rPr>
          <w:rFonts w:ascii="Lato Light" w:hAnsi="Lato Light"/>
          <w:szCs w:val="22"/>
        </w:rPr>
        <w:t xml:space="preserve"> Questions</w:t>
      </w:r>
    </w:p>
    <w:p w14:paraId="45D814E2" w14:textId="19224A6C" w:rsidR="00220355" w:rsidRPr="009D7BD5" w:rsidRDefault="00220355" w:rsidP="00C83FBA">
      <w:pPr>
        <w:pStyle w:val="subclause1Bullet1"/>
        <w:numPr>
          <w:ilvl w:val="0"/>
          <w:numId w:val="0"/>
        </w:numPr>
        <w:spacing w:before="120" w:after="240" w:line="240" w:lineRule="auto"/>
        <w:ind w:left="1077" w:hanging="357"/>
        <w:rPr>
          <w:rFonts w:ascii="Lato Light" w:hAnsi="Lato Light"/>
          <w:szCs w:val="22"/>
        </w:rPr>
      </w:pPr>
      <w:r w:rsidRPr="009D7BD5">
        <w:rPr>
          <w:rFonts w:ascii="Lato Light" w:hAnsi="Lato Light"/>
          <w:szCs w:val="22"/>
        </w:rPr>
        <w:t xml:space="preserve">Annex 3 - Commercial Model </w:t>
      </w:r>
    </w:p>
    <w:p w14:paraId="0DA5E8FD" w14:textId="48C8C1E2" w:rsidR="00220355" w:rsidRPr="009D7BD5" w:rsidRDefault="00220355" w:rsidP="00C83FBA">
      <w:pPr>
        <w:pStyle w:val="subclause1Bullet1"/>
        <w:numPr>
          <w:ilvl w:val="0"/>
          <w:numId w:val="0"/>
        </w:numPr>
        <w:spacing w:before="120" w:after="240" w:line="240" w:lineRule="auto"/>
        <w:ind w:left="1077" w:hanging="357"/>
        <w:rPr>
          <w:rFonts w:ascii="Lato Light" w:hAnsi="Lato Light"/>
          <w:szCs w:val="22"/>
        </w:rPr>
      </w:pPr>
      <w:r w:rsidRPr="009D7BD5">
        <w:rPr>
          <w:rFonts w:ascii="Lato Light" w:hAnsi="Lato Light"/>
          <w:szCs w:val="22"/>
        </w:rPr>
        <w:t xml:space="preserve">Annex 4 – </w:t>
      </w:r>
      <w:r w:rsidR="00132A76">
        <w:rPr>
          <w:rFonts w:ascii="Lato Light" w:hAnsi="Lato Light"/>
          <w:szCs w:val="22"/>
        </w:rPr>
        <w:t xml:space="preserve">Service Provider </w:t>
      </w:r>
      <w:r w:rsidRPr="009D7BD5">
        <w:rPr>
          <w:rFonts w:ascii="Lato Light" w:hAnsi="Lato Light"/>
          <w:szCs w:val="22"/>
        </w:rPr>
        <w:t>Terms and Conditions</w:t>
      </w:r>
    </w:p>
    <w:p w14:paraId="3A53D856" w14:textId="3470E6EB" w:rsidR="00220355" w:rsidRPr="009D7BD5" w:rsidRDefault="00220355" w:rsidP="00C83FBA">
      <w:pPr>
        <w:pStyle w:val="subclause1Bullet1"/>
        <w:numPr>
          <w:ilvl w:val="0"/>
          <w:numId w:val="0"/>
        </w:numPr>
        <w:spacing w:before="120" w:after="240" w:line="240" w:lineRule="auto"/>
        <w:ind w:left="1077" w:hanging="357"/>
        <w:rPr>
          <w:rFonts w:ascii="Lato Light" w:hAnsi="Lato Light"/>
          <w:szCs w:val="22"/>
        </w:rPr>
      </w:pPr>
      <w:r w:rsidRPr="0003442A">
        <w:rPr>
          <w:rFonts w:ascii="Lato Light" w:hAnsi="Lato Light"/>
          <w:szCs w:val="22"/>
        </w:rPr>
        <w:t>Annex 5 – London CIV Mandatory Policies</w:t>
      </w:r>
    </w:p>
    <w:p w14:paraId="0DD36ADF" w14:textId="1A228BA4" w:rsidR="000F2F0C" w:rsidRPr="009D7BD5" w:rsidRDefault="00F33767" w:rsidP="00C83FBA">
      <w:pPr>
        <w:pStyle w:val="TitleClause"/>
        <w:spacing w:before="120" w:line="240" w:lineRule="auto"/>
        <w:rPr>
          <w:rFonts w:ascii="Lato Light" w:hAnsi="Lato Light"/>
          <w:caps/>
          <w:szCs w:val="22"/>
        </w:rPr>
      </w:pPr>
      <w:r w:rsidRPr="009D7BD5">
        <w:rPr>
          <w:rFonts w:ascii="Lato Light" w:hAnsi="Lato Light"/>
          <w:caps/>
          <w:szCs w:val="22"/>
        </w:rPr>
        <w:fldChar w:fldCharType="begin"/>
      </w:r>
      <w:r w:rsidRPr="009D7BD5">
        <w:rPr>
          <w:rFonts w:ascii="Lato Light" w:hAnsi="Lato Light"/>
          <w:caps/>
          <w:szCs w:val="22"/>
        </w:rPr>
        <w:instrText>TC "1. Introduction and background" \l 1</w:instrText>
      </w:r>
      <w:r w:rsidRPr="009D7BD5">
        <w:rPr>
          <w:rFonts w:ascii="Lato Light" w:hAnsi="Lato Light"/>
          <w:caps/>
          <w:szCs w:val="22"/>
        </w:rPr>
        <w:fldChar w:fldCharType="end"/>
      </w:r>
      <w:bookmarkStart w:id="2" w:name="a1033551"/>
      <w:bookmarkStart w:id="3" w:name="_Toc111036751"/>
      <w:r w:rsidRPr="009D7BD5">
        <w:rPr>
          <w:rFonts w:ascii="Lato Light" w:hAnsi="Lato Light"/>
          <w:caps/>
          <w:szCs w:val="22"/>
        </w:rPr>
        <w:t>Introduction and background</w:t>
      </w:r>
      <w:bookmarkEnd w:id="2"/>
      <w:bookmarkEnd w:id="3"/>
    </w:p>
    <w:p w14:paraId="455CB5B1" w14:textId="42356C15" w:rsidR="004018C3" w:rsidRPr="009D7BD5" w:rsidRDefault="004018C3" w:rsidP="0B2130ED">
      <w:pPr>
        <w:pStyle w:val="Untitledsubclause1"/>
        <w:spacing w:before="120" w:after="240" w:line="240" w:lineRule="auto"/>
        <w:rPr>
          <w:rFonts w:ascii="Lato Light" w:hAnsi="Lato Light"/>
        </w:rPr>
      </w:pPr>
      <w:r w:rsidRPr="0B2130ED">
        <w:rPr>
          <w:rStyle w:val="normaltextrun"/>
          <w:rFonts w:ascii="Lato Light" w:hAnsi="Lato Light" w:cs="Calibri"/>
        </w:rPr>
        <w:t>Formed in 2015, London LGPS CIV Limited (</w:t>
      </w:r>
      <w:r w:rsidRPr="0B2130ED">
        <w:rPr>
          <w:rStyle w:val="normaltextrun"/>
          <w:rFonts w:ascii="Lato Light" w:hAnsi="Lato Light" w:cs="Calibri"/>
          <w:b/>
          <w:bCs/>
        </w:rPr>
        <w:t>London CIV</w:t>
      </w:r>
      <w:r w:rsidRPr="0B2130ED">
        <w:rPr>
          <w:rStyle w:val="normaltextrun"/>
          <w:rFonts w:ascii="Lato Light" w:hAnsi="Lato Light" w:cs="Calibri"/>
        </w:rPr>
        <w:t>) is an FCA authorised and regulated alternative investment fund manager, that represents the pooled investments of 32 London Local Authority Pension Funds (including the City of London). The organisation was originally set up as a collaborative venture comprising the London Local Authority Pension Funds and operating under London Councils, to enable the capital’s Local Government Pension Scheme (</w:t>
      </w:r>
      <w:r w:rsidRPr="0B2130ED">
        <w:rPr>
          <w:rStyle w:val="normaltextrun"/>
          <w:rFonts w:ascii="Lato Light" w:hAnsi="Lato Light" w:cs="Calibri"/>
          <w:b/>
          <w:bCs/>
        </w:rPr>
        <w:t>LGPS</w:t>
      </w:r>
      <w:r w:rsidRPr="0B2130ED">
        <w:rPr>
          <w:rStyle w:val="normaltextrun"/>
          <w:rFonts w:ascii="Lato Light" w:hAnsi="Lato Light" w:cs="Calibri"/>
        </w:rPr>
        <w:t xml:space="preserve">) to work in close partnership, to deliver broader investment opportunities, benefits of scale, and enhanced cost efficiencies to the participating Authorities. London CIV operates one of eight LGPS pools within England and </w:t>
      </w:r>
      <w:proofErr w:type="gramStart"/>
      <w:r w:rsidRPr="0B2130ED">
        <w:rPr>
          <w:rStyle w:val="normaltextrun"/>
          <w:rFonts w:ascii="Lato Light" w:hAnsi="Lato Light" w:cs="Calibri"/>
        </w:rPr>
        <w:t>Wales;</w:t>
      </w:r>
      <w:proofErr w:type="gramEnd"/>
      <w:r w:rsidRPr="0B2130ED">
        <w:rPr>
          <w:rStyle w:val="normaltextrun"/>
          <w:rFonts w:ascii="Lato Light" w:hAnsi="Lato Light" w:cs="Calibri"/>
        </w:rPr>
        <w:t xml:space="preserve"> which are unique in that its investors, are also its shareholders.</w:t>
      </w:r>
    </w:p>
    <w:p w14:paraId="75E5048D" w14:textId="7C6EE539" w:rsidR="007F1C4D" w:rsidRPr="009D7BD5" w:rsidRDefault="007F1C4D" w:rsidP="00C83FBA">
      <w:pPr>
        <w:pStyle w:val="Untitledsubclause1"/>
        <w:spacing w:before="120" w:after="240" w:line="240" w:lineRule="auto"/>
        <w:rPr>
          <w:rFonts w:ascii="Lato Light" w:hAnsi="Lato Light"/>
          <w:szCs w:val="22"/>
        </w:rPr>
      </w:pPr>
      <w:r w:rsidRPr="009D7BD5">
        <w:rPr>
          <w:rFonts w:ascii="Lato Light" w:hAnsi="Lato Light"/>
          <w:szCs w:val="22"/>
        </w:rPr>
        <w:lastRenderedPageBreak/>
        <w:t>London CIV is conducting the procurement using the Negotiated Procedure in accordance with the requirements of the Public Contracts Regulations 2015 (</w:t>
      </w:r>
      <w:r w:rsidRPr="009D7BD5">
        <w:rPr>
          <w:rFonts w:ascii="Lato Light" w:hAnsi="Lato Light"/>
          <w:i/>
          <w:szCs w:val="22"/>
        </w:rPr>
        <w:t>SI 2015/102</w:t>
      </w:r>
      <w:r w:rsidRPr="009D7BD5">
        <w:rPr>
          <w:rFonts w:ascii="Lato Light" w:hAnsi="Lato Light"/>
          <w:szCs w:val="22"/>
        </w:rPr>
        <w:t>) (PCR 2015) for the purpose of procuring the services described in Annex 3 - Specification (the “</w:t>
      </w:r>
      <w:r w:rsidRPr="009D7BD5">
        <w:rPr>
          <w:rStyle w:val="DefTerm"/>
          <w:rFonts w:ascii="Lato Light" w:hAnsi="Lato Light"/>
          <w:szCs w:val="22"/>
        </w:rPr>
        <w:t>Services”</w:t>
      </w:r>
      <w:r w:rsidRPr="009D7BD5">
        <w:rPr>
          <w:rFonts w:ascii="Lato Light" w:hAnsi="Lato Light"/>
          <w:szCs w:val="22"/>
        </w:rPr>
        <w:t>).</w:t>
      </w:r>
    </w:p>
    <w:p w14:paraId="3BDBBF81" w14:textId="77777777" w:rsidR="00867576" w:rsidRPr="009D7BD5" w:rsidRDefault="00867576" w:rsidP="00C83FBA">
      <w:pPr>
        <w:pStyle w:val="Untitledsubclause1"/>
        <w:spacing w:before="120" w:after="240" w:line="240" w:lineRule="auto"/>
        <w:rPr>
          <w:rFonts w:ascii="Lato Light" w:hAnsi="Lato Light"/>
          <w:szCs w:val="22"/>
        </w:rPr>
      </w:pPr>
      <w:r w:rsidRPr="009D7BD5">
        <w:rPr>
          <w:rFonts w:ascii="Lato Light" w:hAnsi="Lato Light"/>
          <w:szCs w:val="22"/>
        </w:rPr>
        <w:t xml:space="preserve">London CIV is looking to procure a SaaS solution that provides risk and performance data analytics and reporting in respect of its </w:t>
      </w:r>
      <w:r w:rsidRPr="009D7BD5">
        <w:rPr>
          <w:rStyle w:val="normaltextrun"/>
          <w:rFonts w:ascii="Lato Light" w:hAnsi="Lato Light" w:cs="Calibri"/>
          <w:color w:val="000000"/>
          <w:szCs w:val="22"/>
          <w:bdr w:val="none" w:sz="0" w:space="0" w:color="auto" w:frame="1"/>
        </w:rPr>
        <w:t xml:space="preserve">five private markets pooling vehicles (covering Real Estate, Infrastructure, Private Debt and Renewables Infrastructure), tracking their investments </w:t>
      </w:r>
      <w:r w:rsidRPr="009D7BD5">
        <w:rPr>
          <w:rStyle w:val="normaltextrun"/>
          <w:rFonts w:ascii="Lato Light" w:hAnsi="Lato Light" w:cs="Calibri"/>
          <w:szCs w:val="22"/>
          <w:shd w:val="clear" w:color="auto" w:fill="FFFFFF"/>
        </w:rPr>
        <w:t xml:space="preserve">in funds, co-investments as well as potential direct investments. The solution must track fund performance on a net basis and gather information on portfolio company holdings within the </w:t>
      </w:r>
      <w:proofErr w:type="gramStart"/>
      <w:r w:rsidRPr="009D7BD5">
        <w:rPr>
          <w:rStyle w:val="normaltextrun"/>
          <w:rFonts w:ascii="Lato Light" w:hAnsi="Lato Light" w:cs="Calibri"/>
          <w:szCs w:val="22"/>
          <w:shd w:val="clear" w:color="auto" w:fill="FFFFFF"/>
        </w:rPr>
        <w:t>funds;</w:t>
      </w:r>
      <w:proofErr w:type="gramEnd"/>
      <w:r w:rsidRPr="009D7BD5">
        <w:rPr>
          <w:rStyle w:val="normaltextrun"/>
          <w:rFonts w:ascii="Lato Light" w:hAnsi="Lato Light" w:cs="Calibri"/>
          <w:szCs w:val="22"/>
          <w:shd w:val="clear" w:color="auto" w:fill="FFFFFF"/>
        </w:rPr>
        <w:t xml:space="preserve"> including peer universe and benchmark insights. Details of the Services specification are outlined in Annex 1 of this ITN. </w:t>
      </w:r>
    </w:p>
    <w:p w14:paraId="66E38656" w14:textId="2B1A919C" w:rsidR="00867576" w:rsidRPr="009D7BD5" w:rsidRDefault="00867576" w:rsidP="00C83FBA">
      <w:pPr>
        <w:pStyle w:val="Untitledsubclause1"/>
        <w:spacing w:before="120" w:after="240" w:line="240" w:lineRule="auto"/>
        <w:rPr>
          <w:rFonts w:ascii="Lato Light" w:hAnsi="Lato Light"/>
          <w:szCs w:val="22"/>
        </w:rPr>
      </w:pPr>
      <w:bookmarkStart w:id="4" w:name="_Ref110807985"/>
      <w:r w:rsidRPr="009D7BD5">
        <w:rPr>
          <w:rFonts w:ascii="Lato Light" w:hAnsi="Lato Light"/>
          <w:szCs w:val="22"/>
        </w:rPr>
        <w:t>London CIV proposes to enter one Contract with the successful Tenderer (</w:t>
      </w:r>
      <w:r w:rsidRPr="009D7BD5">
        <w:rPr>
          <w:rStyle w:val="DefTerm"/>
          <w:rFonts w:ascii="Lato Light" w:hAnsi="Lato Light"/>
          <w:szCs w:val="22"/>
        </w:rPr>
        <w:t>Service Provider</w:t>
      </w:r>
      <w:r w:rsidRPr="009D7BD5">
        <w:rPr>
          <w:rFonts w:ascii="Lato Light" w:hAnsi="Lato Light"/>
          <w:szCs w:val="22"/>
        </w:rPr>
        <w:t>) for a maximum period of 5 years; with an initial term of 12 months, and thereafter rolling annually, subject to either party providing the other not less than 6 months’ notice to terminate</w:t>
      </w:r>
      <w:r w:rsidR="00157F23">
        <w:rPr>
          <w:rFonts w:ascii="Lato Light" w:hAnsi="Lato Light"/>
          <w:szCs w:val="22"/>
        </w:rPr>
        <w:t xml:space="preserve"> expiring no earlier than </w:t>
      </w:r>
      <w:r w:rsidR="00A931C0">
        <w:rPr>
          <w:rFonts w:ascii="Lato Light" w:hAnsi="Lato Light"/>
          <w:szCs w:val="22"/>
        </w:rPr>
        <w:t>18 months from the Service commencement date</w:t>
      </w:r>
      <w:r w:rsidRPr="009D7BD5">
        <w:rPr>
          <w:rFonts w:ascii="Lato Light" w:hAnsi="Lato Light"/>
          <w:szCs w:val="22"/>
        </w:rPr>
        <w:t>. The anticipated service commencement date is [</w:t>
      </w:r>
      <w:r w:rsidR="0030514F">
        <w:rPr>
          <w:rFonts w:ascii="Lato Light" w:hAnsi="Lato Light"/>
          <w:szCs w:val="22"/>
        </w:rPr>
        <w:t>Q1 2023</w:t>
      </w:r>
      <w:r w:rsidRPr="009D7BD5">
        <w:rPr>
          <w:rFonts w:ascii="Lato Light" w:hAnsi="Lato Light"/>
          <w:szCs w:val="22"/>
        </w:rPr>
        <w:t>].</w:t>
      </w:r>
      <w:r w:rsidR="00913604" w:rsidRPr="009D7BD5">
        <w:rPr>
          <w:rFonts w:ascii="Lato Light" w:hAnsi="Lato Light"/>
          <w:szCs w:val="22"/>
        </w:rPr>
        <w:t xml:space="preserve"> </w:t>
      </w:r>
      <w:r w:rsidR="008130D8" w:rsidRPr="009D7BD5">
        <w:rPr>
          <w:rFonts w:ascii="Lato Light" w:hAnsi="Lato Light"/>
          <w:szCs w:val="22"/>
        </w:rPr>
        <w:t>Tenderers must submit their terms and conditions for the Contract as part of their Initial Tenders. The Tenderer’s terms and conditions must incorporate London CIV’s Mandatory Policies</w:t>
      </w:r>
      <w:r w:rsidR="00133F7C" w:rsidRPr="009D7BD5">
        <w:rPr>
          <w:rFonts w:ascii="Lato Light" w:hAnsi="Lato Light"/>
          <w:szCs w:val="22"/>
        </w:rPr>
        <w:t>.</w:t>
      </w:r>
      <w:bookmarkEnd w:id="4"/>
    </w:p>
    <w:p w14:paraId="0DB27672" w14:textId="096000BB" w:rsidR="00851BF1" w:rsidRPr="009D7BD5" w:rsidRDefault="00851BF1" w:rsidP="00C83FBA">
      <w:pPr>
        <w:pStyle w:val="Untitledsubclause1"/>
        <w:spacing w:before="120" w:after="240" w:line="240" w:lineRule="auto"/>
        <w:rPr>
          <w:rFonts w:ascii="Lato Light" w:hAnsi="Lato Light"/>
          <w:b/>
          <w:szCs w:val="22"/>
        </w:rPr>
      </w:pPr>
      <w:bookmarkStart w:id="5" w:name="a293949"/>
      <w:r w:rsidRPr="009D7BD5">
        <w:rPr>
          <w:rFonts w:ascii="Lato Light" w:hAnsi="Lato Light"/>
          <w:b/>
          <w:szCs w:val="22"/>
        </w:rPr>
        <w:t>ITN Stages</w:t>
      </w:r>
    </w:p>
    <w:p w14:paraId="4306B4AE" w14:textId="1C5AEFBC" w:rsidR="00FF20DA" w:rsidRPr="009D7BD5" w:rsidRDefault="00FF20DA" w:rsidP="00C83FBA">
      <w:pPr>
        <w:pStyle w:val="Untitledsubclause2"/>
        <w:spacing w:before="120" w:after="240" w:line="240" w:lineRule="auto"/>
        <w:rPr>
          <w:rFonts w:ascii="Lato Light" w:hAnsi="Lato Light"/>
          <w:szCs w:val="22"/>
          <w:lang w:eastAsia="en-GB"/>
        </w:rPr>
      </w:pPr>
      <w:r w:rsidRPr="009D7BD5">
        <w:rPr>
          <w:rFonts w:ascii="Lato Light" w:hAnsi="Lato Light"/>
          <w:szCs w:val="22"/>
          <w:lang w:eastAsia="en-GB"/>
        </w:rPr>
        <w:t>Bidders shortlisted from the selection stage of this procurement (</w:t>
      </w:r>
      <w:r w:rsidRPr="009D7BD5">
        <w:rPr>
          <w:rFonts w:ascii="Lato Light" w:hAnsi="Lato Light"/>
          <w:b/>
          <w:bCs/>
          <w:szCs w:val="22"/>
          <w:lang w:eastAsia="en-GB"/>
        </w:rPr>
        <w:t>Tenderers</w:t>
      </w:r>
      <w:r w:rsidRPr="009D7BD5">
        <w:rPr>
          <w:rFonts w:ascii="Lato Light" w:hAnsi="Lato Light"/>
          <w:szCs w:val="22"/>
          <w:lang w:eastAsia="en-GB"/>
        </w:rPr>
        <w:t>) are invited to respond to this ITN (</w:t>
      </w:r>
      <w:r w:rsidRPr="009D7BD5">
        <w:rPr>
          <w:rFonts w:ascii="Lato Light" w:hAnsi="Lato Light"/>
          <w:b/>
          <w:bCs/>
          <w:szCs w:val="22"/>
          <w:lang w:eastAsia="en-GB"/>
        </w:rPr>
        <w:t>Tender</w:t>
      </w:r>
      <w:r w:rsidRPr="009D7BD5">
        <w:rPr>
          <w:rFonts w:ascii="Lato Light" w:hAnsi="Lato Light"/>
          <w:szCs w:val="22"/>
          <w:lang w:eastAsia="en-GB"/>
        </w:rPr>
        <w:t xml:space="preserve">) in accordance with the instructions set </w:t>
      </w:r>
      <w:r w:rsidRPr="009D7BD5">
        <w:rPr>
          <w:rFonts w:ascii="Lato Light" w:hAnsi="Lato Light"/>
          <w:szCs w:val="22"/>
        </w:rPr>
        <w:t>out</w:t>
      </w:r>
      <w:r w:rsidRPr="009D7BD5">
        <w:rPr>
          <w:rFonts w:ascii="Lato Light" w:hAnsi="Lato Light"/>
          <w:szCs w:val="22"/>
          <w:lang w:eastAsia="en-GB"/>
        </w:rPr>
        <w:t xml:space="preserve"> in this ITN.</w:t>
      </w:r>
    </w:p>
    <w:p w14:paraId="400B8AD6" w14:textId="3C3CECAE" w:rsidR="00851BF1" w:rsidRPr="009D7BD5" w:rsidRDefault="00136261" w:rsidP="00C83FBA">
      <w:pPr>
        <w:pStyle w:val="Untitledsubclause2"/>
        <w:spacing w:before="120" w:after="240" w:line="240" w:lineRule="auto"/>
        <w:rPr>
          <w:rFonts w:ascii="Lato Light" w:hAnsi="Lato Light"/>
          <w:szCs w:val="22"/>
          <w:lang w:eastAsia="en-GB"/>
        </w:rPr>
      </w:pPr>
      <w:r w:rsidRPr="009D7BD5">
        <w:rPr>
          <w:rFonts w:ascii="Lato Light" w:hAnsi="Lato Light"/>
          <w:szCs w:val="22"/>
          <w:lang w:eastAsia="en-GB"/>
        </w:rPr>
        <w:t>Following receipt of the Tenderers’ response to the ITN (</w:t>
      </w:r>
      <w:r w:rsidRPr="009D7BD5">
        <w:rPr>
          <w:rFonts w:ascii="Lato Light" w:hAnsi="Lato Light"/>
          <w:b/>
          <w:bCs/>
          <w:szCs w:val="22"/>
          <w:lang w:eastAsia="en-GB"/>
        </w:rPr>
        <w:t>Initial Tenders</w:t>
      </w:r>
      <w:r w:rsidRPr="009D7BD5">
        <w:rPr>
          <w:rFonts w:ascii="Lato Light" w:hAnsi="Lato Light"/>
          <w:szCs w:val="22"/>
          <w:lang w:eastAsia="en-GB"/>
        </w:rPr>
        <w:t xml:space="preserve">), London CIV will evaluate the submissions in accordance with the </w:t>
      </w:r>
      <w:r w:rsidR="00A6027D" w:rsidRPr="009D7BD5">
        <w:rPr>
          <w:rFonts w:ascii="Lato Light" w:hAnsi="Lato Light"/>
          <w:szCs w:val="22"/>
          <w:lang w:eastAsia="en-GB"/>
        </w:rPr>
        <w:t>criteria</w:t>
      </w:r>
      <w:r w:rsidR="001C1B45" w:rsidRPr="009D7BD5">
        <w:rPr>
          <w:rFonts w:ascii="Lato Light" w:hAnsi="Lato Light"/>
          <w:szCs w:val="22"/>
          <w:lang w:eastAsia="en-GB"/>
        </w:rPr>
        <w:t xml:space="preserve"> and</w:t>
      </w:r>
      <w:r w:rsidR="00A6027D" w:rsidRPr="009D7BD5">
        <w:rPr>
          <w:rFonts w:ascii="Lato Light" w:hAnsi="Lato Light"/>
          <w:szCs w:val="22"/>
          <w:lang w:eastAsia="en-GB"/>
        </w:rPr>
        <w:t xml:space="preserve"> </w:t>
      </w:r>
      <w:r w:rsidR="001C1B45" w:rsidRPr="009D7BD5">
        <w:rPr>
          <w:rFonts w:ascii="Lato Light" w:hAnsi="Lato Light"/>
          <w:szCs w:val="22"/>
          <w:lang w:eastAsia="en-GB"/>
        </w:rPr>
        <w:t>methodology</w:t>
      </w:r>
      <w:r w:rsidRPr="009D7BD5">
        <w:rPr>
          <w:rFonts w:ascii="Lato Light" w:hAnsi="Lato Light"/>
          <w:szCs w:val="22"/>
          <w:lang w:eastAsia="en-GB"/>
        </w:rPr>
        <w:t xml:space="preserve"> set out in paragraph </w:t>
      </w:r>
      <w:r w:rsidR="0058413E">
        <w:rPr>
          <w:rFonts w:ascii="Lato Light" w:hAnsi="Lato Light"/>
          <w:szCs w:val="22"/>
          <w:lang w:eastAsia="en-GB"/>
        </w:rPr>
        <w:fldChar w:fldCharType="begin"/>
      </w:r>
      <w:r w:rsidR="0058413E">
        <w:rPr>
          <w:rFonts w:ascii="Lato Light" w:hAnsi="Lato Light"/>
          <w:szCs w:val="22"/>
          <w:lang w:eastAsia="en-GB"/>
        </w:rPr>
        <w:instrText xml:space="preserve"> REF _Ref110801296 \r \h </w:instrText>
      </w:r>
      <w:r w:rsidR="0058413E">
        <w:rPr>
          <w:rFonts w:ascii="Lato Light" w:hAnsi="Lato Light"/>
          <w:szCs w:val="22"/>
          <w:lang w:eastAsia="en-GB"/>
        </w:rPr>
      </w:r>
      <w:r w:rsidR="0058413E">
        <w:rPr>
          <w:rFonts w:ascii="Lato Light" w:hAnsi="Lato Light"/>
          <w:szCs w:val="22"/>
          <w:lang w:eastAsia="en-GB"/>
        </w:rPr>
        <w:fldChar w:fldCharType="separate"/>
      </w:r>
      <w:r w:rsidR="00B44B03">
        <w:rPr>
          <w:rFonts w:ascii="Lato Light" w:hAnsi="Lato Light"/>
          <w:szCs w:val="22"/>
          <w:lang w:eastAsia="en-GB"/>
        </w:rPr>
        <w:t>5.2</w:t>
      </w:r>
      <w:r w:rsidR="0058413E">
        <w:rPr>
          <w:rFonts w:ascii="Lato Light" w:hAnsi="Lato Light"/>
          <w:szCs w:val="22"/>
          <w:lang w:eastAsia="en-GB"/>
        </w:rPr>
        <w:fldChar w:fldCharType="end"/>
      </w:r>
      <w:r w:rsidR="008C7C5A" w:rsidRPr="009D7BD5">
        <w:rPr>
          <w:rFonts w:ascii="Lato Light" w:hAnsi="Lato Light"/>
          <w:szCs w:val="22"/>
          <w:lang w:eastAsia="en-GB"/>
        </w:rPr>
        <w:t xml:space="preserve"> (</w:t>
      </w:r>
      <w:r w:rsidR="008C7C5A" w:rsidRPr="009D7BD5">
        <w:rPr>
          <w:rFonts w:ascii="Lato Light" w:hAnsi="Lato Light"/>
          <w:b/>
          <w:bCs/>
          <w:szCs w:val="22"/>
          <w:lang w:eastAsia="en-GB"/>
        </w:rPr>
        <w:t>Evaluation Model</w:t>
      </w:r>
      <w:r w:rsidR="008C7C5A" w:rsidRPr="009D7BD5">
        <w:rPr>
          <w:rFonts w:ascii="Lato Light" w:hAnsi="Lato Light"/>
          <w:szCs w:val="22"/>
          <w:lang w:eastAsia="en-GB"/>
        </w:rPr>
        <w:t>)</w:t>
      </w:r>
      <w:r w:rsidRPr="009D7BD5">
        <w:rPr>
          <w:rFonts w:ascii="Lato Light" w:hAnsi="Lato Light"/>
          <w:szCs w:val="22"/>
          <w:lang w:eastAsia="en-GB"/>
        </w:rPr>
        <w:t>.</w:t>
      </w:r>
      <w:r w:rsidR="00EF1496" w:rsidRPr="009D7BD5">
        <w:rPr>
          <w:rFonts w:ascii="Lato Light" w:hAnsi="Lato Light"/>
          <w:szCs w:val="22"/>
          <w:lang w:eastAsia="en-GB"/>
        </w:rPr>
        <w:t xml:space="preserve"> </w:t>
      </w:r>
    </w:p>
    <w:p w14:paraId="231ACC6D" w14:textId="2FBEDD01" w:rsidR="00EC7CC0" w:rsidRPr="009D7BD5" w:rsidRDefault="00EC7CC0" w:rsidP="00C83FBA">
      <w:pPr>
        <w:pStyle w:val="Untitledsubclause2"/>
        <w:spacing w:before="120" w:after="240" w:line="240" w:lineRule="auto"/>
        <w:rPr>
          <w:rFonts w:ascii="Lato Light" w:hAnsi="Lato Light"/>
          <w:szCs w:val="22"/>
          <w:lang w:eastAsia="en-GB"/>
        </w:rPr>
      </w:pPr>
      <w:r w:rsidRPr="009D7BD5">
        <w:rPr>
          <w:rFonts w:ascii="Lato Light" w:hAnsi="Lato Light"/>
          <w:szCs w:val="22"/>
          <w:lang w:eastAsia="en-GB"/>
        </w:rPr>
        <w:t>Tenderers will need to include a</w:t>
      </w:r>
      <w:r w:rsidR="00F444CC" w:rsidRPr="009D7BD5">
        <w:rPr>
          <w:rFonts w:ascii="Lato Light" w:hAnsi="Lato Light"/>
          <w:szCs w:val="22"/>
          <w:lang w:eastAsia="en-GB"/>
        </w:rPr>
        <w:t xml:space="preserve"> </w:t>
      </w:r>
      <w:r w:rsidR="00F444CC" w:rsidRPr="009D7BD5">
        <w:rPr>
          <w:rFonts w:ascii="Lato Light" w:hAnsi="Lato Light"/>
          <w:szCs w:val="22"/>
        </w:rPr>
        <w:t>demonstration of the software solution proposed for the</w:t>
      </w:r>
      <w:r w:rsidR="00B944AC">
        <w:rPr>
          <w:rFonts w:ascii="Lato Light" w:hAnsi="Lato Light"/>
          <w:szCs w:val="22"/>
        </w:rPr>
        <w:t xml:space="preserve"> C</w:t>
      </w:r>
      <w:r w:rsidR="00F444CC" w:rsidRPr="009D7BD5">
        <w:rPr>
          <w:rFonts w:ascii="Lato Light" w:hAnsi="Lato Light"/>
          <w:szCs w:val="22"/>
        </w:rPr>
        <w:t xml:space="preserve">ontract. This will be a ‘proof of concept’ presentation whereby London CIV will </w:t>
      </w:r>
      <w:r w:rsidR="00685745">
        <w:rPr>
          <w:rFonts w:ascii="Lato Light" w:hAnsi="Lato Light"/>
          <w:szCs w:val="22"/>
        </w:rPr>
        <w:t xml:space="preserve">ask </w:t>
      </w:r>
      <w:r w:rsidR="00F444CC" w:rsidRPr="009D7BD5">
        <w:rPr>
          <w:rFonts w:ascii="Lato Light" w:hAnsi="Lato Light"/>
          <w:szCs w:val="22"/>
        </w:rPr>
        <w:t xml:space="preserve">each </w:t>
      </w:r>
      <w:r w:rsidR="00DE347D" w:rsidRPr="009D7BD5">
        <w:rPr>
          <w:rFonts w:ascii="Lato Light" w:hAnsi="Lato Light"/>
          <w:szCs w:val="22"/>
        </w:rPr>
        <w:t>Tenderer</w:t>
      </w:r>
      <w:r w:rsidR="00685745">
        <w:rPr>
          <w:rFonts w:ascii="Lato Light" w:hAnsi="Lato Light"/>
          <w:szCs w:val="22"/>
        </w:rPr>
        <w:t xml:space="preserve">s will be asked to demonstrate the functionality of their solution and system deliverables </w:t>
      </w:r>
      <w:r w:rsidR="00C41CB2">
        <w:rPr>
          <w:rFonts w:ascii="Lato Light" w:hAnsi="Lato Light"/>
          <w:szCs w:val="22"/>
        </w:rPr>
        <w:t>using a sample portfolio</w:t>
      </w:r>
      <w:r w:rsidR="00685745">
        <w:rPr>
          <w:rFonts w:ascii="Lato Light" w:hAnsi="Lato Light"/>
          <w:szCs w:val="22"/>
        </w:rPr>
        <w:t xml:space="preserve"> similar </w:t>
      </w:r>
      <w:r w:rsidR="00C41CB2">
        <w:rPr>
          <w:rFonts w:ascii="Lato Light" w:hAnsi="Lato Light"/>
          <w:szCs w:val="22"/>
        </w:rPr>
        <w:t xml:space="preserve">to that of London LCIV (see </w:t>
      </w:r>
      <w:r w:rsidR="00254AE2">
        <w:rPr>
          <w:rFonts w:ascii="Lato Light" w:hAnsi="Lato Light"/>
          <w:szCs w:val="22"/>
        </w:rPr>
        <w:t>the table in Section</w:t>
      </w:r>
      <w:r w:rsidR="00C41CB2">
        <w:rPr>
          <w:rFonts w:ascii="Lato Light" w:hAnsi="Lato Light"/>
          <w:szCs w:val="22"/>
        </w:rPr>
        <w:t xml:space="preserve"> </w:t>
      </w:r>
      <w:r w:rsidR="00254AE2">
        <w:rPr>
          <w:rFonts w:ascii="Lato Light" w:hAnsi="Lato Light"/>
          <w:szCs w:val="22"/>
        </w:rPr>
        <w:fldChar w:fldCharType="begin"/>
      </w:r>
      <w:r w:rsidR="00254AE2">
        <w:rPr>
          <w:rFonts w:ascii="Lato Light" w:hAnsi="Lato Light"/>
          <w:szCs w:val="22"/>
        </w:rPr>
        <w:instrText xml:space="preserve"> REF _Ref111034907 \r \h </w:instrText>
      </w:r>
      <w:r w:rsidR="00254AE2">
        <w:rPr>
          <w:rFonts w:ascii="Lato Light" w:hAnsi="Lato Light"/>
          <w:szCs w:val="22"/>
        </w:rPr>
      </w:r>
      <w:r w:rsidR="00254AE2">
        <w:rPr>
          <w:rFonts w:ascii="Lato Light" w:hAnsi="Lato Light"/>
          <w:szCs w:val="22"/>
        </w:rPr>
        <w:fldChar w:fldCharType="separate"/>
      </w:r>
      <w:r w:rsidR="00B44B03">
        <w:rPr>
          <w:rFonts w:ascii="Lato Light" w:hAnsi="Lato Light"/>
          <w:szCs w:val="22"/>
        </w:rPr>
        <w:t>1.1</w:t>
      </w:r>
      <w:r w:rsidR="00254AE2">
        <w:rPr>
          <w:rFonts w:ascii="Lato Light" w:hAnsi="Lato Light"/>
          <w:szCs w:val="22"/>
        </w:rPr>
        <w:fldChar w:fldCharType="end"/>
      </w:r>
      <w:r w:rsidR="00254AE2">
        <w:rPr>
          <w:rFonts w:ascii="Lato Light" w:hAnsi="Lato Light"/>
          <w:szCs w:val="22"/>
        </w:rPr>
        <w:t xml:space="preserve"> of Annex 1 – Specification)</w:t>
      </w:r>
      <w:r w:rsidRPr="009D7BD5">
        <w:rPr>
          <w:rFonts w:ascii="Lato Light" w:hAnsi="Lato Light"/>
          <w:szCs w:val="22"/>
          <w:lang w:eastAsia="en-GB"/>
        </w:rPr>
        <w:t xml:space="preserve"> </w:t>
      </w:r>
      <w:r w:rsidR="00F444CC" w:rsidRPr="009D7BD5">
        <w:rPr>
          <w:rFonts w:ascii="Lato Light" w:hAnsi="Lato Light"/>
          <w:szCs w:val="22"/>
        </w:rPr>
        <w:t xml:space="preserve">Tenderers will be invited to deliver a presentation to representatives of the authority in support of their Tenders, as set out in the Timetable. The presentations will be used to </w:t>
      </w:r>
      <w:r w:rsidR="003413DD" w:rsidRPr="009D7BD5">
        <w:rPr>
          <w:rFonts w:ascii="Lato Light" w:hAnsi="Lato Light"/>
          <w:szCs w:val="22"/>
        </w:rPr>
        <w:t>(</w:t>
      </w:r>
      <w:proofErr w:type="spellStart"/>
      <w:r w:rsidR="003413DD" w:rsidRPr="009D7BD5">
        <w:rPr>
          <w:rFonts w:ascii="Lato Light" w:hAnsi="Lato Light"/>
          <w:szCs w:val="22"/>
        </w:rPr>
        <w:t>i</w:t>
      </w:r>
      <w:proofErr w:type="spellEnd"/>
      <w:r w:rsidR="003413DD" w:rsidRPr="009D7BD5">
        <w:rPr>
          <w:rFonts w:ascii="Lato Light" w:hAnsi="Lato Light"/>
          <w:szCs w:val="22"/>
        </w:rPr>
        <w:t xml:space="preserve">) </w:t>
      </w:r>
      <w:r w:rsidR="00F444CC" w:rsidRPr="009D7BD5">
        <w:rPr>
          <w:rFonts w:ascii="Lato Light" w:hAnsi="Lato Light"/>
          <w:szCs w:val="22"/>
        </w:rPr>
        <w:t xml:space="preserve">moderate the </w:t>
      </w:r>
      <w:r w:rsidR="00EB1298" w:rsidRPr="009D7BD5">
        <w:rPr>
          <w:rFonts w:ascii="Lato Light" w:hAnsi="Lato Light"/>
          <w:szCs w:val="22"/>
        </w:rPr>
        <w:t>writte</w:t>
      </w:r>
      <w:r w:rsidR="008C7C5A" w:rsidRPr="009D7BD5">
        <w:rPr>
          <w:rFonts w:ascii="Lato Light" w:hAnsi="Lato Light"/>
          <w:szCs w:val="22"/>
        </w:rPr>
        <w:t>n submissions in accordance with the Evaluation Model</w:t>
      </w:r>
      <w:r w:rsidR="003413DD" w:rsidRPr="009D7BD5">
        <w:rPr>
          <w:rFonts w:ascii="Lato Light" w:hAnsi="Lato Light"/>
          <w:szCs w:val="22"/>
        </w:rPr>
        <w:t xml:space="preserve"> and (ii)</w:t>
      </w:r>
      <w:r w:rsidR="00B0689C" w:rsidRPr="009D7BD5">
        <w:rPr>
          <w:rFonts w:ascii="Lato Light" w:hAnsi="Lato Light"/>
          <w:szCs w:val="22"/>
        </w:rPr>
        <w:t xml:space="preserve"> without prejudice to paragraph 2.5</w:t>
      </w:r>
      <w:r w:rsidR="00B0689C" w:rsidRPr="009D7BD5">
        <w:rPr>
          <w:rFonts w:ascii="Lato Light" w:hAnsi="Lato Light"/>
          <w:szCs w:val="22"/>
        </w:rPr>
        <w:fldChar w:fldCharType="begin"/>
      </w:r>
      <w:r w:rsidR="00B0689C" w:rsidRPr="009D7BD5">
        <w:rPr>
          <w:rFonts w:ascii="Lato Light" w:hAnsi="Lato Light"/>
          <w:szCs w:val="22"/>
        </w:rPr>
        <w:instrText xml:space="preserve"> REF _Ref110799279 \r \h </w:instrText>
      </w:r>
      <w:r w:rsidR="009D7BD5" w:rsidRPr="009D7BD5">
        <w:rPr>
          <w:rFonts w:ascii="Lato Light" w:hAnsi="Lato Light"/>
          <w:szCs w:val="22"/>
        </w:rPr>
        <w:instrText xml:space="preserve"> \* MERGEFORMAT </w:instrText>
      </w:r>
      <w:r w:rsidR="00B0689C" w:rsidRPr="009D7BD5">
        <w:rPr>
          <w:rFonts w:ascii="Lato Light" w:hAnsi="Lato Light"/>
          <w:szCs w:val="22"/>
        </w:rPr>
      </w:r>
      <w:r w:rsidR="00B0689C" w:rsidRPr="009D7BD5">
        <w:rPr>
          <w:rFonts w:ascii="Lato Light" w:hAnsi="Lato Light"/>
          <w:szCs w:val="22"/>
        </w:rPr>
        <w:fldChar w:fldCharType="separate"/>
      </w:r>
      <w:r w:rsidR="00B44B03">
        <w:rPr>
          <w:rFonts w:ascii="Lato Light" w:hAnsi="Lato Light"/>
          <w:szCs w:val="22"/>
        </w:rPr>
        <w:t>(f)</w:t>
      </w:r>
      <w:r w:rsidR="00B0689C" w:rsidRPr="009D7BD5">
        <w:rPr>
          <w:rFonts w:ascii="Lato Light" w:hAnsi="Lato Light"/>
          <w:szCs w:val="22"/>
        </w:rPr>
        <w:fldChar w:fldCharType="end"/>
      </w:r>
      <w:r w:rsidR="00B0689C" w:rsidRPr="009D7BD5">
        <w:rPr>
          <w:rFonts w:ascii="Lato Light" w:hAnsi="Lato Light"/>
          <w:szCs w:val="22"/>
        </w:rPr>
        <w:t>,</w:t>
      </w:r>
      <w:r w:rsidR="003413DD" w:rsidRPr="009D7BD5">
        <w:rPr>
          <w:rFonts w:ascii="Lato Light" w:hAnsi="Lato Light"/>
          <w:szCs w:val="22"/>
        </w:rPr>
        <w:t xml:space="preserve"> </w:t>
      </w:r>
      <w:r w:rsidR="00FD5052" w:rsidRPr="009D7BD5">
        <w:rPr>
          <w:rFonts w:ascii="Lato Light" w:hAnsi="Lato Light"/>
          <w:szCs w:val="22"/>
        </w:rPr>
        <w:t>form the basis of negotiations as more particularly described in paragraph 2.5</w:t>
      </w:r>
      <w:r w:rsidR="00FD5052" w:rsidRPr="009D7BD5">
        <w:rPr>
          <w:rFonts w:ascii="Lato Light" w:hAnsi="Lato Light"/>
          <w:szCs w:val="22"/>
        </w:rPr>
        <w:fldChar w:fldCharType="begin"/>
      </w:r>
      <w:r w:rsidR="00FD5052" w:rsidRPr="009D7BD5">
        <w:rPr>
          <w:rFonts w:ascii="Lato Light" w:hAnsi="Lato Light"/>
          <w:szCs w:val="22"/>
        </w:rPr>
        <w:instrText xml:space="preserve"> REF _Ref110799155 \r \h </w:instrText>
      </w:r>
      <w:r w:rsidR="009D7BD5" w:rsidRPr="009D7BD5">
        <w:rPr>
          <w:rFonts w:ascii="Lato Light" w:hAnsi="Lato Light"/>
          <w:szCs w:val="22"/>
        </w:rPr>
        <w:instrText xml:space="preserve"> \* MERGEFORMAT </w:instrText>
      </w:r>
      <w:r w:rsidR="00FD5052" w:rsidRPr="009D7BD5">
        <w:rPr>
          <w:rFonts w:ascii="Lato Light" w:hAnsi="Lato Light"/>
          <w:szCs w:val="22"/>
        </w:rPr>
      </w:r>
      <w:r w:rsidR="00FD5052" w:rsidRPr="009D7BD5">
        <w:rPr>
          <w:rFonts w:ascii="Lato Light" w:hAnsi="Lato Light"/>
          <w:szCs w:val="22"/>
        </w:rPr>
        <w:fldChar w:fldCharType="separate"/>
      </w:r>
      <w:r w:rsidR="00B44B03">
        <w:rPr>
          <w:rFonts w:ascii="Lato Light" w:hAnsi="Lato Light"/>
          <w:szCs w:val="22"/>
        </w:rPr>
        <w:t>(d)</w:t>
      </w:r>
      <w:r w:rsidR="00FD5052" w:rsidRPr="009D7BD5">
        <w:rPr>
          <w:rFonts w:ascii="Lato Light" w:hAnsi="Lato Light"/>
          <w:szCs w:val="22"/>
        </w:rPr>
        <w:fldChar w:fldCharType="end"/>
      </w:r>
      <w:r w:rsidR="00191E21" w:rsidRPr="009D7BD5">
        <w:rPr>
          <w:rFonts w:ascii="Lato Light" w:hAnsi="Lato Light"/>
          <w:szCs w:val="22"/>
        </w:rPr>
        <w:t>.</w:t>
      </w:r>
      <w:r w:rsidR="00FD5052" w:rsidRPr="009D7BD5">
        <w:rPr>
          <w:rFonts w:ascii="Lato Light" w:hAnsi="Lato Light"/>
          <w:szCs w:val="22"/>
        </w:rPr>
        <w:t xml:space="preserve"> </w:t>
      </w:r>
    </w:p>
    <w:p w14:paraId="2ED86F2A" w14:textId="7BB816E8" w:rsidR="004F2EB4" w:rsidRPr="009D7BD5" w:rsidRDefault="00136261" w:rsidP="00C83FBA">
      <w:pPr>
        <w:pStyle w:val="Untitledsubclause2"/>
        <w:spacing w:before="120" w:after="240" w:line="240" w:lineRule="auto"/>
        <w:rPr>
          <w:rFonts w:ascii="Lato Light" w:hAnsi="Lato Light"/>
          <w:szCs w:val="22"/>
          <w:lang w:eastAsia="en-GB"/>
        </w:rPr>
      </w:pPr>
      <w:bookmarkStart w:id="6" w:name="_Ref110799155"/>
      <w:r w:rsidRPr="009D7BD5">
        <w:rPr>
          <w:rFonts w:ascii="Lato Light" w:hAnsi="Lato Light"/>
          <w:szCs w:val="22"/>
          <w:lang w:eastAsia="en-GB"/>
        </w:rPr>
        <w:t xml:space="preserve">London CIV intends to enter into discussions with Tenderers in respect of the topics outlined in paragraph </w:t>
      </w:r>
      <w:r w:rsidR="009039F0">
        <w:rPr>
          <w:rFonts w:ascii="Lato Light" w:hAnsi="Lato Light"/>
          <w:szCs w:val="22"/>
          <w:lang w:eastAsia="en-GB"/>
        </w:rPr>
        <w:fldChar w:fldCharType="begin"/>
      </w:r>
      <w:r w:rsidR="009039F0">
        <w:rPr>
          <w:rFonts w:ascii="Lato Light" w:hAnsi="Lato Light"/>
          <w:szCs w:val="22"/>
          <w:lang w:eastAsia="en-GB"/>
        </w:rPr>
        <w:instrText xml:space="preserve"> REF _Ref110804988 \r \h </w:instrText>
      </w:r>
      <w:r w:rsidR="009039F0">
        <w:rPr>
          <w:rFonts w:ascii="Lato Light" w:hAnsi="Lato Light"/>
          <w:szCs w:val="22"/>
          <w:lang w:eastAsia="en-GB"/>
        </w:rPr>
      </w:r>
      <w:r w:rsidR="009039F0">
        <w:rPr>
          <w:rFonts w:ascii="Lato Light" w:hAnsi="Lato Light"/>
          <w:szCs w:val="22"/>
          <w:lang w:eastAsia="en-GB"/>
        </w:rPr>
        <w:fldChar w:fldCharType="separate"/>
      </w:r>
      <w:r w:rsidR="00B44B03">
        <w:rPr>
          <w:rFonts w:ascii="Lato Light" w:hAnsi="Lato Light"/>
          <w:szCs w:val="22"/>
          <w:lang w:eastAsia="en-GB"/>
        </w:rPr>
        <w:t>6</w:t>
      </w:r>
      <w:r w:rsidR="009039F0">
        <w:rPr>
          <w:rFonts w:ascii="Lato Light" w:hAnsi="Lato Light"/>
          <w:szCs w:val="22"/>
          <w:lang w:eastAsia="en-GB"/>
        </w:rPr>
        <w:fldChar w:fldCharType="end"/>
      </w:r>
      <w:r w:rsidR="00AF6456" w:rsidRPr="009D7BD5">
        <w:rPr>
          <w:rFonts w:ascii="Lato Light" w:hAnsi="Lato Light"/>
          <w:szCs w:val="22"/>
          <w:lang w:eastAsia="en-GB"/>
        </w:rPr>
        <w:t xml:space="preserve"> and will conclude such discussions once it has identified a solution that meets its requirements in respect of the subject matters iden</w:t>
      </w:r>
      <w:r w:rsidR="001617AE" w:rsidRPr="009D7BD5">
        <w:rPr>
          <w:rFonts w:ascii="Lato Light" w:hAnsi="Lato Light"/>
          <w:szCs w:val="22"/>
          <w:lang w:eastAsia="en-GB"/>
        </w:rPr>
        <w:t>tified for negotiation</w:t>
      </w:r>
      <w:r w:rsidRPr="009D7BD5">
        <w:rPr>
          <w:rFonts w:ascii="Lato Light" w:hAnsi="Lato Light"/>
          <w:szCs w:val="22"/>
          <w:lang w:eastAsia="en-GB"/>
        </w:rPr>
        <w:t xml:space="preserve">. </w:t>
      </w:r>
    </w:p>
    <w:p w14:paraId="2848052A" w14:textId="07870A50" w:rsidR="004F2EB4" w:rsidRPr="009D7BD5" w:rsidRDefault="004F2EB4" w:rsidP="00C83FBA">
      <w:pPr>
        <w:pStyle w:val="Untitledsubclause2"/>
        <w:spacing w:before="120" w:after="240" w:line="240" w:lineRule="auto"/>
        <w:rPr>
          <w:rFonts w:ascii="Lato Light" w:hAnsi="Lato Light"/>
          <w:szCs w:val="22"/>
          <w:lang w:eastAsia="en-GB"/>
        </w:rPr>
      </w:pPr>
      <w:r w:rsidRPr="009D7BD5">
        <w:rPr>
          <w:rFonts w:ascii="Lato Light" w:hAnsi="Lato Light"/>
          <w:szCs w:val="22"/>
          <w:lang w:eastAsia="en-GB"/>
        </w:rPr>
        <w:t xml:space="preserve">At the end of the negotiation process, London CIV will issue an updated ITN based on the most optimal solution identified during the negotiation </w:t>
      </w:r>
      <w:r w:rsidR="00860381" w:rsidRPr="009D7BD5">
        <w:rPr>
          <w:rFonts w:ascii="Lato Light" w:hAnsi="Lato Light"/>
          <w:szCs w:val="22"/>
          <w:lang w:eastAsia="en-GB"/>
        </w:rPr>
        <w:t>stage and</w:t>
      </w:r>
      <w:r w:rsidRPr="009D7BD5">
        <w:rPr>
          <w:rFonts w:ascii="Lato Light" w:hAnsi="Lato Light"/>
          <w:szCs w:val="22"/>
          <w:lang w:eastAsia="en-GB"/>
        </w:rPr>
        <w:t xml:space="preserve"> invite </w:t>
      </w:r>
      <w:r w:rsidRPr="009D7BD5">
        <w:rPr>
          <w:rFonts w:ascii="Lato Light" w:hAnsi="Lato Light"/>
          <w:szCs w:val="22"/>
          <w:lang w:eastAsia="en-GB"/>
        </w:rPr>
        <w:lastRenderedPageBreak/>
        <w:t>Tenderers to submit best and final bids (</w:t>
      </w:r>
      <w:r w:rsidRPr="009D7BD5">
        <w:rPr>
          <w:rFonts w:ascii="Lato Light" w:hAnsi="Lato Light"/>
          <w:b/>
          <w:bCs/>
          <w:szCs w:val="22"/>
          <w:lang w:eastAsia="en-GB"/>
        </w:rPr>
        <w:t>Final Bids</w:t>
      </w:r>
      <w:r w:rsidRPr="009D7BD5">
        <w:rPr>
          <w:rFonts w:ascii="Lato Light" w:hAnsi="Lato Light"/>
          <w:szCs w:val="22"/>
          <w:lang w:eastAsia="en-GB"/>
        </w:rPr>
        <w:t xml:space="preserve">) by issuing an Invitation to Submit a Final Tender. Final Tenders will be evaluated using the criteria and methodology outlined in paragraph </w:t>
      </w:r>
      <w:r w:rsidR="002D5EE3">
        <w:rPr>
          <w:rFonts w:ascii="Lato Light" w:hAnsi="Lato Light"/>
          <w:color w:val="FF0000"/>
          <w:szCs w:val="22"/>
          <w:lang w:eastAsia="en-GB"/>
        </w:rPr>
        <w:fldChar w:fldCharType="begin"/>
      </w:r>
      <w:r w:rsidR="002D5EE3">
        <w:rPr>
          <w:rFonts w:ascii="Lato Light" w:hAnsi="Lato Light"/>
          <w:szCs w:val="22"/>
          <w:lang w:eastAsia="en-GB"/>
        </w:rPr>
        <w:instrText xml:space="preserve"> REF _Ref110801296 \r \h </w:instrText>
      </w:r>
      <w:r w:rsidR="002D5EE3">
        <w:rPr>
          <w:rFonts w:ascii="Lato Light" w:hAnsi="Lato Light"/>
          <w:color w:val="FF0000"/>
          <w:szCs w:val="22"/>
          <w:lang w:eastAsia="en-GB"/>
        </w:rPr>
      </w:r>
      <w:r w:rsidR="002D5EE3">
        <w:rPr>
          <w:rFonts w:ascii="Lato Light" w:hAnsi="Lato Light"/>
          <w:color w:val="FF0000"/>
          <w:szCs w:val="22"/>
          <w:lang w:eastAsia="en-GB"/>
        </w:rPr>
        <w:fldChar w:fldCharType="separate"/>
      </w:r>
      <w:r w:rsidR="00B44B03">
        <w:rPr>
          <w:rFonts w:ascii="Lato Light" w:hAnsi="Lato Light"/>
          <w:szCs w:val="22"/>
          <w:lang w:eastAsia="en-GB"/>
        </w:rPr>
        <w:t>5.2</w:t>
      </w:r>
      <w:r w:rsidR="002D5EE3">
        <w:rPr>
          <w:rFonts w:ascii="Lato Light" w:hAnsi="Lato Light"/>
          <w:color w:val="FF0000"/>
          <w:szCs w:val="22"/>
          <w:lang w:eastAsia="en-GB"/>
        </w:rPr>
        <w:fldChar w:fldCharType="end"/>
      </w:r>
      <w:r w:rsidRPr="009D7BD5">
        <w:rPr>
          <w:rFonts w:ascii="Lato Light" w:hAnsi="Lato Light"/>
          <w:szCs w:val="22"/>
          <w:lang w:eastAsia="en-GB"/>
        </w:rPr>
        <w:t>.</w:t>
      </w:r>
    </w:p>
    <w:p w14:paraId="2E86ABB5" w14:textId="6DFAE71C" w:rsidR="00136261" w:rsidRPr="009D7BD5" w:rsidRDefault="00136261" w:rsidP="00C83FBA">
      <w:pPr>
        <w:pStyle w:val="Untitledsubclause2"/>
        <w:spacing w:before="120" w:after="240" w:line="240" w:lineRule="auto"/>
        <w:rPr>
          <w:rFonts w:ascii="Lato Light" w:hAnsi="Lato Light"/>
          <w:szCs w:val="22"/>
          <w:lang w:eastAsia="en-GB"/>
        </w:rPr>
      </w:pPr>
      <w:bookmarkStart w:id="7" w:name="_Ref110799279"/>
      <w:r w:rsidRPr="009D7BD5">
        <w:rPr>
          <w:rFonts w:ascii="Lato Light" w:hAnsi="Lato Light"/>
          <w:szCs w:val="22"/>
          <w:lang w:eastAsia="en-GB"/>
        </w:rPr>
        <w:t>Notwithstanding, London CIV reserves the right to award the contract without entering into negotiations, to the Tenderer that is awarded the highest mark for its Initial Tender.</w:t>
      </w:r>
      <w:bookmarkEnd w:id="6"/>
      <w:bookmarkEnd w:id="7"/>
      <w:r w:rsidR="00AF6456" w:rsidRPr="009D7BD5">
        <w:rPr>
          <w:rFonts w:ascii="Lato Light" w:hAnsi="Lato Light"/>
          <w:szCs w:val="22"/>
          <w:lang w:eastAsia="en-GB"/>
        </w:rPr>
        <w:t xml:space="preserve"> </w:t>
      </w:r>
    </w:p>
    <w:p w14:paraId="5654069A" w14:textId="6417F674" w:rsidR="000F2F0C" w:rsidRPr="009D7BD5" w:rsidRDefault="00F33767" w:rsidP="00C83FBA">
      <w:pPr>
        <w:pStyle w:val="Untitledsubclause1"/>
        <w:spacing w:before="120" w:after="240" w:line="240" w:lineRule="auto"/>
        <w:rPr>
          <w:rFonts w:ascii="Lato Light" w:hAnsi="Lato Light"/>
          <w:b/>
          <w:szCs w:val="22"/>
        </w:rPr>
      </w:pPr>
      <w:bookmarkStart w:id="8" w:name="a817202"/>
      <w:bookmarkEnd w:id="5"/>
      <w:r w:rsidRPr="009D7BD5">
        <w:rPr>
          <w:rFonts w:ascii="Lato Light" w:hAnsi="Lato Light"/>
          <w:b/>
          <w:szCs w:val="22"/>
        </w:rPr>
        <w:t xml:space="preserve">Clarifications about the Services or </w:t>
      </w:r>
      <w:r w:rsidR="0038521A" w:rsidRPr="009D7BD5">
        <w:rPr>
          <w:rFonts w:ascii="Lato Light" w:hAnsi="Lato Light"/>
          <w:b/>
          <w:szCs w:val="22"/>
        </w:rPr>
        <w:t>ITN</w:t>
      </w:r>
      <w:bookmarkEnd w:id="8"/>
    </w:p>
    <w:p w14:paraId="708E1B42" w14:textId="2E3940BD"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Any clarifications relating to this </w:t>
      </w:r>
      <w:r w:rsidR="0038521A" w:rsidRPr="009D7BD5">
        <w:rPr>
          <w:rFonts w:ascii="Lato Light" w:hAnsi="Lato Light"/>
          <w:szCs w:val="22"/>
        </w:rPr>
        <w:t>ITN</w:t>
      </w:r>
      <w:r w:rsidRPr="009D7BD5">
        <w:rPr>
          <w:rFonts w:ascii="Lato Light" w:hAnsi="Lato Light"/>
          <w:szCs w:val="22"/>
        </w:rPr>
        <w:t xml:space="preserve"> must be submitted through the e-tendering portal</w:t>
      </w:r>
      <w:r w:rsidR="00EE1668">
        <w:rPr>
          <w:rFonts w:ascii="Lato Light" w:hAnsi="Lato Light"/>
          <w:szCs w:val="22"/>
        </w:rPr>
        <w:t xml:space="preserve"> utilising the </w:t>
      </w:r>
      <w:r w:rsidR="00EE1668" w:rsidRPr="00EE1668">
        <w:rPr>
          <w:rFonts w:ascii="Lato Light" w:hAnsi="Lato Light"/>
          <w:b/>
          <w:bCs/>
          <w:szCs w:val="22"/>
        </w:rPr>
        <w:t>Clarification Log</w:t>
      </w:r>
      <w:r w:rsidRPr="009D7BD5">
        <w:rPr>
          <w:rFonts w:ascii="Lato Light" w:hAnsi="Lato Light"/>
          <w:szCs w:val="22"/>
        </w:rPr>
        <w:t>.</w:t>
      </w:r>
    </w:p>
    <w:p w14:paraId="16B8A099" w14:textId="1BABDD07" w:rsidR="000F2F0C" w:rsidRPr="009D7BD5" w:rsidRDefault="00A50EDF" w:rsidP="00C83FBA">
      <w:pPr>
        <w:pStyle w:val="Parasubclause1"/>
        <w:spacing w:before="120" w:after="240" w:line="240" w:lineRule="auto"/>
        <w:rPr>
          <w:rFonts w:ascii="Lato Light" w:hAnsi="Lato Light"/>
          <w:szCs w:val="22"/>
        </w:rPr>
      </w:pPr>
      <w:r w:rsidRPr="009D7BD5">
        <w:rPr>
          <w:rFonts w:ascii="Lato Light" w:hAnsi="Lato Light"/>
          <w:szCs w:val="22"/>
        </w:rPr>
        <w:t xml:space="preserve">London CIV </w:t>
      </w:r>
      <w:r w:rsidR="00F33767" w:rsidRPr="009D7BD5">
        <w:rPr>
          <w:rFonts w:ascii="Lato Light" w:hAnsi="Lato Light"/>
          <w:szCs w:val="22"/>
        </w:rPr>
        <w:t>will respond to all reasonable clarifications as soon as possible through publishing the Tenderers' questions and th</w:t>
      </w:r>
      <w:r w:rsidR="002A35C8" w:rsidRPr="009D7BD5">
        <w:rPr>
          <w:rFonts w:ascii="Lato Light" w:hAnsi="Lato Light"/>
          <w:szCs w:val="22"/>
        </w:rPr>
        <w:t>e</w:t>
      </w:r>
      <w:r w:rsidR="00C5592D" w:rsidRPr="009D7BD5">
        <w:rPr>
          <w:rFonts w:ascii="Lato Light" w:hAnsi="Lato Light"/>
          <w:szCs w:val="22"/>
        </w:rPr>
        <w:t xml:space="preserve"> authority</w:t>
      </w:r>
      <w:r w:rsidR="00F33767" w:rsidRPr="009D7BD5">
        <w:rPr>
          <w:rFonts w:ascii="Lato Light" w:hAnsi="Lato Light"/>
          <w:szCs w:val="22"/>
        </w:rPr>
        <w:t xml:space="preserve">'s response to them on the e-tendering portal. If a Tenderer wishes </w:t>
      </w:r>
      <w:r w:rsidR="00DB6E9B" w:rsidRPr="009D7BD5">
        <w:rPr>
          <w:rFonts w:ascii="Lato Light" w:hAnsi="Lato Light"/>
          <w:szCs w:val="22"/>
        </w:rPr>
        <w:t>London CIV</w:t>
      </w:r>
      <w:r w:rsidR="00F33767" w:rsidRPr="009D7BD5">
        <w:rPr>
          <w:rFonts w:ascii="Lato Light" w:hAnsi="Lato Light"/>
          <w:szCs w:val="22"/>
        </w:rPr>
        <w:t xml:space="preserve"> to treat a clarification as confidential and not issue the response to all Tenderers, it must state this when submitting the clarification. If, in the opinion of </w:t>
      </w:r>
      <w:r w:rsidRPr="009D7BD5">
        <w:rPr>
          <w:rFonts w:ascii="Lato Light" w:hAnsi="Lato Light"/>
          <w:szCs w:val="22"/>
        </w:rPr>
        <w:t>London CIV</w:t>
      </w:r>
      <w:r w:rsidR="00F33767" w:rsidRPr="009D7BD5">
        <w:rPr>
          <w:rFonts w:ascii="Lato Light" w:hAnsi="Lato Light"/>
          <w:szCs w:val="22"/>
        </w:rPr>
        <w:t xml:space="preserve">, the clarification is not confidential, </w:t>
      </w:r>
      <w:r w:rsidRPr="009D7BD5">
        <w:rPr>
          <w:rFonts w:ascii="Lato Light" w:hAnsi="Lato Light"/>
          <w:szCs w:val="22"/>
        </w:rPr>
        <w:t xml:space="preserve">London CIV </w:t>
      </w:r>
      <w:r w:rsidR="00F33767" w:rsidRPr="009D7BD5">
        <w:rPr>
          <w:rFonts w:ascii="Lato Light" w:hAnsi="Lato Light"/>
          <w:szCs w:val="22"/>
        </w:rPr>
        <w:t>will inform the Tenderer and it will have an opportunity to withdraw it. If the clarification is not withdrawn, the response will be issued to all Tenderers.</w:t>
      </w:r>
    </w:p>
    <w:p w14:paraId="43F5DD88" w14:textId="3D16D49D"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The deadline for receipt of clarifications relating to the Services or this </w:t>
      </w:r>
      <w:r w:rsidR="0038521A" w:rsidRPr="009D7BD5">
        <w:rPr>
          <w:rFonts w:ascii="Lato Light" w:hAnsi="Lato Light"/>
          <w:szCs w:val="22"/>
        </w:rPr>
        <w:t>ITN</w:t>
      </w:r>
      <w:r w:rsidRPr="009D7BD5">
        <w:rPr>
          <w:rFonts w:ascii="Lato Light" w:hAnsi="Lato Light"/>
          <w:szCs w:val="22"/>
        </w:rPr>
        <w:t xml:space="preserve"> is set out in </w:t>
      </w:r>
      <w:r w:rsidRPr="009D7BD5">
        <w:rPr>
          <w:rFonts w:ascii="Lato Light" w:hAnsi="Lato Light"/>
          <w:szCs w:val="22"/>
        </w:rPr>
        <w:fldChar w:fldCharType="begin"/>
      </w:r>
      <w:r w:rsidRPr="009D7BD5">
        <w:rPr>
          <w:rFonts w:ascii="Lato Light" w:hAnsi="Lato Light"/>
          <w:szCs w:val="22"/>
        </w:rPr>
        <w:instrText>PAGEREF a257729\# "'paragraph '"  \h</w:instrText>
      </w:r>
      <w:r w:rsidRPr="009D7BD5">
        <w:rPr>
          <w:rFonts w:ascii="Lato Light" w:hAnsi="Lato Light"/>
          <w:szCs w:val="22"/>
        </w:rPr>
      </w:r>
      <w:r w:rsidRPr="009D7BD5">
        <w:rPr>
          <w:rFonts w:ascii="Lato Light" w:hAnsi="Lato Light"/>
          <w:szCs w:val="22"/>
        </w:rPr>
        <w:fldChar w:fldCharType="separate"/>
      </w:r>
      <w:r w:rsidR="00B44B03" w:rsidRPr="009D7BD5">
        <w:rPr>
          <w:rFonts w:ascii="Lato Light" w:hAnsi="Lato Light"/>
          <w:noProof/>
          <w:szCs w:val="22"/>
        </w:rPr>
        <w:t xml:space="preserve">paragraph </w:t>
      </w:r>
      <w:r w:rsidRPr="009D7BD5">
        <w:rPr>
          <w:rFonts w:ascii="Lato Light" w:hAnsi="Lato Light"/>
          <w:szCs w:val="22"/>
        </w:rPr>
        <w:fldChar w:fldCharType="end"/>
      </w:r>
      <w:r w:rsidRPr="009D7BD5">
        <w:rPr>
          <w:rFonts w:ascii="Lato Light" w:hAnsi="Lato Light"/>
          <w:szCs w:val="22"/>
        </w:rPr>
        <w:fldChar w:fldCharType="begin"/>
      </w:r>
      <w:r w:rsidRPr="009D7BD5">
        <w:rPr>
          <w:rFonts w:ascii="Lato Light" w:hAnsi="Lato Light"/>
          <w:szCs w:val="22"/>
          <w:highlight w:val="lightGray"/>
        </w:rPr>
        <w:instrText>REF a257729 \h \w</w:instrText>
      </w:r>
      <w:r w:rsidR="00C43718" w:rsidRPr="009D7BD5">
        <w:rPr>
          <w:rFonts w:ascii="Lato Light" w:hAnsi="Lato Light"/>
          <w:szCs w:val="22"/>
        </w:rPr>
        <w:instrText xml:space="preserve"> \* MERGEFORMAT </w:instrText>
      </w:r>
      <w:r w:rsidRPr="009D7BD5">
        <w:rPr>
          <w:rFonts w:ascii="Lato Light" w:hAnsi="Lato Light"/>
          <w:szCs w:val="22"/>
        </w:rPr>
      </w:r>
      <w:r w:rsidRPr="009D7BD5">
        <w:rPr>
          <w:rFonts w:ascii="Lato Light" w:hAnsi="Lato Light"/>
          <w:szCs w:val="22"/>
        </w:rPr>
        <w:fldChar w:fldCharType="separate"/>
      </w:r>
      <w:r w:rsidR="00B44B03" w:rsidRPr="00B44B03">
        <w:rPr>
          <w:rFonts w:ascii="Lato Light" w:hAnsi="Lato Light"/>
          <w:szCs w:val="22"/>
        </w:rPr>
        <w:t>3</w:t>
      </w:r>
      <w:r w:rsidRPr="009D7BD5">
        <w:rPr>
          <w:rFonts w:ascii="Lato Light" w:hAnsi="Lato Light"/>
          <w:szCs w:val="22"/>
        </w:rPr>
        <w:fldChar w:fldCharType="end"/>
      </w:r>
      <w:r w:rsidRPr="009D7BD5">
        <w:rPr>
          <w:rFonts w:ascii="Lato Light" w:hAnsi="Lato Light"/>
          <w:szCs w:val="22"/>
        </w:rPr>
        <w:t>.</w:t>
      </w:r>
    </w:p>
    <w:p w14:paraId="4A407CFA" w14:textId="260DEFC7"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Tenderers are advised not to rely on communications from </w:t>
      </w:r>
      <w:r w:rsidR="00DA76B0" w:rsidRPr="009D7BD5">
        <w:rPr>
          <w:rFonts w:ascii="Lato Light" w:hAnsi="Lato Light"/>
          <w:szCs w:val="22"/>
        </w:rPr>
        <w:t xml:space="preserve">London CIV </w:t>
      </w:r>
      <w:r w:rsidRPr="009D7BD5">
        <w:rPr>
          <w:rFonts w:ascii="Lato Light" w:hAnsi="Lato Light"/>
          <w:szCs w:val="22"/>
        </w:rPr>
        <w:t xml:space="preserve">in respect of the Services or </w:t>
      </w:r>
      <w:r w:rsidR="0038521A" w:rsidRPr="009D7BD5">
        <w:rPr>
          <w:rFonts w:ascii="Lato Light" w:hAnsi="Lato Light"/>
          <w:szCs w:val="22"/>
        </w:rPr>
        <w:t>ITN</w:t>
      </w:r>
      <w:r w:rsidRPr="009D7BD5">
        <w:rPr>
          <w:rFonts w:ascii="Lato Light" w:hAnsi="Lato Light"/>
          <w:szCs w:val="22"/>
        </w:rPr>
        <w:t xml:space="preserve"> unless they are made in accordance with these instructions.</w:t>
      </w:r>
    </w:p>
    <w:p w14:paraId="2707631B" w14:textId="77777777" w:rsidR="000F2F0C" w:rsidRPr="009D7BD5" w:rsidRDefault="00F33767" w:rsidP="00C83FBA">
      <w:pPr>
        <w:pStyle w:val="Untitledsubclause1"/>
        <w:spacing w:before="120" w:after="240" w:line="240" w:lineRule="auto"/>
        <w:rPr>
          <w:rFonts w:ascii="Lato Light" w:hAnsi="Lato Light"/>
          <w:b/>
          <w:szCs w:val="22"/>
        </w:rPr>
      </w:pPr>
      <w:bookmarkStart w:id="9" w:name="a229730"/>
      <w:r w:rsidRPr="009D7BD5">
        <w:rPr>
          <w:rFonts w:ascii="Lato Light" w:hAnsi="Lato Light"/>
          <w:b/>
          <w:szCs w:val="22"/>
        </w:rPr>
        <w:t>Clarifications about the contents of the Tender</w:t>
      </w:r>
      <w:bookmarkEnd w:id="9"/>
    </w:p>
    <w:p w14:paraId="6171C5F1" w14:textId="34FE5D59" w:rsidR="000F2F0C" w:rsidRPr="009D7BD5" w:rsidRDefault="00DA76B0" w:rsidP="00C83FBA">
      <w:pPr>
        <w:pStyle w:val="Parasubclause1"/>
        <w:spacing w:before="120" w:after="240" w:line="240" w:lineRule="auto"/>
        <w:rPr>
          <w:rFonts w:ascii="Lato Light" w:hAnsi="Lato Light"/>
          <w:szCs w:val="22"/>
        </w:rPr>
      </w:pPr>
      <w:r w:rsidRPr="009D7BD5">
        <w:rPr>
          <w:rFonts w:ascii="Lato Light" w:hAnsi="Lato Light"/>
          <w:szCs w:val="22"/>
        </w:rPr>
        <w:t xml:space="preserve">London CIV </w:t>
      </w:r>
      <w:r w:rsidR="00F33767" w:rsidRPr="009D7BD5">
        <w:rPr>
          <w:rFonts w:ascii="Lato Light" w:hAnsi="Lato Light"/>
          <w:szCs w:val="22"/>
        </w:rPr>
        <w:t>reserves the right (but is not obliged) to seek clarification of any aspect of a Tender during the evaluation phase where necessary for the purposes of carrying out a fair evaluation. Tenderers are asked to respond to such requests promptly. Vague or ambiguous answers are likely to score poorly or render the Tender non-compliant.</w:t>
      </w:r>
    </w:p>
    <w:p w14:paraId="64C3A529" w14:textId="36A64FF2" w:rsidR="000F2F0C" w:rsidRPr="009D7BD5" w:rsidRDefault="00F33767" w:rsidP="00C83FBA">
      <w:pPr>
        <w:pStyle w:val="TitleClause"/>
        <w:spacing w:before="120" w:line="240" w:lineRule="auto"/>
        <w:rPr>
          <w:rFonts w:ascii="Lato Light" w:hAnsi="Lato Light"/>
          <w:caps/>
          <w:szCs w:val="22"/>
        </w:rPr>
      </w:pPr>
      <w:r w:rsidRPr="009D7BD5">
        <w:rPr>
          <w:rFonts w:ascii="Lato Light" w:hAnsi="Lato Light"/>
          <w:caps/>
          <w:szCs w:val="22"/>
        </w:rPr>
        <w:fldChar w:fldCharType="begin"/>
      </w:r>
      <w:r w:rsidRPr="009D7BD5">
        <w:rPr>
          <w:rFonts w:ascii="Lato Light" w:hAnsi="Lato Light"/>
          <w:caps/>
          <w:szCs w:val="22"/>
        </w:rPr>
        <w:instrText>TC "2. Tender Timetable" \l 1</w:instrText>
      </w:r>
      <w:r w:rsidRPr="009D7BD5">
        <w:rPr>
          <w:rFonts w:ascii="Lato Light" w:hAnsi="Lato Light"/>
          <w:caps/>
          <w:szCs w:val="22"/>
        </w:rPr>
        <w:fldChar w:fldCharType="end"/>
      </w:r>
      <w:bookmarkStart w:id="10" w:name="a257729"/>
      <w:bookmarkStart w:id="11" w:name="_Toc111036752"/>
      <w:r w:rsidRPr="009D7BD5">
        <w:rPr>
          <w:rFonts w:ascii="Lato Light" w:hAnsi="Lato Light"/>
          <w:caps/>
          <w:szCs w:val="22"/>
        </w:rPr>
        <w:t>Tender Timetable</w:t>
      </w:r>
      <w:bookmarkEnd w:id="10"/>
      <w:bookmarkEnd w:id="11"/>
    </w:p>
    <w:p w14:paraId="40A40457" w14:textId="77777777" w:rsidR="000F2F0C" w:rsidRPr="009D7BD5" w:rsidRDefault="00F33767" w:rsidP="00C83FBA">
      <w:pPr>
        <w:pStyle w:val="Untitledsubclause1"/>
        <w:spacing w:before="120" w:after="240" w:line="240" w:lineRule="auto"/>
        <w:rPr>
          <w:rFonts w:ascii="Lato Light" w:hAnsi="Lato Light"/>
          <w:b/>
          <w:szCs w:val="22"/>
        </w:rPr>
      </w:pPr>
      <w:bookmarkStart w:id="12" w:name="a301295"/>
      <w:r w:rsidRPr="009D7BD5">
        <w:rPr>
          <w:rFonts w:ascii="Lato Light" w:hAnsi="Lato Light"/>
          <w:b/>
          <w:szCs w:val="22"/>
        </w:rPr>
        <w:t>Key dates</w:t>
      </w:r>
      <w:bookmarkEnd w:id="12"/>
    </w:p>
    <w:p w14:paraId="6F474D67" w14:textId="77777777"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This procurement will follow a clear, structured and transparent process to ensure a fair and level playing field is maintained at all times, and that all Tenderers are treated equally.</w:t>
      </w:r>
    </w:p>
    <w:p w14:paraId="1D71536B" w14:textId="77777777"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The key dates for this procurement (</w:t>
      </w:r>
      <w:r w:rsidRPr="009D7BD5">
        <w:rPr>
          <w:rStyle w:val="DefTerm"/>
          <w:rFonts w:ascii="Lato Light" w:hAnsi="Lato Light"/>
          <w:szCs w:val="22"/>
        </w:rPr>
        <w:t>Timetable</w:t>
      </w:r>
      <w:r w:rsidRPr="009D7BD5">
        <w:rPr>
          <w:rFonts w:ascii="Lato Light" w:hAnsi="Lato Light"/>
          <w:szCs w:val="22"/>
        </w:rPr>
        <w:t>) are currently anticipated to be as follows:</w:t>
      </w:r>
    </w:p>
    <w:tbl>
      <w:tblPr>
        <w:tblW w:w="9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130"/>
        <w:gridCol w:w="4210"/>
      </w:tblGrid>
      <w:tr w:rsidR="000F2F0C" w:rsidRPr="009D7BD5" w14:paraId="0CD0D553"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99F209" w14:textId="77777777" w:rsidR="000F2F0C" w:rsidRPr="009D7BD5" w:rsidRDefault="00F33767" w:rsidP="00C83FBA">
            <w:pPr>
              <w:pStyle w:val="Paragraph"/>
              <w:spacing w:before="120" w:after="240" w:line="240" w:lineRule="auto"/>
              <w:jc w:val="left"/>
              <w:rPr>
                <w:rFonts w:ascii="Lato Light" w:hAnsi="Lato Light"/>
                <w:b/>
                <w:szCs w:val="22"/>
              </w:rPr>
            </w:pPr>
            <w:r w:rsidRPr="009D7BD5">
              <w:rPr>
                <w:rFonts w:ascii="Lato Light" w:hAnsi="Lato Light"/>
                <w:b/>
                <w:szCs w:val="22"/>
              </w:rPr>
              <w:t>Event</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E705A7" w14:textId="77777777" w:rsidR="000F2F0C" w:rsidRPr="009D7BD5" w:rsidRDefault="00F33767" w:rsidP="00C83FBA">
            <w:pPr>
              <w:pStyle w:val="Paragraph"/>
              <w:spacing w:before="120" w:after="240" w:line="240" w:lineRule="auto"/>
              <w:jc w:val="left"/>
              <w:rPr>
                <w:rFonts w:ascii="Lato Light" w:hAnsi="Lato Light"/>
                <w:b/>
                <w:szCs w:val="22"/>
              </w:rPr>
            </w:pPr>
            <w:r w:rsidRPr="0067390F">
              <w:rPr>
                <w:rFonts w:ascii="Lato Light" w:hAnsi="Lato Light"/>
                <w:b/>
                <w:szCs w:val="22"/>
              </w:rPr>
              <w:t>Date</w:t>
            </w:r>
          </w:p>
        </w:tc>
      </w:tr>
      <w:tr w:rsidR="000F2F0C" w:rsidRPr="009D7BD5" w14:paraId="1DD86DF4"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949C28"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Notification of outcome of SQ evaluation and identification of bidders invited to tender (Tenderers)</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377D8D" w14:textId="762C8B75" w:rsidR="000F2F0C" w:rsidRPr="009D7BD5" w:rsidRDefault="00B1190D" w:rsidP="00C83FBA">
            <w:pPr>
              <w:pStyle w:val="Paragraph"/>
              <w:spacing w:before="120" w:after="240" w:line="240" w:lineRule="auto"/>
              <w:jc w:val="left"/>
              <w:rPr>
                <w:rFonts w:ascii="Lato Light" w:hAnsi="Lato Light"/>
                <w:szCs w:val="22"/>
              </w:rPr>
            </w:pPr>
            <w:r>
              <w:rPr>
                <w:rFonts w:ascii="Lato Light" w:hAnsi="Lato Light"/>
                <w:szCs w:val="22"/>
              </w:rPr>
              <w:t>21</w:t>
            </w:r>
            <w:r w:rsidR="00983227">
              <w:rPr>
                <w:rFonts w:ascii="Lato Light" w:hAnsi="Lato Light"/>
                <w:szCs w:val="22"/>
              </w:rPr>
              <w:t xml:space="preserve"> September 2022</w:t>
            </w:r>
          </w:p>
        </w:tc>
      </w:tr>
      <w:tr w:rsidR="000F2F0C" w:rsidRPr="009D7BD5" w14:paraId="60A71BAD"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A69392"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lastRenderedPageBreak/>
              <w:t>Deadline for receipt of clarifications</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78281A" w14:textId="54FA7593" w:rsidR="000F2F0C" w:rsidRPr="009D7BD5" w:rsidRDefault="001F65EF" w:rsidP="00C83FBA">
            <w:pPr>
              <w:pStyle w:val="Paragraph"/>
              <w:spacing w:before="120" w:after="240" w:line="240" w:lineRule="auto"/>
              <w:jc w:val="left"/>
              <w:rPr>
                <w:rFonts w:ascii="Lato Light" w:hAnsi="Lato Light"/>
                <w:szCs w:val="22"/>
              </w:rPr>
            </w:pPr>
            <w:r>
              <w:rPr>
                <w:rFonts w:ascii="Lato Light" w:hAnsi="Lato Light"/>
                <w:szCs w:val="22"/>
              </w:rPr>
              <w:t>03 October</w:t>
            </w:r>
            <w:r w:rsidR="00EF6B3B">
              <w:rPr>
                <w:rFonts w:ascii="Lato Light" w:hAnsi="Lato Light"/>
                <w:szCs w:val="22"/>
              </w:rPr>
              <w:t xml:space="preserve"> 2022</w:t>
            </w:r>
          </w:p>
        </w:tc>
      </w:tr>
      <w:tr w:rsidR="000F2F0C" w:rsidRPr="009D7BD5" w14:paraId="16CF5205"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DD9877"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Target date for responses to clarifications</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2EADD4" w14:textId="370AFC6B" w:rsidR="000F2F0C" w:rsidRPr="009D7BD5" w:rsidRDefault="00BA4FAC" w:rsidP="00C83FBA">
            <w:pPr>
              <w:pStyle w:val="Paragraph"/>
              <w:spacing w:before="120" w:after="240" w:line="240" w:lineRule="auto"/>
              <w:jc w:val="left"/>
              <w:rPr>
                <w:rFonts w:ascii="Lato Light" w:hAnsi="Lato Light"/>
                <w:szCs w:val="22"/>
              </w:rPr>
            </w:pPr>
            <w:r>
              <w:rPr>
                <w:rFonts w:ascii="Lato Light" w:hAnsi="Lato Light"/>
                <w:szCs w:val="22"/>
              </w:rPr>
              <w:t>08 October</w:t>
            </w:r>
            <w:r w:rsidR="00696069">
              <w:rPr>
                <w:rFonts w:ascii="Lato Light" w:hAnsi="Lato Light"/>
                <w:szCs w:val="22"/>
              </w:rPr>
              <w:t xml:space="preserve"> 2022</w:t>
            </w:r>
          </w:p>
        </w:tc>
      </w:tr>
      <w:tr w:rsidR="000F2F0C" w:rsidRPr="009D7BD5" w14:paraId="744F9EA1"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856C27" w14:textId="499A881F"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 xml:space="preserve">Deadline for receipt of </w:t>
            </w:r>
            <w:r w:rsidR="00AB1CBD" w:rsidRPr="009D7BD5">
              <w:rPr>
                <w:rFonts w:ascii="Lato Light" w:hAnsi="Lato Light"/>
                <w:szCs w:val="22"/>
              </w:rPr>
              <w:t xml:space="preserve">Initial </w:t>
            </w:r>
            <w:r w:rsidRPr="009D7BD5">
              <w:rPr>
                <w:rFonts w:ascii="Lato Light" w:hAnsi="Lato Light"/>
                <w:szCs w:val="22"/>
              </w:rPr>
              <w:t>Tenders</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92C300" w14:textId="2E4F08AD" w:rsidR="000F2F0C" w:rsidRPr="009D7BD5" w:rsidRDefault="00BA4FAC" w:rsidP="00C83FBA">
            <w:pPr>
              <w:pStyle w:val="Paragraph"/>
              <w:spacing w:before="120" w:after="240" w:line="240" w:lineRule="auto"/>
              <w:jc w:val="left"/>
              <w:rPr>
                <w:rFonts w:ascii="Lato Light" w:hAnsi="Lato Light"/>
                <w:szCs w:val="22"/>
              </w:rPr>
            </w:pPr>
            <w:r>
              <w:rPr>
                <w:rFonts w:ascii="Lato Light" w:hAnsi="Lato Light"/>
                <w:szCs w:val="22"/>
              </w:rPr>
              <w:t>13</w:t>
            </w:r>
            <w:r w:rsidR="009A281B">
              <w:rPr>
                <w:rFonts w:ascii="Lato Light" w:hAnsi="Lato Light"/>
                <w:szCs w:val="22"/>
              </w:rPr>
              <w:t xml:space="preserve"> October 2022</w:t>
            </w:r>
          </w:p>
        </w:tc>
      </w:tr>
      <w:tr w:rsidR="00F67447" w:rsidRPr="009D7BD5" w14:paraId="572A95E4"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951E7" w14:textId="19E4D239" w:rsidR="00F67447" w:rsidRPr="009D7BD5" w:rsidRDefault="00F67447" w:rsidP="00C83FBA">
            <w:pPr>
              <w:pStyle w:val="Paragraph"/>
              <w:spacing w:before="120" w:after="240" w:line="240" w:lineRule="auto"/>
              <w:jc w:val="left"/>
              <w:rPr>
                <w:rFonts w:ascii="Lato Light" w:hAnsi="Lato Light"/>
                <w:szCs w:val="22"/>
              </w:rPr>
            </w:pPr>
            <w:r w:rsidRPr="009D7BD5">
              <w:rPr>
                <w:rFonts w:ascii="Lato Light" w:hAnsi="Lato Light"/>
                <w:szCs w:val="22"/>
              </w:rPr>
              <w:t>Evaluation of Initial Tenders</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67D387" w14:textId="24E5AF29" w:rsidR="00F67447" w:rsidRPr="009D7BD5" w:rsidRDefault="00115935" w:rsidP="00C83FBA">
            <w:pPr>
              <w:pStyle w:val="Paragraph"/>
              <w:spacing w:before="120" w:after="240" w:line="240" w:lineRule="auto"/>
              <w:jc w:val="left"/>
              <w:rPr>
                <w:rFonts w:ascii="Lato Light" w:hAnsi="Lato Light"/>
                <w:szCs w:val="22"/>
              </w:rPr>
            </w:pPr>
            <w:r>
              <w:rPr>
                <w:rFonts w:ascii="Lato Light" w:hAnsi="Lato Light"/>
                <w:szCs w:val="22"/>
              </w:rPr>
              <w:t>31 October – 4 November 2022</w:t>
            </w:r>
          </w:p>
        </w:tc>
      </w:tr>
      <w:tr w:rsidR="000F2F0C" w:rsidRPr="009D7BD5" w14:paraId="09784303"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842A99" w14:textId="69299DF6" w:rsidR="000F2F0C" w:rsidRPr="009D7BD5" w:rsidRDefault="00BE55F2" w:rsidP="00C83FBA">
            <w:pPr>
              <w:pStyle w:val="Paragraph"/>
              <w:spacing w:before="120" w:after="240" w:line="240" w:lineRule="auto"/>
              <w:jc w:val="left"/>
              <w:rPr>
                <w:rFonts w:ascii="Lato Light" w:hAnsi="Lato Light"/>
                <w:szCs w:val="22"/>
              </w:rPr>
            </w:pPr>
            <w:r>
              <w:rPr>
                <w:rFonts w:ascii="Lato Light" w:hAnsi="Lato Light"/>
                <w:szCs w:val="22"/>
              </w:rPr>
              <w:t xml:space="preserve">In-person </w:t>
            </w:r>
            <w:r w:rsidR="00F33767" w:rsidRPr="009D7BD5">
              <w:rPr>
                <w:rFonts w:ascii="Lato Light" w:hAnsi="Lato Light"/>
                <w:szCs w:val="22"/>
              </w:rPr>
              <w:t>Presentations</w:t>
            </w:r>
            <w:r w:rsidR="00A0272E" w:rsidRPr="009D7BD5">
              <w:rPr>
                <w:rFonts w:ascii="Lato Light" w:hAnsi="Lato Light"/>
                <w:szCs w:val="22"/>
              </w:rPr>
              <w:t xml:space="preserve"> &amp; Negotiations</w:t>
            </w:r>
            <w:r>
              <w:rPr>
                <w:rFonts w:ascii="Lato Light" w:hAnsi="Lato Light"/>
                <w:szCs w:val="22"/>
              </w:rPr>
              <w:t xml:space="preserve"> at London CIV offices</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631DBB" w14:textId="5CD64719" w:rsidR="000F2F0C" w:rsidRPr="009D7BD5" w:rsidRDefault="005E1BDA" w:rsidP="00C83FBA">
            <w:pPr>
              <w:pStyle w:val="Paragraph"/>
              <w:spacing w:before="120" w:after="240" w:line="240" w:lineRule="auto"/>
              <w:jc w:val="left"/>
              <w:rPr>
                <w:rFonts w:ascii="Lato Light" w:hAnsi="Lato Light"/>
                <w:szCs w:val="22"/>
              </w:rPr>
            </w:pPr>
            <w:r>
              <w:rPr>
                <w:rFonts w:ascii="Lato Light" w:hAnsi="Lato Light"/>
                <w:szCs w:val="22"/>
              </w:rPr>
              <w:t>w/c 7 November</w:t>
            </w:r>
            <w:r w:rsidR="00B7790A">
              <w:rPr>
                <w:rFonts w:ascii="Lato Light" w:hAnsi="Lato Light"/>
                <w:szCs w:val="22"/>
              </w:rPr>
              <w:t xml:space="preserve"> 2022</w:t>
            </w:r>
          </w:p>
        </w:tc>
      </w:tr>
      <w:tr w:rsidR="00F67447" w:rsidRPr="009D7BD5" w14:paraId="33EE6ACD"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67E31" w14:textId="51FF3DED" w:rsidR="00F67447" w:rsidRPr="009D7BD5" w:rsidRDefault="00F67447" w:rsidP="00C83FBA">
            <w:pPr>
              <w:pStyle w:val="Paragraph"/>
              <w:spacing w:before="120" w:after="240" w:line="240" w:lineRule="auto"/>
              <w:jc w:val="left"/>
              <w:rPr>
                <w:rFonts w:ascii="Lato Light" w:hAnsi="Lato Light"/>
                <w:szCs w:val="22"/>
              </w:rPr>
            </w:pPr>
            <w:r w:rsidRPr="009D7BD5">
              <w:rPr>
                <w:rFonts w:ascii="Lato Light" w:hAnsi="Lato Light"/>
                <w:szCs w:val="22"/>
              </w:rPr>
              <w:t>Issue Invitation to Submit Final Tenders</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E3DEFE" w14:textId="51077853" w:rsidR="00F67447" w:rsidRPr="009D7BD5" w:rsidRDefault="00B7790A" w:rsidP="00C83FBA">
            <w:pPr>
              <w:pStyle w:val="Paragraph"/>
              <w:spacing w:before="120" w:after="240" w:line="240" w:lineRule="auto"/>
              <w:jc w:val="left"/>
              <w:rPr>
                <w:rFonts w:ascii="Lato Light" w:hAnsi="Lato Light"/>
                <w:szCs w:val="22"/>
              </w:rPr>
            </w:pPr>
            <w:r>
              <w:rPr>
                <w:rFonts w:ascii="Lato Light" w:hAnsi="Lato Light"/>
                <w:szCs w:val="22"/>
              </w:rPr>
              <w:t>14 November 2022</w:t>
            </w:r>
          </w:p>
        </w:tc>
      </w:tr>
      <w:tr w:rsidR="000F2F0C" w:rsidRPr="009D7BD5" w14:paraId="3C561146"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AF86C8" w14:textId="0E0307A0" w:rsidR="000F2F0C" w:rsidRPr="009D7BD5" w:rsidRDefault="00B7790A" w:rsidP="00C83FBA">
            <w:pPr>
              <w:pStyle w:val="Paragraph"/>
              <w:spacing w:before="120" w:after="240" w:line="240" w:lineRule="auto"/>
              <w:jc w:val="left"/>
              <w:rPr>
                <w:rFonts w:ascii="Lato Light" w:hAnsi="Lato Light"/>
                <w:szCs w:val="22"/>
              </w:rPr>
            </w:pPr>
            <w:r>
              <w:rPr>
                <w:rFonts w:ascii="Lato Light" w:hAnsi="Lato Light"/>
                <w:szCs w:val="22"/>
              </w:rPr>
              <w:t>Deadline for receipt of Best &amp; Final Bids</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D28571" w14:textId="18AE4AEB" w:rsidR="000F2F0C" w:rsidRPr="009D7BD5" w:rsidRDefault="00973039" w:rsidP="00C83FBA">
            <w:pPr>
              <w:pStyle w:val="Paragraph"/>
              <w:spacing w:before="120" w:after="240" w:line="240" w:lineRule="auto"/>
              <w:jc w:val="left"/>
              <w:rPr>
                <w:rFonts w:ascii="Lato Light" w:hAnsi="Lato Light"/>
                <w:szCs w:val="22"/>
              </w:rPr>
            </w:pPr>
            <w:r>
              <w:rPr>
                <w:rFonts w:ascii="Lato Light" w:hAnsi="Lato Light"/>
                <w:szCs w:val="22"/>
              </w:rPr>
              <w:t>18 November 2022</w:t>
            </w:r>
          </w:p>
        </w:tc>
      </w:tr>
      <w:tr w:rsidR="00B7790A" w:rsidRPr="009D7BD5" w14:paraId="684761B2"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BBEA7B" w14:textId="02D72167" w:rsidR="00B7790A" w:rsidRPr="009D7BD5" w:rsidRDefault="00B7790A" w:rsidP="00C83FBA">
            <w:pPr>
              <w:pStyle w:val="Paragraph"/>
              <w:spacing w:before="120" w:after="240" w:line="240" w:lineRule="auto"/>
              <w:jc w:val="left"/>
              <w:rPr>
                <w:rFonts w:ascii="Lato Light" w:hAnsi="Lato Light"/>
                <w:szCs w:val="22"/>
              </w:rPr>
            </w:pPr>
            <w:r w:rsidRPr="009D7BD5">
              <w:rPr>
                <w:rFonts w:ascii="Lato Light" w:hAnsi="Lato Light"/>
                <w:szCs w:val="22"/>
              </w:rPr>
              <w:t>Evaluation of Final Tenders</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1F3BD7" w14:textId="59BC4F91" w:rsidR="00B7790A" w:rsidRPr="009D7BD5" w:rsidRDefault="0086579E" w:rsidP="70E98AF8">
            <w:pPr>
              <w:pStyle w:val="Paragraph"/>
              <w:spacing w:before="120" w:after="240" w:line="240" w:lineRule="auto"/>
              <w:jc w:val="left"/>
              <w:rPr>
                <w:rFonts w:ascii="Lato Light" w:hAnsi="Lato Light"/>
              </w:rPr>
            </w:pPr>
            <w:r w:rsidRPr="70E98AF8">
              <w:rPr>
                <w:rFonts w:ascii="Lato Light" w:hAnsi="Lato Light"/>
              </w:rPr>
              <w:t xml:space="preserve">21 November </w:t>
            </w:r>
            <w:r w:rsidR="006842FE" w:rsidRPr="70E98AF8">
              <w:rPr>
                <w:rFonts w:ascii="Lato Light" w:hAnsi="Lato Light"/>
              </w:rPr>
              <w:t>2022 – 1 December 2022</w:t>
            </w:r>
          </w:p>
        </w:tc>
      </w:tr>
      <w:tr w:rsidR="000F2F0C" w:rsidRPr="009D7BD5" w14:paraId="53B9D5BC"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E1805F"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Notification of contract award decision</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06A378" w14:textId="11CF5C23" w:rsidR="000F2F0C" w:rsidRPr="009D7BD5" w:rsidRDefault="006A65DE" w:rsidP="00C83FBA">
            <w:pPr>
              <w:pStyle w:val="Paragraph"/>
              <w:spacing w:before="120" w:after="240" w:line="240" w:lineRule="auto"/>
              <w:jc w:val="left"/>
              <w:rPr>
                <w:rFonts w:ascii="Lato Light" w:hAnsi="Lato Light"/>
                <w:szCs w:val="22"/>
              </w:rPr>
            </w:pPr>
            <w:r>
              <w:rPr>
                <w:rFonts w:ascii="Lato Light" w:hAnsi="Lato Light"/>
                <w:szCs w:val="22"/>
              </w:rPr>
              <w:t>2 December</w:t>
            </w:r>
            <w:r w:rsidR="006842FE">
              <w:rPr>
                <w:rFonts w:ascii="Lato Light" w:hAnsi="Lato Light"/>
                <w:szCs w:val="22"/>
              </w:rPr>
              <w:t xml:space="preserve"> 2022</w:t>
            </w:r>
          </w:p>
        </w:tc>
      </w:tr>
      <w:tr w:rsidR="000F2F0C" w:rsidRPr="009D7BD5" w14:paraId="61D8F60B"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496E69"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"Standstill" period</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1D65D8" w14:textId="0EF9D27B" w:rsidR="000F2F0C" w:rsidRPr="009D7BD5" w:rsidRDefault="0066365B" w:rsidP="70E98AF8">
            <w:pPr>
              <w:pStyle w:val="Paragraph"/>
              <w:spacing w:before="120" w:after="240" w:line="240" w:lineRule="auto"/>
              <w:jc w:val="left"/>
              <w:rPr>
                <w:rFonts w:ascii="Lato Light" w:hAnsi="Lato Light"/>
              </w:rPr>
            </w:pPr>
            <w:r w:rsidRPr="70E98AF8">
              <w:rPr>
                <w:rFonts w:ascii="Lato Light" w:hAnsi="Lato Light"/>
              </w:rPr>
              <w:t xml:space="preserve">2 December </w:t>
            </w:r>
            <w:r w:rsidR="00024B6C" w:rsidRPr="70E98AF8">
              <w:rPr>
                <w:rFonts w:ascii="Lato Light" w:hAnsi="Lato Light"/>
              </w:rPr>
              <w:t>–</w:t>
            </w:r>
            <w:r w:rsidRPr="70E98AF8">
              <w:rPr>
                <w:rFonts w:ascii="Lato Light" w:hAnsi="Lato Light"/>
              </w:rPr>
              <w:t xml:space="preserve"> </w:t>
            </w:r>
            <w:r w:rsidR="00024B6C" w:rsidRPr="70E98AF8">
              <w:rPr>
                <w:rFonts w:ascii="Lato Light" w:hAnsi="Lato Light"/>
              </w:rPr>
              <w:t xml:space="preserve">12 December </w:t>
            </w:r>
            <w:r w:rsidR="006842FE" w:rsidRPr="70E98AF8">
              <w:rPr>
                <w:rFonts w:ascii="Lato Light" w:hAnsi="Lato Light"/>
              </w:rPr>
              <w:t>2022</w:t>
            </w:r>
          </w:p>
        </w:tc>
      </w:tr>
      <w:tr w:rsidR="000F2F0C" w:rsidRPr="009D7BD5" w14:paraId="54C02E81"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63F776"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Confirm contract award</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194030" w14:textId="4E6BEEAD" w:rsidR="000F2F0C" w:rsidRPr="009D7BD5" w:rsidRDefault="00024B6C" w:rsidP="00C83FBA">
            <w:pPr>
              <w:pStyle w:val="Paragraph"/>
              <w:spacing w:before="120" w:after="240" w:line="240" w:lineRule="auto"/>
              <w:jc w:val="left"/>
              <w:rPr>
                <w:rFonts w:ascii="Lato Light" w:hAnsi="Lato Light"/>
                <w:szCs w:val="22"/>
              </w:rPr>
            </w:pPr>
            <w:r>
              <w:rPr>
                <w:rFonts w:ascii="Lato Light" w:hAnsi="Lato Light"/>
                <w:szCs w:val="22"/>
              </w:rPr>
              <w:t>13 December</w:t>
            </w:r>
            <w:r w:rsidR="006842FE">
              <w:rPr>
                <w:rFonts w:ascii="Lato Light" w:hAnsi="Lato Light"/>
                <w:szCs w:val="22"/>
              </w:rPr>
              <w:t xml:space="preserve"> 2022</w:t>
            </w:r>
          </w:p>
        </w:tc>
      </w:tr>
      <w:tr w:rsidR="000F2F0C" w:rsidRPr="009D7BD5" w14:paraId="25CADE34"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C4E620" w14:textId="6E4BE239"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Contract start of mobilisation period</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BD3C9A" w14:textId="23DE2C42" w:rsidR="000F2F0C" w:rsidRPr="009D7BD5" w:rsidRDefault="006842FE" w:rsidP="00C83FBA">
            <w:pPr>
              <w:pStyle w:val="Paragraph"/>
              <w:spacing w:before="120" w:after="240" w:line="240" w:lineRule="auto"/>
              <w:jc w:val="left"/>
              <w:rPr>
                <w:rFonts w:ascii="Lato Light" w:hAnsi="Lato Light"/>
                <w:szCs w:val="22"/>
              </w:rPr>
            </w:pPr>
            <w:r>
              <w:rPr>
                <w:rFonts w:ascii="Lato Light" w:hAnsi="Lato Light"/>
                <w:szCs w:val="22"/>
              </w:rPr>
              <w:t xml:space="preserve">9 </w:t>
            </w:r>
            <w:r w:rsidR="00602F5D">
              <w:rPr>
                <w:rFonts w:ascii="Lato Light" w:hAnsi="Lato Light"/>
                <w:szCs w:val="22"/>
              </w:rPr>
              <w:t>January 2023</w:t>
            </w:r>
            <w:r>
              <w:rPr>
                <w:rFonts w:ascii="Lato Light" w:hAnsi="Lato Light"/>
                <w:szCs w:val="22"/>
              </w:rPr>
              <w:t xml:space="preserve"> </w:t>
            </w:r>
          </w:p>
        </w:tc>
      </w:tr>
      <w:tr w:rsidR="000F2F0C" w:rsidRPr="009D7BD5" w14:paraId="321990F6" w14:textId="77777777" w:rsidTr="70E98AF8">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BB26E9"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Target service commencement date</w:t>
            </w:r>
          </w:p>
        </w:tc>
        <w:tc>
          <w:tcPr>
            <w:tcW w:w="4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D0B76D" w14:textId="4067CD5A" w:rsidR="000F2F0C" w:rsidRPr="009D7BD5" w:rsidRDefault="00193539" w:rsidP="00C83FBA">
            <w:pPr>
              <w:pStyle w:val="Paragraph"/>
              <w:spacing w:before="120" w:after="240" w:line="240" w:lineRule="auto"/>
              <w:jc w:val="left"/>
              <w:rPr>
                <w:rFonts w:ascii="Lato Light" w:hAnsi="Lato Light"/>
                <w:szCs w:val="22"/>
              </w:rPr>
            </w:pPr>
            <w:r>
              <w:rPr>
                <w:rFonts w:ascii="Lato Light" w:hAnsi="Lato Light"/>
                <w:szCs w:val="22"/>
              </w:rPr>
              <w:t>Q1 2023</w:t>
            </w:r>
          </w:p>
        </w:tc>
      </w:tr>
    </w:tbl>
    <w:p w14:paraId="19DB0855" w14:textId="77777777"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Any changes to the procurement Timetable shall be notified to all Tenderers as soon as practicable.</w:t>
      </w:r>
    </w:p>
    <w:p w14:paraId="42E2F0F7" w14:textId="77777777" w:rsidR="000F2F0C" w:rsidRPr="009D7BD5" w:rsidRDefault="00F33767" w:rsidP="00C83FBA">
      <w:pPr>
        <w:pStyle w:val="Untitledsubclause1"/>
        <w:spacing w:before="120" w:after="240" w:line="240" w:lineRule="auto"/>
        <w:rPr>
          <w:rFonts w:ascii="Lato Light" w:hAnsi="Lato Light"/>
          <w:b/>
          <w:szCs w:val="22"/>
        </w:rPr>
      </w:pPr>
      <w:bookmarkStart w:id="13" w:name="a461832"/>
      <w:r w:rsidRPr="009D7BD5">
        <w:rPr>
          <w:rFonts w:ascii="Lato Light" w:hAnsi="Lato Light"/>
          <w:b/>
          <w:szCs w:val="22"/>
        </w:rPr>
        <w:t>Deadline for receipt of Tenders</w:t>
      </w:r>
      <w:bookmarkEnd w:id="13"/>
    </w:p>
    <w:p w14:paraId="17430B2D" w14:textId="3DC318B3"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Responses to this </w:t>
      </w:r>
      <w:r w:rsidR="0038521A" w:rsidRPr="009D7BD5">
        <w:rPr>
          <w:rFonts w:ascii="Lato Light" w:hAnsi="Lato Light"/>
          <w:szCs w:val="22"/>
        </w:rPr>
        <w:t>ITN</w:t>
      </w:r>
      <w:r w:rsidRPr="009D7BD5">
        <w:rPr>
          <w:rFonts w:ascii="Lato Light" w:hAnsi="Lato Light"/>
          <w:szCs w:val="22"/>
        </w:rPr>
        <w:t xml:space="preserve"> must arrive at the address and in the manner prescribed under </w:t>
      </w:r>
      <w:r w:rsidRPr="009D7BD5">
        <w:rPr>
          <w:rFonts w:ascii="Lato Light" w:hAnsi="Lato Light"/>
          <w:szCs w:val="22"/>
        </w:rPr>
        <w:fldChar w:fldCharType="begin"/>
      </w:r>
      <w:r w:rsidRPr="009D7BD5">
        <w:rPr>
          <w:rFonts w:ascii="Lato Light" w:hAnsi="Lato Light"/>
          <w:szCs w:val="22"/>
        </w:rPr>
        <w:instrText>PAGEREF a71839\# "'paragraph '"  \h</w:instrText>
      </w:r>
      <w:r w:rsidRPr="009D7BD5">
        <w:rPr>
          <w:rFonts w:ascii="Lato Light" w:hAnsi="Lato Light"/>
          <w:szCs w:val="22"/>
        </w:rPr>
      </w:r>
      <w:r w:rsidRPr="009D7BD5">
        <w:rPr>
          <w:rFonts w:ascii="Lato Light" w:hAnsi="Lato Light"/>
          <w:szCs w:val="22"/>
        </w:rPr>
        <w:fldChar w:fldCharType="separate"/>
      </w:r>
      <w:r w:rsidR="00B44B03" w:rsidRPr="009D7BD5">
        <w:rPr>
          <w:rFonts w:ascii="Lato Light" w:hAnsi="Lato Light"/>
          <w:noProof/>
          <w:szCs w:val="22"/>
        </w:rPr>
        <w:t xml:space="preserve">paragraph </w:t>
      </w:r>
      <w:r w:rsidRPr="009D7BD5">
        <w:rPr>
          <w:rFonts w:ascii="Lato Light" w:hAnsi="Lato Light"/>
          <w:szCs w:val="22"/>
        </w:rPr>
        <w:fldChar w:fldCharType="end"/>
      </w:r>
      <w:r w:rsidRPr="009D7BD5">
        <w:rPr>
          <w:rFonts w:ascii="Lato Light" w:hAnsi="Lato Light"/>
          <w:szCs w:val="22"/>
        </w:rPr>
        <w:fldChar w:fldCharType="begin"/>
      </w:r>
      <w:r w:rsidRPr="009D7BD5">
        <w:rPr>
          <w:rFonts w:ascii="Lato Light" w:hAnsi="Lato Light"/>
          <w:szCs w:val="22"/>
          <w:highlight w:val="lightGray"/>
        </w:rPr>
        <w:instrText>REF a71839 \h \w</w:instrText>
      </w:r>
      <w:r w:rsidR="00C43718" w:rsidRPr="009D7BD5">
        <w:rPr>
          <w:rFonts w:ascii="Lato Light" w:hAnsi="Lato Light"/>
          <w:szCs w:val="22"/>
        </w:rPr>
        <w:instrText xml:space="preserve"> \* MERGEFORMAT </w:instrText>
      </w:r>
      <w:r w:rsidRPr="009D7BD5">
        <w:rPr>
          <w:rFonts w:ascii="Lato Light" w:hAnsi="Lato Light"/>
          <w:szCs w:val="22"/>
        </w:rPr>
      </w:r>
      <w:r w:rsidRPr="009D7BD5">
        <w:rPr>
          <w:rFonts w:ascii="Lato Light" w:hAnsi="Lato Light"/>
          <w:szCs w:val="22"/>
        </w:rPr>
        <w:fldChar w:fldCharType="separate"/>
      </w:r>
      <w:r w:rsidR="00B44B03" w:rsidRPr="00B44B03">
        <w:rPr>
          <w:rFonts w:ascii="Lato Light" w:hAnsi="Lato Light"/>
          <w:szCs w:val="22"/>
        </w:rPr>
        <w:t>4.1</w:t>
      </w:r>
      <w:r w:rsidRPr="009D7BD5">
        <w:rPr>
          <w:rFonts w:ascii="Lato Light" w:hAnsi="Lato Light"/>
          <w:szCs w:val="22"/>
        </w:rPr>
        <w:fldChar w:fldCharType="end"/>
      </w:r>
      <w:r w:rsidRPr="009D7BD5">
        <w:rPr>
          <w:rFonts w:ascii="Lato Light" w:hAnsi="Lato Light"/>
          <w:szCs w:val="22"/>
        </w:rPr>
        <w:t xml:space="preserve"> no later than the Deadline.</w:t>
      </w:r>
    </w:p>
    <w:p w14:paraId="02106FDA" w14:textId="0EA5B26A"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Any Tender received after the Deadline shall not be opened or considered. </w:t>
      </w:r>
      <w:r w:rsidR="00BB6C45" w:rsidRPr="009D7BD5">
        <w:rPr>
          <w:rFonts w:ascii="Lato Light" w:hAnsi="Lato Light"/>
          <w:szCs w:val="22"/>
        </w:rPr>
        <w:t xml:space="preserve">London CIV </w:t>
      </w:r>
      <w:r w:rsidRPr="009D7BD5">
        <w:rPr>
          <w:rFonts w:ascii="Lato Light" w:hAnsi="Lato Light"/>
          <w:szCs w:val="22"/>
        </w:rPr>
        <w:t xml:space="preserve">may, however, in its own absolute discretion extend the </w:t>
      </w:r>
      <w:r w:rsidR="00BC3E79" w:rsidRPr="009D7BD5">
        <w:rPr>
          <w:rFonts w:ascii="Lato Light" w:hAnsi="Lato Light"/>
          <w:szCs w:val="22"/>
        </w:rPr>
        <w:t>d</w:t>
      </w:r>
      <w:r w:rsidRPr="009D7BD5">
        <w:rPr>
          <w:rFonts w:ascii="Lato Light" w:hAnsi="Lato Light"/>
          <w:szCs w:val="22"/>
        </w:rPr>
        <w:t>eadline and in such circumstances the</w:t>
      </w:r>
      <w:r w:rsidR="00A7149F" w:rsidRPr="009D7BD5">
        <w:rPr>
          <w:rFonts w:ascii="Lato Light" w:hAnsi="Lato Light"/>
          <w:szCs w:val="22"/>
        </w:rPr>
        <w:t xml:space="preserve"> </w:t>
      </w:r>
      <w:r w:rsidR="00C5592D" w:rsidRPr="009D7BD5">
        <w:rPr>
          <w:rFonts w:ascii="Lato Light" w:hAnsi="Lato Light"/>
          <w:szCs w:val="22"/>
        </w:rPr>
        <w:t>authority</w:t>
      </w:r>
      <w:r w:rsidRPr="009D7BD5">
        <w:rPr>
          <w:rFonts w:ascii="Lato Light" w:hAnsi="Lato Light"/>
          <w:szCs w:val="22"/>
        </w:rPr>
        <w:t xml:space="preserve"> will notify all Tenderers of any change.</w:t>
      </w:r>
    </w:p>
    <w:p w14:paraId="4B9FC201" w14:textId="77777777" w:rsidR="000F2F0C" w:rsidRPr="009D7BD5" w:rsidRDefault="00F33767" w:rsidP="00C83FBA">
      <w:pPr>
        <w:pStyle w:val="Untitledsubclause1"/>
        <w:spacing w:before="120" w:after="240" w:line="240" w:lineRule="auto"/>
        <w:rPr>
          <w:rFonts w:ascii="Lato Light" w:hAnsi="Lato Light"/>
          <w:b/>
          <w:szCs w:val="22"/>
        </w:rPr>
      </w:pPr>
      <w:bookmarkStart w:id="14" w:name="a74933"/>
      <w:r w:rsidRPr="009D7BD5">
        <w:rPr>
          <w:rFonts w:ascii="Lato Light" w:hAnsi="Lato Light"/>
          <w:b/>
          <w:szCs w:val="22"/>
        </w:rPr>
        <w:t>References</w:t>
      </w:r>
      <w:bookmarkEnd w:id="14"/>
    </w:p>
    <w:p w14:paraId="4AE288F7" w14:textId="6935CF9A"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Tenderers are requested to supply </w:t>
      </w:r>
      <w:r w:rsidR="00F555AB">
        <w:rPr>
          <w:rFonts w:ascii="Lato Light" w:hAnsi="Lato Light"/>
          <w:szCs w:val="22"/>
        </w:rPr>
        <w:t>2</w:t>
      </w:r>
      <w:r w:rsidRPr="009D7BD5">
        <w:rPr>
          <w:rFonts w:ascii="Lato Light" w:hAnsi="Lato Light"/>
          <w:szCs w:val="22"/>
        </w:rPr>
        <w:t xml:space="preserve"> references. References will be used to verify the technical proposals put forward in the Tender and will not be scored.</w:t>
      </w:r>
    </w:p>
    <w:p w14:paraId="6FAD4C16" w14:textId="447040AA"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lastRenderedPageBreak/>
        <w:t xml:space="preserve">The </w:t>
      </w:r>
      <w:r w:rsidR="00A7149F" w:rsidRPr="009D7BD5">
        <w:rPr>
          <w:rFonts w:ascii="Lato Light" w:hAnsi="Lato Light"/>
          <w:szCs w:val="22"/>
        </w:rPr>
        <w:t>a</w:t>
      </w:r>
      <w:r w:rsidR="00C5592D" w:rsidRPr="009D7BD5">
        <w:rPr>
          <w:rFonts w:ascii="Lato Light" w:hAnsi="Lato Light"/>
          <w:szCs w:val="22"/>
        </w:rPr>
        <w:t>uthority</w:t>
      </w:r>
      <w:r w:rsidRPr="009D7BD5">
        <w:rPr>
          <w:rFonts w:ascii="Lato Light" w:hAnsi="Lato Light"/>
          <w:szCs w:val="22"/>
        </w:rPr>
        <w:t xml:space="preserve"> reserves the right to seek references from any of the Tenderer's customers, including the</w:t>
      </w:r>
      <w:r w:rsidR="00A7149F" w:rsidRPr="009D7BD5">
        <w:rPr>
          <w:rFonts w:ascii="Lato Light" w:hAnsi="Lato Light"/>
          <w:szCs w:val="22"/>
        </w:rPr>
        <w:t xml:space="preserve"> </w:t>
      </w:r>
      <w:r w:rsidR="00C5592D" w:rsidRPr="009D7BD5">
        <w:rPr>
          <w:rFonts w:ascii="Lato Light" w:hAnsi="Lato Light"/>
          <w:szCs w:val="22"/>
        </w:rPr>
        <w:t>authority</w:t>
      </w:r>
      <w:r w:rsidRPr="009D7BD5">
        <w:rPr>
          <w:rFonts w:ascii="Lato Light" w:hAnsi="Lato Light"/>
          <w:szCs w:val="22"/>
        </w:rPr>
        <w:t xml:space="preserve">, </w:t>
      </w:r>
      <w:r w:rsidR="005C0DBD" w:rsidRPr="009D7BD5">
        <w:rPr>
          <w:rFonts w:ascii="Lato Light" w:hAnsi="Lato Light"/>
          <w:szCs w:val="22"/>
        </w:rPr>
        <w:t>whether</w:t>
      </w:r>
      <w:r w:rsidRPr="009D7BD5">
        <w:rPr>
          <w:rFonts w:ascii="Lato Light" w:hAnsi="Lato Light"/>
          <w:szCs w:val="22"/>
        </w:rPr>
        <w:t xml:space="preserve"> the Tenderer has listed such customers as referees.</w:t>
      </w:r>
    </w:p>
    <w:p w14:paraId="3600006F" w14:textId="77777777" w:rsidR="000F2F0C" w:rsidRPr="009D7BD5" w:rsidRDefault="00F33767" w:rsidP="00C83FBA">
      <w:pPr>
        <w:pStyle w:val="Untitledsubclause1"/>
        <w:spacing w:before="120" w:after="240" w:line="240" w:lineRule="auto"/>
        <w:rPr>
          <w:rFonts w:ascii="Lato Light" w:hAnsi="Lato Light"/>
          <w:b/>
          <w:szCs w:val="22"/>
        </w:rPr>
      </w:pPr>
      <w:bookmarkStart w:id="15" w:name="a104834"/>
      <w:r w:rsidRPr="009D7BD5">
        <w:rPr>
          <w:rFonts w:ascii="Lato Light" w:hAnsi="Lato Light"/>
          <w:b/>
          <w:szCs w:val="22"/>
        </w:rPr>
        <w:t>Contract award</w:t>
      </w:r>
      <w:bookmarkEnd w:id="15"/>
    </w:p>
    <w:p w14:paraId="391D732C" w14:textId="357F804D" w:rsidR="000F2F0C" w:rsidRPr="009D7BD5" w:rsidRDefault="00027D8A" w:rsidP="00C83FBA">
      <w:pPr>
        <w:pStyle w:val="Parasubclause1"/>
        <w:spacing w:before="120" w:after="240" w:line="240" w:lineRule="auto"/>
        <w:rPr>
          <w:rFonts w:ascii="Lato Light" w:hAnsi="Lato Light"/>
          <w:szCs w:val="22"/>
        </w:rPr>
      </w:pPr>
      <w:r w:rsidRPr="009D7BD5">
        <w:rPr>
          <w:rFonts w:ascii="Lato Light" w:hAnsi="Lato Light"/>
          <w:szCs w:val="22"/>
        </w:rPr>
        <w:t xml:space="preserve">London CIV </w:t>
      </w:r>
      <w:r w:rsidR="00F33767" w:rsidRPr="009D7BD5">
        <w:rPr>
          <w:rFonts w:ascii="Lato Light" w:hAnsi="Lato Light"/>
          <w:szCs w:val="22"/>
        </w:rPr>
        <w:t xml:space="preserve">may award </w:t>
      </w:r>
      <w:r w:rsidR="006342F1">
        <w:rPr>
          <w:rFonts w:ascii="Lato Light" w:hAnsi="Lato Light"/>
          <w:szCs w:val="22"/>
        </w:rPr>
        <w:t xml:space="preserve">a </w:t>
      </w:r>
      <w:r w:rsidR="00F33767" w:rsidRPr="006342F1">
        <w:rPr>
          <w:rFonts w:ascii="Lato Light" w:hAnsi="Lato Light"/>
          <w:b/>
          <w:bCs/>
          <w:szCs w:val="22"/>
        </w:rPr>
        <w:t>Contract</w:t>
      </w:r>
      <w:r w:rsidR="00F33767" w:rsidRPr="009D7BD5">
        <w:rPr>
          <w:rFonts w:ascii="Lato Light" w:hAnsi="Lato Light"/>
          <w:szCs w:val="22"/>
        </w:rPr>
        <w:t xml:space="preserve"> </w:t>
      </w:r>
      <w:r w:rsidR="005C0DBD" w:rsidRPr="009D7BD5">
        <w:rPr>
          <w:rFonts w:ascii="Lato Light" w:hAnsi="Lato Light"/>
          <w:szCs w:val="22"/>
        </w:rPr>
        <w:t>based on</w:t>
      </w:r>
      <w:r w:rsidR="00F33767" w:rsidRPr="009D7BD5">
        <w:rPr>
          <w:rFonts w:ascii="Lato Light" w:hAnsi="Lato Light"/>
          <w:szCs w:val="22"/>
        </w:rPr>
        <w:t xml:space="preserve"> a Tender submitted in accordance with the instructions below.</w:t>
      </w:r>
    </w:p>
    <w:p w14:paraId="39D83873" w14:textId="4A1D0D1F"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Contract award is subject to the formal approval process of </w:t>
      </w:r>
      <w:r w:rsidR="00535724" w:rsidRPr="009D7BD5">
        <w:rPr>
          <w:rFonts w:ascii="Lato Light" w:hAnsi="Lato Light"/>
          <w:szCs w:val="22"/>
        </w:rPr>
        <w:t>London CIV</w:t>
      </w:r>
      <w:r w:rsidRPr="009D7BD5">
        <w:rPr>
          <w:rFonts w:ascii="Lato Light" w:hAnsi="Lato Light"/>
          <w:szCs w:val="22"/>
        </w:rPr>
        <w:t xml:space="preserve">. Until all necessary approvals are obtained and the standstill period completed, no Contract(s) will be </w:t>
      </w:r>
      <w:r w:rsidR="005C0DBD" w:rsidRPr="009D7BD5">
        <w:rPr>
          <w:rFonts w:ascii="Lato Light" w:hAnsi="Lato Light"/>
          <w:szCs w:val="22"/>
        </w:rPr>
        <w:t>entered</w:t>
      </w:r>
      <w:r w:rsidR="00E7617A" w:rsidRPr="009D7BD5">
        <w:rPr>
          <w:rFonts w:ascii="Lato Light" w:hAnsi="Lato Light"/>
          <w:szCs w:val="22"/>
        </w:rPr>
        <w:t xml:space="preserve"> into.</w:t>
      </w:r>
    </w:p>
    <w:p w14:paraId="36FA68F9" w14:textId="445B979A"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Once </w:t>
      </w:r>
      <w:r w:rsidR="00027D8A" w:rsidRPr="009D7BD5">
        <w:rPr>
          <w:rFonts w:ascii="Lato Light" w:hAnsi="Lato Light"/>
          <w:szCs w:val="22"/>
        </w:rPr>
        <w:t xml:space="preserve">London CIV </w:t>
      </w:r>
      <w:r w:rsidRPr="009D7BD5">
        <w:rPr>
          <w:rFonts w:ascii="Lato Light" w:hAnsi="Lato Light"/>
          <w:szCs w:val="22"/>
        </w:rPr>
        <w:t xml:space="preserve">has reached a decision in respect of a contract award, it will notify all </w:t>
      </w:r>
      <w:r w:rsidR="00C141F5">
        <w:rPr>
          <w:rFonts w:ascii="Lato Light" w:hAnsi="Lato Light"/>
          <w:szCs w:val="22"/>
        </w:rPr>
        <w:t>Tenderers</w:t>
      </w:r>
      <w:r w:rsidRPr="009D7BD5">
        <w:rPr>
          <w:rFonts w:ascii="Lato Light" w:hAnsi="Lato Light"/>
          <w:szCs w:val="22"/>
        </w:rPr>
        <w:t xml:space="preserve"> of that decision and provide for a standstill period in accordance with the PCR 2015 before entering into any Contract(s).</w:t>
      </w:r>
    </w:p>
    <w:p w14:paraId="0373631E" w14:textId="77777777" w:rsidR="000F2F0C" w:rsidRPr="009D7BD5" w:rsidRDefault="00F33767" w:rsidP="00C83FBA">
      <w:pPr>
        <w:pStyle w:val="TitleClause"/>
        <w:spacing w:before="120" w:line="240" w:lineRule="auto"/>
        <w:rPr>
          <w:rFonts w:ascii="Lato Light" w:hAnsi="Lato Light"/>
          <w:caps/>
          <w:szCs w:val="22"/>
        </w:rPr>
      </w:pPr>
      <w:r w:rsidRPr="009D7BD5">
        <w:rPr>
          <w:rFonts w:ascii="Lato Light" w:hAnsi="Lato Light"/>
          <w:caps/>
          <w:szCs w:val="22"/>
        </w:rPr>
        <w:fldChar w:fldCharType="begin"/>
      </w:r>
      <w:r w:rsidRPr="009D7BD5">
        <w:rPr>
          <w:rFonts w:ascii="Lato Light" w:hAnsi="Lato Light"/>
          <w:caps/>
          <w:szCs w:val="22"/>
        </w:rPr>
        <w:instrText>TC "3. Tender completion information" \l 1</w:instrText>
      </w:r>
      <w:r w:rsidRPr="009D7BD5">
        <w:rPr>
          <w:rFonts w:ascii="Lato Light" w:hAnsi="Lato Light"/>
          <w:caps/>
          <w:szCs w:val="22"/>
        </w:rPr>
        <w:fldChar w:fldCharType="end"/>
      </w:r>
      <w:bookmarkStart w:id="16" w:name="a268968"/>
      <w:bookmarkStart w:id="17" w:name="_Toc111036753"/>
      <w:r w:rsidRPr="009D7BD5">
        <w:rPr>
          <w:rFonts w:ascii="Lato Light" w:hAnsi="Lato Light"/>
          <w:caps/>
          <w:szCs w:val="22"/>
        </w:rPr>
        <w:t>Tender completion information</w:t>
      </w:r>
      <w:bookmarkEnd w:id="16"/>
      <w:bookmarkEnd w:id="17"/>
    </w:p>
    <w:p w14:paraId="7CAE35CF" w14:textId="77777777" w:rsidR="000F2F0C" w:rsidRPr="009D7BD5" w:rsidRDefault="00F33767" w:rsidP="00C83FBA">
      <w:pPr>
        <w:pStyle w:val="Untitledsubclause1"/>
        <w:spacing w:before="120" w:after="240" w:line="240" w:lineRule="auto"/>
        <w:rPr>
          <w:rFonts w:ascii="Lato Light" w:hAnsi="Lato Light"/>
          <w:b/>
          <w:szCs w:val="22"/>
        </w:rPr>
      </w:pPr>
      <w:bookmarkStart w:id="18" w:name="a71839"/>
      <w:r w:rsidRPr="009D7BD5">
        <w:rPr>
          <w:rFonts w:ascii="Lato Light" w:hAnsi="Lato Light"/>
          <w:b/>
          <w:szCs w:val="22"/>
        </w:rPr>
        <w:t>Formalities</w:t>
      </w:r>
      <w:bookmarkEnd w:id="18"/>
    </w:p>
    <w:p w14:paraId="42534414" w14:textId="3EEC7FB4"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All documents comprising the Tender must be completed and uploaded to the e-tendering portal by </w:t>
      </w:r>
      <w:r w:rsidR="00EC083E">
        <w:rPr>
          <w:rFonts w:ascii="Lato Light" w:hAnsi="Lato Light"/>
          <w:szCs w:val="22"/>
        </w:rPr>
        <w:t>12 August 2</w:t>
      </w:r>
      <w:r w:rsidR="0097279E">
        <w:rPr>
          <w:rFonts w:ascii="Lato Light" w:hAnsi="Lato Light"/>
          <w:szCs w:val="22"/>
        </w:rPr>
        <w:t>023.</w:t>
      </w:r>
    </w:p>
    <w:p w14:paraId="13830C23" w14:textId="3BEB7C7E"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The following requirements must be adhered to when submitting Tenders:</w:t>
      </w:r>
    </w:p>
    <w:p w14:paraId="0F285385" w14:textId="1307DB73"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The Tender must be in English.</w:t>
      </w:r>
    </w:p>
    <w:p w14:paraId="6F7BB515" w14:textId="17872100" w:rsidR="005E3F99" w:rsidRPr="009D7BD5" w:rsidRDefault="005E3F99" w:rsidP="00C83FBA">
      <w:pPr>
        <w:pStyle w:val="subclause1Bullet1"/>
        <w:spacing w:before="120" w:after="240" w:line="240" w:lineRule="auto"/>
        <w:rPr>
          <w:rFonts w:ascii="Lato Light" w:hAnsi="Lato Light"/>
          <w:szCs w:val="22"/>
        </w:rPr>
      </w:pPr>
      <w:r w:rsidRPr="009D7BD5">
        <w:rPr>
          <w:rFonts w:ascii="Lato Light" w:hAnsi="Lato Light"/>
          <w:szCs w:val="22"/>
        </w:rPr>
        <w:t xml:space="preserve">The Tender must be clear, concise and complete. London CIV reserves the right to mark a Tenderer down or exclude them from the procurement if its Tender contains any ambiguities, caveats or lacks clarity. </w:t>
      </w:r>
    </w:p>
    <w:p w14:paraId="496EEDB8" w14:textId="3FA27CC4" w:rsidR="005E3F99" w:rsidRPr="009D7BD5" w:rsidRDefault="005E3F99" w:rsidP="00C83FBA">
      <w:pPr>
        <w:pStyle w:val="subclause1Bullet1"/>
        <w:spacing w:before="120" w:after="240" w:line="240" w:lineRule="auto"/>
        <w:ind w:left="1077" w:hanging="357"/>
        <w:rPr>
          <w:rFonts w:ascii="Lato Light" w:hAnsi="Lato Light"/>
          <w:szCs w:val="22"/>
        </w:rPr>
      </w:pPr>
      <w:r w:rsidRPr="009D7BD5">
        <w:rPr>
          <w:rFonts w:ascii="Lato Light" w:hAnsi="Lato Light"/>
          <w:szCs w:val="22"/>
        </w:rPr>
        <w:t>Tenderers should submit only such information as is necessary to respond effectively to this ITN. Tenders will be evaluated on the basis of information submitted by the Deadline.</w:t>
      </w:r>
    </w:p>
    <w:p w14:paraId="28CDE31D" w14:textId="2C5E89CF" w:rsidR="002414D3" w:rsidRPr="009D7BD5" w:rsidRDefault="002414D3" w:rsidP="00C83FBA">
      <w:pPr>
        <w:pStyle w:val="subclause1Bullet1"/>
        <w:spacing w:before="120" w:after="240" w:line="240" w:lineRule="auto"/>
        <w:rPr>
          <w:rFonts w:ascii="Lato Light" w:hAnsi="Lato Light"/>
          <w:szCs w:val="22"/>
        </w:rPr>
      </w:pPr>
      <w:r w:rsidRPr="009D7BD5">
        <w:rPr>
          <w:rFonts w:ascii="Lato Light" w:hAnsi="Lato Light"/>
          <w:szCs w:val="22"/>
        </w:rPr>
        <w:t>Generic and promotional material should not be included and will be ignored.</w:t>
      </w:r>
    </w:p>
    <w:p w14:paraId="62E979D2" w14:textId="77777777" w:rsidR="00481C83"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A list of supporting material must be supplied.</w:t>
      </w:r>
    </w:p>
    <w:p w14:paraId="7AD8FDEC" w14:textId="06BB919D" w:rsidR="000F2F0C" w:rsidRPr="009D7BD5" w:rsidRDefault="005E3F99" w:rsidP="00C83FBA">
      <w:pPr>
        <w:pStyle w:val="subclause1Bullet1"/>
        <w:spacing w:before="120" w:after="240" w:line="240" w:lineRule="auto"/>
        <w:ind w:left="1077" w:hanging="357"/>
        <w:rPr>
          <w:rFonts w:ascii="Lato Light" w:hAnsi="Lato Light"/>
          <w:szCs w:val="22"/>
        </w:rPr>
      </w:pPr>
      <w:r w:rsidRPr="009D7BD5">
        <w:rPr>
          <w:rFonts w:ascii="Lato Light" w:hAnsi="Lato Light"/>
          <w:szCs w:val="22"/>
        </w:rPr>
        <w:t xml:space="preserve">Word limits must be adhered to. If a Tender response exceeds the stated word limit, only those words within the limit shall be evaluated and the remainder of any response will be disregarded. </w:t>
      </w:r>
    </w:p>
    <w:p w14:paraId="71924D87" w14:textId="62AB935C" w:rsidR="000F2F0C" w:rsidRPr="009D7BD5" w:rsidRDefault="00F33767" w:rsidP="00C83FBA">
      <w:pPr>
        <w:pStyle w:val="Untitledsubclause1"/>
        <w:spacing w:before="120" w:after="240" w:line="240" w:lineRule="auto"/>
        <w:rPr>
          <w:rFonts w:ascii="Lato Light" w:hAnsi="Lato Light"/>
          <w:szCs w:val="22"/>
        </w:rPr>
      </w:pPr>
      <w:r w:rsidRPr="009D7BD5">
        <w:rPr>
          <w:rFonts w:ascii="Lato Light" w:hAnsi="Lato Light"/>
          <w:szCs w:val="22"/>
        </w:rPr>
        <w:fldChar w:fldCharType="begin"/>
      </w:r>
      <w:r w:rsidRPr="009D7BD5">
        <w:rPr>
          <w:rFonts w:ascii="Lato Light" w:hAnsi="Lato Light"/>
          <w:szCs w:val="22"/>
        </w:rPr>
        <w:fldChar w:fldCharType="end"/>
      </w:r>
      <w:bookmarkStart w:id="19" w:name="a210696"/>
      <w:r w:rsidRPr="009D7BD5">
        <w:rPr>
          <w:rFonts w:ascii="Lato Light" w:hAnsi="Lato Light"/>
          <w:b/>
          <w:szCs w:val="22"/>
        </w:rPr>
        <w:t>Executive summary</w:t>
      </w:r>
      <w:bookmarkEnd w:id="19"/>
    </w:p>
    <w:p w14:paraId="14B52B8E" w14:textId="265C3352" w:rsidR="000F2F0C" w:rsidRPr="009D7BD5" w:rsidRDefault="00F33767" w:rsidP="00BB6EF4">
      <w:pPr>
        <w:pStyle w:val="Parasubclause1"/>
        <w:spacing w:before="120" w:after="240" w:line="240" w:lineRule="auto"/>
        <w:rPr>
          <w:rFonts w:ascii="Lato Light" w:hAnsi="Lato Light"/>
          <w:szCs w:val="22"/>
        </w:rPr>
      </w:pPr>
      <w:r w:rsidRPr="009D7BD5">
        <w:rPr>
          <w:rFonts w:ascii="Lato Light" w:hAnsi="Lato Light"/>
          <w:szCs w:val="22"/>
        </w:rPr>
        <w:t>Each Tenderer must also provide an executive summary of its Tender</w:t>
      </w:r>
      <w:r w:rsidR="00BB6EF4">
        <w:rPr>
          <w:rFonts w:ascii="Lato Light" w:hAnsi="Lato Light"/>
          <w:szCs w:val="22"/>
        </w:rPr>
        <w:t xml:space="preserve"> with a maximum word limit of </w:t>
      </w:r>
      <w:r w:rsidR="002277CF">
        <w:rPr>
          <w:rFonts w:ascii="Lato Light" w:hAnsi="Lato Light"/>
          <w:szCs w:val="22"/>
        </w:rPr>
        <w:t>1000</w:t>
      </w:r>
      <w:r w:rsidRPr="009D7BD5">
        <w:rPr>
          <w:rFonts w:ascii="Lato Light" w:hAnsi="Lato Light"/>
          <w:szCs w:val="22"/>
        </w:rPr>
        <w:t>. Each Tenderer must include in its executive summary:</w:t>
      </w:r>
    </w:p>
    <w:p w14:paraId="43560BA3" w14:textId="77777777" w:rsidR="00001352" w:rsidRPr="009D7BD5" w:rsidRDefault="00F33767" w:rsidP="00C83FBA">
      <w:pPr>
        <w:pStyle w:val="subclause1Bullet1"/>
        <w:numPr>
          <w:ilvl w:val="0"/>
          <w:numId w:val="43"/>
        </w:numPr>
        <w:spacing w:before="120" w:after="240" w:line="240" w:lineRule="auto"/>
        <w:rPr>
          <w:rFonts w:ascii="Lato Light" w:hAnsi="Lato Light"/>
          <w:szCs w:val="22"/>
        </w:rPr>
      </w:pPr>
      <w:r w:rsidRPr="009D7BD5">
        <w:rPr>
          <w:rFonts w:ascii="Lato Light" w:hAnsi="Lato Light"/>
          <w:szCs w:val="22"/>
        </w:rPr>
        <w:t xml:space="preserve">An outline of the way in which </w:t>
      </w:r>
      <w:r w:rsidR="006342BD" w:rsidRPr="009D7BD5">
        <w:rPr>
          <w:rFonts w:ascii="Lato Light" w:hAnsi="Lato Light"/>
          <w:szCs w:val="22"/>
        </w:rPr>
        <w:t>London CIV’s</w:t>
      </w:r>
      <w:r w:rsidR="009901E2" w:rsidRPr="009D7BD5">
        <w:rPr>
          <w:rFonts w:ascii="Lato Light" w:hAnsi="Lato Light"/>
          <w:szCs w:val="22"/>
        </w:rPr>
        <w:t xml:space="preserve"> </w:t>
      </w:r>
      <w:r w:rsidRPr="009D7BD5">
        <w:rPr>
          <w:rFonts w:ascii="Lato Light" w:hAnsi="Lato Light"/>
          <w:szCs w:val="22"/>
        </w:rPr>
        <w:t>requirements are to be met by its proposal.</w:t>
      </w:r>
    </w:p>
    <w:p w14:paraId="7C10D0A0" w14:textId="7E850074" w:rsidR="00001352" w:rsidRPr="009D7BD5" w:rsidRDefault="00F33767" w:rsidP="00C83FBA">
      <w:pPr>
        <w:pStyle w:val="subclause1Bullet1"/>
        <w:numPr>
          <w:ilvl w:val="0"/>
          <w:numId w:val="43"/>
        </w:numPr>
        <w:spacing w:before="120" w:after="240" w:line="240" w:lineRule="auto"/>
        <w:rPr>
          <w:rFonts w:ascii="Lato Light" w:hAnsi="Lato Light"/>
          <w:szCs w:val="22"/>
        </w:rPr>
      </w:pPr>
      <w:r w:rsidRPr="009D7BD5">
        <w:rPr>
          <w:rFonts w:ascii="Lato Light" w:hAnsi="Lato Light"/>
          <w:szCs w:val="22"/>
        </w:rPr>
        <w:lastRenderedPageBreak/>
        <w:t xml:space="preserve">A summary of all the services offered by the Tenderer in response to the </w:t>
      </w:r>
      <w:r w:rsidR="0038521A" w:rsidRPr="009D7BD5">
        <w:rPr>
          <w:rFonts w:ascii="Lato Light" w:hAnsi="Lato Light"/>
          <w:szCs w:val="22"/>
        </w:rPr>
        <w:t>ITN</w:t>
      </w:r>
      <w:r w:rsidRPr="009D7BD5">
        <w:rPr>
          <w:rFonts w:ascii="Lato Light" w:hAnsi="Lato Light"/>
          <w:szCs w:val="22"/>
        </w:rPr>
        <w:t>.</w:t>
      </w:r>
    </w:p>
    <w:p w14:paraId="55981D8D" w14:textId="670A0FDA" w:rsidR="000F2F0C" w:rsidRPr="009D7BD5" w:rsidRDefault="00001352" w:rsidP="00C83FBA">
      <w:pPr>
        <w:pStyle w:val="subclause1Bullet1"/>
        <w:numPr>
          <w:ilvl w:val="0"/>
          <w:numId w:val="43"/>
        </w:numPr>
        <w:spacing w:before="120" w:after="240" w:line="240" w:lineRule="auto"/>
        <w:rPr>
          <w:rFonts w:ascii="Lato Light" w:hAnsi="Lato Light"/>
          <w:szCs w:val="22"/>
        </w:rPr>
      </w:pPr>
      <w:r w:rsidRPr="009D7BD5">
        <w:rPr>
          <w:rFonts w:ascii="Lato Light" w:hAnsi="Lato Light"/>
          <w:szCs w:val="22"/>
        </w:rPr>
        <w:t xml:space="preserve">A clear statement of its commitment to meet London </w:t>
      </w:r>
      <w:proofErr w:type="gramStart"/>
      <w:r w:rsidRPr="009D7BD5">
        <w:rPr>
          <w:rFonts w:ascii="Lato Light" w:hAnsi="Lato Light"/>
          <w:szCs w:val="22"/>
        </w:rPr>
        <w:t>CIV‘</w:t>
      </w:r>
      <w:proofErr w:type="gramEnd"/>
      <w:r w:rsidRPr="009D7BD5">
        <w:rPr>
          <w:rFonts w:ascii="Lato Light" w:hAnsi="Lato Light"/>
          <w:szCs w:val="22"/>
        </w:rPr>
        <w:t>s requirements and the pricing, payment and performance model.</w:t>
      </w:r>
    </w:p>
    <w:p w14:paraId="562459EA" w14:textId="08EEE1EB" w:rsidR="00001352" w:rsidRPr="009D7BD5" w:rsidRDefault="00001352" w:rsidP="00C83FBA">
      <w:pPr>
        <w:pStyle w:val="subclause1Bullet1"/>
        <w:numPr>
          <w:ilvl w:val="0"/>
          <w:numId w:val="43"/>
        </w:numPr>
        <w:spacing w:before="120" w:after="240" w:line="240" w:lineRule="auto"/>
        <w:rPr>
          <w:rFonts w:ascii="Lato Light" w:hAnsi="Lato Light"/>
          <w:szCs w:val="22"/>
        </w:rPr>
      </w:pPr>
      <w:r w:rsidRPr="009D7BD5">
        <w:rPr>
          <w:rFonts w:ascii="Lato Light" w:hAnsi="Lato Light"/>
          <w:szCs w:val="22"/>
        </w:rPr>
        <w:t xml:space="preserve">Confirmation that the Tender will remain open for a period of </w:t>
      </w:r>
      <w:r w:rsidR="004C4FEF">
        <w:rPr>
          <w:rFonts w:ascii="Lato Light" w:hAnsi="Lato Light"/>
          <w:szCs w:val="22"/>
        </w:rPr>
        <w:t>90</w:t>
      </w:r>
      <w:r w:rsidRPr="009D7BD5">
        <w:rPr>
          <w:rFonts w:ascii="Lato Light" w:hAnsi="Lato Light"/>
          <w:szCs w:val="22"/>
        </w:rPr>
        <w:t xml:space="preserve"> days.</w:t>
      </w:r>
    </w:p>
    <w:p w14:paraId="747532FD" w14:textId="506A267A" w:rsidR="00001352" w:rsidRDefault="00001352" w:rsidP="00C83FBA">
      <w:pPr>
        <w:pStyle w:val="subclause1Bullet1"/>
        <w:numPr>
          <w:ilvl w:val="0"/>
          <w:numId w:val="43"/>
        </w:numPr>
        <w:spacing w:before="120" w:after="240" w:line="240" w:lineRule="auto"/>
        <w:rPr>
          <w:rFonts w:ascii="Lato Light" w:hAnsi="Lato Light"/>
          <w:szCs w:val="22"/>
        </w:rPr>
      </w:pPr>
      <w:r w:rsidRPr="009D7BD5">
        <w:rPr>
          <w:rFonts w:ascii="Lato Light" w:hAnsi="Lato Light"/>
          <w:szCs w:val="22"/>
        </w:rPr>
        <w:t>Written confirmation of no adverse change since the SQ stage in its financial standing and any other information provided at that stage.</w:t>
      </w:r>
    </w:p>
    <w:p w14:paraId="6766CCB7" w14:textId="46121DF3" w:rsidR="000F2F0C" w:rsidRDefault="00001352" w:rsidP="00C83FBA">
      <w:pPr>
        <w:pStyle w:val="subclause1Bullet1"/>
        <w:numPr>
          <w:ilvl w:val="0"/>
          <w:numId w:val="43"/>
        </w:numPr>
        <w:spacing w:before="120" w:after="240" w:line="240" w:lineRule="auto"/>
        <w:rPr>
          <w:rFonts w:ascii="Lato Light" w:hAnsi="Lato Light"/>
          <w:szCs w:val="22"/>
        </w:rPr>
      </w:pPr>
      <w:r w:rsidRPr="009D7BD5">
        <w:rPr>
          <w:rFonts w:ascii="Lato Light" w:hAnsi="Lato Light"/>
          <w:szCs w:val="22"/>
        </w:rPr>
        <w:t>Notification of any change in control, composition or membership (if any) that has taken place after its submission of its expression of interest.</w:t>
      </w:r>
    </w:p>
    <w:p w14:paraId="4013C88C" w14:textId="32200E90" w:rsidR="00F555AB" w:rsidRPr="00F555AB" w:rsidRDefault="00F555AB" w:rsidP="00F555AB">
      <w:pPr>
        <w:pStyle w:val="subclause1Bullet1"/>
        <w:numPr>
          <w:ilvl w:val="0"/>
          <w:numId w:val="43"/>
        </w:numPr>
        <w:spacing w:before="120" w:after="240" w:line="240" w:lineRule="auto"/>
        <w:rPr>
          <w:rFonts w:ascii="Lato Light" w:hAnsi="Lato Light"/>
          <w:szCs w:val="22"/>
        </w:rPr>
      </w:pPr>
      <w:r>
        <w:rPr>
          <w:rFonts w:ascii="Lato Light" w:hAnsi="Lato Light"/>
          <w:szCs w:val="22"/>
        </w:rPr>
        <w:t xml:space="preserve">Contact details for two referees. </w:t>
      </w:r>
    </w:p>
    <w:p w14:paraId="43D4F645" w14:textId="77777777" w:rsidR="00635A38" w:rsidRPr="009D7BD5" w:rsidRDefault="00311394" w:rsidP="001657C6">
      <w:pPr>
        <w:pStyle w:val="subclause1Bullet1"/>
        <w:numPr>
          <w:ilvl w:val="0"/>
          <w:numId w:val="0"/>
        </w:numPr>
        <w:spacing w:before="120" w:after="240" w:line="240" w:lineRule="auto"/>
        <w:ind w:left="1080"/>
        <w:rPr>
          <w:rFonts w:ascii="Lato Light" w:hAnsi="Lato Light"/>
          <w:szCs w:val="22"/>
        </w:rPr>
      </w:pPr>
      <w:r w:rsidRPr="009D7BD5">
        <w:rPr>
          <w:rFonts w:ascii="Lato Light" w:hAnsi="Lato Light"/>
          <w:szCs w:val="22"/>
        </w:rPr>
        <w:t xml:space="preserve">If changes subsequently occur in relation to the statements set out in the executive summary, the applicable Tenderer must promptly notify the authority of them. London CIV reserves the right to disqualify any Tenderer that fails to duly notify the authority. </w:t>
      </w:r>
    </w:p>
    <w:p w14:paraId="7E8A6D99" w14:textId="3D55B91A" w:rsidR="004E63C9" w:rsidRPr="009D7BD5" w:rsidRDefault="00F33767" w:rsidP="00C83FBA">
      <w:pPr>
        <w:pStyle w:val="Untitledsubclause1"/>
        <w:spacing w:before="120" w:after="240" w:line="240" w:lineRule="auto"/>
        <w:rPr>
          <w:rFonts w:ascii="Lato Light" w:hAnsi="Lato Light"/>
          <w:b/>
          <w:szCs w:val="22"/>
        </w:rPr>
      </w:pPr>
      <w:bookmarkStart w:id="20" w:name="a794123"/>
      <w:r w:rsidRPr="009D7BD5">
        <w:rPr>
          <w:rFonts w:ascii="Lato Light" w:hAnsi="Lato Light"/>
          <w:b/>
          <w:szCs w:val="22"/>
        </w:rPr>
        <w:t>Submission of Tenders</w:t>
      </w:r>
      <w:bookmarkEnd w:id="20"/>
    </w:p>
    <w:p w14:paraId="4B214224" w14:textId="133D8AEB" w:rsidR="004E63C9" w:rsidRPr="009D7BD5" w:rsidRDefault="00E62217" w:rsidP="00C83FBA">
      <w:pPr>
        <w:pStyle w:val="Untitledsubclause2"/>
        <w:spacing w:before="120" w:after="240" w:line="240" w:lineRule="auto"/>
        <w:rPr>
          <w:rFonts w:ascii="Lato Light" w:hAnsi="Lato Light"/>
          <w:szCs w:val="22"/>
        </w:rPr>
      </w:pPr>
      <w:r>
        <w:rPr>
          <w:rFonts w:ascii="Lato Light" w:hAnsi="Lato Light" w:cs="Calibri"/>
          <w:szCs w:val="22"/>
        </w:rPr>
        <w:t>Tenderer</w:t>
      </w:r>
      <w:r w:rsidR="004E63C9" w:rsidRPr="009D7BD5">
        <w:rPr>
          <w:rFonts w:ascii="Lato Light" w:hAnsi="Lato Light" w:cs="Calibri"/>
          <w:szCs w:val="22"/>
        </w:rPr>
        <w:t xml:space="preserve">s must notify the authority promptly should any information contained in their SQ </w:t>
      </w:r>
      <w:proofErr w:type="gramStart"/>
      <w:r w:rsidR="004E63C9" w:rsidRPr="009D7BD5">
        <w:rPr>
          <w:rFonts w:ascii="Lato Light" w:hAnsi="Lato Light" w:cs="Calibri"/>
          <w:szCs w:val="22"/>
        </w:rPr>
        <w:t>responses</w:t>
      </w:r>
      <w:proofErr w:type="gramEnd"/>
      <w:r w:rsidR="004E63C9" w:rsidRPr="009D7BD5">
        <w:rPr>
          <w:rFonts w:ascii="Lato Light" w:hAnsi="Lato Light" w:cs="Calibri"/>
          <w:szCs w:val="22"/>
        </w:rPr>
        <w:t xml:space="preserve"> </w:t>
      </w:r>
      <w:r w:rsidR="004E63C9" w:rsidRPr="009D7BD5">
        <w:rPr>
          <w:rFonts w:ascii="Lato Light" w:hAnsi="Lato Light" w:cs="Calibri"/>
          <w:szCs w:val="22"/>
          <w:shd w:val="clear" w:color="auto" w:fill="FFFFFF" w:themeFill="background1"/>
        </w:rPr>
        <w:t>or their Initial Tenders</w:t>
      </w:r>
      <w:r w:rsidR="004E63C9" w:rsidRPr="009D7BD5">
        <w:rPr>
          <w:rFonts w:ascii="Lato Light" w:hAnsi="Lato Light" w:cs="Calibri"/>
          <w:szCs w:val="22"/>
        </w:rPr>
        <w:t xml:space="preserve"> cease to be accurate. </w:t>
      </w:r>
    </w:p>
    <w:p w14:paraId="420BF314" w14:textId="3BF19EAB" w:rsidR="004E63C9" w:rsidRPr="009D7BD5" w:rsidRDefault="004E63C9" w:rsidP="00C83FBA">
      <w:pPr>
        <w:pStyle w:val="Untitledsubclause2"/>
        <w:spacing w:before="120" w:after="240" w:line="240" w:lineRule="auto"/>
        <w:rPr>
          <w:rFonts w:ascii="Lato Light" w:hAnsi="Lato Light"/>
          <w:szCs w:val="22"/>
        </w:rPr>
      </w:pPr>
      <w:bookmarkStart w:id="21" w:name="_Ref26192161"/>
      <w:r w:rsidRPr="009D7BD5">
        <w:rPr>
          <w:rFonts w:ascii="Lato Light" w:hAnsi="Lato Light" w:cs="Calibri"/>
          <w:szCs w:val="22"/>
        </w:rPr>
        <w:t xml:space="preserve">If </w:t>
      </w:r>
      <w:r w:rsidRPr="009D7BD5">
        <w:rPr>
          <w:rFonts w:ascii="Lato Light" w:hAnsi="Lato Light"/>
          <w:szCs w:val="22"/>
        </w:rPr>
        <w:t xml:space="preserve">London CIV </w:t>
      </w:r>
      <w:r w:rsidRPr="009D7BD5">
        <w:rPr>
          <w:rFonts w:ascii="Lato Light" w:hAnsi="Lato Light" w:cs="Calibri"/>
          <w:szCs w:val="22"/>
        </w:rPr>
        <w:t xml:space="preserve">is notified, or otherwise becomes aware, that any information previously supplied by a </w:t>
      </w:r>
      <w:r w:rsidR="00E62217">
        <w:rPr>
          <w:rFonts w:ascii="Lato Light" w:hAnsi="Lato Light" w:cs="Calibri"/>
          <w:szCs w:val="22"/>
        </w:rPr>
        <w:t>Tenderers</w:t>
      </w:r>
      <w:r w:rsidRPr="009D7BD5">
        <w:rPr>
          <w:rFonts w:ascii="Lato Light" w:hAnsi="Lato Light" w:cs="Calibri"/>
          <w:szCs w:val="22"/>
        </w:rPr>
        <w:t xml:space="preserve"> is incorrect or inaccurate, the authority will re-evaluate that </w:t>
      </w:r>
      <w:r w:rsidR="00E62217">
        <w:rPr>
          <w:rFonts w:ascii="Lato Light" w:hAnsi="Lato Light" w:cs="Calibri"/>
          <w:szCs w:val="22"/>
        </w:rPr>
        <w:t>Tenderers</w:t>
      </w:r>
      <w:r w:rsidRPr="009D7BD5">
        <w:rPr>
          <w:rFonts w:ascii="Lato Light" w:hAnsi="Lato Light" w:cs="Calibri"/>
          <w:szCs w:val="22"/>
        </w:rPr>
        <w:t xml:space="preserve"> against the relevant assessment criteria and, as a result of such re-evaluation, may (if appropriate)</w:t>
      </w:r>
      <w:bookmarkEnd w:id="21"/>
      <w:r w:rsidRPr="009D7BD5">
        <w:rPr>
          <w:rFonts w:ascii="Lato Light" w:hAnsi="Lato Light" w:cs="Calibri"/>
          <w:szCs w:val="22"/>
        </w:rPr>
        <w:t xml:space="preserve"> disqualify the bidder from the Procurement.</w:t>
      </w:r>
    </w:p>
    <w:p w14:paraId="74F28BB5" w14:textId="1C9B036F" w:rsidR="004E63C9" w:rsidRPr="009D7BD5" w:rsidRDefault="00E62217" w:rsidP="00C83FBA">
      <w:pPr>
        <w:pStyle w:val="Untitledsubclause2"/>
        <w:spacing w:before="120" w:after="240" w:line="240" w:lineRule="auto"/>
        <w:rPr>
          <w:rFonts w:ascii="Lato Light" w:hAnsi="Lato Light"/>
          <w:szCs w:val="22"/>
        </w:rPr>
      </w:pPr>
      <w:r>
        <w:rPr>
          <w:rFonts w:ascii="Lato Light" w:eastAsia="Arial" w:hAnsi="Lato Light" w:cs="Calibri"/>
          <w:szCs w:val="22"/>
          <w:lang w:eastAsia="en-GB"/>
        </w:rPr>
        <w:t>Tenderers</w:t>
      </w:r>
      <w:r w:rsidR="004E63C9" w:rsidRPr="009D7BD5">
        <w:rPr>
          <w:rFonts w:ascii="Lato Light" w:eastAsia="Arial" w:hAnsi="Lato Light" w:cs="Calibri"/>
          <w:szCs w:val="22"/>
          <w:lang w:eastAsia="en-GB"/>
        </w:rPr>
        <w:t xml:space="preserve"> must confirm whether there has been any material change in relation to the information submitted at the SQ stage. Where some material change has occurred, the </w:t>
      </w:r>
      <w:r>
        <w:rPr>
          <w:rFonts w:ascii="Lato Light" w:eastAsia="Arial" w:hAnsi="Lato Light" w:cs="Calibri"/>
          <w:szCs w:val="22"/>
          <w:lang w:eastAsia="en-GB"/>
        </w:rPr>
        <w:t>Tenderers</w:t>
      </w:r>
      <w:r w:rsidR="004E63C9" w:rsidRPr="009D7BD5">
        <w:rPr>
          <w:rFonts w:ascii="Lato Light" w:eastAsia="Arial" w:hAnsi="Lato Light" w:cs="Calibri"/>
          <w:szCs w:val="22"/>
          <w:lang w:eastAsia="en-GB"/>
        </w:rPr>
        <w:t xml:space="preserve"> must immediately provide to </w:t>
      </w:r>
      <w:r w:rsidR="004E63C9" w:rsidRPr="009D7BD5">
        <w:rPr>
          <w:rFonts w:ascii="Lato Light" w:hAnsi="Lato Light"/>
          <w:szCs w:val="22"/>
        </w:rPr>
        <w:t xml:space="preserve">London CIV </w:t>
      </w:r>
      <w:r w:rsidR="004E63C9" w:rsidRPr="009D7BD5">
        <w:rPr>
          <w:rFonts w:ascii="Lato Light" w:eastAsia="Arial" w:hAnsi="Lato Light" w:cs="Calibri"/>
          <w:szCs w:val="22"/>
          <w:lang w:eastAsia="en-GB"/>
        </w:rPr>
        <w:t>updated equivalent information to that requested in the SQ.</w:t>
      </w:r>
    </w:p>
    <w:p w14:paraId="56C9DE38" w14:textId="55A9156E" w:rsidR="004E63C9" w:rsidRPr="009D7BD5" w:rsidRDefault="004E63C9" w:rsidP="00C83FBA">
      <w:pPr>
        <w:pStyle w:val="Untitledsubclause2"/>
        <w:spacing w:before="120" w:after="240" w:line="240" w:lineRule="auto"/>
        <w:rPr>
          <w:rFonts w:ascii="Lato Light" w:hAnsi="Lato Light"/>
          <w:szCs w:val="22"/>
        </w:rPr>
      </w:pPr>
      <w:bookmarkStart w:id="22" w:name="_Ref333845450"/>
      <w:r w:rsidRPr="009D7BD5">
        <w:rPr>
          <w:rFonts w:ascii="Lato Light" w:hAnsi="Lato Light"/>
          <w:szCs w:val="22"/>
        </w:rPr>
        <w:t xml:space="preserve">London CIV </w:t>
      </w:r>
      <w:r w:rsidRPr="009D7BD5">
        <w:rPr>
          <w:rFonts w:ascii="Lato Light" w:eastAsia="Arial" w:hAnsi="Lato Light" w:cs="Calibri"/>
          <w:szCs w:val="22"/>
          <w:lang w:eastAsia="en-GB"/>
        </w:rPr>
        <w:t xml:space="preserve">reserves the right to disqualify any </w:t>
      </w:r>
      <w:r w:rsidR="00E62217">
        <w:rPr>
          <w:rFonts w:ascii="Lato Light" w:eastAsia="Arial" w:hAnsi="Lato Light" w:cs="Calibri"/>
          <w:szCs w:val="22"/>
          <w:lang w:eastAsia="en-GB"/>
        </w:rPr>
        <w:t>Tenderers</w:t>
      </w:r>
      <w:r w:rsidRPr="009D7BD5">
        <w:rPr>
          <w:rFonts w:ascii="Lato Light" w:eastAsia="Arial" w:hAnsi="Lato Light" w:cs="Calibri"/>
          <w:szCs w:val="22"/>
          <w:lang w:eastAsia="en-GB"/>
        </w:rPr>
        <w:t xml:space="preserve"> where there is a material change to any aspect of its response to the SQ if such </w:t>
      </w:r>
      <w:r w:rsidR="00E62217">
        <w:rPr>
          <w:rFonts w:ascii="Lato Light" w:eastAsia="Arial" w:hAnsi="Lato Light" w:cs="Calibri"/>
          <w:szCs w:val="22"/>
          <w:lang w:eastAsia="en-GB"/>
        </w:rPr>
        <w:t>Tenderers</w:t>
      </w:r>
      <w:r w:rsidRPr="009D7BD5">
        <w:rPr>
          <w:rFonts w:ascii="Lato Light" w:eastAsia="Arial" w:hAnsi="Lato Light" w:cs="Calibri"/>
          <w:szCs w:val="22"/>
          <w:lang w:eastAsia="en-GB"/>
        </w:rPr>
        <w:t xml:space="preserve"> has failed to notify </w:t>
      </w:r>
      <w:r w:rsidRPr="009D7BD5">
        <w:rPr>
          <w:rFonts w:ascii="Lato Light" w:hAnsi="Lato Light"/>
          <w:szCs w:val="22"/>
        </w:rPr>
        <w:t xml:space="preserve">London CIV </w:t>
      </w:r>
      <w:r w:rsidRPr="009D7BD5">
        <w:rPr>
          <w:rFonts w:ascii="Lato Light" w:eastAsia="Arial" w:hAnsi="Lato Light" w:cs="Calibri"/>
          <w:szCs w:val="22"/>
          <w:lang w:eastAsia="en-GB"/>
        </w:rPr>
        <w:t xml:space="preserve">of such change or, having notified </w:t>
      </w:r>
      <w:r w:rsidRPr="009D7BD5">
        <w:rPr>
          <w:rFonts w:ascii="Lato Light" w:hAnsi="Lato Light"/>
          <w:szCs w:val="22"/>
        </w:rPr>
        <w:t>London CIV</w:t>
      </w:r>
      <w:r w:rsidRPr="009D7BD5">
        <w:rPr>
          <w:rFonts w:ascii="Lato Light" w:eastAsia="Arial" w:hAnsi="Lato Light" w:cs="Calibri"/>
          <w:szCs w:val="22"/>
          <w:lang w:eastAsia="en-GB"/>
        </w:rPr>
        <w:t xml:space="preserve">, </w:t>
      </w:r>
      <w:r w:rsidRPr="009D7BD5">
        <w:rPr>
          <w:rFonts w:ascii="Lato Light" w:hAnsi="Lato Light"/>
          <w:szCs w:val="22"/>
        </w:rPr>
        <w:t xml:space="preserve">London CIV </w:t>
      </w:r>
      <w:r w:rsidRPr="009D7BD5">
        <w:rPr>
          <w:rFonts w:ascii="Lato Light" w:eastAsia="Arial" w:hAnsi="Lato Light" w:cs="Calibri"/>
          <w:szCs w:val="22"/>
          <w:lang w:eastAsia="en-GB"/>
        </w:rPr>
        <w:t xml:space="preserve">considers the effect of the change is such that on the basis of the evaluation undertaken by the authority for the purpose of selecting applicants to be invited to tender, the </w:t>
      </w:r>
      <w:r w:rsidR="00E62217">
        <w:rPr>
          <w:rFonts w:ascii="Lato Light" w:eastAsia="Arial" w:hAnsi="Lato Light" w:cs="Calibri"/>
          <w:szCs w:val="22"/>
          <w:lang w:eastAsia="en-GB"/>
        </w:rPr>
        <w:t>Tenderers</w:t>
      </w:r>
      <w:r w:rsidRPr="009D7BD5">
        <w:rPr>
          <w:rFonts w:ascii="Lato Light" w:eastAsia="Arial" w:hAnsi="Lato Light" w:cs="Calibri"/>
          <w:szCs w:val="22"/>
          <w:lang w:eastAsia="en-GB"/>
        </w:rPr>
        <w:t xml:space="preserve"> would not qualify.</w:t>
      </w:r>
      <w:bookmarkEnd w:id="22"/>
    </w:p>
    <w:p w14:paraId="125DDBA1" w14:textId="0BEBA592" w:rsidR="004E63C9" w:rsidRPr="009D7BD5" w:rsidRDefault="005F4DCE" w:rsidP="00C83FBA">
      <w:pPr>
        <w:pStyle w:val="Untitledsubclause2"/>
        <w:spacing w:before="120" w:after="240" w:line="240" w:lineRule="auto"/>
        <w:rPr>
          <w:rFonts w:ascii="Lato Light" w:hAnsi="Lato Light"/>
          <w:szCs w:val="22"/>
        </w:rPr>
      </w:pPr>
      <w:r w:rsidRPr="009D7BD5">
        <w:rPr>
          <w:rFonts w:ascii="Lato Light" w:hAnsi="Lato Light"/>
          <w:szCs w:val="22"/>
        </w:rPr>
        <w:t xml:space="preserve">The Tender must meet London </w:t>
      </w:r>
      <w:proofErr w:type="gramStart"/>
      <w:r w:rsidRPr="009D7BD5">
        <w:rPr>
          <w:rFonts w:ascii="Lato Light" w:hAnsi="Lato Light"/>
          <w:szCs w:val="22"/>
        </w:rPr>
        <w:t>CIV‘</w:t>
      </w:r>
      <w:proofErr w:type="gramEnd"/>
      <w:r w:rsidRPr="009D7BD5">
        <w:rPr>
          <w:rFonts w:ascii="Lato Light" w:hAnsi="Lato Light"/>
          <w:szCs w:val="22"/>
        </w:rPr>
        <w:t>s minimum requirements, operate as a standalone bid and not be dependent on any other bid or any other factors external to the Tender itself. That is, The Tender must be capable of being accepted by London CIV in its own right.</w:t>
      </w:r>
    </w:p>
    <w:p w14:paraId="6DAB1E0A" w14:textId="77777777" w:rsidR="005D51F8" w:rsidRPr="009D7BD5" w:rsidRDefault="005D51F8" w:rsidP="00C83FBA">
      <w:pPr>
        <w:pStyle w:val="ListParagraph"/>
        <w:numPr>
          <w:ilvl w:val="0"/>
          <w:numId w:val="26"/>
        </w:numPr>
        <w:adjustRightInd w:val="0"/>
        <w:spacing w:before="120" w:after="240" w:line="240" w:lineRule="auto"/>
        <w:contextualSpacing w:val="0"/>
        <w:jc w:val="both"/>
        <w:rPr>
          <w:rFonts w:ascii="Lato Light" w:eastAsia="Arial" w:hAnsi="Lato Light" w:cs="Calibri"/>
          <w:vanish/>
          <w:lang w:eastAsia="en-GB"/>
        </w:rPr>
      </w:pPr>
    </w:p>
    <w:p w14:paraId="65E8D5CC" w14:textId="77777777" w:rsidR="005D51F8" w:rsidRPr="009D7BD5" w:rsidRDefault="005D51F8" w:rsidP="00C83FBA">
      <w:pPr>
        <w:pStyle w:val="ListParagraph"/>
        <w:numPr>
          <w:ilvl w:val="0"/>
          <w:numId w:val="26"/>
        </w:numPr>
        <w:adjustRightInd w:val="0"/>
        <w:spacing w:before="120" w:after="240" w:line="240" w:lineRule="auto"/>
        <w:contextualSpacing w:val="0"/>
        <w:jc w:val="both"/>
        <w:rPr>
          <w:rFonts w:ascii="Lato Light" w:eastAsia="Arial" w:hAnsi="Lato Light" w:cs="Calibri"/>
          <w:vanish/>
          <w:lang w:eastAsia="en-GB"/>
        </w:rPr>
      </w:pPr>
    </w:p>
    <w:p w14:paraId="37BD6FA2" w14:textId="140D159C" w:rsidR="000F2F0C" w:rsidRPr="009D7BD5" w:rsidRDefault="00F33767" w:rsidP="00C83FBA">
      <w:pPr>
        <w:pStyle w:val="Untitledsubclause1"/>
        <w:spacing w:before="120" w:after="240" w:line="240" w:lineRule="auto"/>
        <w:rPr>
          <w:rFonts w:ascii="Lato Light" w:hAnsi="Lato Light"/>
          <w:b/>
          <w:szCs w:val="22"/>
        </w:rPr>
      </w:pPr>
      <w:bookmarkStart w:id="23" w:name="a43840"/>
      <w:r w:rsidRPr="009D7BD5">
        <w:rPr>
          <w:rFonts w:ascii="Lato Light" w:hAnsi="Lato Light"/>
          <w:b/>
          <w:szCs w:val="22"/>
        </w:rPr>
        <w:t>Documents forming the contract</w:t>
      </w:r>
      <w:bookmarkEnd w:id="23"/>
    </w:p>
    <w:p w14:paraId="7970702A" w14:textId="621168BD"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The following documents shall form part of the Contract between </w:t>
      </w:r>
      <w:r w:rsidR="00AB0FD6" w:rsidRPr="009D7BD5">
        <w:rPr>
          <w:rFonts w:ascii="Lato Light" w:hAnsi="Lato Light"/>
          <w:szCs w:val="22"/>
        </w:rPr>
        <w:t xml:space="preserve">London CIV </w:t>
      </w:r>
      <w:r w:rsidRPr="009D7BD5">
        <w:rPr>
          <w:rFonts w:ascii="Lato Light" w:hAnsi="Lato Light"/>
          <w:szCs w:val="22"/>
        </w:rPr>
        <w:t>and the Service Provider(s):</w:t>
      </w:r>
    </w:p>
    <w:p w14:paraId="33BA1A71" w14:textId="77777777" w:rsidR="005F4DCE" w:rsidRPr="009D7BD5" w:rsidRDefault="00F33767" w:rsidP="00C83FBA">
      <w:pPr>
        <w:pStyle w:val="subclause1Bullet1"/>
        <w:numPr>
          <w:ilvl w:val="0"/>
          <w:numId w:val="44"/>
        </w:numPr>
        <w:spacing w:before="120" w:after="240" w:line="240" w:lineRule="auto"/>
        <w:rPr>
          <w:rFonts w:ascii="Lato Light" w:hAnsi="Lato Light"/>
          <w:szCs w:val="22"/>
        </w:rPr>
      </w:pPr>
      <w:r w:rsidRPr="009D7BD5">
        <w:rPr>
          <w:rFonts w:ascii="Lato Light" w:hAnsi="Lato Light"/>
          <w:szCs w:val="22"/>
        </w:rPr>
        <w:lastRenderedPageBreak/>
        <w:t>Contract and its schedule</w:t>
      </w:r>
      <w:r w:rsidR="00BC6AE8" w:rsidRPr="009D7BD5">
        <w:rPr>
          <w:rFonts w:ascii="Lato Light" w:hAnsi="Lato Light"/>
          <w:szCs w:val="22"/>
        </w:rPr>
        <w:t>s</w:t>
      </w:r>
      <w:r w:rsidRPr="009D7BD5">
        <w:rPr>
          <w:rFonts w:ascii="Lato Light" w:hAnsi="Lato Light"/>
          <w:szCs w:val="22"/>
        </w:rPr>
        <w:t>.</w:t>
      </w:r>
    </w:p>
    <w:p w14:paraId="0E3A5BD6" w14:textId="77777777" w:rsidR="005F4DCE" w:rsidRPr="009D7BD5" w:rsidRDefault="00F33767" w:rsidP="00C83FBA">
      <w:pPr>
        <w:pStyle w:val="subclause1Bullet1"/>
        <w:numPr>
          <w:ilvl w:val="0"/>
          <w:numId w:val="44"/>
        </w:numPr>
        <w:spacing w:before="120" w:after="240" w:line="240" w:lineRule="auto"/>
        <w:rPr>
          <w:rFonts w:ascii="Lato Light" w:hAnsi="Lato Light"/>
          <w:szCs w:val="22"/>
        </w:rPr>
      </w:pPr>
      <w:r w:rsidRPr="009D7BD5">
        <w:rPr>
          <w:rFonts w:ascii="Lato Light" w:hAnsi="Lato Light"/>
          <w:szCs w:val="22"/>
        </w:rPr>
        <w:t>Specification.</w:t>
      </w:r>
    </w:p>
    <w:p w14:paraId="0419D98E" w14:textId="77777777" w:rsidR="005F4DCE" w:rsidRPr="009D7BD5" w:rsidRDefault="00F33767" w:rsidP="00C83FBA">
      <w:pPr>
        <w:pStyle w:val="subclause1Bullet1"/>
        <w:numPr>
          <w:ilvl w:val="0"/>
          <w:numId w:val="44"/>
        </w:numPr>
        <w:spacing w:before="120" w:after="240" w:line="240" w:lineRule="auto"/>
        <w:rPr>
          <w:rFonts w:ascii="Lato Light" w:hAnsi="Lato Light"/>
          <w:szCs w:val="22"/>
        </w:rPr>
      </w:pPr>
      <w:r w:rsidRPr="009D7BD5">
        <w:rPr>
          <w:rFonts w:ascii="Lato Light" w:hAnsi="Lato Light"/>
          <w:szCs w:val="22"/>
        </w:rPr>
        <w:t>A pricing model (as completed by the Service Provider).</w:t>
      </w:r>
    </w:p>
    <w:p w14:paraId="7A94B4A3" w14:textId="47F10356" w:rsidR="000F2F0C" w:rsidRPr="009D7BD5" w:rsidRDefault="00F33767" w:rsidP="00C83FBA">
      <w:pPr>
        <w:pStyle w:val="subclause1Bullet1"/>
        <w:numPr>
          <w:ilvl w:val="0"/>
          <w:numId w:val="44"/>
        </w:numPr>
        <w:spacing w:before="120" w:after="240" w:line="240" w:lineRule="auto"/>
        <w:rPr>
          <w:rFonts w:ascii="Lato Light" w:hAnsi="Lato Light"/>
          <w:szCs w:val="22"/>
        </w:rPr>
      </w:pPr>
      <w:r w:rsidRPr="009D7BD5">
        <w:rPr>
          <w:rFonts w:ascii="Lato Light" w:hAnsi="Lato Light"/>
          <w:szCs w:val="22"/>
        </w:rPr>
        <w:t>Responses to requirements</w:t>
      </w:r>
      <w:r w:rsidR="00327DC8" w:rsidRPr="009D7BD5">
        <w:rPr>
          <w:rFonts w:ascii="Lato Light" w:hAnsi="Lato Light"/>
          <w:szCs w:val="22"/>
        </w:rPr>
        <w:t xml:space="preserve"> </w:t>
      </w:r>
      <w:r w:rsidRPr="009D7BD5">
        <w:rPr>
          <w:rFonts w:ascii="Lato Light" w:hAnsi="Lato Light"/>
          <w:szCs w:val="22"/>
        </w:rPr>
        <w:t>(as completed by the Service Provider).</w:t>
      </w:r>
    </w:p>
    <w:p w14:paraId="58F06E8C" w14:textId="1808B643" w:rsidR="000F2F0C" w:rsidRPr="009D7BD5" w:rsidRDefault="006E31BA" w:rsidP="00C83FBA">
      <w:pPr>
        <w:pStyle w:val="Untitledsubclause1"/>
        <w:spacing w:before="120" w:after="240" w:line="240" w:lineRule="auto"/>
        <w:rPr>
          <w:rFonts w:ascii="Lato Light" w:hAnsi="Lato Light"/>
          <w:b/>
          <w:szCs w:val="22"/>
        </w:rPr>
      </w:pPr>
      <w:bookmarkStart w:id="24" w:name="a336762"/>
      <w:r w:rsidRPr="009D7BD5">
        <w:rPr>
          <w:rFonts w:ascii="Lato Light" w:hAnsi="Lato Light"/>
          <w:b/>
          <w:szCs w:val="22"/>
        </w:rPr>
        <w:t>S</w:t>
      </w:r>
      <w:r w:rsidR="00F33767" w:rsidRPr="009D7BD5">
        <w:rPr>
          <w:rFonts w:ascii="Lato Light" w:hAnsi="Lato Light"/>
          <w:b/>
          <w:szCs w:val="22"/>
        </w:rPr>
        <w:t>ubcontractors</w:t>
      </w:r>
      <w:bookmarkEnd w:id="24"/>
    </w:p>
    <w:p w14:paraId="1ACDCC6D" w14:textId="5E366711" w:rsidR="000F2F0C" w:rsidRPr="009D7BD5" w:rsidRDefault="00AB0FD6" w:rsidP="00C83FBA">
      <w:pPr>
        <w:pStyle w:val="Parasubclause1"/>
        <w:spacing w:before="120" w:after="240" w:line="240" w:lineRule="auto"/>
        <w:rPr>
          <w:rFonts w:ascii="Lato Light" w:hAnsi="Lato Light"/>
          <w:szCs w:val="22"/>
        </w:rPr>
      </w:pPr>
      <w:r w:rsidRPr="009D7BD5">
        <w:rPr>
          <w:rFonts w:ascii="Lato Light" w:hAnsi="Lato Light"/>
          <w:szCs w:val="22"/>
        </w:rPr>
        <w:t xml:space="preserve">London CIV </w:t>
      </w:r>
      <w:r w:rsidR="00F33767" w:rsidRPr="009D7BD5">
        <w:rPr>
          <w:rFonts w:ascii="Lato Light" w:hAnsi="Lato Light"/>
          <w:szCs w:val="22"/>
        </w:rPr>
        <w:t>requires all Tenderers to identify whether any and, if so, which subcontracting arrangements apply in the case of their Tender, including the share (if any) of the Contract to be sub-contracted, the identity of the proposed sub-contractors, and which entity is proposed to be the Service Provider.</w:t>
      </w:r>
    </w:p>
    <w:p w14:paraId="350DC227" w14:textId="68EC5886" w:rsidR="00883BC0" w:rsidRPr="009D7BD5" w:rsidRDefault="00F33767" w:rsidP="00C83FBA">
      <w:pPr>
        <w:pStyle w:val="subclause1Bullet1"/>
        <w:numPr>
          <w:ilvl w:val="0"/>
          <w:numId w:val="0"/>
        </w:numPr>
        <w:spacing w:before="120" w:after="240" w:line="240" w:lineRule="auto"/>
        <w:ind w:left="720"/>
        <w:rPr>
          <w:rFonts w:ascii="Lato Light" w:hAnsi="Lato Light"/>
          <w:b/>
          <w:szCs w:val="22"/>
        </w:rPr>
      </w:pPr>
      <w:r w:rsidRPr="009D7BD5">
        <w:rPr>
          <w:rFonts w:ascii="Lato Light" w:hAnsi="Lato Light"/>
          <w:szCs w:val="22"/>
        </w:rPr>
        <w:t>Subcontracting could involve, for example, an economic operator bidding as a prime contractor and using a subcontractor or subcontractors to deliver some of the Services, or an economic operator bidding as a managing agent and using subcontractors to deliver all of the Services.</w:t>
      </w:r>
    </w:p>
    <w:p w14:paraId="5F382965" w14:textId="77777777" w:rsidR="000F2F0C" w:rsidRPr="009D7BD5" w:rsidRDefault="00F33767" w:rsidP="00C83FBA">
      <w:pPr>
        <w:pStyle w:val="Untitledsubclause1"/>
        <w:spacing w:before="120" w:after="240" w:line="240" w:lineRule="auto"/>
        <w:rPr>
          <w:rFonts w:ascii="Lato Light" w:hAnsi="Lato Light"/>
          <w:b/>
          <w:szCs w:val="22"/>
        </w:rPr>
      </w:pPr>
      <w:bookmarkStart w:id="25" w:name="a671928"/>
      <w:r w:rsidRPr="009D7BD5">
        <w:rPr>
          <w:rFonts w:ascii="Lato Light" w:hAnsi="Lato Light"/>
          <w:b/>
          <w:szCs w:val="22"/>
        </w:rPr>
        <w:t>Warnings and disclaimers</w:t>
      </w:r>
      <w:bookmarkEnd w:id="25"/>
    </w:p>
    <w:p w14:paraId="0898F371" w14:textId="556D3F13"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While the information contained in this </w:t>
      </w:r>
      <w:r w:rsidR="0038521A" w:rsidRPr="009D7BD5">
        <w:rPr>
          <w:rFonts w:ascii="Lato Light" w:hAnsi="Lato Light"/>
          <w:szCs w:val="22"/>
        </w:rPr>
        <w:t>ITN</w:t>
      </w:r>
      <w:r w:rsidRPr="009D7BD5">
        <w:rPr>
          <w:rFonts w:ascii="Lato Light" w:hAnsi="Lato Light"/>
          <w:szCs w:val="22"/>
        </w:rPr>
        <w:t xml:space="preserve"> is believed to be correct at the time of issue, neither </w:t>
      </w:r>
      <w:r w:rsidR="00B6126D" w:rsidRPr="009D7BD5">
        <w:rPr>
          <w:rFonts w:ascii="Lato Light" w:hAnsi="Lato Light"/>
          <w:szCs w:val="22"/>
        </w:rPr>
        <w:t>London CIV</w:t>
      </w:r>
      <w:r w:rsidRPr="009D7BD5">
        <w:rPr>
          <w:rFonts w:ascii="Lato Light" w:hAnsi="Lato Light"/>
          <w:szCs w:val="22"/>
        </w:rPr>
        <w:t xml:space="preserve">,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8521A" w:rsidRPr="009D7BD5">
        <w:rPr>
          <w:rFonts w:ascii="Lato Light" w:hAnsi="Lato Light"/>
          <w:szCs w:val="22"/>
        </w:rPr>
        <w:t>ITN</w:t>
      </w:r>
      <w:r w:rsidRPr="009D7BD5">
        <w:rPr>
          <w:rFonts w:ascii="Lato Light" w:hAnsi="Lato Light"/>
          <w:szCs w:val="22"/>
        </w:rPr>
        <w:t xml:space="preserve"> (including its appendices) and in respect of any other written or oral communication transmitted (or otherwise made available) to any Tenderer. This exclusion does not extend to any fraudulent misrepresentation made by or on behalf of </w:t>
      </w:r>
      <w:r w:rsidR="00B6126D" w:rsidRPr="009D7BD5">
        <w:rPr>
          <w:rFonts w:ascii="Lato Light" w:hAnsi="Lato Light"/>
          <w:szCs w:val="22"/>
        </w:rPr>
        <w:t>London CIV</w:t>
      </w:r>
      <w:r w:rsidRPr="009D7BD5">
        <w:rPr>
          <w:rFonts w:ascii="Lato Light" w:hAnsi="Lato Light"/>
          <w:szCs w:val="22"/>
        </w:rPr>
        <w:t>.</w:t>
      </w:r>
    </w:p>
    <w:p w14:paraId="6EBFF12B" w14:textId="2D6E120D"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If a Tenderer proposes to enter into a Contract with </w:t>
      </w:r>
      <w:r w:rsidR="00B6126D" w:rsidRPr="009D7BD5">
        <w:rPr>
          <w:rFonts w:ascii="Lato Light" w:hAnsi="Lato Light"/>
          <w:szCs w:val="22"/>
        </w:rPr>
        <w:t>London CIV</w:t>
      </w:r>
      <w:r w:rsidRPr="009D7BD5">
        <w:rPr>
          <w:rFonts w:ascii="Lato Light" w:hAnsi="Lato Light"/>
          <w:szCs w:val="22"/>
        </w:rPr>
        <w:t>, it must rely on its own enquiries and on the terms and conditions set out in the Contract(s) (as and when finally executed), subject to the limitations and restrictions specified in it.</w:t>
      </w:r>
    </w:p>
    <w:p w14:paraId="5493E486" w14:textId="7F19B120"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Neither the issue of this </w:t>
      </w:r>
      <w:r w:rsidR="0038521A" w:rsidRPr="009D7BD5">
        <w:rPr>
          <w:rFonts w:ascii="Lato Light" w:hAnsi="Lato Light"/>
          <w:szCs w:val="22"/>
        </w:rPr>
        <w:t>ITN</w:t>
      </w:r>
      <w:r w:rsidRPr="009D7BD5">
        <w:rPr>
          <w:rFonts w:ascii="Lato Light" w:hAnsi="Lato Light"/>
          <w:szCs w:val="22"/>
        </w:rPr>
        <w:t xml:space="preserve">, nor any of the information presented in it, should be regarded as a commitment or representation on the part of the </w:t>
      </w:r>
      <w:r w:rsidR="00C5592D" w:rsidRPr="009D7BD5">
        <w:rPr>
          <w:rFonts w:ascii="Lato Light" w:hAnsi="Lato Light"/>
          <w:szCs w:val="22"/>
        </w:rPr>
        <w:t>authority</w:t>
      </w:r>
      <w:r w:rsidRPr="009D7BD5">
        <w:rPr>
          <w:rFonts w:ascii="Lato Light" w:hAnsi="Lato Light"/>
          <w:szCs w:val="22"/>
        </w:rPr>
        <w:t xml:space="preserve"> (or any other person) to enter into a contractual arrangement.</w:t>
      </w:r>
    </w:p>
    <w:p w14:paraId="48B2C3B8" w14:textId="77777777" w:rsidR="000F2F0C" w:rsidRPr="009D7BD5" w:rsidRDefault="00F33767" w:rsidP="00C83FBA">
      <w:pPr>
        <w:pStyle w:val="Untitledsubclause1"/>
        <w:spacing w:before="120" w:after="240" w:line="240" w:lineRule="auto"/>
        <w:rPr>
          <w:rFonts w:ascii="Lato Light" w:hAnsi="Lato Light"/>
          <w:b/>
          <w:szCs w:val="22"/>
        </w:rPr>
      </w:pPr>
      <w:bookmarkStart w:id="26" w:name="a400850"/>
      <w:r w:rsidRPr="009D7BD5">
        <w:rPr>
          <w:rFonts w:ascii="Lato Light" w:hAnsi="Lato Light"/>
          <w:b/>
          <w:szCs w:val="22"/>
        </w:rPr>
        <w:t>Confidentiality and Freedom of Information</w:t>
      </w:r>
      <w:bookmarkEnd w:id="26"/>
    </w:p>
    <w:p w14:paraId="0D0B37EC" w14:textId="10A68DBA"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All information supplied by the </w:t>
      </w:r>
      <w:r w:rsidR="00C5592D" w:rsidRPr="009D7BD5">
        <w:rPr>
          <w:rFonts w:ascii="Lato Light" w:hAnsi="Lato Light"/>
          <w:szCs w:val="22"/>
        </w:rPr>
        <w:t>authority</w:t>
      </w:r>
      <w:r w:rsidRPr="009D7BD5">
        <w:rPr>
          <w:rFonts w:ascii="Lato Light" w:hAnsi="Lato Light"/>
          <w:szCs w:val="22"/>
        </w:rPr>
        <w:t xml:space="preserve"> to Tenderers (including this </w:t>
      </w:r>
      <w:r w:rsidR="0038521A" w:rsidRPr="009D7BD5">
        <w:rPr>
          <w:rFonts w:ascii="Lato Light" w:hAnsi="Lato Light"/>
          <w:szCs w:val="22"/>
        </w:rPr>
        <w:t>ITN</w:t>
      </w:r>
      <w:r w:rsidRPr="009D7BD5">
        <w:rPr>
          <w:rFonts w:ascii="Lato Light" w:hAnsi="Lato Light"/>
          <w:szCs w:val="22"/>
        </w:rPr>
        <w:t xml:space="preserve"> and all other documents relating to the procurement), whether in writing or orally, is supplied on condition that it (including the fact that the Tenderer has received this </w:t>
      </w:r>
      <w:r w:rsidR="0038521A" w:rsidRPr="009D7BD5">
        <w:rPr>
          <w:rFonts w:ascii="Lato Light" w:hAnsi="Lato Light"/>
          <w:szCs w:val="22"/>
        </w:rPr>
        <w:t>ITN</w:t>
      </w:r>
      <w:r w:rsidRPr="009D7BD5">
        <w:rPr>
          <w:rFonts w:ascii="Lato Light" w:hAnsi="Lato Light"/>
          <w:szCs w:val="22"/>
        </w:rPr>
        <w:t>) be kept confidential by the Tenderer; it must not be copied, reproduced, distributed or passed to any other person at any time (except to professional advisors</w:t>
      </w:r>
      <w:r w:rsidR="003E637F" w:rsidRPr="009D7BD5">
        <w:rPr>
          <w:rFonts w:ascii="Lato Light" w:hAnsi="Lato Light"/>
          <w:szCs w:val="22"/>
        </w:rPr>
        <w:t xml:space="preserve"> </w:t>
      </w:r>
      <w:r w:rsidRPr="009D7BD5">
        <w:rPr>
          <w:rFonts w:ascii="Lato Light" w:hAnsi="Lato Light"/>
          <w:szCs w:val="22"/>
        </w:rPr>
        <w:t>or subcontractors for the sole purpose of enabling the Tenderer to submit a Tender) unless the information is already in the public domain.</w:t>
      </w:r>
    </w:p>
    <w:p w14:paraId="026D168E" w14:textId="15BE6CB0"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As a public body, </w:t>
      </w:r>
      <w:r w:rsidR="00334D64" w:rsidRPr="009D7BD5">
        <w:rPr>
          <w:rFonts w:ascii="Lato Light" w:hAnsi="Lato Light"/>
          <w:szCs w:val="22"/>
        </w:rPr>
        <w:t xml:space="preserve">London CIV </w:t>
      </w:r>
      <w:r w:rsidRPr="009D7BD5">
        <w:rPr>
          <w:rFonts w:ascii="Lato Light" w:hAnsi="Lato Light"/>
          <w:szCs w:val="22"/>
        </w:rPr>
        <w:t>is subject to the provisions of the Freedom of Information Act 2000 (FOIA) and Environmental Information Regulations 2004 (S</w:t>
      </w:r>
      <w:r w:rsidRPr="009D7BD5">
        <w:rPr>
          <w:rFonts w:ascii="Lato Light" w:hAnsi="Lato Light"/>
          <w:i/>
          <w:iCs/>
          <w:szCs w:val="22"/>
        </w:rPr>
        <w:t>I 2004/3391</w:t>
      </w:r>
      <w:r w:rsidRPr="009D7BD5">
        <w:rPr>
          <w:rFonts w:ascii="Lato Light" w:hAnsi="Lato Light"/>
          <w:szCs w:val="22"/>
        </w:rPr>
        <w:t xml:space="preserve">) (EIR) in </w:t>
      </w:r>
      <w:r w:rsidRPr="009D7BD5">
        <w:rPr>
          <w:rFonts w:ascii="Lato Light" w:hAnsi="Lato Light"/>
          <w:szCs w:val="22"/>
        </w:rPr>
        <w:lastRenderedPageBreak/>
        <w:t xml:space="preserve">respect of information it holds (including third party information). Any member of the public or other interested party may make a request for information. </w:t>
      </w:r>
      <w:r w:rsidR="00135EA3" w:rsidRPr="009D7BD5">
        <w:rPr>
          <w:rFonts w:ascii="Lato Light" w:hAnsi="Lato Light"/>
          <w:szCs w:val="22"/>
        </w:rPr>
        <w:t>London CIV</w:t>
      </w:r>
      <w:r w:rsidRPr="009D7BD5">
        <w:rPr>
          <w:rFonts w:ascii="Lato Light" w:hAnsi="Lato Light"/>
          <w:szCs w:val="22"/>
        </w:rPr>
        <w:t xml:space="preserve"> is also subject to various public sector transparency policies and legal requirements, including the placing of contract award notices on the Contracts Finder database which identify the contract values and successful supplier and the provision of information to candidates and tenderers in regulations 50 and 55 respectively of the PCR 2015.</w:t>
      </w:r>
    </w:p>
    <w:p w14:paraId="2E06F372" w14:textId="01D541E2"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Tenderers should therefore be aware that information provided in connection with this procurement, or in connection with any contract awarded, may be disclosed by the </w:t>
      </w:r>
      <w:r w:rsidR="00C5592D" w:rsidRPr="009D7BD5">
        <w:rPr>
          <w:rFonts w:ascii="Lato Light" w:hAnsi="Lato Light"/>
          <w:szCs w:val="22"/>
        </w:rPr>
        <w:t>authority</w:t>
      </w:r>
      <w:r w:rsidRPr="009D7BD5">
        <w:rPr>
          <w:rFonts w:ascii="Lato Light" w:hAnsi="Lato Light"/>
          <w:szCs w:val="22"/>
        </w:rPr>
        <w:t xml:space="preserve">, unless the </w:t>
      </w:r>
      <w:r w:rsidR="00C5592D" w:rsidRPr="009D7BD5">
        <w:rPr>
          <w:rFonts w:ascii="Lato Light" w:hAnsi="Lato Light"/>
          <w:szCs w:val="22"/>
        </w:rPr>
        <w:t>authority</w:t>
      </w:r>
      <w:r w:rsidRPr="009D7BD5">
        <w:rPr>
          <w:rFonts w:ascii="Lato Light" w:hAnsi="Lato Light"/>
          <w:szCs w:val="22"/>
        </w:rPr>
        <w:t xml:space="preserve"> decides (in its absolute discretion) that one of the statutory exemptions under the FOIA or the EIR applies. Requests for information and application of any exemptions shall be considered on a case-by-case basis. By taking part in this procurement, Tenderers agree to such disclosure or publication by </w:t>
      </w:r>
      <w:r w:rsidR="006752CA" w:rsidRPr="009D7BD5">
        <w:rPr>
          <w:rFonts w:ascii="Lato Light" w:hAnsi="Lato Light"/>
          <w:szCs w:val="22"/>
        </w:rPr>
        <w:t>London CIV</w:t>
      </w:r>
      <w:r w:rsidRPr="009D7BD5">
        <w:rPr>
          <w:rFonts w:ascii="Lato Light" w:hAnsi="Lato Light"/>
          <w:szCs w:val="22"/>
        </w:rPr>
        <w:t xml:space="preserve">. </w:t>
      </w:r>
    </w:p>
    <w:p w14:paraId="5BB6162F" w14:textId="0651694B"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Tenderers may designate any information supplied as part of their tender response or otherwise in connection with the procurement as confidential or commercially sensitive by clearly identifying it as such to </w:t>
      </w:r>
      <w:r w:rsidR="006752CA" w:rsidRPr="009D7BD5">
        <w:rPr>
          <w:rFonts w:ascii="Lato Light" w:hAnsi="Lato Light"/>
          <w:szCs w:val="22"/>
        </w:rPr>
        <w:t>London CIV</w:t>
      </w:r>
      <w:r w:rsidRPr="009D7BD5">
        <w:rPr>
          <w:rFonts w:ascii="Lato Light" w:hAnsi="Lato Light"/>
          <w:szCs w:val="22"/>
        </w:rPr>
        <w:t xml:space="preserve">. Blanket protective markings applied to the whole document will not be sufficient. While designating material as confidential or commercially sensitive or equivalent does not guarantee non-disclosure, </w:t>
      </w:r>
      <w:r w:rsidR="006914C1" w:rsidRPr="009D7BD5">
        <w:rPr>
          <w:rFonts w:ascii="Lato Light" w:hAnsi="Lato Light"/>
          <w:szCs w:val="22"/>
        </w:rPr>
        <w:t xml:space="preserve">London CIV </w:t>
      </w:r>
      <w:r w:rsidRPr="009D7BD5">
        <w:rPr>
          <w:rFonts w:ascii="Lato Light" w:hAnsi="Lato Light"/>
          <w:szCs w:val="22"/>
        </w:rPr>
        <w:t>will consider this as part of any disclosure decision.</w:t>
      </w:r>
    </w:p>
    <w:p w14:paraId="737DFBA3" w14:textId="77777777" w:rsidR="000F2F0C" w:rsidRPr="009D7BD5" w:rsidRDefault="00F33767" w:rsidP="00C83FBA">
      <w:pPr>
        <w:pStyle w:val="Untitledsubclause1"/>
        <w:spacing w:before="120" w:after="240" w:line="240" w:lineRule="auto"/>
        <w:rPr>
          <w:rFonts w:ascii="Lato Light" w:hAnsi="Lato Light"/>
          <w:b/>
          <w:szCs w:val="22"/>
        </w:rPr>
      </w:pPr>
      <w:bookmarkStart w:id="27" w:name="a749288"/>
      <w:r w:rsidRPr="009D7BD5">
        <w:rPr>
          <w:rFonts w:ascii="Lato Light" w:hAnsi="Lato Light"/>
          <w:b/>
          <w:szCs w:val="22"/>
        </w:rPr>
        <w:t>Publicity</w:t>
      </w:r>
      <w:bookmarkEnd w:id="27"/>
    </w:p>
    <w:p w14:paraId="432B9201" w14:textId="71BD3125"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No publicity regarding the Services or the award of any Contract will be permitted unless and until </w:t>
      </w:r>
      <w:r w:rsidR="006914C1" w:rsidRPr="009D7BD5">
        <w:rPr>
          <w:rFonts w:ascii="Lato Light" w:hAnsi="Lato Light"/>
          <w:szCs w:val="22"/>
        </w:rPr>
        <w:t xml:space="preserve">London CIV </w:t>
      </w:r>
      <w:r w:rsidRPr="009D7BD5">
        <w:rPr>
          <w:rFonts w:ascii="Lato Light" w:hAnsi="Lato Light"/>
          <w:szCs w:val="22"/>
        </w:rPr>
        <w:t xml:space="preserve">has given prior express written consent to the relevant communication. For example, no statements may be made to the media regarding the nature of any Tender, its contents or any proposals relating to it without the prior written consent of </w:t>
      </w:r>
      <w:r w:rsidR="006914C1" w:rsidRPr="009D7BD5">
        <w:rPr>
          <w:rFonts w:ascii="Lato Light" w:hAnsi="Lato Light"/>
          <w:szCs w:val="22"/>
        </w:rPr>
        <w:t>London CIV</w:t>
      </w:r>
      <w:r w:rsidRPr="009D7BD5">
        <w:rPr>
          <w:rFonts w:ascii="Lato Light" w:hAnsi="Lato Light"/>
          <w:szCs w:val="22"/>
        </w:rPr>
        <w:t>.</w:t>
      </w:r>
    </w:p>
    <w:p w14:paraId="798CF884" w14:textId="77777777" w:rsidR="000F2F0C" w:rsidRPr="009D7BD5" w:rsidRDefault="00F33767" w:rsidP="00C83FBA">
      <w:pPr>
        <w:pStyle w:val="Untitledsubclause1"/>
        <w:spacing w:before="120" w:after="240" w:line="240" w:lineRule="auto"/>
        <w:rPr>
          <w:rFonts w:ascii="Lato Light" w:hAnsi="Lato Light"/>
          <w:b/>
          <w:szCs w:val="22"/>
        </w:rPr>
      </w:pPr>
      <w:bookmarkStart w:id="28" w:name="a699927"/>
      <w:r w:rsidRPr="009D7BD5">
        <w:rPr>
          <w:rFonts w:ascii="Lato Light" w:hAnsi="Lato Light"/>
          <w:b/>
          <w:szCs w:val="22"/>
        </w:rPr>
        <w:t>Tenderer conduct and conflicts of interest</w:t>
      </w:r>
      <w:bookmarkEnd w:id="28"/>
    </w:p>
    <w:p w14:paraId="3026DD16" w14:textId="77777777"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Any attempt by Tenderers or their advisors to influence the contract award process in any way may result in the Tenderer being disqualified. Specifically, Tenderers shall not directly or indirectly at any time:</w:t>
      </w:r>
    </w:p>
    <w:p w14:paraId="5DFC55A7" w14:textId="217E6858" w:rsidR="000F2F0C" w:rsidRPr="009D7BD5" w:rsidRDefault="00F33767" w:rsidP="00C83FBA">
      <w:pPr>
        <w:pStyle w:val="subclause1Bullet1"/>
        <w:numPr>
          <w:ilvl w:val="0"/>
          <w:numId w:val="46"/>
        </w:numPr>
        <w:spacing w:before="120" w:after="240" w:line="240" w:lineRule="auto"/>
        <w:rPr>
          <w:rFonts w:ascii="Lato Light" w:hAnsi="Lato Light"/>
          <w:szCs w:val="22"/>
        </w:rPr>
      </w:pPr>
      <w:r w:rsidRPr="009D7BD5">
        <w:rPr>
          <w:rFonts w:ascii="Lato Light" w:hAnsi="Lato Light"/>
          <w:szCs w:val="22"/>
        </w:rPr>
        <w:t>Devise or amend the content of their Tender in accordance with any agreement or arrangement with any other person, other than in good faith with a person who is a proposed partner, supplier</w:t>
      </w:r>
      <w:r w:rsidR="00500E89" w:rsidRPr="009D7BD5">
        <w:rPr>
          <w:rFonts w:ascii="Lato Light" w:hAnsi="Lato Light"/>
          <w:szCs w:val="22"/>
        </w:rPr>
        <w:t xml:space="preserve"> or </w:t>
      </w:r>
      <w:r w:rsidRPr="009D7BD5">
        <w:rPr>
          <w:rFonts w:ascii="Lato Light" w:hAnsi="Lato Light"/>
          <w:szCs w:val="22"/>
        </w:rPr>
        <w:t>provider of finance.</w:t>
      </w:r>
    </w:p>
    <w:p w14:paraId="346EDE81" w14:textId="61742053"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 xml:space="preserve">Enter into any agreement or arrangement with any other person as to the form or content of any other </w:t>
      </w:r>
      <w:r w:rsidR="00DD62A3" w:rsidRPr="009D7BD5">
        <w:rPr>
          <w:rFonts w:ascii="Lato Light" w:hAnsi="Lato Light"/>
          <w:szCs w:val="22"/>
        </w:rPr>
        <w:t>Tender or</w:t>
      </w:r>
      <w:r w:rsidRPr="009D7BD5">
        <w:rPr>
          <w:rFonts w:ascii="Lato Light" w:hAnsi="Lato Light"/>
          <w:szCs w:val="22"/>
        </w:rPr>
        <w:t xml:space="preserve"> offer to pay any sum of money or valuable consideration to any person to effect changes to the form or content of any other Tender.</w:t>
      </w:r>
    </w:p>
    <w:p w14:paraId="1C5AD7DA" w14:textId="77777777"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Enter into any agreement or arrangement with any other person that has the effect of prohibiting or excluding that person from submitting a Tender.</w:t>
      </w:r>
    </w:p>
    <w:p w14:paraId="641789A1" w14:textId="60EEC31F"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 xml:space="preserve">Canvass </w:t>
      </w:r>
      <w:r w:rsidR="009174E7" w:rsidRPr="009D7BD5">
        <w:rPr>
          <w:rFonts w:ascii="Lato Light" w:hAnsi="Lato Light"/>
          <w:szCs w:val="22"/>
        </w:rPr>
        <w:t xml:space="preserve">London CIV </w:t>
      </w:r>
      <w:r w:rsidRPr="009D7BD5">
        <w:rPr>
          <w:rFonts w:ascii="Lato Light" w:hAnsi="Lato Light"/>
          <w:szCs w:val="22"/>
        </w:rPr>
        <w:t>or any employees or agents of the</w:t>
      </w:r>
      <w:r w:rsidR="00500E89" w:rsidRPr="009D7BD5">
        <w:rPr>
          <w:rFonts w:ascii="Lato Light" w:hAnsi="Lato Light"/>
          <w:szCs w:val="22"/>
        </w:rPr>
        <w:t xml:space="preserve"> </w:t>
      </w:r>
      <w:r w:rsidR="00C5592D" w:rsidRPr="009D7BD5">
        <w:rPr>
          <w:rFonts w:ascii="Lato Light" w:hAnsi="Lato Light"/>
          <w:szCs w:val="22"/>
        </w:rPr>
        <w:t>authority</w:t>
      </w:r>
      <w:r w:rsidRPr="009D7BD5">
        <w:rPr>
          <w:rFonts w:ascii="Lato Light" w:hAnsi="Lato Light"/>
          <w:szCs w:val="22"/>
        </w:rPr>
        <w:t xml:space="preserve"> in relation to this procurement.</w:t>
      </w:r>
    </w:p>
    <w:p w14:paraId="7607D19B" w14:textId="6C15C32D"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lastRenderedPageBreak/>
        <w:t xml:space="preserve">Offer, promise or give any person working for or engaged by </w:t>
      </w:r>
      <w:r w:rsidR="009174E7" w:rsidRPr="009D7BD5">
        <w:rPr>
          <w:rFonts w:ascii="Lato Light" w:hAnsi="Lato Light"/>
          <w:szCs w:val="22"/>
        </w:rPr>
        <w:t xml:space="preserve">London CIV </w:t>
      </w:r>
      <w:r w:rsidRPr="009D7BD5">
        <w:rPr>
          <w:rFonts w:ascii="Lato Light" w:hAnsi="Lato Light"/>
          <w:szCs w:val="22"/>
        </w:rPr>
        <w:t>a financial or other advantage as an inducement or reward for any improper performance of a function or activity relating to this procurement.</w:t>
      </w:r>
    </w:p>
    <w:p w14:paraId="25012BA2" w14:textId="50BBE5DA"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 xml:space="preserve">Attempt to obtain information from any of the employees or agents of </w:t>
      </w:r>
      <w:r w:rsidR="009174E7" w:rsidRPr="009D7BD5">
        <w:rPr>
          <w:rFonts w:ascii="Lato Light" w:hAnsi="Lato Light"/>
          <w:szCs w:val="22"/>
        </w:rPr>
        <w:t xml:space="preserve">London CIV </w:t>
      </w:r>
      <w:r w:rsidRPr="009D7BD5">
        <w:rPr>
          <w:rFonts w:ascii="Lato Light" w:hAnsi="Lato Light"/>
          <w:szCs w:val="22"/>
        </w:rPr>
        <w:t>or their advisors concerning another Tenderer or Tender.</w:t>
      </w:r>
    </w:p>
    <w:p w14:paraId="38F3B74D" w14:textId="33A540AA"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Tenderers are responsible for ensuring that no direct or indirect conflicts of interest exist (whether personal, financial or otherwise) between the Tenderer, its employees and advisors, and </w:t>
      </w:r>
      <w:r w:rsidR="009174E7" w:rsidRPr="009D7BD5">
        <w:rPr>
          <w:rFonts w:ascii="Lato Light" w:hAnsi="Lato Light"/>
          <w:szCs w:val="22"/>
        </w:rPr>
        <w:t>London CIV</w:t>
      </w:r>
      <w:r w:rsidRPr="009D7BD5">
        <w:rPr>
          <w:rFonts w:ascii="Lato Light" w:hAnsi="Lato Light"/>
          <w:szCs w:val="22"/>
        </w:rPr>
        <w:t>, its employees and advisors. Tenderers must prevent, identify and remedy any conflicts of interest within their group structures or Subcontracting arrangements which may result in any distortion of competition. Any Tenderer who fails to comply with these requirements may be disqualified from the procurement at the discretion of the</w:t>
      </w:r>
      <w:r w:rsidR="008A6604" w:rsidRPr="009D7BD5">
        <w:rPr>
          <w:rFonts w:ascii="Lato Light" w:hAnsi="Lato Light"/>
          <w:szCs w:val="22"/>
        </w:rPr>
        <w:t xml:space="preserve"> </w:t>
      </w:r>
      <w:r w:rsidR="00C5592D" w:rsidRPr="009D7BD5">
        <w:rPr>
          <w:rFonts w:ascii="Lato Light" w:hAnsi="Lato Light"/>
          <w:szCs w:val="22"/>
        </w:rPr>
        <w:t>authority</w:t>
      </w:r>
      <w:r w:rsidRPr="009D7BD5">
        <w:rPr>
          <w:rFonts w:ascii="Lato Light" w:hAnsi="Lato Light"/>
          <w:szCs w:val="22"/>
        </w:rPr>
        <w:t>.</w:t>
      </w:r>
    </w:p>
    <w:p w14:paraId="78CBC974" w14:textId="7607DEC0" w:rsidR="000F2F0C" w:rsidRPr="009D7BD5" w:rsidRDefault="0029222C" w:rsidP="00C83FBA">
      <w:pPr>
        <w:pStyle w:val="Untitledsubclause1"/>
        <w:spacing w:before="120" w:after="240" w:line="240" w:lineRule="auto"/>
        <w:rPr>
          <w:rFonts w:ascii="Lato Light" w:hAnsi="Lato Light"/>
          <w:b/>
          <w:szCs w:val="22"/>
        </w:rPr>
      </w:pPr>
      <w:bookmarkStart w:id="29" w:name="a582432"/>
      <w:r w:rsidRPr="009D7BD5">
        <w:rPr>
          <w:rFonts w:ascii="Lato Light" w:hAnsi="Lato Light"/>
          <w:b/>
          <w:bCs/>
          <w:szCs w:val="22"/>
        </w:rPr>
        <w:t>London CIV</w:t>
      </w:r>
      <w:r w:rsidR="00A96238" w:rsidRPr="009D7BD5">
        <w:rPr>
          <w:rFonts w:ascii="Lato Light" w:hAnsi="Lato Light"/>
          <w:b/>
          <w:bCs/>
          <w:szCs w:val="22"/>
        </w:rPr>
        <w:t>’s</w:t>
      </w:r>
      <w:r w:rsidR="00D643BA" w:rsidRPr="009D7BD5">
        <w:rPr>
          <w:rFonts w:ascii="Lato Light" w:hAnsi="Lato Light"/>
          <w:szCs w:val="22"/>
        </w:rPr>
        <w:t xml:space="preserve"> </w:t>
      </w:r>
      <w:r w:rsidR="00F33767" w:rsidRPr="009D7BD5">
        <w:rPr>
          <w:rFonts w:ascii="Lato Light" w:hAnsi="Lato Light"/>
          <w:b/>
          <w:szCs w:val="22"/>
        </w:rPr>
        <w:t>rights</w:t>
      </w:r>
      <w:bookmarkEnd w:id="29"/>
    </w:p>
    <w:p w14:paraId="3CFC6818" w14:textId="357FA251" w:rsidR="000F2F0C" w:rsidRPr="009D7BD5" w:rsidRDefault="00A96238" w:rsidP="00C83FBA">
      <w:pPr>
        <w:pStyle w:val="Parasubclause1"/>
        <w:spacing w:before="120" w:after="240" w:line="240" w:lineRule="auto"/>
        <w:rPr>
          <w:rFonts w:ascii="Lato Light" w:hAnsi="Lato Light"/>
          <w:szCs w:val="22"/>
        </w:rPr>
      </w:pPr>
      <w:r w:rsidRPr="009D7BD5">
        <w:rPr>
          <w:rFonts w:ascii="Lato Light" w:hAnsi="Lato Light"/>
          <w:szCs w:val="22"/>
        </w:rPr>
        <w:t xml:space="preserve">London CIV </w:t>
      </w:r>
      <w:r w:rsidR="00F33767" w:rsidRPr="009D7BD5">
        <w:rPr>
          <w:rFonts w:ascii="Lato Light" w:hAnsi="Lato Light"/>
          <w:szCs w:val="22"/>
        </w:rPr>
        <w:t>reserves the right to:</w:t>
      </w:r>
    </w:p>
    <w:p w14:paraId="3A322B6C" w14:textId="6E9F5193" w:rsidR="000F2F0C" w:rsidRPr="009D7BD5" w:rsidRDefault="00F33767" w:rsidP="00C83FBA">
      <w:pPr>
        <w:pStyle w:val="subclause1Bullet1"/>
        <w:numPr>
          <w:ilvl w:val="0"/>
          <w:numId w:val="45"/>
        </w:numPr>
        <w:spacing w:before="120" w:after="240" w:line="240" w:lineRule="auto"/>
        <w:rPr>
          <w:rFonts w:ascii="Lato Light" w:hAnsi="Lato Light"/>
          <w:szCs w:val="22"/>
        </w:rPr>
      </w:pPr>
      <w:r w:rsidRPr="009D7BD5">
        <w:rPr>
          <w:rFonts w:ascii="Lato Light" w:hAnsi="Lato Light"/>
          <w:szCs w:val="22"/>
        </w:rPr>
        <w:t xml:space="preserve">Waive or change the requirements of this </w:t>
      </w:r>
      <w:r w:rsidR="0038521A" w:rsidRPr="009D7BD5">
        <w:rPr>
          <w:rFonts w:ascii="Lato Light" w:hAnsi="Lato Light"/>
          <w:szCs w:val="22"/>
        </w:rPr>
        <w:t>ITN</w:t>
      </w:r>
      <w:r w:rsidRPr="009D7BD5">
        <w:rPr>
          <w:rFonts w:ascii="Lato Light" w:hAnsi="Lato Light"/>
          <w:szCs w:val="22"/>
        </w:rPr>
        <w:t xml:space="preserve"> from time to time without prior (or any) notice being given by </w:t>
      </w:r>
      <w:r w:rsidR="00A96238" w:rsidRPr="009D7BD5">
        <w:rPr>
          <w:rFonts w:ascii="Lato Light" w:hAnsi="Lato Light"/>
          <w:szCs w:val="22"/>
        </w:rPr>
        <w:t xml:space="preserve">London </w:t>
      </w:r>
      <w:proofErr w:type="gramStart"/>
      <w:r w:rsidR="00A96238" w:rsidRPr="009D7BD5">
        <w:rPr>
          <w:rFonts w:ascii="Lato Light" w:hAnsi="Lato Light"/>
          <w:szCs w:val="22"/>
        </w:rPr>
        <w:t>CIV</w:t>
      </w:r>
      <w:r w:rsidR="00033E13" w:rsidRPr="009D7BD5">
        <w:rPr>
          <w:rFonts w:ascii="Lato Light" w:hAnsi="Lato Light"/>
          <w:szCs w:val="22"/>
        </w:rPr>
        <w:t>;</w:t>
      </w:r>
      <w:proofErr w:type="gramEnd"/>
    </w:p>
    <w:p w14:paraId="31B8ABBF" w14:textId="0FB1E224"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 xml:space="preserve">Seek clarification in respect of any part of a Tenderer's </w:t>
      </w:r>
      <w:proofErr w:type="gramStart"/>
      <w:r w:rsidRPr="009D7BD5">
        <w:rPr>
          <w:rFonts w:ascii="Lato Light" w:hAnsi="Lato Light"/>
          <w:szCs w:val="22"/>
        </w:rPr>
        <w:t>submission</w:t>
      </w:r>
      <w:r w:rsidR="00033E13" w:rsidRPr="009D7BD5">
        <w:rPr>
          <w:rFonts w:ascii="Lato Light" w:hAnsi="Lato Light"/>
          <w:szCs w:val="22"/>
        </w:rPr>
        <w:t>;</w:t>
      </w:r>
      <w:proofErr w:type="gramEnd"/>
    </w:p>
    <w:p w14:paraId="14A18C3D" w14:textId="6308D76E"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 xml:space="preserve">Request Tenderers to submit, supplement, clarify or complete relevant information or documentation where it appears to be incomplete, erroneous or </w:t>
      </w:r>
      <w:proofErr w:type="gramStart"/>
      <w:r w:rsidRPr="009D7BD5">
        <w:rPr>
          <w:rFonts w:ascii="Lato Light" w:hAnsi="Lato Light"/>
          <w:szCs w:val="22"/>
        </w:rPr>
        <w:t>missing</w:t>
      </w:r>
      <w:r w:rsidR="00033E13" w:rsidRPr="009D7BD5">
        <w:rPr>
          <w:rFonts w:ascii="Lato Light" w:hAnsi="Lato Light"/>
          <w:szCs w:val="22"/>
        </w:rPr>
        <w:t>;</w:t>
      </w:r>
      <w:proofErr w:type="gramEnd"/>
    </w:p>
    <w:p w14:paraId="148DCF70" w14:textId="056748BF"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 xml:space="preserve">Disqualify any Tenderer that does not submit a compliant Tender in accordance with the instructions in this </w:t>
      </w:r>
      <w:proofErr w:type="gramStart"/>
      <w:r w:rsidR="0038521A" w:rsidRPr="009D7BD5">
        <w:rPr>
          <w:rFonts w:ascii="Lato Light" w:hAnsi="Lato Light"/>
          <w:szCs w:val="22"/>
        </w:rPr>
        <w:t>ITN</w:t>
      </w:r>
      <w:r w:rsidR="00033E13" w:rsidRPr="009D7BD5">
        <w:rPr>
          <w:rFonts w:ascii="Lato Light" w:hAnsi="Lato Light"/>
          <w:szCs w:val="22"/>
        </w:rPr>
        <w:t>;</w:t>
      </w:r>
      <w:proofErr w:type="gramEnd"/>
    </w:p>
    <w:p w14:paraId="1F5BB5E9" w14:textId="5157450F"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 xml:space="preserve">Disqualify any Tenderer that is guilty of serious misrepresentation or of negligently providing misleading information in relation to its Tender, expression of interest, the SQ or the tender </w:t>
      </w:r>
      <w:proofErr w:type="gramStart"/>
      <w:r w:rsidRPr="009D7BD5">
        <w:rPr>
          <w:rFonts w:ascii="Lato Light" w:hAnsi="Lato Light"/>
          <w:szCs w:val="22"/>
        </w:rPr>
        <w:t>process</w:t>
      </w:r>
      <w:r w:rsidR="00033E13" w:rsidRPr="009D7BD5">
        <w:rPr>
          <w:rFonts w:ascii="Lato Light" w:hAnsi="Lato Light"/>
          <w:szCs w:val="22"/>
        </w:rPr>
        <w:t>;</w:t>
      </w:r>
      <w:proofErr w:type="gramEnd"/>
    </w:p>
    <w:p w14:paraId="1C5E644B" w14:textId="7701C50C"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 xml:space="preserve">Reject a Tender that is abnormally </w:t>
      </w:r>
      <w:proofErr w:type="gramStart"/>
      <w:r w:rsidRPr="009D7BD5">
        <w:rPr>
          <w:rFonts w:ascii="Lato Light" w:hAnsi="Lato Light"/>
          <w:szCs w:val="22"/>
        </w:rPr>
        <w:t>low</w:t>
      </w:r>
      <w:r w:rsidR="00033E13" w:rsidRPr="009D7BD5">
        <w:rPr>
          <w:rFonts w:ascii="Lato Light" w:hAnsi="Lato Light"/>
          <w:szCs w:val="22"/>
        </w:rPr>
        <w:t>;</w:t>
      </w:r>
      <w:proofErr w:type="gramEnd"/>
    </w:p>
    <w:p w14:paraId="6C3A5102" w14:textId="1FE8A846" w:rsidR="000F2F0C" w:rsidRPr="009D7BD5" w:rsidRDefault="000A1E8D" w:rsidP="00C83FBA">
      <w:pPr>
        <w:pStyle w:val="subclause1Bullet1"/>
        <w:spacing w:before="120" w:after="240" w:line="240" w:lineRule="auto"/>
        <w:ind w:left="1077" w:hanging="357"/>
        <w:rPr>
          <w:rFonts w:ascii="Lato Light" w:hAnsi="Lato Light"/>
          <w:szCs w:val="22"/>
        </w:rPr>
      </w:pPr>
      <w:r w:rsidRPr="009D7BD5">
        <w:rPr>
          <w:rFonts w:ascii="Lato Light" w:hAnsi="Lato Light"/>
          <w:szCs w:val="22"/>
        </w:rPr>
        <w:t xml:space="preserve">Not award a contract to the Tenderer submitting the most economically advantageous Tender where it has established that the Tender does not comply with applicable obligations in the fields of environmental, social and labour law established by national law, collective agreements or by the international environmental, social and labour law provisions listed in Annex X to Directive 2014/24 as amended from time to </w:t>
      </w:r>
      <w:proofErr w:type="gramStart"/>
      <w:r w:rsidRPr="009D7BD5">
        <w:rPr>
          <w:rFonts w:ascii="Lato Light" w:hAnsi="Lato Light"/>
          <w:szCs w:val="22"/>
        </w:rPr>
        <w:t>time</w:t>
      </w:r>
      <w:r w:rsidR="00033E13" w:rsidRPr="009D7BD5">
        <w:rPr>
          <w:rFonts w:ascii="Lato Light" w:hAnsi="Lato Light"/>
          <w:szCs w:val="22"/>
        </w:rPr>
        <w:t>;</w:t>
      </w:r>
      <w:proofErr w:type="gramEnd"/>
    </w:p>
    <w:p w14:paraId="1442A9AC" w14:textId="0F78368C"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 xml:space="preserve">Withdraw this </w:t>
      </w:r>
      <w:r w:rsidR="0038521A" w:rsidRPr="009D7BD5">
        <w:rPr>
          <w:rFonts w:ascii="Lato Light" w:hAnsi="Lato Light"/>
          <w:szCs w:val="22"/>
        </w:rPr>
        <w:t>ITN</w:t>
      </w:r>
      <w:r w:rsidRPr="009D7BD5">
        <w:rPr>
          <w:rFonts w:ascii="Lato Light" w:hAnsi="Lato Light"/>
          <w:szCs w:val="22"/>
        </w:rPr>
        <w:t xml:space="preserve"> at any time, or to re-invite Tenders on the same or any alternative </w:t>
      </w:r>
      <w:proofErr w:type="gramStart"/>
      <w:r w:rsidRPr="009D7BD5">
        <w:rPr>
          <w:rFonts w:ascii="Lato Light" w:hAnsi="Lato Light"/>
          <w:szCs w:val="22"/>
        </w:rPr>
        <w:t>basis</w:t>
      </w:r>
      <w:r w:rsidR="00033E13" w:rsidRPr="009D7BD5">
        <w:rPr>
          <w:rFonts w:ascii="Lato Light" w:hAnsi="Lato Light"/>
          <w:szCs w:val="22"/>
        </w:rPr>
        <w:t>;</w:t>
      </w:r>
      <w:proofErr w:type="gramEnd"/>
    </w:p>
    <w:p w14:paraId="5C73ED58" w14:textId="288C4CD5"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 xml:space="preserve">Choose not to award any Contract as a result of the current procurement process or to abandon that </w:t>
      </w:r>
      <w:proofErr w:type="gramStart"/>
      <w:r w:rsidRPr="009D7BD5">
        <w:rPr>
          <w:rFonts w:ascii="Lato Light" w:hAnsi="Lato Light"/>
          <w:szCs w:val="22"/>
        </w:rPr>
        <w:t>process</w:t>
      </w:r>
      <w:r w:rsidR="00033E13" w:rsidRPr="009D7BD5">
        <w:rPr>
          <w:rFonts w:ascii="Lato Light" w:hAnsi="Lato Light"/>
          <w:szCs w:val="22"/>
        </w:rPr>
        <w:t>;</w:t>
      </w:r>
      <w:proofErr w:type="gramEnd"/>
    </w:p>
    <w:p w14:paraId="66653C35" w14:textId="77777777" w:rsidR="000F2F0C" w:rsidRPr="009D7BD5" w:rsidRDefault="00F33767" w:rsidP="00C83FBA">
      <w:pPr>
        <w:pStyle w:val="subclause1Bullet1"/>
        <w:spacing w:before="120" w:after="240" w:line="240" w:lineRule="auto"/>
        <w:rPr>
          <w:rFonts w:ascii="Lato Light" w:hAnsi="Lato Light"/>
          <w:szCs w:val="22"/>
        </w:rPr>
      </w:pPr>
      <w:r w:rsidRPr="009D7BD5">
        <w:rPr>
          <w:rFonts w:ascii="Lato Light" w:hAnsi="Lato Light"/>
          <w:szCs w:val="22"/>
        </w:rPr>
        <w:t>Make whatever changes it sees fit to the Timetable, structure or content of the procurement process, depending on approvals processes or for any other reason.</w:t>
      </w:r>
    </w:p>
    <w:p w14:paraId="54C3A507" w14:textId="77777777" w:rsidR="000F2F0C" w:rsidRPr="009D7BD5" w:rsidRDefault="00F33767" w:rsidP="00C83FBA">
      <w:pPr>
        <w:pStyle w:val="Untitledsubclause1"/>
        <w:spacing w:before="120" w:after="240" w:line="240" w:lineRule="auto"/>
        <w:rPr>
          <w:rFonts w:ascii="Lato Light" w:hAnsi="Lato Light"/>
          <w:b/>
          <w:szCs w:val="22"/>
        </w:rPr>
      </w:pPr>
      <w:bookmarkStart w:id="30" w:name="a934916"/>
      <w:r w:rsidRPr="009D7BD5">
        <w:rPr>
          <w:rFonts w:ascii="Lato Light" w:hAnsi="Lato Light"/>
          <w:b/>
          <w:szCs w:val="22"/>
        </w:rPr>
        <w:lastRenderedPageBreak/>
        <w:t>Bid costs</w:t>
      </w:r>
      <w:bookmarkEnd w:id="30"/>
    </w:p>
    <w:p w14:paraId="709EED55" w14:textId="08A635AC" w:rsidR="000F2F0C" w:rsidRPr="009D7BD5" w:rsidRDefault="00795A37" w:rsidP="00C83FBA">
      <w:pPr>
        <w:pStyle w:val="Parasubclause1"/>
        <w:spacing w:before="120" w:after="240" w:line="240" w:lineRule="auto"/>
        <w:rPr>
          <w:rFonts w:ascii="Lato Light" w:hAnsi="Lato Light"/>
          <w:szCs w:val="22"/>
        </w:rPr>
      </w:pPr>
      <w:r w:rsidRPr="009D7BD5">
        <w:rPr>
          <w:rFonts w:ascii="Lato Light" w:hAnsi="Lato Light"/>
          <w:szCs w:val="22"/>
        </w:rPr>
        <w:t xml:space="preserve">London CIV </w:t>
      </w:r>
      <w:r w:rsidR="00F33767" w:rsidRPr="009D7BD5">
        <w:rPr>
          <w:rFonts w:ascii="Lato Light" w:hAnsi="Lato Light"/>
          <w:szCs w:val="22"/>
        </w:rPr>
        <w:t xml:space="preserve">will not be liable for any bid costs, expenditure, work or effort incurred by a Tenderer in proceeding with or participating in this procurement, including if the procurement process is terminated or amended by </w:t>
      </w:r>
      <w:r w:rsidRPr="009D7BD5">
        <w:rPr>
          <w:rFonts w:ascii="Lato Light" w:hAnsi="Lato Light"/>
          <w:szCs w:val="22"/>
        </w:rPr>
        <w:t>London CIV</w:t>
      </w:r>
      <w:r w:rsidR="00F33767" w:rsidRPr="009D7BD5">
        <w:rPr>
          <w:rFonts w:ascii="Lato Light" w:hAnsi="Lato Light"/>
          <w:szCs w:val="22"/>
        </w:rPr>
        <w:t>.</w:t>
      </w:r>
    </w:p>
    <w:p w14:paraId="1367BA8B" w14:textId="20E74846" w:rsidR="00F272C7" w:rsidRPr="009D7BD5" w:rsidRDefault="00A66543" w:rsidP="00C83FBA">
      <w:pPr>
        <w:pStyle w:val="TitleClause"/>
        <w:spacing w:before="120" w:line="240" w:lineRule="auto"/>
        <w:rPr>
          <w:rFonts w:ascii="Lato Light" w:hAnsi="Lato Light"/>
          <w:caps/>
          <w:szCs w:val="22"/>
        </w:rPr>
      </w:pPr>
      <w:r w:rsidRPr="009D7BD5">
        <w:rPr>
          <w:rFonts w:ascii="Lato Light" w:hAnsi="Lato Light"/>
          <w:szCs w:val="22"/>
        </w:rPr>
        <w:t xml:space="preserve">   </w:t>
      </w:r>
      <w:r w:rsidR="00F33767" w:rsidRPr="009D7BD5">
        <w:rPr>
          <w:rFonts w:ascii="Lato Light" w:hAnsi="Lato Light"/>
          <w:caps/>
          <w:szCs w:val="22"/>
        </w:rPr>
        <w:fldChar w:fldCharType="begin"/>
      </w:r>
      <w:r w:rsidR="00F33767" w:rsidRPr="009D7BD5">
        <w:rPr>
          <w:rFonts w:ascii="Lato Light" w:hAnsi="Lato Light"/>
          <w:caps/>
          <w:szCs w:val="22"/>
        </w:rPr>
        <w:instrText>TC "4. Tender evaluation model" \l 1</w:instrText>
      </w:r>
      <w:r w:rsidR="00F33767" w:rsidRPr="009D7BD5">
        <w:rPr>
          <w:rFonts w:ascii="Lato Light" w:hAnsi="Lato Light"/>
          <w:caps/>
          <w:szCs w:val="22"/>
        </w:rPr>
        <w:fldChar w:fldCharType="end"/>
      </w:r>
      <w:bookmarkStart w:id="31" w:name="a1029112"/>
      <w:bookmarkStart w:id="32" w:name="_Toc111036754"/>
      <w:r w:rsidR="00F33767" w:rsidRPr="009D7BD5">
        <w:rPr>
          <w:rFonts w:ascii="Lato Light" w:hAnsi="Lato Light"/>
          <w:caps/>
          <w:szCs w:val="22"/>
        </w:rPr>
        <w:t>Tender evaluation model</w:t>
      </w:r>
      <w:bookmarkEnd w:id="31"/>
      <w:bookmarkEnd w:id="32"/>
    </w:p>
    <w:p w14:paraId="4C477CB6" w14:textId="7347D5F0" w:rsidR="000F2F0C" w:rsidRPr="009D7BD5" w:rsidRDefault="00F33767" w:rsidP="00C83FBA">
      <w:pPr>
        <w:pStyle w:val="Untitledsubclause1"/>
        <w:spacing w:before="120" w:after="240" w:line="240" w:lineRule="auto"/>
        <w:rPr>
          <w:rFonts w:ascii="Lato Light" w:hAnsi="Lato Light"/>
          <w:b/>
          <w:szCs w:val="22"/>
        </w:rPr>
      </w:pPr>
      <w:bookmarkStart w:id="33" w:name="a338872"/>
      <w:r w:rsidRPr="009D7BD5">
        <w:rPr>
          <w:rFonts w:ascii="Lato Light" w:hAnsi="Lato Light"/>
          <w:b/>
          <w:szCs w:val="22"/>
        </w:rPr>
        <w:t xml:space="preserve">Award Criteria </w:t>
      </w:r>
      <w:bookmarkEnd w:id="33"/>
    </w:p>
    <w:p w14:paraId="6D883685" w14:textId="77211CE0"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Any Contract(s) awarded as a result of this procurement will be awarded on the basis of the offer that is the most economically advantageous to the </w:t>
      </w:r>
      <w:r w:rsidR="00C5592D" w:rsidRPr="009D7BD5">
        <w:rPr>
          <w:rFonts w:ascii="Lato Light" w:hAnsi="Lato Light"/>
          <w:szCs w:val="22"/>
        </w:rPr>
        <w:t>authority</w:t>
      </w:r>
      <w:r w:rsidRPr="009D7BD5">
        <w:rPr>
          <w:rFonts w:ascii="Lato Light" w:hAnsi="Lato Light"/>
          <w:szCs w:val="22"/>
        </w:rPr>
        <w:t xml:space="preserve">. The </w:t>
      </w:r>
      <w:r w:rsidRPr="009D7BD5">
        <w:rPr>
          <w:rFonts w:ascii="Lato Light" w:hAnsi="Lato Light"/>
          <w:b/>
          <w:szCs w:val="22"/>
        </w:rPr>
        <w:t>Award Criteria</w:t>
      </w:r>
      <w:r w:rsidRPr="009D7BD5">
        <w:rPr>
          <w:rFonts w:ascii="Lato Light" w:hAnsi="Lato Light"/>
          <w:szCs w:val="22"/>
        </w:rPr>
        <w:t xml:space="preserve"> are:</w:t>
      </w:r>
    </w:p>
    <w:tbl>
      <w:tblPr>
        <w:tblW w:w="2497" w:type="pct"/>
        <w:tblInd w:w="2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388"/>
        <w:gridCol w:w="1276"/>
      </w:tblGrid>
      <w:tr w:rsidR="00910840" w:rsidRPr="009D7BD5" w14:paraId="1AC47A6A" w14:textId="77777777" w:rsidTr="00E0640E">
        <w:tc>
          <w:tcPr>
            <w:tcW w:w="3632" w:type="pct"/>
            <w:tcBorders>
              <w:top w:val="single" w:sz="8" w:space="0" w:color="000000"/>
              <w:left w:val="single" w:sz="8" w:space="0" w:color="000000"/>
              <w:bottom w:val="single" w:sz="8" w:space="0" w:color="000000"/>
              <w:right w:val="single" w:sz="8" w:space="0" w:color="000000"/>
            </w:tcBorders>
          </w:tcPr>
          <w:p w14:paraId="08F5D37E" w14:textId="44A974DB" w:rsidR="00910840" w:rsidRPr="009D7BD5" w:rsidRDefault="00910840" w:rsidP="00C83FBA">
            <w:pPr>
              <w:pStyle w:val="Paragraph"/>
              <w:spacing w:before="120" w:after="240" w:line="240" w:lineRule="auto"/>
              <w:jc w:val="left"/>
              <w:rPr>
                <w:rFonts w:ascii="Lato Light" w:hAnsi="Lato Light"/>
                <w:szCs w:val="22"/>
              </w:rPr>
            </w:pPr>
            <w:r w:rsidRPr="009D7BD5">
              <w:rPr>
                <w:rFonts w:ascii="Lato Light" w:hAnsi="Lato Light"/>
                <w:b/>
                <w:szCs w:val="22"/>
              </w:rPr>
              <w:t>Commercial</w:t>
            </w:r>
          </w:p>
        </w:tc>
        <w:tc>
          <w:tcPr>
            <w:tcW w:w="1368" w:type="pct"/>
            <w:tcBorders>
              <w:top w:val="single" w:sz="8" w:space="0" w:color="000000"/>
              <w:left w:val="single" w:sz="8" w:space="0" w:color="000000"/>
              <w:bottom w:val="single" w:sz="8" w:space="0" w:color="000000"/>
              <w:right w:val="single" w:sz="8" w:space="0" w:color="000000"/>
            </w:tcBorders>
          </w:tcPr>
          <w:p w14:paraId="59BF4B9C" w14:textId="6958ED1E" w:rsidR="00910840" w:rsidRPr="009D7BD5" w:rsidRDefault="00910840" w:rsidP="00C83FBA">
            <w:pPr>
              <w:pStyle w:val="Paragraph"/>
              <w:spacing w:before="120" w:after="240" w:line="240" w:lineRule="auto"/>
              <w:jc w:val="left"/>
              <w:rPr>
                <w:rFonts w:ascii="Lato Light" w:hAnsi="Lato Light"/>
                <w:szCs w:val="22"/>
              </w:rPr>
            </w:pPr>
            <w:r w:rsidRPr="009D7BD5">
              <w:rPr>
                <w:rFonts w:ascii="Lato Light" w:hAnsi="Lato Light"/>
                <w:szCs w:val="22"/>
              </w:rPr>
              <w:t>  30%</w:t>
            </w:r>
          </w:p>
        </w:tc>
      </w:tr>
      <w:tr w:rsidR="00910840" w:rsidRPr="009D7BD5" w14:paraId="4D7EB5AB" w14:textId="77777777" w:rsidTr="00E0640E">
        <w:tc>
          <w:tcPr>
            <w:tcW w:w="3632" w:type="pct"/>
            <w:tcBorders>
              <w:top w:val="single" w:sz="8" w:space="0" w:color="000000"/>
              <w:left w:val="single" w:sz="8" w:space="0" w:color="000000"/>
              <w:bottom w:val="single" w:sz="8" w:space="0" w:color="000000"/>
              <w:right w:val="single" w:sz="8" w:space="0" w:color="000000"/>
            </w:tcBorders>
          </w:tcPr>
          <w:p w14:paraId="7E98E6B5" w14:textId="300AA0F6" w:rsidR="00910840" w:rsidRPr="009D7BD5" w:rsidRDefault="00910840" w:rsidP="00C83FBA">
            <w:pPr>
              <w:pStyle w:val="Paragraph"/>
              <w:spacing w:before="120" w:after="240" w:line="240" w:lineRule="auto"/>
              <w:jc w:val="left"/>
              <w:rPr>
                <w:rFonts w:ascii="Lato Light" w:hAnsi="Lato Light"/>
                <w:b/>
                <w:szCs w:val="22"/>
              </w:rPr>
            </w:pPr>
            <w:r w:rsidRPr="009D7BD5">
              <w:rPr>
                <w:rFonts w:ascii="Lato Light" w:hAnsi="Lato Light"/>
                <w:b/>
                <w:szCs w:val="22"/>
              </w:rPr>
              <w:t>Technical</w:t>
            </w:r>
            <w:r w:rsidR="000C40D1" w:rsidRPr="009D7BD5">
              <w:rPr>
                <w:rFonts w:ascii="Lato Light" w:hAnsi="Lato Light"/>
                <w:b/>
                <w:szCs w:val="22"/>
              </w:rPr>
              <w:t>/Quality</w:t>
            </w:r>
          </w:p>
        </w:tc>
        <w:tc>
          <w:tcPr>
            <w:tcW w:w="1368" w:type="pct"/>
            <w:tcBorders>
              <w:top w:val="single" w:sz="8" w:space="0" w:color="000000"/>
              <w:left w:val="single" w:sz="8" w:space="0" w:color="000000"/>
              <w:bottom w:val="single" w:sz="8" w:space="0" w:color="000000"/>
              <w:right w:val="single" w:sz="8" w:space="0" w:color="000000"/>
            </w:tcBorders>
          </w:tcPr>
          <w:p w14:paraId="4AD7A26B" w14:textId="3875E19D" w:rsidR="00910840" w:rsidRPr="009D7BD5" w:rsidRDefault="00910840" w:rsidP="00C83FBA">
            <w:pPr>
              <w:pStyle w:val="Paragraph"/>
              <w:spacing w:before="120" w:after="240" w:line="240" w:lineRule="auto"/>
              <w:jc w:val="left"/>
              <w:rPr>
                <w:rFonts w:ascii="Lato Light" w:hAnsi="Lato Light"/>
                <w:szCs w:val="22"/>
              </w:rPr>
            </w:pPr>
            <w:r w:rsidRPr="009D7BD5">
              <w:rPr>
                <w:rFonts w:ascii="Lato Light" w:hAnsi="Lato Light"/>
                <w:szCs w:val="22"/>
              </w:rPr>
              <w:t>  70%</w:t>
            </w:r>
          </w:p>
        </w:tc>
      </w:tr>
    </w:tbl>
    <w:p w14:paraId="64278BD8" w14:textId="4B61662E" w:rsidR="000F2F0C"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Scores are arrived at following the application of the </w:t>
      </w:r>
      <w:r w:rsidRPr="009D7BD5">
        <w:rPr>
          <w:rFonts w:ascii="Lato Light" w:hAnsi="Lato Light"/>
          <w:b/>
          <w:szCs w:val="22"/>
        </w:rPr>
        <w:t>Evaluation Criteria</w:t>
      </w:r>
      <w:r w:rsidRPr="009D7BD5">
        <w:rPr>
          <w:rFonts w:ascii="Lato Light" w:hAnsi="Lato Light"/>
          <w:szCs w:val="22"/>
        </w:rPr>
        <w:t xml:space="preserve"> set out </w:t>
      </w:r>
      <w:r w:rsidR="0032665A" w:rsidRPr="009D7BD5">
        <w:rPr>
          <w:rFonts w:ascii="Lato Light" w:hAnsi="Lato Light"/>
          <w:szCs w:val="22"/>
        </w:rPr>
        <w:t xml:space="preserve">in paragraph </w:t>
      </w:r>
      <w:r w:rsidR="0032665A" w:rsidRPr="009D7BD5">
        <w:rPr>
          <w:rFonts w:ascii="Lato Light" w:hAnsi="Lato Light"/>
          <w:szCs w:val="22"/>
        </w:rPr>
        <w:fldChar w:fldCharType="begin"/>
      </w:r>
      <w:r w:rsidR="0032665A" w:rsidRPr="009D7BD5">
        <w:rPr>
          <w:rFonts w:ascii="Lato Light" w:hAnsi="Lato Light"/>
          <w:szCs w:val="22"/>
        </w:rPr>
        <w:instrText xml:space="preserve"> REF a322035 \r \h </w:instrText>
      </w:r>
      <w:r w:rsidR="009D7BD5" w:rsidRPr="009D7BD5">
        <w:rPr>
          <w:rFonts w:ascii="Lato Light" w:hAnsi="Lato Light"/>
          <w:szCs w:val="22"/>
        </w:rPr>
        <w:instrText xml:space="preserve"> \* MERGEFORMAT </w:instrText>
      </w:r>
      <w:r w:rsidR="0032665A" w:rsidRPr="009D7BD5">
        <w:rPr>
          <w:rFonts w:ascii="Lato Light" w:hAnsi="Lato Light"/>
          <w:szCs w:val="22"/>
        </w:rPr>
      </w:r>
      <w:r w:rsidR="0032665A" w:rsidRPr="009D7BD5">
        <w:rPr>
          <w:rFonts w:ascii="Lato Light" w:hAnsi="Lato Light"/>
          <w:szCs w:val="22"/>
        </w:rPr>
        <w:fldChar w:fldCharType="separate"/>
      </w:r>
      <w:r w:rsidR="00B44B03">
        <w:rPr>
          <w:rFonts w:ascii="Lato Light" w:hAnsi="Lato Light"/>
          <w:szCs w:val="22"/>
        </w:rPr>
        <w:t>5.2</w:t>
      </w:r>
      <w:r w:rsidR="0032665A" w:rsidRPr="009D7BD5">
        <w:rPr>
          <w:rFonts w:ascii="Lato Light" w:hAnsi="Lato Light"/>
          <w:szCs w:val="22"/>
        </w:rPr>
        <w:fldChar w:fldCharType="end"/>
      </w:r>
      <w:r w:rsidRPr="009D7BD5">
        <w:rPr>
          <w:rFonts w:ascii="Lato Light" w:hAnsi="Lato Light"/>
          <w:szCs w:val="22"/>
        </w:rPr>
        <w:t>.</w:t>
      </w:r>
      <w:r w:rsidR="007E1B60" w:rsidRPr="009D7BD5">
        <w:rPr>
          <w:rFonts w:ascii="Lato Light" w:hAnsi="Lato Light"/>
          <w:szCs w:val="22"/>
        </w:rPr>
        <w:t xml:space="preserve"> </w:t>
      </w:r>
      <w:r w:rsidR="00303C54" w:rsidRPr="009D7BD5">
        <w:rPr>
          <w:rFonts w:ascii="Lato Light" w:hAnsi="Lato Light"/>
          <w:szCs w:val="22"/>
        </w:rPr>
        <w:t>N</w:t>
      </w:r>
      <w:r w:rsidR="007E1B60" w:rsidRPr="009D7BD5">
        <w:rPr>
          <w:rFonts w:ascii="Lato Light" w:hAnsi="Lato Light"/>
          <w:szCs w:val="22"/>
        </w:rPr>
        <w:t xml:space="preserve">o prior information from the SQ stage or prior knowledge of </w:t>
      </w:r>
      <w:r w:rsidR="001352E0" w:rsidRPr="009D7BD5">
        <w:rPr>
          <w:rFonts w:ascii="Lato Light" w:hAnsi="Lato Light"/>
          <w:szCs w:val="22"/>
        </w:rPr>
        <w:t>Tenderers</w:t>
      </w:r>
      <w:r w:rsidR="007E1B60" w:rsidRPr="009D7BD5">
        <w:rPr>
          <w:rFonts w:ascii="Lato Light" w:hAnsi="Lato Light"/>
          <w:szCs w:val="22"/>
        </w:rPr>
        <w:t xml:space="preserve"> will be used for the purposes of evaluation.</w:t>
      </w:r>
    </w:p>
    <w:p w14:paraId="5C2CCDA3" w14:textId="5B151F17" w:rsidR="000F2F0C"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 xml:space="preserve">Tenderers are required to submit a Tender strictly in accordance with the requirements set out in this </w:t>
      </w:r>
      <w:r w:rsidR="0038521A" w:rsidRPr="009D7BD5">
        <w:rPr>
          <w:rFonts w:ascii="Lato Light" w:hAnsi="Lato Light"/>
          <w:szCs w:val="22"/>
        </w:rPr>
        <w:t>ITN</w:t>
      </w:r>
      <w:r w:rsidRPr="009D7BD5">
        <w:rPr>
          <w:rFonts w:ascii="Lato Light" w:hAnsi="Lato Light"/>
          <w:szCs w:val="22"/>
        </w:rPr>
        <w:t xml:space="preserve">, to ensure </w:t>
      </w:r>
      <w:r w:rsidR="00795A37" w:rsidRPr="009D7BD5">
        <w:rPr>
          <w:rFonts w:ascii="Lato Light" w:hAnsi="Lato Light"/>
          <w:szCs w:val="22"/>
        </w:rPr>
        <w:t xml:space="preserve">London CIV </w:t>
      </w:r>
      <w:r w:rsidRPr="009D7BD5">
        <w:rPr>
          <w:rFonts w:ascii="Lato Light" w:hAnsi="Lato Light"/>
          <w:szCs w:val="22"/>
        </w:rPr>
        <w:t xml:space="preserve">has the correct information to make the evaluation. Evasive, unclear or hedged Tenders may be discounted in evaluation and may, at </w:t>
      </w:r>
      <w:r w:rsidR="00795A37" w:rsidRPr="009D7BD5">
        <w:rPr>
          <w:rFonts w:ascii="Lato Light" w:hAnsi="Lato Light"/>
          <w:szCs w:val="22"/>
        </w:rPr>
        <w:t>London CIV ‘s</w:t>
      </w:r>
      <w:r w:rsidR="008F08C3" w:rsidRPr="009D7BD5">
        <w:rPr>
          <w:rFonts w:ascii="Lato Light" w:hAnsi="Lato Light"/>
          <w:szCs w:val="22"/>
        </w:rPr>
        <w:t xml:space="preserve"> </w:t>
      </w:r>
      <w:r w:rsidRPr="009D7BD5">
        <w:rPr>
          <w:rFonts w:ascii="Lato Light" w:hAnsi="Lato Light"/>
          <w:szCs w:val="22"/>
        </w:rPr>
        <w:t xml:space="preserve">discretion, be taken as a rejection by the Tenderer of the terms set out in this </w:t>
      </w:r>
      <w:r w:rsidR="0038521A" w:rsidRPr="009D7BD5">
        <w:rPr>
          <w:rFonts w:ascii="Lato Light" w:hAnsi="Lato Light"/>
          <w:szCs w:val="22"/>
        </w:rPr>
        <w:t>ITN</w:t>
      </w:r>
      <w:r w:rsidRPr="009D7BD5">
        <w:rPr>
          <w:rFonts w:ascii="Lato Light" w:hAnsi="Lato Light"/>
          <w:szCs w:val="22"/>
        </w:rPr>
        <w:t>.</w:t>
      </w:r>
    </w:p>
    <w:p w14:paraId="44245837" w14:textId="538DD498" w:rsidR="002D3159" w:rsidRPr="009D7BD5" w:rsidRDefault="002D3159" w:rsidP="00C83FBA">
      <w:pPr>
        <w:pStyle w:val="Untitledsubclause1"/>
        <w:numPr>
          <w:ilvl w:val="0"/>
          <w:numId w:val="0"/>
        </w:numPr>
        <w:spacing w:before="120" w:after="240" w:line="240" w:lineRule="auto"/>
        <w:ind w:left="720"/>
        <w:rPr>
          <w:rFonts w:ascii="Lato Light" w:hAnsi="Lato Light"/>
          <w:szCs w:val="22"/>
        </w:rPr>
      </w:pPr>
      <w:r w:rsidRPr="009D7BD5">
        <w:rPr>
          <w:rFonts w:ascii="Lato Light" w:hAnsi="Lato Light"/>
          <w:bCs/>
          <w:szCs w:val="22"/>
        </w:rPr>
        <w:t xml:space="preserve">Tenderers must answer all questions </w:t>
      </w:r>
      <w:r w:rsidRPr="008C5C55">
        <w:rPr>
          <w:rFonts w:ascii="Lato Light" w:hAnsi="Lato Light"/>
          <w:bCs/>
          <w:szCs w:val="22"/>
        </w:rPr>
        <w:t>in Annex 2 – Technical/Quality Questionnaire and Annex 3 – Commercial Model</w:t>
      </w:r>
      <w:r>
        <w:rPr>
          <w:rFonts w:ascii="Lato Light" w:hAnsi="Lato Light"/>
          <w:bCs/>
          <w:szCs w:val="22"/>
        </w:rPr>
        <w:t>.</w:t>
      </w:r>
    </w:p>
    <w:p w14:paraId="71DC20AE" w14:textId="5762D509" w:rsidR="000F2F0C" w:rsidRPr="009D7BD5" w:rsidRDefault="00F33767" w:rsidP="00C83FBA">
      <w:pPr>
        <w:pStyle w:val="Untitledsubclause1"/>
        <w:spacing w:before="120" w:after="240" w:line="240" w:lineRule="auto"/>
        <w:rPr>
          <w:rFonts w:ascii="Lato Light" w:hAnsi="Lato Light"/>
          <w:b/>
          <w:szCs w:val="22"/>
        </w:rPr>
      </w:pPr>
      <w:bookmarkStart w:id="34" w:name="a322035"/>
      <w:bookmarkStart w:id="35" w:name="_Ref110801296"/>
      <w:r w:rsidRPr="009D7BD5">
        <w:rPr>
          <w:rFonts w:ascii="Lato Light" w:hAnsi="Lato Light"/>
          <w:b/>
          <w:szCs w:val="22"/>
        </w:rPr>
        <w:t xml:space="preserve">Evaluation </w:t>
      </w:r>
      <w:bookmarkEnd w:id="34"/>
      <w:r w:rsidR="00A17ED5" w:rsidRPr="009D7BD5">
        <w:rPr>
          <w:rFonts w:ascii="Lato Light" w:hAnsi="Lato Light"/>
          <w:b/>
          <w:szCs w:val="22"/>
        </w:rPr>
        <w:t>Process</w:t>
      </w:r>
      <w:bookmarkEnd w:id="35"/>
    </w:p>
    <w:p w14:paraId="12B933EE" w14:textId="421B321D" w:rsidR="00144B38" w:rsidRPr="009D7BD5" w:rsidRDefault="00144B38" w:rsidP="00C83FBA">
      <w:pPr>
        <w:pStyle w:val="Parasubclause1"/>
        <w:spacing w:before="120" w:after="240" w:line="240" w:lineRule="auto"/>
        <w:rPr>
          <w:rFonts w:ascii="Lato Light" w:hAnsi="Lato Light"/>
          <w:b/>
          <w:bCs/>
          <w:szCs w:val="22"/>
          <w:u w:val="single"/>
        </w:rPr>
      </w:pPr>
      <w:r w:rsidRPr="009D7BD5">
        <w:rPr>
          <w:rFonts w:ascii="Lato Light" w:hAnsi="Lato Light"/>
          <w:b/>
          <w:bCs/>
          <w:szCs w:val="22"/>
          <w:u w:val="single"/>
        </w:rPr>
        <w:t xml:space="preserve">Technical/Quality </w:t>
      </w:r>
      <w:r w:rsidR="002D3159">
        <w:rPr>
          <w:rFonts w:ascii="Lato Light" w:hAnsi="Lato Light"/>
          <w:b/>
          <w:bCs/>
          <w:szCs w:val="22"/>
          <w:u w:val="single"/>
        </w:rPr>
        <w:t>Evaluation</w:t>
      </w:r>
    </w:p>
    <w:p w14:paraId="376F42FD" w14:textId="75352429" w:rsidR="002F571E" w:rsidRPr="009D7BD5" w:rsidRDefault="00F33767" w:rsidP="00C83FBA">
      <w:pPr>
        <w:pStyle w:val="Parasubclause1"/>
        <w:spacing w:before="120" w:after="240" w:line="240" w:lineRule="auto"/>
        <w:rPr>
          <w:rFonts w:ascii="Lato Light" w:hAnsi="Lato Light"/>
          <w:szCs w:val="22"/>
        </w:rPr>
      </w:pPr>
      <w:r w:rsidRPr="009D7BD5">
        <w:rPr>
          <w:rFonts w:ascii="Lato Light" w:hAnsi="Lato Light"/>
          <w:szCs w:val="22"/>
        </w:rPr>
        <w:t>The technical</w:t>
      </w:r>
      <w:r w:rsidR="0005266D" w:rsidRPr="009D7BD5">
        <w:rPr>
          <w:rFonts w:ascii="Lato Light" w:hAnsi="Lato Light"/>
          <w:szCs w:val="22"/>
        </w:rPr>
        <w:t>/quality</w:t>
      </w:r>
      <w:r w:rsidRPr="009D7BD5">
        <w:rPr>
          <w:rFonts w:ascii="Lato Light" w:hAnsi="Lato Light"/>
          <w:szCs w:val="22"/>
        </w:rPr>
        <w:t xml:space="preserve"> evaluation will be scored in accordance with the </w:t>
      </w:r>
      <w:r w:rsidR="00A17ED5" w:rsidRPr="009D7BD5">
        <w:rPr>
          <w:rFonts w:ascii="Lato Light" w:hAnsi="Lato Light"/>
          <w:szCs w:val="22"/>
        </w:rPr>
        <w:t>Evaluation</w:t>
      </w:r>
      <w:r w:rsidR="002F571E" w:rsidRPr="009D7BD5">
        <w:rPr>
          <w:rFonts w:ascii="Lato Light" w:hAnsi="Lato Light"/>
          <w:szCs w:val="22"/>
        </w:rPr>
        <w:t xml:space="preserve"> Criteria</w:t>
      </w:r>
      <w:r w:rsidR="00A17ED5" w:rsidRPr="009D7BD5">
        <w:rPr>
          <w:rFonts w:ascii="Lato Light" w:hAnsi="Lato Light"/>
          <w:szCs w:val="22"/>
        </w:rPr>
        <w:t xml:space="preserve"> shown in the table below,</w:t>
      </w:r>
      <w:r w:rsidR="002F571E" w:rsidRPr="009D7BD5">
        <w:rPr>
          <w:rFonts w:ascii="Lato Light" w:hAnsi="Lato Light"/>
          <w:szCs w:val="22"/>
        </w:rPr>
        <w:t xml:space="preserve"> broken down into the following weightings:</w:t>
      </w:r>
    </w:p>
    <w:tbl>
      <w:tblPr>
        <w:tblStyle w:val="TableGrid"/>
        <w:tblW w:w="0" w:type="auto"/>
        <w:tblInd w:w="3256" w:type="dxa"/>
        <w:tblLook w:val="04A0" w:firstRow="1" w:lastRow="0" w:firstColumn="1" w:lastColumn="0" w:noHBand="0" w:noVBand="1"/>
      </w:tblPr>
      <w:tblGrid>
        <w:gridCol w:w="3543"/>
        <w:gridCol w:w="1560"/>
      </w:tblGrid>
      <w:tr w:rsidR="002F571E" w:rsidRPr="009D7BD5" w14:paraId="54569543" w14:textId="77777777" w:rsidTr="00920F30">
        <w:tc>
          <w:tcPr>
            <w:tcW w:w="3543" w:type="dxa"/>
          </w:tcPr>
          <w:p w14:paraId="3EDB16C7" w14:textId="0A5BC492" w:rsidR="002F571E" w:rsidRPr="009D7BD5" w:rsidRDefault="002F571E" w:rsidP="00C83FBA">
            <w:pPr>
              <w:pStyle w:val="Parasubclause1"/>
              <w:spacing w:before="120" w:after="240" w:line="240" w:lineRule="auto"/>
              <w:ind w:left="0"/>
              <w:rPr>
                <w:rFonts w:ascii="Lato Light" w:hAnsi="Lato Light"/>
                <w:b/>
                <w:bCs/>
                <w:szCs w:val="22"/>
              </w:rPr>
            </w:pPr>
            <w:r w:rsidRPr="009D7BD5">
              <w:rPr>
                <w:rFonts w:ascii="Lato Light" w:hAnsi="Lato Light"/>
                <w:b/>
                <w:bCs/>
                <w:szCs w:val="22"/>
              </w:rPr>
              <w:t>Technical/Quality Evaluation</w:t>
            </w:r>
          </w:p>
        </w:tc>
        <w:tc>
          <w:tcPr>
            <w:tcW w:w="1560" w:type="dxa"/>
          </w:tcPr>
          <w:p w14:paraId="7605B751" w14:textId="5A1F1049" w:rsidR="002F571E" w:rsidRPr="009D7BD5" w:rsidRDefault="002F571E" w:rsidP="00D81999">
            <w:pPr>
              <w:pStyle w:val="Parasubclause1"/>
              <w:spacing w:before="120" w:after="240" w:line="240" w:lineRule="auto"/>
              <w:ind w:left="0"/>
              <w:jc w:val="center"/>
              <w:rPr>
                <w:rFonts w:ascii="Lato Light" w:hAnsi="Lato Light"/>
                <w:b/>
                <w:bCs/>
                <w:szCs w:val="22"/>
              </w:rPr>
            </w:pPr>
            <w:r w:rsidRPr="009D7BD5">
              <w:rPr>
                <w:rFonts w:ascii="Lato Light" w:hAnsi="Lato Light"/>
                <w:b/>
                <w:bCs/>
                <w:szCs w:val="22"/>
              </w:rPr>
              <w:t>Weighting</w:t>
            </w:r>
            <w:r w:rsidR="00920F30">
              <w:rPr>
                <w:rFonts w:ascii="Lato Light" w:hAnsi="Lato Light"/>
                <w:b/>
                <w:bCs/>
                <w:szCs w:val="22"/>
              </w:rPr>
              <w:t xml:space="preserve"> %</w:t>
            </w:r>
          </w:p>
        </w:tc>
      </w:tr>
      <w:tr w:rsidR="001657C6" w:rsidRPr="009D7BD5" w14:paraId="077259E4" w14:textId="77777777" w:rsidTr="00920F30">
        <w:tc>
          <w:tcPr>
            <w:tcW w:w="3543" w:type="dxa"/>
          </w:tcPr>
          <w:p w14:paraId="29617679" w14:textId="63D6C464" w:rsidR="001657C6" w:rsidRPr="009D7BD5" w:rsidRDefault="000B7103" w:rsidP="00C83FBA">
            <w:pPr>
              <w:pStyle w:val="Parasubclause1"/>
              <w:spacing w:before="120" w:after="240" w:line="240" w:lineRule="auto"/>
              <w:ind w:left="0"/>
              <w:rPr>
                <w:rFonts w:ascii="Lato Light" w:hAnsi="Lato Light"/>
                <w:b/>
                <w:bCs/>
                <w:szCs w:val="22"/>
              </w:rPr>
            </w:pPr>
            <w:r>
              <w:rPr>
                <w:rFonts w:ascii="Lato Light" w:hAnsi="Lato Light"/>
                <w:b/>
                <w:bCs/>
                <w:szCs w:val="22"/>
              </w:rPr>
              <w:t>Executive Summary</w:t>
            </w:r>
          </w:p>
        </w:tc>
        <w:tc>
          <w:tcPr>
            <w:tcW w:w="1560" w:type="dxa"/>
          </w:tcPr>
          <w:p w14:paraId="1B0AC69E" w14:textId="62BB7341" w:rsidR="001657C6" w:rsidRPr="000B7103" w:rsidRDefault="00233F1C" w:rsidP="00536113">
            <w:pPr>
              <w:pStyle w:val="Parasubclause1"/>
              <w:spacing w:before="120" w:after="240" w:line="240" w:lineRule="auto"/>
              <w:ind w:left="0"/>
              <w:jc w:val="center"/>
              <w:rPr>
                <w:rFonts w:ascii="Lato Light" w:hAnsi="Lato Light"/>
                <w:szCs w:val="22"/>
              </w:rPr>
            </w:pPr>
            <w:r>
              <w:rPr>
                <w:rFonts w:ascii="Lato Light" w:hAnsi="Lato Light"/>
                <w:szCs w:val="22"/>
              </w:rPr>
              <w:t>5</w:t>
            </w:r>
          </w:p>
        </w:tc>
      </w:tr>
      <w:tr w:rsidR="002F571E" w:rsidRPr="009D7BD5" w14:paraId="2BF1093C" w14:textId="77777777" w:rsidTr="00920F30">
        <w:tc>
          <w:tcPr>
            <w:tcW w:w="3543" w:type="dxa"/>
          </w:tcPr>
          <w:p w14:paraId="1490554D" w14:textId="191E151C" w:rsidR="002F571E" w:rsidRPr="009D7BD5" w:rsidRDefault="000237C5" w:rsidP="00C83FBA">
            <w:pPr>
              <w:pStyle w:val="Parasubclause1"/>
              <w:spacing w:before="120" w:after="240" w:line="240" w:lineRule="auto"/>
              <w:ind w:left="0"/>
              <w:rPr>
                <w:rFonts w:ascii="Lato Light" w:hAnsi="Lato Light"/>
                <w:b/>
                <w:bCs/>
                <w:szCs w:val="22"/>
              </w:rPr>
            </w:pPr>
            <w:r w:rsidRPr="009D7BD5">
              <w:rPr>
                <w:rFonts w:ascii="Lato Light" w:hAnsi="Lato Light"/>
                <w:b/>
                <w:bCs/>
                <w:szCs w:val="22"/>
              </w:rPr>
              <w:t xml:space="preserve">Service </w:t>
            </w:r>
            <w:r w:rsidR="00D81999">
              <w:rPr>
                <w:rFonts w:ascii="Lato Light" w:hAnsi="Lato Light"/>
                <w:b/>
                <w:bCs/>
                <w:szCs w:val="22"/>
              </w:rPr>
              <w:t>Outputs</w:t>
            </w:r>
          </w:p>
        </w:tc>
        <w:tc>
          <w:tcPr>
            <w:tcW w:w="1560" w:type="dxa"/>
          </w:tcPr>
          <w:p w14:paraId="0025245F" w14:textId="026E58C8" w:rsidR="002F571E" w:rsidRPr="009D7BD5" w:rsidRDefault="000B7103" w:rsidP="00536113">
            <w:pPr>
              <w:pStyle w:val="Parasubclause1"/>
              <w:spacing w:before="120" w:after="240" w:line="240" w:lineRule="auto"/>
              <w:ind w:left="0"/>
              <w:jc w:val="center"/>
              <w:rPr>
                <w:rFonts w:ascii="Lato Light" w:hAnsi="Lato Light"/>
                <w:szCs w:val="22"/>
              </w:rPr>
            </w:pPr>
            <w:r>
              <w:rPr>
                <w:rFonts w:ascii="Lato Light" w:hAnsi="Lato Light"/>
                <w:szCs w:val="22"/>
              </w:rPr>
              <w:t>20</w:t>
            </w:r>
          </w:p>
        </w:tc>
      </w:tr>
      <w:tr w:rsidR="009A4895" w:rsidRPr="009D7BD5" w14:paraId="2BBB33A9" w14:textId="77777777" w:rsidTr="00920F30">
        <w:tc>
          <w:tcPr>
            <w:tcW w:w="3543" w:type="dxa"/>
          </w:tcPr>
          <w:p w14:paraId="7DB14CC9" w14:textId="085A06FC" w:rsidR="009A4895" w:rsidRPr="009D7BD5" w:rsidRDefault="000237C5" w:rsidP="00C83FBA">
            <w:pPr>
              <w:pStyle w:val="Parasubclause1"/>
              <w:spacing w:before="120" w:after="240" w:line="240" w:lineRule="auto"/>
              <w:ind w:left="0"/>
              <w:rPr>
                <w:rFonts w:ascii="Lato Light" w:hAnsi="Lato Light"/>
                <w:b/>
                <w:bCs/>
                <w:szCs w:val="22"/>
              </w:rPr>
            </w:pPr>
            <w:r w:rsidRPr="009D7BD5">
              <w:rPr>
                <w:rFonts w:ascii="Lato Light" w:hAnsi="Lato Light"/>
                <w:b/>
                <w:bCs/>
                <w:szCs w:val="22"/>
              </w:rPr>
              <w:t xml:space="preserve">System </w:t>
            </w:r>
            <w:r w:rsidR="00707A9B" w:rsidRPr="009D7BD5">
              <w:rPr>
                <w:rFonts w:ascii="Lato Light" w:hAnsi="Lato Light"/>
                <w:b/>
                <w:bCs/>
                <w:szCs w:val="22"/>
              </w:rPr>
              <w:t>Functionality</w:t>
            </w:r>
          </w:p>
        </w:tc>
        <w:tc>
          <w:tcPr>
            <w:tcW w:w="1560" w:type="dxa"/>
          </w:tcPr>
          <w:p w14:paraId="15DBC903" w14:textId="2607178B" w:rsidR="009A4895" w:rsidRPr="009D7BD5" w:rsidRDefault="00233F1C" w:rsidP="00536113">
            <w:pPr>
              <w:pStyle w:val="Parasubclause1"/>
              <w:spacing w:before="120" w:after="240" w:line="240" w:lineRule="auto"/>
              <w:ind w:left="0"/>
              <w:jc w:val="center"/>
              <w:rPr>
                <w:rFonts w:ascii="Lato Light" w:hAnsi="Lato Light"/>
                <w:szCs w:val="22"/>
              </w:rPr>
            </w:pPr>
            <w:r>
              <w:rPr>
                <w:rFonts w:ascii="Lato Light" w:hAnsi="Lato Light"/>
                <w:szCs w:val="22"/>
              </w:rPr>
              <w:t>20</w:t>
            </w:r>
          </w:p>
        </w:tc>
      </w:tr>
      <w:tr w:rsidR="009A4895" w:rsidRPr="009D7BD5" w14:paraId="2239D0E0" w14:textId="77777777" w:rsidTr="00920F30">
        <w:tc>
          <w:tcPr>
            <w:tcW w:w="3543" w:type="dxa"/>
          </w:tcPr>
          <w:p w14:paraId="5BB8DE1D" w14:textId="3E201A42" w:rsidR="009A4895" w:rsidRPr="009D7BD5" w:rsidRDefault="00C414F4" w:rsidP="00C83FBA">
            <w:pPr>
              <w:pStyle w:val="Parasubclause1"/>
              <w:spacing w:before="120" w:after="240" w:line="240" w:lineRule="auto"/>
              <w:ind w:left="0"/>
              <w:rPr>
                <w:rFonts w:ascii="Lato Light" w:hAnsi="Lato Light"/>
                <w:b/>
                <w:bCs/>
                <w:szCs w:val="22"/>
              </w:rPr>
            </w:pPr>
            <w:r w:rsidRPr="009D7BD5">
              <w:rPr>
                <w:rFonts w:ascii="Lato Light" w:hAnsi="Lato Light"/>
                <w:b/>
                <w:bCs/>
                <w:szCs w:val="22"/>
              </w:rPr>
              <w:t>Technology</w:t>
            </w:r>
          </w:p>
        </w:tc>
        <w:tc>
          <w:tcPr>
            <w:tcW w:w="1560" w:type="dxa"/>
          </w:tcPr>
          <w:p w14:paraId="5E2DE868" w14:textId="5944E08A" w:rsidR="009A4895" w:rsidRPr="009D7BD5" w:rsidRDefault="000B7103" w:rsidP="00536113">
            <w:pPr>
              <w:pStyle w:val="Parasubclause1"/>
              <w:spacing w:before="120" w:after="240" w:line="240" w:lineRule="auto"/>
              <w:ind w:left="0"/>
              <w:jc w:val="center"/>
              <w:rPr>
                <w:rFonts w:ascii="Lato Light" w:hAnsi="Lato Light"/>
                <w:szCs w:val="22"/>
              </w:rPr>
            </w:pPr>
            <w:r>
              <w:rPr>
                <w:rFonts w:ascii="Lato Light" w:hAnsi="Lato Light"/>
                <w:szCs w:val="22"/>
              </w:rPr>
              <w:t>5</w:t>
            </w:r>
          </w:p>
        </w:tc>
      </w:tr>
      <w:tr w:rsidR="009A4895" w:rsidRPr="009D7BD5" w14:paraId="6F410B87" w14:textId="77777777" w:rsidTr="00920F30">
        <w:tc>
          <w:tcPr>
            <w:tcW w:w="3543" w:type="dxa"/>
          </w:tcPr>
          <w:p w14:paraId="157EAAAD" w14:textId="0BE17E5B" w:rsidR="009A4895" w:rsidRPr="009D7BD5" w:rsidRDefault="00C414F4" w:rsidP="00C83FBA">
            <w:pPr>
              <w:pStyle w:val="Parasubclause1"/>
              <w:spacing w:before="120" w:after="240" w:line="240" w:lineRule="auto"/>
              <w:ind w:left="0"/>
              <w:rPr>
                <w:rFonts w:ascii="Lato Light" w:hAnsi="Lato Light"/>
                <w:b/>
                <w:bCs/>
                <w:szCs w:val="22"/>
              </w:rPr>
            </w:pPr>
            <w:r w:rsidRPr="009D7BD5">
              <w:rPr>
                <w:rFonts w:ascii="Lato Light" w:hAnsi="Lato Light"/>
                <w:b/>
                <w:bCs/>
                <w:szCs w:val="22"/>
              </w:rPr>
              <w:lastRenderedPageBreak/>
              <w:t>Implementation</w:t>
            </w:r>
          </w:p>
        </w:tc>
        <w:tc>
          <w:tcPr>
            <w:tcW w:w="1560" w:type="dxa"/>
          </w:tcPr>
          <w:p w14:paraId="37666BC4" w14:textId="4266EBA5" w:rsidR="009A4895" w:rsidRPr="009D7BD5" w:rsidRDefault="000B7103" w:rsidP="00536113">
            <w:pPr>
              <w:pStyle w:val="Parasubclause1"/>
              <w:spacing w:before="120" w:after="240" w:line="240" w:lineRule="auto"/>
              <w:ind w:left="0"/>
              <w:jc w:val="center"/>
              <w:rPr>
                <w:rFonts w:ascii="Lato Light" w:hAnsi="Lato Light"/>
                <w:szCs w:val="22"/>
              </w:rPr>
            </w:pPr>
            <w:r>
              <w:rPr>
                <w:rFonts w:ascii="Lato Light" w:hAnsi="Lato Light"/>
                <w:szCs w:val="22"/>
              </w:rPr>
              <w:t>1</w:t>
            </w:r>
            <w:r w:rsidR="00CD45F7">
              <w:rPr>
                <w:rFonts w:ascii="Lato Light" w:hAnsi="Lato Light"/>
                <w:szCs w:val="22"/>
              </w:rPr>
              <w:t>5</w:t>
            </w:r>
          </w:p>
        </w:tc>
      </w:tr>
      <w:tr w:rsidR="00252FF8" w:rsidRPr="009D7BD5" w14:paraId="4F49F40B" w14:textId="77777777" w:rsidTr="00920F30">
        <w:tc>
          <w:tcPr>
            <w:tcW w:w="3543" w:type="dxa"/>
          </w:tcPr>
          <w:p w14:paraId="6368045F" w14:textId="07A8E126" w:rsidR="00252FF8" w:rsidRPr="009D7BD5" w:rsidRDefault="002B7037" w:rsidP="00C83FBA">
            <w:pPr>
              <w:pStyle w:val="Parasubclause1"/>
              <w:spacing w:before="120" w:after="240" w:line="240" w:lineRule="auto"/>
              <w:ind w:left="0"/>
              <w:rPr>
                <w:rFonts w:ascii="Lato Light" w:hAnsi="Lato Light"/>
                <w:b/>
                <w:bCs/>
                <w:szCs w:val="22"/>
              </w:rPr>
            </w:pPr>
            <w:r w:rsidRPr="009D7BD5">
              <w:rPr>
                <w:rFonts w:ascii="Lato Light" w:hAnsi="Lato Light"/>
                <w:b/>
                <w:bCs/>
                <w:szCs w:val="22"/>
              </w:rPr>
              <w:t>Staff &amp; Resourc</w:t>
            </w:r>
            <w:r w:rsidR="000237C5" w:rsidRPr="009D7BD5">
              <w:rPr>
                <w:rFonts w:ascii="Lato Light" w:hAnsi="Lato Light"/>
                <w:b/>
                <w:bCs/>
                <w:szCs w:val="22"/>
              </w:rPr>
              <w:t>ing</w:t>
            </w:r>
          </w:p>
        </w:tc>
        <w:tc>
          <w:tcPr>
            <w:tcW w:w="1560" w:type="dxa"/>
          </w:tcPr>
          <w:p w14:paraId="287C9AC3" w14:textId="016AE6CC" w:rsidR="00252FF8" w:rsidRPr="009D7BD5" w:rsidRDefault="00CD45F7" w:rsidP="00536113">
            <w:pPr>
              <w:pStyle w:val="Parasubclause1"/>
              <w:spacing w:before="120" w:after="240" w:line="240" w:lineRule="auto"/>
              <w:ind w:left="0"/>
              <w:jc w:val="center"/>
              <w:rPr>
                <w:rFonts w:ascii="Lato Light" w:hAnsi="Lato Light"/>
                <w:szCs w:val="22"/>
              </w:rPr>
            </w:pPr>
            <w:r>
              <w:rPr>
                <w:rFonts w:ascii="Lato Light" w:hAnsi="Lato Light"/>
                <w:szCs w:val="22"/>
              </w:rPr>
              <w:t>5</w:t>
            </w:r>
          </w:p>
        </w:tc>
      </w:tr>
      <w:tr w:rsidR="00F93B46" w:rsidRPr="009D7BD5" w14:paraId="38B1ECF3" w14:textId="77777777" w:rsidTr="00920F30">
        <w:tc>
          <w:tcPr>
            <w:tcW w:w="3543" w:type="dxa"/>
          </w:tcPr>
          <w:p w14:paraId="0693D282" w14:textId="10D9439C" w:rsidR="00F93B46" w:rsidRPr="009D7BD5" w:rsidRDefault="00F93B46" w:rsidP="00F93B46">
            <w:pPr>
              <w:pStyle w:val="Parasubclause1"/>
              <w:spacing w:before="120" w:after="240" w:line="240" w:lineRule="auto"/>
              <w:ind w:left="0"/>
              <w:jc w:val="right"/>
              <w:rPr>
                <w:rFonts w:ascii="Lato Light" w:hAnsi="Lato Light"/>
                <w:b/>
                <w:bCs/>
                <w:szCs w:val="22"/>
              </w:rPr>
            </w:pPr>
            <w:r>
              <w:rPr>
                <w:rFonts w:ascii="Lato Light" w:hAnsi="Lato Light"/>
                <w:b/>
                <w:bCs/>
                <w:szCs w:val="22"/>
              </w:rPr>
              <w:t>TOTAL</w:t>
            </w:r>
          </w:p>
        </w:tc>
        <w:tc>
          <w:tcPr>
            <w:tcW w:w="1560" w:type="dxa"/>
          </w:tcPr>
          <w:p w14:paraId="6FFF8583" w14:textId="172466DD" w:rsidR="00F93B46" w:rsidRPr="00CD45F7" w:rsidRDefault="00F93B46" w:rsidP="00536113">
            <w:pPr>
              <w:pStyle w:val="Parasubclause1"/>
              <w:spacing w:before="120" w:after="240" w:line="240" w:lineRule="auto"/>
              <w:ind w:left="0"/>
              <w:jc w:val="center"/>
              <w:rPr>
                <w:rFonts w:ascii="Lato Light" w:hAnsi="Lato Light"/>
                <w:b/>
                <w:bCs/>
                <w:szCs w:val="22"/>
              </w:rPr>
            </w:pPr>
            <w:r w:rsidRPr="00CD45F7">
              <w:rPr>
                <w:rFonts w:ascii="Lato Light" w:hAnsi="Lato Light"/>
                <w:b/>
                <w:bCs/>
                <w:szCs w:val="22"/>
              </w:rPr>
              <w:t>70%</w:t>
            </w:r>
          </w:p>
        </w:tc>
      </w:tr>
    </w:tbl>
    <w:p w14:paraId="006BF376" w14:textId="77777777" w:rsidR="000F2F0C" w:rsidRPr="009D7BD5" w:rsidRDefault="00F33767" w:rsidP="00C83FBA">
      <w:pPr>
        <w:pStyle w:val="Parasubclause1"/>
        <w:spacing w:before="120" w:after="240" w:line="240" w:lineRule="auto"/>
        <w:rPr>
          <w:rFonts w:ascii="Lato Light" w:hAnsi="Lato Light"/>
          <w:b/>
          <w:szCs w:val="22"/>
        </w:rPr>
      </w:pPr>
      <w:r w:rsidRPr="009D7BD5">
        <w:rPr>
          <w:rFonts w:ascii="Lato Light" w:hAnsi="Lato Light"/>
          <w:b/>
          <w:szCs w:val="22"/>
        </w:rPr>
        <w:t>Scoring matrix for the technical and quality criteria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01"/>
        <w:gridCol w:w="7939"/>
      </w:tblGrid>
      <w:tr w:rsidR="000F2F0C" w:rsidRPr="009D7BD5" w14:paraId="615AC9E7" w14:textId="77777777" w:rsidTr="000F2F0C">
        <w:tc>
          <w:tcPr>
            <w:tcW w:w="750" w:type="pct"/>
            <w:tcBorders>
              <w:top w:val="single" w:sz="8" w:space="0" w:color="000000"/>
              <w:left w:val="single" w:sz="8" w:space="0" w:color="000000"/>
              <w:bottom w:val="single" w:sz="8" w:space="0" w:color="000000"/>
              <w:right w:val="single" w:sz="8" w:space="0" w:color="000000"/>
            </w:tcBorders>
          </w:tcPr>
          <w:p w14:paraId="4867AF30"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0</w:t>
            </w:r>
          </w:p>
        </w:tc>
        <w:tc>
          <w:tcPr>
            <w:tcW w:w="4250" w:type="pct"/>
            <w:tcBorders>
              <w:top w:val="single" w:sz="8" w:space="0" w:color="000000"/>
              <w:left w:val="single" w:sz="8" w:space="0" w:color="000000"/>
              <w:bottom w:val="single" w:sz="8" w:space="0" w:color="000000"/>
              <w:right w:val="single" w:sz="8" w:space="0" w:color="000000"/>
            </w:tcBorders>
          </w:tcPr>
          <w:p w14:paraId="4CB89C8E"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Completely fails to meet required standard or does not provide a proposal.</w:t>
            </w:r>
          </w:p>
        </w:tc>
      </w:tr>
      <w:tr w:rsidR="000F2F0C" w:rsidRPr="009D7BD5" w14:paraId="7F44AD58" w14:textId="77777777" w:rsidTr="000F2F0C">
        <w:tc>
          <w:tcPr>
            <w:tcW w:w="750" w:type="pct"/>
            <w:tcBorders>
              <w:top w:val="single" w:sz="8" w:space="0" w:color="000000"/>
              <w:left w:val="single" w:sz="8" w:space="0" w:color="000000"/>
              <w:bottom w:val="single" w:sz="8" w:space="0" w:color="000000"/>
              <w:right w:val="single" w:sz="8" w:space="0" w:color="000000"/>
            </w:tcBorders>
          </w:tcPr>
          <w:p w14:paraId="73008658"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1</w:t>
            </w:r>
          </w:p>
        </w:tc>
        <w:tc>
          <w:tcPr>
            <w:tcW w:w="4250" w:type="pct"/>
            <w:tcBorders>
              <w:top w:val="single" w:sz="8" w:space="0" w:color="000000"/>
              <w:left w:val="single" w:sz="8" w:space="0" w:color="000000"/>
              <w:bottom w:val="single" w:sz="8" w:space="0" w:color="000000"/>
              <w:right w:val="single" w:sz="8" w:space="0" w:color="000000"/>
            </w:tcBorders>
          </w:tcPr>
          <w:p w14:paraId="762EDF97"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Proposal significantly fails to meet the standards required, contains significant shortcomings or is inconsistent with other proposals.</w:t>
            </w:r>
          </w:p>
        </w:tc>
      </w:tr>
      <w:tr w:rsidR="000F2F0C" w:rsidRPr="009D7BD5" w14:paraId="664D4ACC" w14:textId="77777777" w:rsidTr="000F2F0C">
        <w:tc>
          <w:tcPr>
            <w:tcW w:w="750" w:type="pct"/>
            <w:tcBorders>
              <w:top w:val="single" w:sz="8" w:space="0" w:color="000000"/>
              <w:left w:val="single" w:sz="8" w:space="0" w:color="000000"/>
              <w:bottom w:val="single" w:sz="8" w:space="0" w:color="000000"/>
              <w:right w:val="single" w:sz="8" w:space="0" w:color="000000"/>
            </w:tcBorders>
          </w:tcPr>
          <w:p w14:paraId="08BB152A"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2</w:t>
            </w:r>
          </w:p>
        </w:tc>
        <w:tc>
          <w:tcPr>
            <w:tcW w:w="4250" w:type="pct"/>
            <w:tcBorders>
              <w:top w:val="single" w:sz="8" w:space="0" w:color="000000"/>
              <w:left w:val="single" w:sz="8" w:space="0" w:color="000000"/>
              <w:bottom w:val="single" w:sz="8" w:space="0" w:color="000000"/>
              <w:right w:val="single" w:sz="8" w:space="0" w:color="000000"/>
            </w:tcBorders>
          </w:tcPr>
          <w:p w14:paraId="0C279A0B"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Proposal falls short of achieving expected standard in a number of identifiable respects.</w:t>
            </w:r>
          </w:p>
        </w:tc>
      </w:tr>
      <w:tr w:rsidR="000F2F0C" w:rsidRPr="009D7BD5" w14:paraId="7BB26B23" w14:textId="77777777" w:rsidTr="000F2F0C">
        <w:tc>
          <w:tcPr>
            <w:tcW w:w="750" w:type="pct"/>
            <w:tcBorders>
              <w:top w:val="single" w:sz="8" w:space="0" w:color="000000"/>
              <w:left w:val="single" w:sz="8" w:space="0" w:color="000000"/>
              <w:bottom w:val="single" w:sz="8" w:space="0" w:color="000000"/>
              <w:right w:val="single" w:sz="8" w:space="0" w:color="000000"/>
            </w:tcBorders>
          </w:tcPr>
          <w:p w14:paraId="3E3B53CB"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3</w:t>
            </w:r>
          </w:p>
        </w:tc>
        <w:tc>
          <w:tcPr>
            <w:tcW w:w="4250" w:type="pct"/>
            <w:tcBorders>
              <w:top w:val="single" w:sz="8" w:space="0" w:color="000000"/>
              <w:left w:val="single" w:sz="8" w:space="0" w:color="000000"/>
              <w:bottom w:val="single" w:sz="8" w:space="0" w:color="000000"/>
              <w:right w:val="single" w:sz="8" w:space="0" w:color="000000"/>
            </w:tcBorders>
          </w:tcPr>
          <w:p w14:paraId="050A6ADE"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Proposal meets the required standard in most material respects but is lacking or inconsistent in others.</w:t>
            </w:r>
          </w:p>
        </w:tc>
      </w:tr>
      <w:tr w:rsidR="000F2F0C" w:rsidRPr="009D7BD5" w14:paraId="44D9B56A" w14:textId="77777777" w:rsidTr="000F2F0C">
        <w:tc>
          <w:tcPr>
            <w:tcW w:w="750" w:type="pct"/>
            <w:tcBorders>
              <w:top w:val="single" w:sz="8" w:space="0" w:color="000000"/>
              <w:left w:val="single" w:sz="8" w:space="0" w:color="000000"/>
              <w:bottom w:val="single" w:sz="8" w:space="0" w:color="000000"/>
              <w:right w:val="single" w:sz="8" w:space="0" w:color="000000"/>
            </w:tcBorders>
          </w:tcPr>
          <w:p w14:paraId="06C5092A"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4</w:t>
            </w:r>
          </w:p>
        </w:tc>
        <w:tc>
          <w:tcPr>
            <w:tcW w:w="4250" w:type="pct"/>
            <w:tcBorders>
              <w:top w:val="single" w:sz="8" w:space="0" w:color="000000"/>
              <w:left w:val="single" w:sz="8" w:space="0" w:color="000000"/>
              <w:bottom w:val="single" w:sz="8" w:space="0" w:color="000000"/>
              <w:right w:val="single" w:sz="8" w:space="0" w:color="000000"/>
            </w:tcBorders>
          </w:tcPr>
          <w:p w14:paraId="4FFD5604"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Proposal meets the required standard in all material respects.</w:t>
            </w:r>
          </w:p>
        </w:tc>
      </w:tr>
      <w:tr w:rsidR="000F2F0C" w:rsidRPr="009D7BD5" w14:paraId="1B268538" w14:textId="77777777" w:rsidTr="000F2F0C">
        <w:tc>
          <w:tcPr>
            <w:tcW w:w="750" w:type="pct"/>
            <w:tcBorders>
              <w:top w:val="single" w:sz="8" w:space="0" w:color="000000"/>
              <w:left w:val="single" w:sz="8" w:space="0" w:color="000000"/>
              <w:bottom w:val="single" w:sz="8" w:space="0" w:color="000000"/>
              <w:right w:val="single" w:sz="8" w:space="0" w:color="000000"/>
            </w:tcBorders>
          </w:tcPr>
          <w:p w14:paraId="6F1174CD"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5</w:t>
            </w:r>
          </w:p>
        </w:tc>
        <w:tc>
          <w:tcPr>
            <w:tcW w:w="4250" w:type="pct"/>
            <w:tcBorders>
              <w:top w:val="single" w:sz="8" w:space="0" w:color="000000"/>
              <w:left w:val="single" w:sz="8" w:space="0" w:color="000000"/>
              <w:bottom w:val="single" w:sz="8" w:space="0" w:color="000000"/>
              <w:right w:val="single" w:sz="8" w:space="0" w:color="000000"/>
            </w:tcBorders>
          </w:tcPr>
          <w:p w14:paraId="0BBADFC0" w14:textId="77777777" w:rsidR="000F2F0C" w:rsidRPr="009D7BD5" w:rsidRDefault="00F33767" w:rsidP="00C83FBA">
            <w:pPr>
              <w:pStyle w:val="Paragraph"/>
              <w:spacing w:before="120" w:after="240" w:line="240" w:lineRule="auto"/>
              <w:jc w:val="left"/>
              <w:rPr>
                <w:rFonts w:ascii="Lato Light" w:hAnsi="Lato Light"/>
                <w:szCs w:val="22"/>
              </w:rPr>
            </w:pPr>
            <w:r w:rsidRPr="009D7BD5">
              <w:rPr>
                <w:rFonts w:ascii="Lato Light" w:hAnsi="Lato Light"/>
                <w:szCs w:val="22"/>
              </w:rPr>
              <w:t>Proposal meets the required standard in all material respects and exceeds some or all of the major requirements.</w:t>
            </w:r>
          </w:p>
        </w:tc>
      </w:tr>
    </w:tbl>
    <w:p w14:paraId="2FD17F39" w14:textId="5E60FEB8" w:rsidR="000F2F0C" w:rsidRPr="009D7BD5" w:rsidRDefault="00DA2035" w:rsidP="00C83FBA">
      <w:pPr>
        <w:pStyle w:val="Parasubclause1"/>
        <w:spacing w:before="120" w:after="240" w:line="240" w:lineRule="auto"/>
        <w:rPr>
          <w:rFonts w:ascii="Lato Light" w:hAnsi="Lato Light"/>
          <w:b/>
          <w:szCs w:val="22"/>
          <w:u w:val="single"/>
        </w:rPr>
      </w:pPr>
      <w:r w:rsidRPr="009D7BD5">
        <w:rPr>
          <w:rFonts w:ascii="Lato Light" w:hAnsi="Lato Light"/>
          <w:b/>
          <w:szCs w:val="22"/>
          <w:u w:val="single"/>
        </w:rPr>
        <w:t>Commercial</w:t>
      </w:r>
      <w:r w:rsidR="00F33767" w:rsidRPr="009D7BD5">
        <w:rPr>
          <w:rFonts w:ascii="Lato Light" w:hAnsi="Lato Light"/>
          <w:b/>
          <w:szCs w:val="22"/>
          <w:u w:val="single"/>
        </w:rPr>
        <w:t xml:space="preserve"> evaluation</w:t>
      </w:r>
    </w:p>
    <w:p w14:paraId="168E9111" w14:textId="2E49424A" w:rsidR="000F2F0C" w:rsidRPr="009D7BD5" w:rsidRDefault="0066086A" w:rsidP="00C83FBA">
      <w:pPr>
        <w:pStyle w:val="Parasubclause1"/>
        <w:spacing w:before="120" w:after="240" w:line="240" w:lineRule="auto"/>
        <w:rPr>
          <w:rFonts w:ascii="Lato Light" w:hAnsi="Lato Light"/>
          <w:szCs w:val="22"/>
        </w:rPr>
      </w:pPr>
      <w:r w:rsidRPr="009D7BD5">
        <w:rPr>
          <w:rFonts w:ascii="Lato Light" w:hAnsi="Lato Light"/>
          <w:szCs w:val="22"/>
        </w:rPr>
        <w:t xml:space="preserve">The lowest priced Tender </w:t>
      </w:r>
      <w:r w:rsidR="006C0A1F" w:rsidRPr="009D7BD5">
        <w:rPr>
          <w:rFonts w:ascii="Lato Light" w:hAnsi="Lato Light"/>
          <w:szCs w:val="22"/>
        </w:rPr>
        <w:t>will be allocated full marks (30%), and the other Tenders will be awarded a proportion of the full marks based on their deviation from the lowest bid as follows:</w:t>
      </w:r>
    </w:p>
    <w:p w14:paraId="27725E27" w14:textId="0885BC01" w:rsidR="006C0A1F" w:rsidRPr="009D7BD5" w:rsidRDefault="006C0A1F" w:rsidP="00C83FBA">
      <w:pPr>
        <w:pStyle w:val="Parasubclause1"/>
        <w:spacing w:before="120" w:after="240" w:line="240" w:lineRule="auto"/>
        <w:rPr>
          <w:rFonts w:ascii="Lato Light" w:hAnsi="Lato Light"/>
          <w:b/>
          <w:bCs/>
          <w:i/>
          <w:iCs/>
          <w:szCs w:val="22"/>
        </w:rPr>
      </w:pPr>
      <w:r w:rsidRPr="009D7BD5">
        <w:rPr>
          <w:rFonts w:ascii="Lato Light" w:hAnsi="Lato Light"/>
          <w:b/>
          <w:bCs/>
          <w:i/>
          <w:iCs/>
          <w:szCs w:val="22"/>
        </w:rPr>
        <w:t>Commercial Score = (Lowest Tenderer Feed) / (Tenderer’s Fee) x 30%</w:t>
      </w:r>
    </w:p>
    <w:p w14:paraId="5146AFCF" w14:textId="6C08AC47" w:rsidR="00EA6442" w:rsidRPr="008C6EF5" w:rsidRDefault="00434561" w:rsidP="00C83FBA">
      <w:pPr>
        <w:pStyle w:val="TitleClause"/>
        <w:spacing w:before="120" w:line="240" w:lineRule="auto"/>
        <w:rPr>
          <w:rFonts w:ascii="Lato Light" w:hAnsi="Lato Light"/>
          <w:caps/>
          <w:szCs w:val="22"/>
        </w:rPr>
      </w:pPr>
      <w:bookmarkStart w:id="36" w:name="_Ref110804988"/>
      <w:bookmarkStart w:id="37" w:name="_Toc111036755"/>
      <w:r w:rsidRPr="008C6EF5">
        <w:rPr>
          <w:rFonts w:ascii="Lato Light" w:hAnsi="Lato Light"/>
          <w:caps/>
          <w:szCs w:val="22"/>
        </w:rPr>
        <w:t>Negotiation</w:t>
      </w:r>
      <w:bookmarkEnd w:id="36"/>
      <w:bookmarkEnd w:id="37"/>
    </w:p>
    <w:p w14:paraId="0A89255E" w14:textId="7275F6E6" w:rsidR="001A0868" w:rsidRPr="001A0868" w:rsidRDefault="004A4872" w:rsidP="001A0868">
      <w:pPr>
        <w:spacing w:before="120" w:after="240" w:line="240" w:lineRule="auto"/>
        <w:rPr>
          <w:rFonts w:ascii="Lato Light" w:hAnsi="Lato Light"/>
        </w:rPr>
      </w:pPr>
      <w:r>
        <w:rPr>
          <w:rFonts w:ascii="Lato Light" w:hAnsi="Lato Light"/>
        </w:rPr>
        <w:t>The following topics will be subject to negotiation</w:t>
      </w:r>
      <w:r w:rsidR="00D05759">
        <w:rPr>
          <w:rFonts w:ascii="Lato Light" w:hAnsi="Lato Light"/>
        </w:rPr>
        <w:t xml:space="preserve">, all or some of which </w:t>
      </w:r>
      <w:r w:rsidR="00195639">
        <w:rPr>
          <w:rFonts w:ascii="Lato Light" w:hAnsi="Lato Light"/>
        </w:rPr>
        <w:t>be used to</w:t>
      </w:r>
      <w:r w:rsidR="00D05759">
        <w:rPr>
          <w:rFonts w:ascii="Lato Light" w:hAnsi="Lato Light"/>
        </w:rPr>
        <w:t xml:space="preserve"> </w:t>
      </w:r>
      <w:r w:rsidR="00195639">
        <w:rPr>
          <w:rFonts w:ascii="Lato Light" w:hAnsi="Lato Light"/>
        </w:rPr>
        <w:t xml:space="preserve">assist London CIV with refining </w:t>
      </w:r>
      <w:r w:rsidR="00204B9F">
        <w:rPr>
          <w:rFonts w:ascii="Lato Light" w:hAnsi="Lato Light"/>
        </w:rPr>
        <w:t>the solution to meet certain</w:t>
      </w:r>
      <w:r w:rsidR="00E4288F">
        <w:rPr>
          <w:rFonts w:ascii="Lato Light" w:hAnsi="Lato Light"/>
        </w:rPr>
        <w:t xml:space="preserve"> </w:t>
      </w:r>
      <w:r w:rsidR="00204B9F">
        <w:rPr>
          <w:rFonts w:ascii="Lato Light" w:hAnsi="Lato Light"/>
        </w:rPr>
        <w:t>Services requirements and commercial model</w:t>
      </w:r>
      <w:r w:rsidR="00905F2C">
        <w:rPr>
          <w:rFonts w:ascii="Lato Light" w:hAnsi="Lato Light"/>
        </w:rPr>
        <w:t>:</w:t>
      </w:r>
    </w:p>
    <w:p w14:paraId="6466E1C4" w14:textId="75DF1EF5" w:rsidR="00D257B5" w:rsidRDefault="00EB7DFD" w:rsidP="00CA472C">
      <w:pPr>
        <w:pStyle w:val="ListParagraph"/>
        <w:numPr>
          <w:ilvl w:val="0"/>
          <w:numId w:val="48"/>
        </w:numPr>
        <w:spacing w:before="120" w:after="240" w:line="240" w:lineRule="auto"/>
        <w:jc w:val="both"/>
        <w:rPr>
          <w:rFonts w:ascii="Lato Light" w:hAnsi="Lato Light"/>
        </w:rPr>
      </w:pPr>
      <w:r>
        <w:rPr>
          <w:rFonts w:ascii="Lato Light" w:hAnsi="Lato Light"/>
        </w:rPr>
        <w:t>Contract term/a</w:t>
      </w:r>
      <w:r w:rsidR="005F36DE" w:rsidRPr="00D257B5">
        <w:rPr>
          <w:rFonts w:ascii="Lato Light" w:hAnsi="Lato Light"/>
        </w:rPr>
        <w:t>lternative commercial models</w:t>
      </w:r>
      <w:r w:rsidR="00835F3C">
        <w:rPr>
          <w:rFonts w:ascii="Lato Light" w:hAnsi="Lato Light"/>
        </w:rPr>
        <w:t>: Tenderers are asked to provide an alternative contract term and commercial model</w:t>
      </w:r>
      <w:r w:rsidR="00CA472C">
        <w:rPr>
          <w:rFonts w:ascii="Lato Light" w:hAnsi="Lato Light"/>
        </w:rPr>
        <w:t xml:space="preserve"> to the</w:t>
      </w:r>
      <w:r w:rsidR="005F564C">
        <w:rPr>
          <w:rFonts w:ascii="Lato Light" w:hAnsi="Lato Light"/>
        </w:rPr>
        <w:t xml:space="preserve"> one outlined in the ITN</w:t>
      </w:r>
      <w:r w:rsidR="00835F3C">
        <w:rPr>
          <w:rFonts w:ascii="Lato Light" w:hAnsi="Lato Light"/>
        </w:rPr>
        <w:t>.</w:t>
      </w:r>
    </w:p>
    <w:p w14:paraId="7C054C9E" w14:textId="56197617" w:rsidR="00D257B5" w:rsidRDefault="00D257B5" w:rsidP="00CA472C">
      <w:pPr>
        <w:pStyle w:val="ListParagraph"/>
        <w:numPr>
          <w:ilvl w:val="0"/>
          <w:numId w:val="48"/>
        </w:numPr>
        <w:spacing w:before="120" w:after="240" w:line="240" w:lineRule="auto"/>
        <w:jc w:val="both"/>
        <w:rPr>
          <w:rFonts w:ascii="Lato Light" w:hAnsi="Lato Light"/>
        </w:rPr>
      </w:pPr>
      <w:r w:rsidRPr="00D257B5">
        <w:rPr>
          <w:rFonts w:ascii="Lato Light" w:hAnsi="Lato Light"/>
        </w:rPr>
        <w:t xml:space="preserve">Additional </w:t>
      </w:r>
      <w:r w:rsidR="00F5233F">
        <w:rPr>
          <w:rFonts w:ascii="Lato Light" w:hAnsi="Lato Light"/>
        </w:rPr>
        <w:t xml:space="preserve">direct </w:t>
      </w:r>
      <w:r w:rsidRPr="00D257B5">
        <w:rPr>
          <w:rFonts w:ascii="Lato Light" w:hAnsi="Lato Light"/>
        </w:rPr>
        <w:t xml:space="preserve">property </w:t>
      </w:r>
      <w:r w:rsidR="00231B83">
        <w:rPr>
          <w:rFonts w:ascii="Lato Light" w:hAnsi="Lato Light"/>
        </w:rPr>
        <w:t>risk measures</w:t>
      </w:r>
      <w:r w:rsidR="00835F3C">
        <w:rPr>
          <w:rFonts w:ascii="Lato Light" w:hAnsi="Lato Light"/>
        </w:rPr>
        <w:t xml:space="preserve">: Tenderers are asked to </w:t>
      </w:r>
      <w:r w:rsidR="00FB310D">
        <w:rPr>
          <w:rFonts w:ascii="Lato Light" w:hAnsi="Lato Light"/>
        </w:rPr>
        <w:t>provide a list of all direct property risk measures</w:t>
      </w:r>
      <w:r w:rsidR="00F53986">
        <w:rPr>
          <w:rFonts w:ascii="Lato Light" w:hAnsi="Lato Light"/>
        </w:rPr>
        <w:t xml:space="preserve"> for London LCIV to consider</w:t>
      </w:r>
      <w:r w:rsidR="006621E8">
        <w:rPr>
          <w:rFonts w:ascii="Lato Light" w:hAnsi="Lato Light"/>
        </w:rPr>
        <w:t xml:space="preserve"> (in addition to those listed in Annex 1 – Specification)</w:t>
      </w:r>
      <w:r w:rsidR="00F53986">
        <w:rPr>
          <w:rFonts w:ascii="Lato Light" w:hAnsi="Lato Light"/>
        </w:rPr>
        <w:t>.</w:t>
      </w:r>
    </w:p>
    <w:p w14:paraId="00CF154D" w14:textId="0C1D0C73" w:rsidR="00240A57" w:rsidRDefault="00240A57" w:rsidP="00CA472C">
      <w:pPr>
        <w:pStyle w:val="ListParagraph"/>
        <w:numPr>
          <w:ilvl w:val="0"/>
          <w:numId w:val="48"/>
        </w:numPr>
        <w:spacing w:before="120" w:after="240" w:line="240" w:lineRule="auto"/>
        <w:jc w:val="both"/>
        <w:rPr>
          <w:rFonts w:ascii="Lato Light" w:hAnsi="Lato Light"/>
        </w:rPr>
      </w:pPr>
      <w:r>
        <w:rPr>
          <w:rFonts w:ascii="Lato Light" w:hAnsi="Lato Light"/>
        </w:rPr>
        <w:lastRenderedPageBreak/>
        <w:t>Key Performance Indicators</w:t>
      </w:r>
      <w:r w:rsidR="00F53986">
        <w:rPr>
          <w:rFonts w:ascii="Lato Light" w:hAnsi="Lato Light"/>
        </w:rPr>
        <w:t xml:space="preserve">: Tenderers are asked to provide </w:t>
      </w:r>
      <w:r w:rsidR="00A25C29">
        <w:rPr>
          <w:rFonts w:ascii="Lato Light" w:hAnsi="Lato Light"/>
        </w:rPr>
        <w:t>an example</w:t>
      </w:r>
      <w:r w:rsidR="00F53986">
        <w:rPr>
          <w:rFonts w:ascii="Lato Light" w:hAnsi="Lato Light"/>
        </w:rPr>
        <w:t xml:space="preserve"> of </w:t>
      </w:r>
      <w:r w:rsidR="00294966">
        <w:rPr>
          <w:rFonts w:ascii="Lato Light" w:hAnsi="Lato Light"/>
        </w:rPr>
        <w:t>a</w:t>
      </w:r>
      <w:r w:rsidR="00F53986">
        <w:rPr>
          <w:rFonts w:ascii="Lato Light" w:hAnsi="Lato Light"/>
        </w:rPr>
        <w:t xml:space="preserve"> model </w:t>
      </w:r>
      <w:r w:rsidR="00A25C29">
        <w:rPr>
          <w:rFonts w:ascii="Lato Light" w:hAnsi="Lato Light"/>
        </w:rPr>
        <w:t>SLA/KPI schedule</w:t>
      </w:r>
      <w:r w:rsidR="00294966">
        <w:rPr>
          <w:rFonts w:ascii="Lato Light" w:hAnsi="Lato Light"/>
        </w:rPr>
        <w:t xml:space="preserve"> that is suitable for the Contract</w:t>
      </w:r>
      <w:r w:rsidR="006621E8">
        <w:rPr>
          <w:rFonts w:ascii="Lato Light" w:hAnsi="Lato Light"/>
        </w:rPr>
        <w:t xml:space="preserve">, with a focus on standard client reports (in addition to those listed in Annex 1 – Specification). </w:t>
      </w:r>
    </w:p>
    <w:p w14:paraId="27BF7CFF" w14:textId="61A37A5C" w:rsidR="00B63EB8" w:rsidRDefault="005F36DE" w:rsidP="00CA472C">
      <w:pPr>
        <w:pStyle w:val="ListParagraph"/>
        <w:numPr>
          <w:ilvl w:val="0"/>
          <w:numId w:val="48"/>
        </w:numPr>
        <w:spacing w:before="120" w:after="240" w:line="240" w:lineRule="auto"/>
        <w:jc w:val="both"/>
        <w:rPr>
          <w:rFonts w:ascii="Lato Light" w:hAnsi="Lato Light"/>
        </w:rPr>
      </w:pPr>
      <w:r>
        <w:rPr>
          <w:rFonts w:ascii="Lato Light" w:hAnsi="Lato Light"/>
        </w:rPr>
        <w:t>Manager selection</w:t>
      </w:r>
      <w:r w:rsidR="00A25C29">
        <w:rPr>
          <w:rFonts w:ascii="Lato Light" w:hAnsi="Lato Light"/>
        </w:rPr>
        <w:t xml:space="preserve">: </w:t>
      </w:r>
      <w:r w:rsidR="00294966">
        <w:rPr>
          <w:rFonts w:ascii="Lato Light" w:hAnsi="Lato Light"/>
        </w:rPr>
        <w:t>Tenderers are asked to provide a p</w:t>
      </w:r>
      <w:r w:rsidR="00AB1E88">
        <w:rPr>
          <w:rFonts w:ascii="Lato Light" w:hAnsi="Lato Light"/>
        </w:rPr>
        <w:t>roposal for London CIV to consider around manager selection.</w:t>
      </w:r>
    </w:p>
    <w:p w14:paraId="0C2BE577" w14:textId="33915C48" w:rsidR="00434561" w:rsidRPr="00437609" w:rsidRDefault="008C6EF5" w:rsidP="00CA472C">
      <w:pPr>
        <w:pStyle w:val="ListParagraph"/>
        <w:numPr>
          <w:ilvl w:val="0"/>
          <w:numId w:val="48"/>
        </w:numPr>
        <w:spacing w:before="120" w:after="240" w:line="240" w:lineRule="auto"/>
        <w:jc w:val="both"/>
        <w:rPr>
          <w:rFonts w:ascii="Lato Light" w:hAnsi="Lato Light"/>
        </w:rPr>
      </w:pPr>
      <w:r>
        <w:rPr>
          <w:rFonts w:ascii="Lato Light" w:hAnsi="Lato Light"/>
        </w:rPr>
        <w:t>Value adds</w:t>
      </w:r>
      <w:r w:rsidR="00CA472C">
        <w:rPr>
          <w:rFonts w:ascii="Lato Light" w:hAnsi="Lato Light"/>
        </w:rPr>
        <w:t>.</w:t>
      </w:r>
      <w:r w:rsidR="00434561" w:rsidRPr="00437609">
        <w:rPr>
          <w:rFonts w:ascii="Lato Light" w:hAnsi="Lato Light"/>
        </w:rPr>
        <w:br w:type="page"/>
      </w:r>
    </w:p>
    <w:p w14:paraId="680E57E3" w14:textId="77777777" w:rsidR="00434561" w:rsidRPr="009D7BD5" w:rsidRDefault="00434561" w:rsidP="00C83FBA">
      <w:pPr>
        <w:spacing w:before="120" w:after="240" w:line="240" w:lineRule="auto"/>
        <w:rPr>
          <w:rFonts w:ascii="Lato Light" w:hAnsi="Lato Light"/>
        </w:rPr>
      </w:pPr>
    </w:p>
    <w:p w14:paraId="7CA471CC" w14:textId="6381CB45" w:rsidR="00C140BD" w:rsidRPr="009D7BD5" w:rsidRDefault="00FB5A92" w:rsidP="00C83FBA">
      <w:pPr>
        <w:pStyle w:val="Schedule"/>
        <w:spacing w:before="120" w:line="240" w:lineRule="auto"/>
        <w:rPr>
          <w:sz w:val="22"/>
        </w:rPr>
      </w:pPr>
      <w:bookmarkStart w:id="38" w:name="_Toc111036756"/>
      <w:r>
        <w:rPr>
          <w:sz w:val="22"/>
        </w:rPr>
        <w:t>Annex</w:t>
      </w:r>
      <w:r w:rsidR="001470D7" w:rsidRPr="009D7BD5">
        <w:rPr>
          <w:sz w:val="22"/>
        </w:rPr>
        <w:t xml:space="preserve"> 1 – Specification</w:t>
      </w:r>
      <w:bookmarkEnd w:id="38"/>
    </w:p>
    <w:p w14:paraId="5E71C7C4" w14:textId="1AE72D61" w:rsidR="006B1727" w:rsidRDefault="005B3E35" w:rsidP="0030101D">
      <w:pPr>
        <w:pStyle w:val="ListParagraph"/>
        <w:numPr>
          <w:ilvl w:val="0"/>
          <w:numId w:val="28"/>
        </w:numPr>
        <w:spacing w:before="120" w:after="240" w:line="240" w:lineRule="auto"/>
        <w:jc w:val="both"/>
        <w:textAlignment w:val="baseline"/>
        <w:rPr>
          <w:rFonts w:ascii="Lato Light" w:hAnsi="Lato Light" w:cs="Calibri"/>
          <w:b/>
          <w:bCs/>
          <w:shd w:val="clear" w:color="auto" w:fill="FFFFFF"/>
        </w:rPr>
      </w:pPr>
      <w:r>
        <w:rPr>
          <w:rFonts w:ascii="Lato Light" w:hAnsi="Lato Light" w:cs="Calibri"/>
          <w:b/>
          <w:bCs/>
          <w:shd w:val="clear" w:color="auto" w:fill="FFFFFF"/>
        </w:rPr>
        <w:t>Service</w:t>
      </w:r>
      <w:r w:rsidR="0022346D" w:rsidRPr="009D7BD5">
        <w:rPr>
          <w:rFonts w:ascii="Lato Light" w:hAnsi="Lato Light" w:cs="Calibri"/>
          <w:b/>
          <w:bCs/>
          <w:shd w:val="clear" w:color="auto" w:fill="FFFFFF"/>
        </w:rPr>
        <w:t xml:space="preserve"> Outputs</w:t>
      </w:r>
    </w:p>
    <w:p w14:paraId="62B25944" w14:textId="77777777" w:rsidR="0030101D" w:rsidRPr="009D7BD5" w:rsidRDefault="0030101D" w:rsidP="0030101D">
      <w:pPr>
        <w:pStyle w:val="ListParagraph"/>
        <w:spacing w:before="120" w:after="240" w:line="240" w:lineRule="auto"/>
        <w:ind w:left="396"/>
        <w:jc w:val="both"/>
        <w:textAlignment w:val="baseline"/>
        <w:rPr>
          <w:rFonts w:ascii="Lato Light" w:hAnsi="Lato Light" w:cs="Calibri"/>
          <w:b/>
          <w:bCs/>
          <w:shd w:val="clear" w:color="auto" w:fill="FFFFFF"/>
        </w:rPr>
      </w:pPr>
    </w:p>
    <w:p w14:paraId="734D3D39" w14:textId="10C486BD" w:rsidR="009060BE" w:rsidRPr="009D7BD5" w:rsidRDefault="00C140BD" w:rsidP="0030101D">
      <w:pPr>
        <w:pStyle w:val="ListParagraph"/>
        <w:numPr>
          <w:ilvl w:val="1"/>
          <w:numId w:val="28"/>
        </w:numPr>
        <w:spacing w:before="120" w:after="240" w:line="240" w:lineRule="auto"/>
        <w:jc w:val="both"/>
        <w:textAlignment w:val="baseline"/>
        <w:rPr>
          <w:rFonts w:ascii="Lato Light" w:hAnsi="Lato Light" w:cs="Calibri"/>
          <w:shd w:val="clear" w:color="auto" w:fill="FFFFFF"/>
        </w:rPr>
      </w:pPr>
      <w:bookmarkStart w:id="39" w:name="_Ref111034907"/>
      <w:r w:rsidRPr="009D7BD5">
        <w:rPr>
          <w:rFonts w:ascii="Lato Light" w:hAnsi="Lato Light"/>
        </w:rPr>
        <w:t>London CIV is looking to procure a</w:t>
      </w:r>
      <w:r w:rsidR="009A6DEF" w:rsidRPr="009D7BD5">
        <w:rPr>
          <w:rFonts w:ascii="Lato Light" w:hAnsi="Lato Light"/>
        </w:rPr>
        <w:t xml:space="preserve"> fully outsourced</w:t>
      </w:r>
      <w:r w:rsidRPr="009D7BD5">
        <w:rPr>
          <w:rFonts w:ascii="Lato Light" w:hAnsi="Lato Light"/>
        </w:rPr>
        <w:t xml:space="preserve"> SaaS solution that provides risk and performance data analytics and reporting in respect of the authority’s</w:t>
      </w:r>
      <w:r w:rsidRPr="009D7BD5">
        <w:rPr>
          <w:rStyle w:val="normaltextrun"/>
          <w:rFonts w:ascii="Lato Light" w:hAnsi="Lato Light" w:cs="Calibri"/>
          <w:shd w:val="clear" w:color="auto" w:fill="FFFFFF"/>
        </w:rPr>
        <w:t xml:space="preserve"> </w:t>
      </w:r>
      <w:r w:rsidRPr="009D7BD5">
        <w:rPr>
          <w:rStyle w:val="normaltextrun"/>
          <w:rFonts w:ascii="Lato Light" w:hAnsi="Lato Light" w:cs="Calibri"/>
          <w:color w:val="000000"/>
          <w:bdr w:val="none" w:sz="0" w:space="0" w:color="auto" w:frame="1"/>
        </w:rPr>
        <w:t xml:space="preserve">five private markets funds </w:t>
      </w:r>
      <w:r w:rsidR="00421C15" w:rsidRPr="009D7BD5">
        <w:rPr>
          <w:rStyle w:val="normaltextrun"/>
          <w:rFonts w:ascii="Lato Light" w:hAnsi="Lato Light" w:cs="Calibri"/>
          <w:color w:val="000000"/>
          <w:bdr w:val="none" w:sz="0" w:space="0" w:color="auto" w:frame="1"/>
        </w:rPr>
        <w:t xml:space="preserve">as detailed in </w:t>
      </w:r>
      <w:r w:rsidR="00E167FF" w:rsidRPr="009D7BD5">
        <w:rPr>
          <w:rStyle w:val="normaltextrun"/>
          <w:rFonts w:ascii="Lato Light" w:hAnsi="Lato Light" w:cs="Calibri"/>
          <w:color w:val="000000"/>
          <w:bdr w:val="none" w:sz="0" w:space="0" w:color="auto" w:frame="1"/>
        </w:rPr>
        <w:t>in the table below</w:t>
      </w:r>
      <w:r w:rsidR="009060BE" w:rsidRPr="009D7BD5">
        <w:rPr>
          <w:rStyle w:val="normaltextrun"/>
          <w:rFonts w:ascii="Lato Light" w:hAnsi="Lato Light" w:cs="Calibri"/>
          <w:color w:val="000000"/>
          <w:bdr w:val="none" w:sz="0" w:space="0" w:color="auto" w:frame="1"/>
        </w:rPr>
        <w:t>.</w:t>
      </w:r>
      <w:r w:rsidR="00915D20" w:rsidRPr="009D7BD5">
        <w:rPr>
          <w:rStyle w:val="normaltextrun"/>
          <w:rFonts w:ascii="Lato Light" w:hAnsi="Lato Light" w:cs="Calibri"/>
          <w:color w:val="000000"/>
          <w:bdr w:val="none" w:sz="0" w:space="0" w:color="auto" w:frame="1"/>
        </w:rPr>
        <w:t xml:space="preserve"> </w:t>
      </w:r>
      <w:bookmarkStart w:id="40" w:name="_Ref109653014"/>
      <w:r w:rsidR="00915D20" w:rsidRPr="009D7BD5">
        <w:rPr>
          <w:rFonts w:ascii="Lato Light" w:eastAsia="Times New Roman" w:hAnsi="Lato Light" w:cs="Calibri"/>
          <w:lang w:eastAsia="en-GB"/>
        </w:rPr>
        <w:t>It is anticipated that further private markets asset classes will be added in the future, including property and private equity</w:t>
      </w:r>
      <w:bookmarkEnd w:id="40"/>
      <w:r w:rsidR="00915D20" w:rsidRPr="009D7BD5">
        <w:rPr>
          <w:rFonts w:ascii="Lato Light" w:eastAsia="Times New Roman" w:hAnsi="Lato Light" w:cs="Calibri"/>
          <w:lang w:eastAsia="en-GB"/>
        </w:rPr>
        <w:t>.</w:t>
      </w:r>
      <w:bookmarkEnd w:id="39"/>
    </w:p>
    <w:tbl>
      <w:tblPr>
        <w:tblW w:w="93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3402"/>
        <w:gridCol w:w="1843"/>
        <w:gridCol w:w="1701"/>
      </w:tblGrid>
      <w:tr w:rsidR="00E167FF" w:rsidRPr="009D7BD5" w14:paraId="57DB2177" w14:textId="77777777" w:rsidTr="00E0640E">
        <w:trPr>
          <w:trHeight w:val="315"/>
        </w:trPr>
        <w:tc>
          <w:tcPr>
            <w:tcW w:w="2410" w:type="dxa"/>
            <w:tcBorders>
              <w:top w:val="single" w:sz="6" w:space="0" w:color="1E1E1E"/>
              <w:left w:val="single" w:sz="6" w:space="0" w:color="CCCCCC"/>
              <w:bottom w:val="single" w:sz="6" w:space="0" w:color="1E1E1E"/>
              <w:right w:val="single" w:sz="6" w:space="0" w:color="1E1E1E"/>
            </w:tcBorders>
            <w:shd w:val="clear" w:color="auto" w:fill="D0CECE" w:themeFill="background2" w:themeFillShade="E6"/>
            <w:hideMark/>
          </w:tcPr>
          <w:p w14:paraId="5025860F" w14:textId="32B99222" w:rsidR="00E167FF" w:rsidRPr="009D7BD5" w:rsidRDefault="00E167FF" w:rsidP="0030101D">
            <w:pPr>
              <w:spacing w:before="120" w:after="240" w:line="240" w:lineRule="auto"/>
              <w:jc w:val="center"/>
              <w:textAlignment w:val="baseline"/>
              <w:rPr>
                <w:rFonts w:ascii="Lato Light" w:eastAsia="Times New Roman" w:hAnsi="Lato Light" w:cs="Segoe UI"/>
                <w:lang w:eastAsia="en-GB"/>
              </w:rPr>
            </w:pPr>
            <w:r w:rsidRPr="009D7BD5">
              <w:rPr>
                <w:rFonts w:ascii="Lato Light" w:eastAsia="Times New Roman" w:hAnsi="Lato Light" w:cs="Calibri"/>
                <w:b/>
                <w:bCs/>
                <w:lang w:eastAsia="en-GB"/>
              </w:rPr>
              <w:t>L</w:t>
            </w:r>
            <w:r w:rsidRPr="009D7BD5">
              <w:rPr>
                <w:rFonts w:ascii="Lato Light" w:eastAsia="Times New Roman" w:hAnsi="Lato Light"/>
                <w:b/>
                <w:bCs/>
                <w:lang w:eastAsia="en-GB"/>
              </w:rPr>
              <w:t xml:space="preserve">ondon CIV </w:t>
            </w:r>
            <w:r w:rsidRPr="009D7BD5">
              <w:rPr>
                <w:rFonts w:ascii="Lato Light" w:eastAsia="Times New Roman" w:hAnsi="Lato Light" w:cs="Calibri"/>
                <w:b/>
                <w:bCs/>
                <w:lang w:eastAsia="en-GB"/>
              </w:rPr>
              <w:t>Fund</w:t>
            </w:r>
          </w:p>
        </w:tc>
        <w:tc>
          <w:tcPr>
            <w:tcW w:w="3402" w:type="dxa"/>
            <w:tcBorders>
              <w:top w:val="single" w:sz="6" w:space="0" w:color="1E1E1E"/>
              <w:left w:val="single" w:sz="6" w:space="0" w:color="CCCCCC"/>
              <w:bottom w:val="single" w:sz="6" w:space="0" w:color="1E1E1E"/>
              <w:right w:val="single" w:sz="6" w:space="0" w:color="1E1E1E"/>
            </w:tcBorders>
            <w:shd w:val="clear" w:color="auto" w:fill="D0CECE" w:themeFill="background2" w:themeFillShade="E6"/>
            <w:hideMark/>
          </w:tcPr>
          <w:p w14:paraId="3C2C9AA9" w14:textId="77777777" w:rsidR="00E167FF" w:rsidRPr="009D7BD5" w:rsidRDefault="00E167FF" w:rsidP="0030101D">
            <w:pPr>
              <w:spacing w:before="120" w:after="240" w:line="240" w:lineRule="auto"/>
              <w:ind w:left="140"/>
              <w:jc w:val="center"/>
              <w:textAlignment w:val="baseline"/>
              <w:rPr>
                <w:rFonts w:ascii="Lato Light" w:eastAsia="Times New Roman" w:hAnsi="Lato Light" w:cs="Calibri"/>
                <w:b/>
                <w:bCs/>
                <w:lang w:eastAsia="en-GB"/>
              </w:rPr>
            </w:pPr>
            <w:r w:rsidRPr="009D7BD5">
              <w:rPr>
                <w:rFonts w:ascii="Lato Light" w:eastAsia="Times New Roman" w:hAnsi="Lato Light" w:cs="Calibri"/>
                <w:b/>
                <w:bCs/>
                <w:lang w:eastAsia="en-GB"/>
              </w:rPr>
              <w:t xml:space="preserve">Approximate Asset Allocation </w:t>
            </w:r>
          </w:p>
          <w:p w14:paraId="4A94C7D0" w14:textId="46441028" w:rsidR="00E167FF" w:rsidRPr="009D7BD5" w:rsidRDefault="00E167FF" w:rsidP="0030101D">
            <w:pPr>
              <w:spacing w:before="120" w:after="240" w:line="240" w:lineRule="auto"/>
              <w:ind w:left="140"/>
              <w:jc w:val="center"/>
              <w:textAlignment w:val="baseline"/>
              <w:rPr>
                <w:rFonts w:ascii="Lato Light" w:eastAsia="Times New Roman" w:hAnsi="Lato Light" w:cs="Segoe UI"/>
                <w:lang w:eastAsia="en-GB"/>
              </w:rPr>
            </w:pPr>
            <w:r w:rsidRPr="009D7BD5">
              <w:rPr>
                <w:rFonts w:ascii="Lato Light" w:eastAsia="Times New Roman" w:hAnsi="Lato Light" w:cs="Calibri"/>
                <w:b/>
                <w:bCs/>
                <w:lang w:eastAsia="en-GB"/>
              </w:rPr>
              <w:t>(</w:t>
            </w:r>
            <w:proofErr w:type="gramStart"/>
            <w:r w:rsidRPr="009D7BD5">
              <w:rPr>
                <w:rFonts w:ascii="Lato Light" w:eastAsia="Times New Roman" w:hAnsi="Lato Light" w:cs="Calibri"/>
                <w:b/>
                <w:bCs/>
                <w:lang w:eastAsia="en-GB"/>
              </w:rPr>
              <w:t>by</w:t>
            </w:r>
            <w:proofErr w:type="gramEnd"/>
            <w:r w:rsidRPr="009D7BD5">
              <w:rPr>
                <w:rFonts w:ascii="Lato Light" w:eastAsia="Times New Roman" w:hAnsi="Lato Light" w:cs="Calibri"/>
                <w:b/>
                <w:bCs/>
                <w:lang w:eastAsia="en-GB"/>
              </w:rPr>
              <w:t xml:space="preserve"> type and %)</w:t>
            </w:r>
          </w:p>
        </w:tc>
        <w:tc>
          <w:tcPr>
            <w:tcW w:w="1843" w:type="dxa"/>
            <w:tcBorders>
              <w:top w:val="single" w:sz="6" w:space="0" w:color="1E1E1E"/>
              <w:left w:val="single" w:sz="6" w:space="0" w:color="CCCCCC"/>
              <w:bottom w:val="single" w:sz="6" w:space="0" w:color="1E1E1E"/>
              <w:right w:val="single" w:sz="6" w:space="0" w:color="1E1E1E"/>
            </w:tcBorders>
            <w:shd w:val="clear" w:color="auto" w:fill="D0CECE" w:themeFill="background2" w:themeFillShade="E6"/>
            <w:hideMark/>
          </w:tcPr>
          <w:p w14:paraId="48C252A6" w14:textId="77777777" w:rsidR="00E167FF" w:rsidRPr="009D7BD5" w:rsidRDefault="00E167FF" w:rsidP="0030101D">
            <w:pPr>
              <w:spacing w:before="120" w:after="240" w:line="240" w:lineRule="auto"/>
              <w:jc w:val="center"/>
              <w:textAlignment w:val="baseline"/>
              <w:rPr>
                <w:rFonts w:ascii="Lato Light" w:eastAsia="Times New Roman" w:hAnsi="Lato Light" w:cs="Segoe UI"/>
                <w:lang w:eastAsia="en-GB"/>
              </w:rPr>
            </w:pPr>
            <w:r w:rsidRPr="009D7BD5">
              <w:rPr>
                <w:rFonts w:ascii="Lato Light" w:eastAsia="Times New Roman" w:hAnsi="Lato Light" w:cs="Calibri"/>
                <w:b/>
                <w:bCs/>
                <w:lang w:eastAsia="en-GB"/>
              </w:rPr>
              <w:t>AUM (m)</w:t>
            </w:r>
          </w:p>
        </w:tc>
        <w:tc>
          <w:tcPr>
            <w:tcW w:w="1701" w:type="dxa"/>
            <w:tcBorders>
              <w:top w:val="single" w:sz="6" w:space="0" w:color="1E1E1E"/>
              <w:left w:val="single" w:sz="6" w:space="0" w:color="CCCCCC"/>
              <w:bottom w:val="single" w:sz="6" w:space="0" w:color="1E1E1E"/>
              <w:right w:val="single" w:sz="6" w:space="0" w:color="1E1E1E"/>
            </w:tcBorders>
            <w:shd w:val="clear" w:color="auto" w:fill="D0CECE" w:themeFill="background2" w:themeFillShade="E6"/>
            <w:hideMark/>
          </w:tcPr>
          <w:p w14:paraId="61E98D35" w14:textId="77777777" w:rsidR="00E167FF" w:rsidRPr="009D7BD5" w:rsidRDefault="00E167FF" w:rsidP="0030101D">
            <w:pPr>
              <w:spacing w:before="120" w:after="240" w:line="240" w:lineRule="auto"/>
              <w:jc w:val="center"/>
              <w:textAlignment w:val="baseline"/>
              <w:rPr>
                <w:rFonts w:ascii="Lato Light" w:eastAsia="Times New Roman" w:hAnsi="Lato Light" w:cs="Segoe UI"/>
                <w:lang w:eastAsia="en-GB"/>
              </w:rPr>
            </w:pPr>
            <w:r w:rsidRPr="009D7BD5">
              <w:rPr>
                <w:rFonts w:ascii="Lato Light" w:eastAsia="Times New Roman" w:hAnsi="Lato Light" w:cs="Calibri"/>
                <w:b/>
                <w:bCs/>
                <w:lang w:eastAsia="en-GB"/>
              </w:rPr>
              <w:t>Manager</w:t>
            </w:r>
          </w:p>
        </w:tc>
      </w:tr>
      <w:tr w:rsidR="00E167FF" w:rsidRPr="009D7BD5" w14:paraId="6BC82B49" w14:textId="77777777" w:rsidTr="00E0640E">
        <w:trPr>
          <w:trHeight w:val="315"/>
        </w:trPr>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9FABB3" w14:textId="77777777" w:rsidR="00E167FF" w:rsidRPr="009D7BD5" w:rsidRDefault="00E167FF"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Inflation Plus </w:t>
            </w:r>
          </w:p>
          <w:p w14:paraId="648AA0DB" w14:textId="77777777" w:rsidR="00E167FF" w:rsidRPr="009D7BD5" w:rsidRDefault="00E167FF"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(Investing stage)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49DF8E" w14:textId="77777777" w:rsidR="00E167FF" w:rsidRPr="009D7BD5" w:rsidRDefault="00E167FF" w:rsidP="0030101D">
            <w:pPr>
              <w:spacing w:before="120" w:after="240" w:line="240" w:lineRule="auto"/>
              <w:ind w:left="140"/>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Current model portfolio: Long Lease Property (65%), Income Strips (20%), Ground Rents (5%), Infrastructure Leases (10%)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1216EF" w14:textId="77777777" w:rsidR="00E167FF" w:rsidRPr="009D7BD5" w:rsidRDefault="00E167FF" w:rsidP="0030101D">
            <w:pPr>
              <w:spacing w:before="120" w:after="240" w:line="240" w:lineRule="auto"/>
              <w:jc w:val="right"/>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£202/83% invested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06D28C" w14:textId="77777777" w:rsidR="00E167FF" w:rsidRPr="009D7BD5" w:rsidRDefault="00E167FF" w:rsidP="0030101D">
            <w:pPr>
              <w:spacing w:before="120" w:after="240" w:line="240" w:lineRule="auto"/>
              <w:jc w:val="right"/>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Aviva </w:t>
            </w:r>
          </w:p>
        </w:tc>
      </w:tr>
      <w:tr w:rsidR="00E167FF" w:rsidRPr="009D7BD5" w14:paraId="64D3A72B" w14:textId="77777777" w:rsidTr="00E0640E">
        <w:trPr>
          <w:trHeight w:val="315"/>
        </w:trPr>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3174F8" w14:textId="77777777" w:rsidR="00E167FF" w:rsidRPr="009D7BD5" w:rsidRDefault="00E167FF"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The London Fund (Investing stage)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614C32" w14:textId="77777777" w:rsidR="00E167FF" w:rsidRPr="009D7BD5" w:rsidRDefault="00E167FF" w:rsidP="0030101D">
            <w:pPr>
              <w:spacing w:before="120" w:after="240" w:line="240" w:lineRule="auto"/>
              <w:ind w:left="140"/>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Fund of funds one.  Model Portfolio 40% Property, 40% Infrastructure, 20% private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B50EFB" w14:textId="77777777" w:rsidR="00E167FF" w:rsidRPr="009D7BD5" w:rsidRDefault="00E167FF" w:rsidP="0030101D">
            <w:pPr>
              <w:spacing w:before="120" w:after="240" w:line="240" w:lineRule="auto"/>
              <w:jc w:val="right"/>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£195/12% invested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0C6D8D" w14:textId="77777777" w:rsidR="00E167FF" w:rsidRPr="009D7BD5" w:rsidRDefault="00E167FF" w:rsidP="0030101D">
            <w:pPr>
              <w:spacing w:before="120" w:after="240" w:line="240" w:lineRule="auto"/>
              <w:jc w:val="right"/>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LPPI </w:t>
            </w:r>
          </w:p>
        </w:tc>
      </w:tr>
      <w:tr w:rsidR="00E167FF" w:rsidRPr="009D7BD5" w14:paraId="32C4E532" w14:textId="77777777" w:rsidTr="00E0640E">
        <w:trPr>
          <w:trHeight w:val="315"/>
        </w:trPr>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C0FA82" w14:textId="77777777" w:rsidR="00E167FF" w:rsidRPr="009D7BD5" w:rsidRDefault="00E167FF"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Infrastructure  </w:t>
            </w:r>
          </w:p>
          <w:p w14:paraId="5457178E" w14:textId="77777777" w:rsidR="00E167FF" w:rsidRPr="009D7BD5" w:rsidRDefault="00E167FF"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(Investing stage)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2F839F" w14:textId="77777777" w:rsidR="00E167FF" w:rsidRPr="009D7BD5" w:rsidRDefault="00E167FF" w:rsidP="0030101D">
            <w:pPr>
              <w:spacing w:before="120" w:after="240" w:line="240" w:lineRule="auto"/>
              <w:ind w:left="140"/>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Fund of funds seven funds. Brownfield and Greenfield diversified Infrastructure investments global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D926DB" w14:textId="77777777" w:rsidR="00E167FF" w:rsidRPr="009D7BD5" w:rsidRDefault="00E167FF" w:rsidP="0030101D">
            <w:pPr>
              <w:spacing w:before="120" w:after="240" w:line="240" w:lineRule="auto"/>
              <w:jc w:val="right"/>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£399/38% invested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B46CF5" w14:textId="77777777" w:rsidR="00E167FF" w:rsidRPr="009D7BD5" w:rsidRDefault="00E167FF" w:rsidP="0030101D">
            <w:pPr>
              <w:spacing w:before="120" w:after="240" w:line="240" w:lineRule="auto"/>
              <w:jc w:val="right"/>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 xml:space="preserve">Macquarie, Arcus, </w:t>
            </w:r>
            <w:proofErr w:type="spellStart"/>
            <w:r w:rsidRPr="009D7BD5">
              <w:rPr>
                <w:rFonts w:ascii="Lato Light" w:eastAsia="Times New Roman" w:hAnsi="Lato Light" w:cs="Calibri"/>
                <w:color w:val="1E1E1E"/>
                <w:lang w:eastAsia="en-GB"/>
              </w:rPr>
              <w:t>Equitix</w:t>
            </w:r>
            <w:proofErr w:type="spellEnd"/>
            <w:r w:rsidRPr="009D7BD5">
              <w:rPr>
                <w:rFonts w:ascii="Lato Light" w:eastAsia="Times New Roman" w:hAnsi="Lato Light" w:cs="Calibri"/>
                <w:color w:val="1E1E1E"/>
                <w:lang w:eastAsia="en-GB"/>
              </w:rPr>
              <w:t xml:space="preserve">, Basalt, First </w:t>
            </w:r>
            <w:proofErr w:type="spellStart"/>
            <w:r w:rsidRPr="009D7BD5">
              <w:rPr>
                <w:rFonts w:ascii="Lato Light" w:eastAsia="Times New Roman" w:hAnsi="Lato Light" w:cs="Calibri"/>
                <w:color w:val="1E1E1E"/>
                <w:lang w:eastAsia="en-GB"/>
              </w:rPr>
              <w:t>Sentier</w:t>
            </w:r>
            <w:proofErr w:type="spellEnd"/>
            <w:r w:rsidRPr="009D7BD5">
              <w:rPr>
                <w:rFonts w:ascii="Lato Light" w:eastAsia="Times New Roman" w:hAnsi="Lato Light" w:cs="Calibri"/>
                <w:color w:val="1E1E1E"/>
                <w:lang w:eastAsia="en-GB"/>
              </w:rPr>
              <w:t>, Capital Dynamics, Brookfield </w:t>
            </w:r>
          </w:p>
        </w:tc>
      </w:tr>
      <w:tr w:rsidR="00E167FF" w:rsidRPr="009D7BD5" w14:paraId="609F2991" w14:textId="77777777" w:rsidTr="00E0640E">
        <w:trPr>
          <w:trHeight w:val="315"/>
        </w:trPr>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99821C" w14:textId="77777777" w:rsidR="00E167FF" w:rsidRPr="009D7BD5" w:rsidRDefault="00E167FF"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Renewable Infrastructure (Investing stage)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2148F0" w14:textId="77777777" w:rsidR="00E167FF" w:rsidRPr="009D7BD5" w:rsidRDefault="00E167FF" w:rsidP="0030101D">
            <w:pPr>
              <w:spacing w:before="120" w:after="240" w:line="240" w:lineRule="auto"/>
              <w:ind w:left="140"/>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Fund of funds five funds. Renewable investments global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F7CDB8" w14:textId="77777777" w:rsidR="00E167FF" w:rsidRPr="009D7BD5" w:rsidRDefault="00E167FF" w:rsidP="0030101D">
            <w:pPr>
              <w:spacing w:before="120" w:after="240" w:line="240" w:lineRule="auto"/>
              <w:jc w:val="right"/>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£682.5/26% invested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9BDDF6" w14:textId="77777777" w:rsidR="00E167FF" w:rsidRPr="009D7BD5" w:rsidRDefault="00E167FF" w:rsidP="0030101D">
            <w:pPr>
              <w:spacing w:before="120" w:after="240" w:line="240" w:lineRule="auto"/>
              <w:jc w:val="right"/>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 xml:space="preserve">Blackrock, Foresight, </w:t>
            </w:r>
            <w:proofErr w:type="spellStart"/>
            <w:r w:rsidRPr="009D7BD5">
              <w:rPr>
                <w:rFonts w:ascii="Lato Light" w:eastAsia="Times New Roman" w:hAnsi="Lato Light" w:cs="Calibri"/>
                <w:color w:val="1E1E1E"/>
                <w:lang w:eastAsia="en-GB"/>
              </w:rPr>
              <w:t>Quinbrook</w:t>
            </w:r>
            <w:proofErr w:type="spellEnd"/>
            <w:r w:rsidRPr="009D7BD5">
              <w:rPr>
                <w:rFonts w:ascii="Lato Light" w:eastAsia="Times New Roman" w:hAnsi="Lato Light" w:cs="Calibri"/>
                <w:color w:val="1E1E1E"/>
                <w:lang w:eastAsia="en-GB"/>
              </w:rPr>
              <w:t xml:space="preserve"> and </w:t>
            </w:r>
            <w:proofErr w:type="spellStart"/>
            <w:r w:rsidRPr="009D7BD5">
              <w:rPr>
                <w:rFonts w:ascii="Lato Light" w:eastAsia="Times New Roman" w:hAnsi="Lato Light" w:cs="Calibri"/>
                <w:color w:val="1E1E1E"/>
                <w:lang w:eastAsia="en-GB"/>
              </w:rPr>
              <w:t>Stonepeak</w:t>
            </w:r>
            <w:proofErr w:type="spellEnd"/>
            <w:r w:rsidRPr="009D7BD5">
              <w:rPr>
                <w:rFonts w:ascii="Lato Light" w:eastAsia="Times New Roman" w:hAnsi="Lato Light" w:cs="Calibri"/>
                <w:color w:val="1E1E1E"/>
                <w:lang w:eastAsia="en-GB"/>
              </w:rPr>
              <w:t> </w:t>
            </w:r>
          </w:p>
        </w:tc>
      </w:tr>
      <w:tr w:rsidR="00E167FF" w:rsidRPr="009D7BD5" w14:paraId="50DD2DCB" w14:textId="77777777" w:rsidTr="00E0640E">
        <w:trPr>
          <w:trHeight w:val="315"/>
        </w:trPr>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0A7B9D" w14:textId="77777777" w:rsidR="00E167FF" w:rsidRPr="009D7BD5" w:rsidRDefault="00E167FF"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Private Debt (Investing stage)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350B02" w14:textId="77777777" w:rsidR="00E167FF" w:rsidRPr="009D7BD5" w:rsidRDefault="00E167FF" w:rsidP="0030101D">
            <w:pPr>
              <w:spacing w:before="120" w:after="240" w:line="240" w:lineRule="auto"/>
              <w:ind w:left="140"/>
              <w:jc w:val="both"/>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Fund of Funds two funds.  50% EU Private debt and 50% US private debt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F3FE74" w14:textId="77777777" w:rsidR="00E167FF" w:rsidRPr="009D7BD5" w:rsidRDefault="00E167FF" w:rsidP="0030101D">
            <w:pPr>
              <w:spacing w:before="120" w:after="240" w:line="240" w:lineRule="auto"/>
              <w:jc w:val="right"/>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£540/32% invested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7580DB" w14:textId="77777777" w:rsidR="00E167FF" w:rsidRPr="009D7BD5" w:rsidRDefault="00E167FF" w:rsidP="0030101D">
            <w:pPr>
              <w:spacing w:before="120" w:after="240" w:line="240" w:lineRule="auto"/>
              <w:jc w:val="right"/>
              <w:textAlignment w:val="baseline"/>
              <w:rPr>
                <w:rFonts w:ascii="Lato Light" w:eastAsia="Times New Roman" w:hAnsi="Lato Light" w:cs="Segoe UI"/>
                <w:lang w:eastAsia="en-GB"/>
              </w:rPr>
            </w:pPr>
            <w:r w:rsidRPr="009D7BD5">
              <w:rPr>
                <w:rFonts w:ascii="Lato Light" w:eastAsia="Times New Roman" w:hAnsi="Lato Light" w:cs="Calibri"/>
                <w:color w:val="1E1E1E"/>
                <w:lang w:eastAsia="en-GB"/>
              </w:rPr>
              <w:t>Churchill and Pemberton </w:t>
            </w:r>
          </w:p>
        </w:tc>
      </w:tr>
    </w:tbl>
    <w:p w14:paraId="118255E2" w14:textId="0A013DDD" w:rsidR="002D5A09" w:rsidRPr="009D7BD5" w:rsidRDefault="002D5A09" w:rsidP="0030101D">
      <w:pPr>
        <w:spacing w:before="120" w:after="240" w:line="240" w:lineRule="auto"/>
        <w:jc w:val="both"/>
        <w:textAlignment w:val="baseline"/>
        <w:rPr>
          <w:rStyle w:val="normaltextrun"/>
          <w:rFonts w:ascii="Lato Light" w:hAnsi="Lato Light" w:cs="Calibri"/>
          <w:shd w:val="clear" w:color="auto" w:fill="FFFFFF"/>
        </w:rPr>
      </w:pPr>
    </w:p>
    <w:p w14:paraId="6CAEFD02" w14:textId="77777777" w:rsidR="002D5A09" w:rsidRPr="009D7BD5" w:rsidRDefault="002D5A09" w:rsidP="0030101D">
      <w:pPr>
        <w:spacing w:before="120" w:after="240" w:line="240" w:lineRule="auto"/>
        <w:rPr>
          <w:rStyle w:val="normaltextrun"/>
          <w:rFonts w:ascii="Lato Light" w:hAnsi="Lato Light" w:cs="Calibri"/>
          <w:shd w:val="clear" w:color="auto" w:fill="FFFFFF"/>
        </w:rPr>
      </w:pPr>
      <w:r w:rsidRPr="009D7BD5">
        <w:rPr>
          <w:rStyle w:val="normaltextrun"/>
          <w:rFonts w:ascii="Lato Light" w:hAnsi="Lato Light" w:cs="Calibri"/>
          <w:shd w:val="clear" w:color="auto" w:fill="FFFFFF"/>
        </w:rPr>
        <w:br w:type="page"/>
      </w:r>
    </w:p>
    <w:p w14:paraId="4966DB8B" w14:textId="77777777" w:rsidR="00E167FF" w:rsidRPr="009D7BD5" w:rsidRDefault="00E167FF" w:rsidP="0030101D">
      <w:pPr>
        <w:spacing w:before="120" w:after="240" w:line="240" w:lineRule="auto"/>
        <w:jc w:val="both"/>
        <w:textAlignment w:val="baseline"/>
        <w:rPr>
          <w:rStyle w:val="normaltextrun"/>
          <w:rFonts w:ascii="Lato Light" w:hAnsi="Lato Light" w:cs="Calibri"/>
          <w:shd w:val="clear" w:color="auto" w:fill="FFFFFF"/>
        </w:rPr>
      </w:pPr>
    </w:p>
    <w:p w14:paraId="755927C9" w14:textId="4BE8EE67" w:rsidR="00881EF1" w:rsidRDefault="009060BE" w:rsidP="0030101D">
      <w:pPr>
        <w:pStyle w:val="ListParagraph"/>
        <w:numPr>
          <w:ilvl w:val="1"/>
          <w:numId w:val="28"/>
        </w:numPr>
        <w:spacing w:before="120" w:after="240" w:line="240" w:lineRule="auto"/>
        <w:jc w:val="both"/>
        <w:textAlignment w:val="baseline"/>
        <w:rPr>
          <w:rStyle w:val="normaltextrun"/>
          <w:rFonts w:ascii="Lato Light" w:hAnsi="Lato Light" w:cs="Calibri"/>
          <w:shd w:val="clear" w:color="auto" w:fill="FFFFFF"/>
        </w:rPr>
      </w:pPr>
      <w:bookmarkStart w:id="41" w:name="_Ref109654288"/>
      <w:bookmarkStart w:id="42" w:name="_Ref110802971"/>
      <w:r w:rsidRPr="009D7BD5">
        <w:rPr>
          <w:rStyle w:val="normaltextrun"/>
          <w:rFonts w:ascii="Lato Light" w:hAnsi="Lato Light" w:cs="Calibri"/>
          <w:color w:val="000000"/>
          <w:bdr w:val="none" w:sz="0" w:space="0" w:color="auto" w:frame="1"/>
        </w:rPr>
        <w:t xml:space="preserve">The solution must </w:t>
      </w:r>
      <w:r w:rsidR="005649D7" w:rsidRPr="009D7BD5">
        <w:rPr>
          <w:rStyle w:val="normaltextrun"/>
          <w:rFonts w:ascii="Lato Light" w:hAnsi="Lato Light" w:cs="Calibri"/>
          <w:color w:val="000000"/>
          <w:bdr w:val="none" w:sz="0" w:space="0" w:color="auto" w:frame="1"/>
        </w:rPr>
        <w:t xml:space="preserve">be capable of </w:t>
      </w:r>
      <w:r w:rsidR="00C140BD" w:rsidRPr="009D7BD5">
        <w:rPr>
          <w:rStyle w:val="normaltextrun"/>
          <w:rFonts w:ascii="Lato Light" w:hAnsi="Lato Light" w:cs="Calibri"/>
          <w:color w:val="000000"/>
          <w:bdr w:val="none" w:sz="0" w:space="0" w:color="auto" w:frame="1"/>
        </w:rPr>
        <w:t>track</w:t>
      </w:r>
      <w:r w:rsidR="005649D7" w:rsidRPr="009D7BD5">
        <w:rPr>
          <w:rStyle w:val="normaltextrun"/>
          <w:rFonts w:ascii="Lato Light" w:hAnsi="Lato Light" w:cs="Calibri"/>
          <w:color w:val="000000"/>
          <w:bdr w:val="none" w:sz="0" w:space="0" w:color="auto" w:frame="1"/>
        </w:rPr>
        <w:t>ing</w:t>
      </w:r>
      <w:r w:rsidR="00C140BD" w:rsidRPr="009D7BD5">
        <w:rPr>
          <w:rStyle w:val="normaltextrun"/>
          <w:rFonts w:ascii="Lato Light" w:hAnsi="Lato Light" w:cs="Calibri"/>
          <w:color w:val="000000"/>
          <w:bdr w:val="none" w:sz="0" w:space="0" w:color="auto" w:frame="1"/>
        </w:rPr>
        <w:t xml:space="preserve"> investments </w:t>
      </w:r>
      <w:r w:rsidR="00C140BD" w:rsidRPr="009D7BD5">
        <w:rPr>
          <w:rStyle w:val="normaltextrun"/>
          <w:rFonts w:ascii="Lato Light" w:hAnsi="Lato Light" w:cs="Calibri"/>
          <w:shd w:val="clear" w:color="auto" w:fill="FFFFFF"/>
        </w:rPr>
        <w:t>in funds, co-investments as well as potential direct investments</w:t>
      </w:r>
      <w:r w:rsidR="00881EF1" w:rsidRPr="009D7BD5">
        <w:rPr>
          <w:rStyle w:val="normaltextrun"/>
          <w:rFonts w:ascii="Lato Light" w:hAnsi="Lato Light" w:cs="Calibri"/>
          <w:shd w:val="clear" w:color="auto" w:fill="FFFFFF"/>
        </w:rPr>
        <w:t xml:space="preserve">, </w:t>
      </w:r>
      <w:r w:rsidR="00C17D91" w:rsidRPr="009D7BD5">
        <w:rPr>
          <w:rStyle w:val="normaltextrun"/>
          <w:rFonts w:ascii="Lato Light" w:hAnsi="Lato Light" w:cs="Calibri"/>
          <w:shd w:val="clear" w:color="auto" w:fill="FFFFFF"/>
        </w:rPr>
        <w:t xml:space="preserve">to provide London CIV with the following </w:t>
      </w:r>
      <w:bookmarkEnd w:id="41"/>
      <w:r w:rsidR="00C8154A">
        <w:rPr>
          <w:rStyle w:val="normaltextrun"/>
          <w:rFonts w:ascii="Lato Light" w:hAnsi="Lato Light" w:cs="Calibri"/>
          <w:shd w:val="clear" w:color="auto" w:fill="FFFFFF"/>
        </w:rPr>
        <w:t>Services and associated deliverables:</w:t>
      </w:r>
      <w:bookmarkEnd w:id="42"/>
    </w:p>
    <w:p w14:paraId="625B06E2" w14:textId="77777777" w:rsidR="00C8154A" w:rsidRPr="009D7BD5" w:rsidRDefault="00C8154A" w:rsidP="00C8154A">
      <w:pPr>
        <w:pStyle w:val="ListParagraph"/>
        <w:spacing w:before="120" w:after="240" w:line="240" w:lineRule="auto"/>
        <w:ind w:left="396"/>
        <w:jc w:val="both"/>
        <w:textAlignment w:val="baseline"/>
        <w:rPr>
          <w:rStyle w:val="normaltextrun"/>
          <w:rFonts w:ascii="Lato Light" w:hAnsi="Lato Light" w:cs="Calibri"/>
          <w:shd w:val="clear" w:color="auto" w:fill="FFFFFF"/>
        </w:rPr>
      </w:pPr>
    </w:p>
    <w:tbl>
      <w:tblPr>
        <w:tblStyle w:val="TableGrid"/>
        <w:tblW w:w="0" w:type="auto"/>
        <w:tblInd w:w="137" w:type="dxa"/>
        <w:tblLook w:val="04A0" w:firstRow="1" w:lastRow="0" w:firstColumn="1" w:lastColumn="0" w:noHBand="0" w:noVBand="1"/>
      </w:tblPr>
      <w:tblGrid>
        <w:gridCol w:w="567"/>
        <w:gridCol w:w="3260"/>
        <w:gridCol w:w="5386"/>
      </w:tblGrid>
      <w:tr w:rsidR="000853A7" w:rsidRPr="009D7BD5" w14:paraId="09A36DCE" w14:textId="77777777" w:rsidTr="00F74124">
        <w:tc>
          <w:tcPr>
            <w:tcW w:w="567" w:type="dxa"/>
            <w:shd w:val="clear" w:color="auto" w:fill="D0CECE" w:themeFill="background2" w:themeFillShade="E6"/>
            <w:vAlign w:val="center"/>
          </w:tcPr>
          <w:p w14:paraId="048D86CE" w14:textId="77777777" w:rsidR="000853A7" w:rsidRPr="009D7BD5" w:rsidRDefault="000853A7" w:rsidP="00E82F9F">
            <w:pPr>
              <w:pStyle w:val="ListParagraph"/>
              <w:spacing w:before="120" w:after="240" w:line="240" w:lineRule="auto"/>
              <w:ind w:left="0"/>
              <w:jc w:val="center"/>
              <w:textAlignment w:val="baseline"/>
              <w:rPr>
                <w:rStyle w:val="normaltextrun"/>
                <w:rFonts w:ascii="Lato Light" w:hAnsi="Lato Light" w:cs="Calibri"/>
                <w:b/>
                <w:bCs/>
                <w:highlight w:val="lightGray"/>
                <w:shd w:val="clear" w:color="auto" w:fill="FFFFFF"/>
              </w:rPr>
            </w:pPr>
          </w:p>
        </w:tc>
        <w:tc>
          <w:tcPr>
            <w:tcW w:w="3260" w:type="dxa"/>
            <w:shd w:val="clear" w:color="auto" w:fill="D0CECE" w:themeFill="background2" w:themeFillShade="E6"/>
            <w:vAlign w:val="center"/>
          </w:tcPr>
          <w:p w14:paraId="71354490" w14:textId="61E8020F" w:rsidR="000853A7" w:rsidRPr="009D7BD5" w:rsidRDefault="00B0578B" w:rsidP="00E82F9F">
            <w:pPr>
              <w:pStyle w:val="ListParagraph"/>
              <w:spacing w:before="120" w:after="240" w:line="240" w:lineRule="auto"/>
              <w:ind w:left="0"/>
              <w:jc w:val="center"/>
              <w:textAlignment w:val="baseline"/>
              <w:rPr>
                <w:rStyle w:val="normaltextrun"/>
                <w:rFonts w:ascii="Lato Light" w:hAnsi="Lato Light" w:cs="Calibri"/>
                <w:b/>
                <w:bCs/>
                <w:highlight w:val="lightGray"/>
                <w:shd w:val="clear" w:color="auto" w:fill="FFFFFF"/>
              </w:rPr>
            </w:pPr>
            <w:r w:rsidRPr="009D7BD5">
              <w:rPr>
                <w:rStyle w:val="normaltextrun"/>
                <w:rFonts w:ascii="Lato Light" w:hAnsi="Lato Light" w:cs="Calibri"/>
                <w:b/>
                <w:bCs/>
                <w:highlight w:val="lightGray"/>
                <w:shd w:val="clear" w:color="auto" w:fill="FFFFFF"/>
              </w:rPr>
              <w:t>Service</w:t>
            </w:r>
            <w:r w:rsidR="00C8154A">
              <w:rPr>
                <w:rStyle w:val="normaltextrun"/>
                <w:rFonts w:ascii="Lato Light" w:hAnsi="Lato Light" w:cs="Calibri"/>
                <w:b/>
                <w:bCs/>
                <w:highlight w:val="lightGray"/>
                <w:shd w:val="clear" w:color="auto" w:fill="FFFFFF"/>
              </w:rPr>
              <w:t xml:space="preserve"> Element</w:t>
            </w:r>
          </w:p>
        </w:tc>
        <w:tc>
          <w:tcPr>
            <w:tcW w:w="5386" w:type="dxa"/>
            <w:shd w:val="clear" w:color="auto" w:fill="D0CECE" w:themeFill="background2" w:themeFillShade="E6"/>
          </w:tcPr>
          <w:p w14:paraId="2394418C" w14:textId="13282F89" w:rsidR="000853A7" w:rsidRPr="00E82F9F" w:rsidRDefault="00E82F9F" w:rsidP="00E82F9F">
            <w:pPr>
              <w:pStyle w:val="ListParagraph"/>
              <w:spacing w:before="120" w:after="240" w:line="240" w:lineRule="auto"/>
              <w:ind w:left="0"/>
              <w:jc w:val="center"/>
              <w:textAlignment w:val="baseline"/>
              <w:rPr>
                <w:rStyle w:val="normaltextrun"/>
                <w:rFonts w:ascii="Lato Light" w:hAnsi="Lato Light" w:cs="Calibri"/>
                <w:b/>
                <w:bCs/>
                <w:highlight w:val="lightGray"/>
                <w:shd w:val="clear" w:color="auto" w:fill="FFFFFF"/>
              </w:rPr>
            </w:pPr>
            <w:r w:rsidRPr="00E82F9F">
              <w:rPr>
                <w:rStyle w:val="normaltextrun"/>
                <w:rFonts w:ascii="Lato Light" w:hAnsi="Lato Light" w:cs="Calibri"/>
                <w:b/>
                <w:bCs/>
                <w:highlight w:val="lightGray"/>
                <w:shd w:val="clear" w:color="auto" w:fill="FFFFFF"/>
              </w:rPr>
              <w:t>Mandatory Requirements/Deliverables</w:t>
            </w:r>
          </w:p>
        </w:tc>
      </w:tr>
      <w:tr w:rsidR="000853A7" w:rsidRPr="009D7BD5" w14:paraId="1AE4423D" w14:textId="77777777" w:rsidTr="00F74124">
        <w:tc>
          <w:tcPr>
            <w:tcW w:w="567" w:type="dxa"/>
            <w:vMerge w:val="restart"/>
            <w:vAlign w:val="center"/>
          </w:tcPr>
          <w:p w14:paraId="6AB0414A" w14:textId="026A93CA" w:rsidR="000853A7" w:rsidRPr="009D7BD5" w:rsidRDefault="000853A7"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r w:rsidRPr="009D7BD5">
              <w:rPr>
                <w:rStyle w:val="normaltextrun"/>
                <w:rFonts w:ascii="Lato Light" w:hAnsi="Lato Light" w:cs="Calibri"/>
                <w:b/>
                <w:bCs/>
                <w:shd w:val="clear" w:color="auto" w:fill="FFFFFF"/>
              </w:rPr>
              <w:t>a)</w:t>
            </w:r>
          </w:p>
        </w:tc>
        <w:tc>
          <w:tcPr>
            <w:tcW w:w="3260" w:type="dxa"/>
            <w:vMerge w:val="restart"/>
            <w:vAlign w:val="center"/>
          </w:tcPr>
          <w:p w14:paraId="653DB760" w14:textId="46B36180" w:rsidR="000853A7" w:rsidRPr="009D7BD5" w:rsidRDefault="000853A7"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r w:rsidRPr="009D7BD5">
              <w:rPr>
                <w:rStyle w:val="normaltextrun"/>
                <w:rFonts w:ascii="Lato Light" w:hAnsi="Lato Light" w:cs="Calibri"/>
                <w:b/>
                <w:bCs/>
                <w:shd w:val="clear" w:color="auto" w:fill="FFFFFF"/>
              </w:rPr>
              <w:t>Cashflows and Valuations</w:t>
            </w:r>
          </w:p>
        </w:tc>
        <w:tc>
          <w:tcPr>
            <w:tcW w:w="5386" w:type="dxa"/>
          </w:tcPr>
          <w:p w14:paraId="0BB0DB93" w14:textId="11B1AB5F" w:rsidR="000853A7" w:rsidRPr="009D7BD5" w:rsidRDefault="000853A7" w:rsidP="0030101D">
            <w:pPr>
              <w:pStyle w:val="ListParagraph"/>
              <w:spacing w:before="120" w:after="240" w:line="240" w:lineRule="auto"/>
              <w:ind w:left="0"/>
              <w:jc w:val="both"/>
              <w:textAlignment w:val="baseline"/>
              <w:rPr>
                <w:rStyle w:val="normaltextrun"/>
                <w:rFonts w:ascii="Lato Light" w:hAnsi="Lato Light" w:cs="Calibri"/>
                <w:shd w:val="clear" w:color="auto" w:fill="FFFFFF"/>
              </w:rPr>
            </w:pPr>
            <w:r w:rsidRPr="009D7BD5">
              <w:rPr>
                <w:rStyle w:val="normaltextrun"/>
                <w:rFonts w:ascii="Lato Light" w:hAnsi="Lato Light" w:cs="Calibri"/>
                <w:color w:val="000000"/>
                <w:bdr w:val="none" w:sz="0" w:space="0" w:color="auto" w:frame="1"/>
              </w:rPr>
              <w:t>Inpu</w:t>
            </w:r>
            <w:r w:rsidR="00AF007A" w:rsidRPr="009D7BD5">
              <w:rPr>
                <w:rStyle w:val="normaltextrun"/>
                <w:rFonts w:ascii="Lato Light" w:hAnsi="Lato Light" w:cs="Calibri"/>
                <w:color w:val="000000"/>
                <w:bdr w:val="none" w:sz="0" w:space="0" w:color="auto" w:frame="1"/>
              </w:rPr>
              <w:t>t</w:t>
            </w:r>
            <w:r w:rsidRPr="009D7BD5">
              <w:rPr>
                <w:rStyle w:val="normaltextrun"/>
                <w:rFonts w:ascii="Lato Light" w:hAnsi="Lato Light" w:cs="Calibri"/>
                <w:color w:val="000000"/>
                <w:bdr w:val="none" w:sz="0" w:space="0" w:color="auto" w:frame="1"/>
              </w:rPr>
              <w:t>t</w:t>
            </w:r>
            <w:r w:rsidR="00AF007A" w:rsidRPr="009D7BD5">
              <w:rPr>
                <w:rStyle w:val="normaltextrun"/>
                <w:rFonts w:ascii="Lato Light" w:hAnsi="Lato Light" w:cs="Calibri"/>
                <w:color w:val="000000"/>
                <w:bdr w:val="none" w:sz="0" w:space="0" w:color="auto" w:frame="1"/>
              </w:rPr>
              <w:t>ing</w:t>
            </w:r>
            <w:r w:rsidRPr="009D7BD5">
              <w:rPr>
                <w:rStyle w:val="normaltextrun"/>
                <w:rFonts w:ascii="Lato Light" w:hAnsi="Lato Light" w:cs="Calibri"/>
                <w:color w:val="000000"/>
                <w:bdr w:val="none" w:sz="0" w:space="0" w:color="auto" w:frame="1"/>
              </w:rPr>
              <w:t xml:space="preserve"> capital calls and distributions</w:t>
            </w:r>
          </w:p>
        </w:tc>
      </w:tr>
      <w:tr w:rsidR="006E0A1E" w:rsidRPr="009D7BD5" w14:paraId="0B895144" w14:textId="77777777" w:rsidTr="00F74124">
        <w:tc>
          <w:tcPr>
            <w:tcW w:w="567" w:type="dxa"/>
            <w:vMerge/>
            <w:vAlign w:val="center"/>
          </w:tcPr>
          <w:p w14:paraId="0D71E85F"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65EC4E17"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357CB06F" w14:textId="49811EE9" w:rsidR="006E0A1E" w:rsidRPr="009D7BD5" w:rsidRDefault="006E0A1E" w:rsidP="0030101D">
            <w:pPr>
              <w:pStyle w:val="ListParagraph"/>
              <w:spacing w:before="120" w:after="240" w:line="240" w:lineRule="auto"/>
              <w:ind w:left="0"/>
              <w:jc w:val="both"/>
              <w:textAlignment w:val="baseline"/>
              <w:rPr>
                <w:rStyle w:val="normaltextrun"/>
                <w:rFonts w:ascii="Lato Light" w:hAnsi="Lato Light" w:cs="Calibri"/>
                <w:color w:val="000000"/>
                <w:bdr w:val="none" w:sz="0" w:space="0" w:color="auto" w:frame="1"/>
              </w:rPr>
            </w:pPr>
            <w:r w:rsidRPr="009D7BD5">
              <w:rPr>
                <w:rStyle w:val="normaltextrun"/>
                <w:rFonts w:ascii="Lato Light" w:hAnsi="Lato Light" w:cs="Calibri"/>
                <w:color w:val="000000"/>
                <w:bdr w:val="none" w:sz="0" w:space="0" w:color="auto" w:frame="1"/>
              </w:rPr>
              <w:t>Authorising calls and distributions</w:t>
            </w:r>
          </w:p>
        </w:tc>
      </w:tr>
      <w:tr w:rsidR="006E0A1E" w:rsidRPr="009D7BD5" w14:paraId="3E0EC7ED" w14:textId="77777777" w:rsidTr="00F74124">
        <w:tc>
          <w:tcPr>
            <w:tcW w:w="567" w:type="dxa"/>
            <w:vMerge/>
            <w:vAlign w:val="center"/>
          </w:tcPr>
          <w:p w14:paraId="635EBEB6"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44C747C0"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2C185F5A" w14:textId="13E2E7B1" w:rsidR="006E0A1E" w:rsidRPr="009D7BD5" w:rsidRDefault="006E0A1E" w:rsidP="0030101D">
            <w:pPr>
              <w:pStyle w:val="ListParagraph"/>
              <w:spacing w:before="120" w:after="240" w:line="240" w:lineRule="auto"/>
              <w:ind w:left="0"/>
              <w:jc w:val="both"/>
              <w:textAlignment w:val="baseline"/>
              <w:rPr>
                <w:rStyle w:val="normaltextrun"/>
                <w:rFonts w:ascii="Lato Light" w:hAnsi="Lato Light" w:cs="Calibri"/>
                <w:color w:val="000000"/>
                <w:bdr w:val="none" w:sz="0" w:space="0" w:color="auto" w:frame="1"/>
              </w:rPr>
            </w:pPr>
            <w:r w:rsidRPr="009D7BD5">
              <w:rPr>
                <w:rStyle w:val="normaltextrun"/>
                <w:rFonts w:ascii="Lato Light" w:hAnsi="Lato Light" w:cs="Calibri"/>
                <w:color w:val="000000"/>
                <w:bdr w:val="none" w:sz="0" w:space="0" w:color="auto" w:frame="1"/>
              </w:rPr>
              <w:t>Negative valuation</w:t>
            </w:r>
            <w:r w:rsidR="00BC61A4">
              <w:rPr>
                <w:rStyle w:val="normaltextrun"/>
                <w:rFonts w:ascii="Lato Light" w:hAnsi="Lato Light" w:cs="Calibri"/>
                <w:color w:val="000000"/>
                <w:bdr w:val="none" w:sz="0" w:space="0" w:color="auto" w:frame="1"/>
              </w:rPr>
              <w:t>s</w:t>
            </w:r>
            <w:r w:rsidRPr="009D7BD5">
              <w:rPr>
                <w:rStyle w:val="normaltextrun"/>
                <w:rFonts w:ascii="Lato Light" w:hAnsi="Lato Light" w:cs="Calibri"/>
                <w:color w:val="000000"/>
                <w:bdr w:val="none" w:sz="0" w:space="0" w:color="auto" w:frame="1"/>
              </w:rPr>
              <w:t xml:space="preserve"> </w:t>
            </w:r>
          </w:p>
        </w:tc>
      </w:tr>
      <w:tr w:rsidR="006E0A1E" w:rsidRPr="009D7BD5" w14:paraId="7BF452D4" w14:textId="77777777" w:rsidTr="00F74124">
        <w:tc>
          <w:tcPr>
            <w:tcW w:w="567" w:type="dxa"/>
            <w:vMerge/>
            <w:vAlign w:val="center"/>
          </w:tcPr>
          <w:p w14:paraId="5818ACD5"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45AB4A22"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5747E3A0" w14:textId="2FBB71A0" w:rsidR="006E0A1E" w:rsidRPr="009D7BD5" w:rsidRDefault="006E0A1E" w:rsidP="0030101D">
            <w:pPr>
              <w:pStyle w:val="ListParagraph"/>
              <w:spacing w:before="120" w:after="240" w:line="240" w:lineRule="auto"/>
              <w:ind w:left="0"/>
              <w:jc w:val="both"/>
              <w:textAlignment w:val="baseline"/>
              <w:rPr>
                <w:rStyle w:val="normaltextrun"/>
                <w:rFonts w:ascii="Lato Light" w:hAnsi="Lato Light" w:cs="Calibri"/>
                <w:color w:val="000000"/>
                <w:bdr w:val="none" w:sz="0" w:space="0" w:color="auto" w:frame="1"/>
              </w:rPr>
            </w:pPr>
            <w:r w:rsidRPr="009D7BD5">
              <w:rPr>
                <w:rStyle w:val="normaltextrun"/>
                <w:rFonts w:ascii="Lato Light" w:hAnsi="Lato Light" w:cs="Calibri"/>
                <w:color w:val="000000"/>
                <w:bdr w:val="none" w:sz="0" w:space="0" w:color="auto" w:frame="1"/>
              </w:rPr>
              <w:t>Inputting valuations</w:t>
            </w:r>
          </w:p>
        </w:tc>
      </w:tr>
      <w:tr w:rsidR="006E0A1E" w:rsidRPr="009D7BD5" w14:paraId="458DA2FD" w14:textId="77777777" w:rsidTr="00F74124">
        <w:tc>
          <w:tcPr>
            <w:tcW w:w="567" w:type="dxa"/>
            <w:vMerge/>
            <w:vAlign w:val="center"/>
          </w:tcPr>
          <w:p w14:paraId="671A89D2"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00263268"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54686F96" w14:textId="4502C23E" w:rsidR="006E0A1E" w:rsidRPr="009D7BD5" w:rsidRDefault="006E0A1E" w:rsidP="0030101D">
            <w:pPr>
              <w:pStyle w:val="ListParagraph"/>
              <w:spacing w:before="120" w:after="240" w:line="240" w:lineRule="auto"/>
              <w:ind w:left="0"/>
              <w:jc w:val="both"/>
              <w:textAlignment w:val="baseline"/>
              <w:rPr>
                <w:rStyle w:val="normaltextrun"/>
                <w:rFonts w:ascii="Lato Light" w:hAnsi="Lato Light" w:cs="Calibri"/>
                <w:color w:val="000000"/>
                <w:bdr w:val="none" w:sz="0" w:space="0" w:color="auto" w:frame="1"/>
              </w:rPr>
            </w:pPr>
            <w:r w:rsidRPr="009D7BD5">
              <w:rPr>
                <w:rStyle w:val="normaltextrun"/>
                <w:rFonts w:ascii="Lato Light" w:hAnsi="Lato Light" w:cs="Calibri"/>
                <w:color w:val="000000"/>
                <w:bdr w:val="none" w:sz="0" w:space="0" w:color="auto" w:frame="1"/>
              </w:rPr>
              <w:t>Authorising valuations</w:t>
            </w:r>
          </w:p>
        </w:tc>
      </w:tr>
      <w:tr w:rsidR="006E0A1E" w:rsidRPr="009D7BD5" w14:paraId="7AA647FC" w14:textId="77777777" w:rsidTr="00F74124">
        <w:tc>
          <w:tcPr>
            <w:tcW w:w="567" w:type="dxa"/>
            <w:vMerge w:val="restart"/>
            <w:vAlign w:val="center"/>
          </w:tcPr>
          <w:p w14:paraId="4FBBA425" w14:textId="4ACA45D9"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r w:rsidRPr="009D7BD5">
              <w:rPr>
                <w:rStyle w:val="normaltextrun"/>
                <w:rFonts w:ascii="Lato Light" w:hAnsi="Lato Light" w:cs="Calibri"/>
                <w:b/>
                <w:bCs/>
                <w:shd w:val="clear" w:color="auto" w:fill="FFFFFF"/>
              </w:rPr>
              <w:t>c)</w:t>
            </w:r>
          </w:p>
        </w:tc>
        <w:tc>
          <w:tcPr>
            <w:tcW w:w="3260" w:type="dxa"/>
            <w:vMerge w:val="restart"/>
            <w:vAlign w:val="center"/>
          </w:tcPr>
          <w:p w14:paraId="35587A55" w14:textId="0736788E"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r w:rsidRPr="009D7BD5">
              <w:rPr>
                <w:rStyle w:val="normaltextrun"/>
                <w:rFonts w:ascii="Lato Light" w:hAnsi="Lato Light" w:cs="Calibri"/>
                <w:b/>
                <w:bCs/>
                <w:shd w:val="clear" w:color="auto" w:fill="FFFFFF"/>
              </w:rPr>
              <w:t>Performance Calculations</w:t>
            </w:r>
          </w:p>
        </w:tc>
        <w:tc>
          <w:tcPr>
            <w:tcW w:w="5386" w:type="dxa"/>
          </w:tcPr>
          <w:p w14:paraId="1E59EB58" w14:textId="7E7ACD28" w:rsidR="006E0A1E" w:rsidRPr="009D7BD5" w:rsidRDefault="006E0A1E" w:rsidP="0030101D">
            <w:pPr>
              <w:pStyle w:val="ListParagraph"/>
              <w:spacing w:before="120" w:after="240" w:line="240" w:lineRule="auto"/>
              <w:ind w:left="0"/>
              <w:jc w:val="both"/>
              <w:textAlignment w:val="baseline"/>
              <w:rPr>
                <w:rStyle w:val="normaltextrun"/>
                <w:rFonts w:ascii="Lato Light" w:hAnsi="Lato Light" w:cs="Calibri"/>
                <w:color w:val="000000"/>
                <w:bdr w:val="none" w:sz="0" w:space="0" w:color="auto" w:frame="1"/>
              </w:rPr>
            </w:pPr>
            <w:r w:rsidRPr="009D7BD5">
              <w:rPr>
                <w:rStyle w:val="normaltextrun"/>
                <w:rFonts w:ascii="Lato Light" w:hAnsi="Lato Light" w:cs="Calibri"/>
                <w:shd w:val="clear" w:color="auto" w:fill="FFFFFF"/>
              </w:rPr>
              <w:t>IRR, MOIC, DPI, RVPI, TVPI</w:t>
            </w:r>
          </w:p>
        </w:tc>
      </w:tr>
      <w:tr w:rsidR="006E0A1E" w:rsidRPr="009D7BD5" w14:paraId="688B5FDF" w14:textId="77777777" w:rsidTr="00F74124">
        <w:tc>
          <w:tcPr>
            <w:tcW w:w="567" w:type="dxa"/>
            <w:vMerge/>
            <w:vAlign w:val="center"/>
          </w:tcPr>
          <w:p w14:paraId="01E57EC4"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636DA678" w14:textId="55E30938"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009829E1" w14:textId="69600214" w:rsidR="006E0A1E" w:rsidRPr="009D7BD5" w:rsidRDefault="006E0A1E" w:rsidP="0030101D">
            <w:pPr>
              <w:pStyle w:val="ListParagraph"/>
              <w:spacing w:before="120" w:after="240" w:line="240" w:lineRule="auto"/>
              <w:ind w:left="0"/>
              <w:jc w:val="both"/>
              <w:textAlignment w:val="baseline"/>
              <w:rPr>
                <w:rStyle w:val="normaltextrun"/>
                <w:rFonts w:ascii="Lato Light" w:hAnsi="Lato Light" w:cs="Calibri"/>
                <w:shd w:val="clear" w:color="auto" w:fill="FFFFFF"/>
              </w:rPr>
            </w:pPr>
            <w:r w:rsidRPr="009D7BD5">
              <w:rPr>
                <w:rStyle w:val="normaltextrun"/>
                <w:rFonts w:ascii="Lato Light" w:hAnsi="Lato Light" w:cs="Calibri"/>
                <w:color w:val="000000"/>
                <w:bdr w:val="none" w:sz="0" w:space="0" w:color="auto" w:frame="1"/>
              </w:rPr>
              <w:t>Cashflow forecasting</w:t>
            </w:r>
          </w:p>
        </w:tc>
      </w:tr>
      <w:tr w:rsidR="006E0A1E" w:rsidRPr="009D7BD5" w14:paraId="5912ED94" w14:textId="77777777" w:rsidTr="00F74124">
        <w:tc>
          <w:tcPr>
            <w:tcW w:w="567" w:type="dxa"/>
            <w:vMerge/>
            <w:vAlign w:val="center"/>
          </w:tcPr>
          <w:p w14:paraId="663D2698"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39683A63" w14:textId="3F4C1E8F"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6E94AF38" w14:textId="2B75AB79" w:rsidR="006E0A1E" w:rsidRPr="009D7BD5" w:rsidRDefault="006E0A1E" w:rsidP="0030101D">
            <w:pPr>
              <w:pStyle w:val="ListParagraph"/>
              <w:spacing w:before="120" w:after="240" w:line="240" w:lineRule="auto"/>
              <w:ind w:left="0"/>
              <w:jc w:val="both"/>
              <w:textAlignment w:val="baseline"/>
              <w:rPr>
                <w:rStyle w:val="normaltextrun"/>
                <w:rFonts w:ascii="Lato Light" w:hAnsi="Lato Light" w:cs="Calibri"/>
                <w:color w:val="000000"/>
                <w:bdr w:val="none" w:sz="0" w:space="0" w:color="auto" w:frame="1"/>
              </w:rPr>
            </w:pPr>
            <w:r w:rsidRPr="009D7BD5">
              <w:rPr>
                <w:rStyle w:val="normaltextrun"/>
                <w:rFonts w:ascii="Lato Light" w:hAnsi="Lato Light" w:cs="Calibri"/>
                <w:color w:val="000000"/>
                <w:bdr w:val="none" w:sz="0" w:space="0" w:color="auto" w:frame="1"/>
              </w:rPr>
              <w:t>IRR net and gross</w:t>
            </w:r>
          </w:p>
        </w:tc>
      </w:tr>
      <w:tr w:rsidR="006E0A1E" w:rsidRPr="009D7BD5" w14:paraId="2250BC66" w14:textId="77777777" w:rsidTr="00F74124">
        <w:tc>
          <w:tcPr>
            <w:tcW w:w="567" w:type="dxa"/>
            <w:vMerge/>
            <w:vAlign w:val="center"/>
          </w:tcPr>
          <w:p w14:paraId="47A23330"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5D56C809" w14:textId="1A04DD15"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6544FAA7" w14:textId="73592E93" w:rsidR="006E0A1E" w:rsidRPr="009D7BD5" w:rsidRDefault="006E0A1E" w:rsidP="0030101D">
            <w:pPr>
              <w:pStyle w:val="ListParagraph"/>
              <w:spacing w:before="120" w:after="240" w:line="240" w:lineRule="auto"/>
              <w:ind w:left="0"/>
              <w:jc w:val="both"/>
              <w:textAlignment w:val="baseline"/>
              <w:rPr>
                <w:rStyle w:val="normaltextrun"/>
                <w:rFonts w:ascii="Lato Light" w:hAnsi="Lato Light" w:cs="Calibri"/>
                <w:color w:val="000000"/>
                <w:bdr w:val="none" w:sz="0" w:space="0" w:color="auto" w:frame="1"/>
              </w:rPr>
            </w:pPr>
            <w:r w:rsidRPr="009D7BD5">
              <w:rPr>
                <w:rStyle w:val="normaltextrun"/>
                <w:rFonts w:ascii="Lato Light" w:hAnsi="Lato Light" w:cs="Calibri"/>
                <w:color w:val="000000"/>
                <w:bdr w:val="none" w:sz="0" w:space="0" w:color="auto" w:frame="1"/>
              </w:rPr>
              <w:t>Deal-level track record data</w:t>
            </w:r>
          </w:p>
        </w:tc>
      </w:tr>
      <w:tr w:rsidR="006E0A1E" w:rsidRPr="009D7BD5" w14:paraId="0967BA3F" w14:textId="77777777" w:rsidTr="00F74124">
        <w:tc>
          <w:tcPr>
            <w:tcW w:w="567" w:type="dxa"/>
            <w:vMerge/>
            <w:vAlign w:val="center"/>
          </w:tcPr>
          <w:p w14:paraId="178AD3E0"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685202A7" w14:textId="37356C5C"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2D3C9D35" w14:textId="2E14FB5F" w:rsidR="006E0A1E" w:rsidRPr="009D7BD5" w:rsidRDefault="006E0A1E" w:rsidP="0030101D">
            <w:pPr>
              <w:pStyle w:val="ListParagraph"/>
              <w:spacing w:before="120" w:after="240" w:line="240" w:lineRule="auto"/>
              <w:ind w:left="0"/>
              <w:jc w:val="both"/>
              <w:textAlignment w:val="baseline"/>
              <w:rPr>
                <w:rStyle w:val="normaltextrun"/>
                <w:rFonts w:ascii="Lato Light" w:hAnsi="Lato Light" w:cs="Calibri"/>
                <w:color w:val="000000"/>
                <w:bdr w:val="none" w:sz="0" w:space="0" w:color="auto" w:frame="1"/>
              </w:rPr>
            </w:pPr>
            <w:r w:rsidRPr="009D7BD5">
              <w:rPr>
                <w:rStyle w:val="normaltextrun"/>
                <w:rFonts w:ascii="Lato Light" w:hAnsi="Lato Light" w:cs="Calibri"/>
                <w:color w:val="000000"/>
                <w:bdr w:val="none" w:sz="0" w:space="0" w:color="auto" w:frame="1"/>
              </w:rPr>
              <w:t>Yield</w:t>
            </w:r>
            <w:r w:rsidR="00C53FC8">
              <w:rPr>
                <w:rStyle w:val="normaltextrun"/>
                <w:rFonts w:ascii="Lato Light" w:hAnsi="Lato Light" w:cs="Calibri"/>
                <w:color w:val="000000"/>
                <w:bdr w:val="none" w:sz="0" w:space="0" w:color="auto" w:frame="1"/>
              </w:rPr>
              <w:t>,</w:t>
            </w:r>
            <w:r w:rsidRPr="009D7BD5">
              <w:rPr>
                <w:rStyle w:val="normaltextrun"/>
                <w:rFonts w:ascii="Lato Light" w:hAnsi="Lato Light" w:cs="Calibri"/>
                <w:color w:val="000000"/>
                <w:bdr w:val="none" w:sz="0" w:space="0" w:color="auto" w:frame="1"/>
              </w:rPr>
              <w:t xml:space="preserve"> net and gross</w:t>
            </w:r>
          </w:p>
        </w:tc>
      </w:tr>
      <w:tr w:rsidR="006E0A1E" w:rsidRPr="009D7BD5" w14:paraId="253D7EED" w14:textId="77777777" w:rsidTr="00F74124">
        <w:tc>
          <w:tcPr>
            <w:tcW w:w="567" w:type="dxa"/>
            <w:vMerge/>
            <w:vAlign w:val="center"/>
          </w:tcPr>
          <w:p w14:paraId="1AE8A950" w14:textId="77777777"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1C65D04A" w14:textId="7D395116" w:rsidR="006E0A1E" w:rsidRPr="009D7BD5" w:rsidRDefault="006E0A1E"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08F4751D" w14:textId="21E53608" w:rsidR="006E0A1E" w:rsidRPr="009D7BD5" w:rsidRDefault="006E0A1E" w:rsidP="0030101D">
            <w:pPr>
              <w:pStyle w:val="ListParagraph"/>
              <w:spacing w:before="120" w:after="240" w:line="240" w:lineRule="auto"/>
              <w:ind w:left="0"/>
              <w:jc w:val="both"/>
              <w:textAlignment w:val="baseline"/>
              <w:rPr>
                <w:rStyle w:val="normaltextrun"/>
                <w:rFonts w:ascii="Lato Light" w:hAnsi="Lato Light" w:cs="Calibri"/>
                <w:color w:val="000000"/>
                <w:bdr w:val="none" w:sz="0" w:space="0" w:color="auto" w:frame="1"/>
              </w:rPr>
            </w:pPr>
            <w:r w:rsidRPr="009D7BD5">
              <w:rPr>
                <w:rStyle w:val="normaltextrun"/>
                <w:rFonts w:ascii="Lato Light" w:hAnsi="Lato Light" w:cs="Calibri"/>
                <w:color w:val="000000"/>
                <w:bdr w:val="none" w:sz="0" w:space="0" w:color="auto" w:frame="1"/>
              </w:rPr>
              <w:t>Return of cash on cash</w:t>
            </w:r>
          </w:p>
        </w:tc>
      </w:tr>
      <w:tr w:rsidR="00C00AF0" w:rsidRPr="009D7BD5" w14:paraId="320CD127" w14:textId="77777777" w:rsidTr="00F74124">
        <w:tc>
          <w:tcPr>
            <w:tcW w:w="567" w:type="dxa"/>
            <w:vMerge w:val="restart"/>
            <w:vAlign w:val="center"/>
          </w:tcPr>
          <w:p w14:paraId="3030947F" w14:textId="408D5D30"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r w:rsidRPr="009D7BD5">
              <w:rPr>
                <w:rStyle w:val="normaltextrun"/>
                <w:rFonts w:ascii="Lato Light" w:hAnsi="Lato Light" w:cs="Calibri"/>
                <w:b/>
                <w:bCs/>
                <w:shd w:val="clear" w:color="auto" w:fill="FFFFFF"/>
              </w:rPr>
              <w:t>d)</w:t>
            </w:r>
          </w:p>
        </w:tc>
        <w:tc>
          <w:tcPr>
            <w:tcW w:w="3260" w:type="dxa"/>
            <w:vMerge w:val="restart"/>
            <w:vAlign w:val="center"/>
          </w:tcPr>
          <w:p w14:paraId="3630C41A" w14:textId="5CB1E87B"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r w:rsidRPr="009D7BD5">
              <w:rPr>
                <w:rStyle w:val="normaltextrun"/>
                <w:rFonts w:ascii="Lato Light" w:hAnsi="Lato Light" w:cs="Calibri"/>
                <w:b/>
                <w:bCs/>
                <w:shd w:val="clear" w:color="auto" w:fill="FFFFFF"/>
              </w:rPr>
              <w:t>Analytics</w:t>
            </w:r>
          </w:p>
        </w:tc>
        <w:tc>
          <w:tcPr>
            <w:tcW w:w="5386" w:type="dxa"/>
          </w:tcPr>
          <w:p w14:paraId="07DFDC23" w14:textId="1396226C" w:rsidR="00C00AF0" w:rsidRPr="009D7BD5" w:rsidRDefault="00C00AF0" w:rsidP="0030101D">
            <w:pPr>
              <w:spacing w:before="120" w:after="240" w:line="240" w:lineRule="auto"/>
              <w:jc w:val="both"/>
              <w:textAlignment w:val="baseline"/>
              <w:rPr>
                <w:rStyle w:val="normaltextrun"/>
                <w:rFonts w:ascii="Lato Light" w:eastAsia="Times New Roman" w:hAnsi="Lato Light" w:cs="Segoe UI"/>
                <w:lang w:eastAsia="en-GB"/>
              </w:rPr>
            </w:pPr>
            <w:r w:rsidRPr="009D7BD5">
              <w:rPr>
                <w:rFonts w:ascii="Lato Light" w:eastAsia="Times New Roman" w:hAnsi="Lato Light"/>
                <w:lang w:eastAsia="en-GB"/>
              </w:rPr>
              <w:t>L</w:t>
            </w:r>
            <w:r w:rsidRPr="009D7BD5">
              <w:rPr>
                <w:rStyle w:val="normaltextrun"/>
                <w:rFonts w:ascii="Lato Light" w:hAnsi="Lato Light" w:cs="Calibri"/>
                <w:shd w:val="clear" w:color="auto" w:fill="FFFFFF"/>
              </w:rPr>
              <w:t>ook through to underlying investments</w:t>
            </w:r>
          </w:p>
        </w:tc>
      </w:tr>
      <w:tr w:rsidR="00C00AF0" w:rsidRPr="009D7BD5" w14:paraId="1BB01F34" w14:textId="77777777" w:rsidTr="00F74124">
        <w:tc>
          <w:tcPr>
            <w:tcW w:w="567" w:type="dxa"/>
            <w:vMerge/>
            <w:vAlign w:val="center"/>
          </w:tcPr>
          <w:p w14:paraId="452CCCA7"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477D4456" w14:textId="4D4758F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2BB3617F" w14:textId="2A633B39" w:rsidR="00C00AF0" w:rsidRPr="009D7BD5" w:rsidRDefault="00C00AF0"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lang w:eastAsia="en-GB"/>
              </w:rPr>
              <w:t>Currency risk of commitments versus uncommitted </w:t>
            </w:r>
          </w:p>
        </w:tc>
      </w:tr>
      <w:tr w:rsidR="00C00AF0" w:rsidRPr="009D7BD5" w14:paraId="3747032C" w14:textId="77777777" w:rsidTr="00F74124">
        <w:tc>
          <w:tcPr>
            <w:tcW w:w="567" w:type="dxa"/>
            <w:vMerge/>
            <w:vAlign w:val="center"/>
          </w:tcPr>
          <w:p w14:paraId="3A584BFC"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42C41717" w14:textId="0DC42F53"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77B6B4E7" w14:textId="66F49447" w:rsidR="00C00AF0" w:rsidRPr="009D7BD5" w:rsidRDefault="00C00AF0"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lang w:eastAsia="en-GB"/>
              </w:rPr>
              <w:t>Sector Analysis (current vs modelled) </w:t>
            </w:r>
          </w:p>
        </w:tc>
      </w:tr>
      <w:tr w:rsidR="00C00AF0" w:rsidRPr="009D7BD5" w14:paraId="2DC668B0" w14:textId="77777777" w:rsidTr="00F74124">
        <w:tc>
          <w:tcPr>
            <w:tcW w:w="567" w:type="dxa"/>
            <w:vMerge/>
            <w:vAlign w:val="center"/>
          </w:tcPr>
          <w:p w14:paraId="30A2A36E"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27B1C9C7" w14:textId="09482AE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6A96945B" w14:textId="75FC2F3E" w:rsidR="00C00AF0" w:rsidRPr="009D7BD5" w:rsidRDefault="00C00AF0"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lang w:eastAsia="en-GB"/>
              </w:rPr>
              <w:t>Income distribution</w:t>
            </w:r>
            <w:r w:rsidR="00C53FC8">
              <w:rPr>
                <w:rFonts w:ascii="Lato Light" w:eastAsia="Times New Roman" w:hAnsi="Lato Light" w:cs="Calibri"/>
                <w:lang w:eastAsia="en-GB"/>
              </w:rPr>
              <w:t>s</w:t>
            </w:r>
            <w:r w:rsidRPr="009D7BD5">
              <w:rPr>
                <w:rFonts w:ascii="Lato Light" w:eastAsia="Times New Roman" w:hAnsi="Lato Light" w:cs="Calibri"/>
                <w:lang w:eastAsia="en-GB"/>
              </w:rPr>
              <w:t> </w:t>
            </w:r>
          </w:p>
        </w:tc>
      </w:tr>
      <w:tr w:rsidR="00C00AF0" w:rsidRPr="009D7BD5" w14:paraId="03FFB942" w14:textId="77777777" w:rsidTr="00F74124">
        <w:tc>
          <w:tcPr>
            <w:tcW w:w="567" w:type="dxa"/>
            <w:vMerge/>
            <w:vAlign w:val="center"/>
          </w:tcPr>
          <w:p w14:paraId="5FF0501E"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3A9C8BC3" w14:textId="468B0FF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22AA8D69" w14:textId="6193D11C" w:rsidR="00C00AF0" w:rsidRPr="009D7BD5" w:rsidRDefault="00C00AF0"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lang w:eastAsia="en-GB"/>
              </w:rPr>
              <w:t xml:space="preserve">Attribution </w:t>
            </w:r>
          </w:p>
        </w:tc>
      </w:tr>
      <w:tr w:rsidR="00C00AF0" w:rsidRPr="009D7BD5" w14:paraId="4727DFE3" w14:textId="77777777" w:rsidTr="00F74124">
        <w:tc>
          <w:tcPr>
            <w:tcW w:w="567" w:type="dxa"/>
            <w:vMerge/>
            <w:vAlign w:val="center"/>
          </w:tcPr>
          <w:p w14:paraId="076BC7D5"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7D7DE347" w14:textId="215CFD3D"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61850544" w14:textId="7ECA1B79" w:rsidR="00C00AF0" w:rsidRPr="009D7BD5" w:rsidRDefault="00C00AF0"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lang w:eastAsia="en-GB"/>
              </w:rPr>
              <w:t xml:space="preserve">Cash flow </w:t>
            </w:r>
          </w:p>
        </w:tc>
      </w:tr>
      <w:tr w:rsidR="00C00AF0" w:rsidRPr="009D7BD5" w14:paraId="08696680" w14:textId="77777777" w:rsidTr="00F74124">
        <w:tc>
          <w:tcPr>
            <w:tcW w:w="567" w:type="dxa"/>
            <w:vMerge/>
            <w:vAlign w:val="center"/>
          </w:tcPr>
          <w:p w14:paraId="15D8A0D2"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329E49E5"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7D85931B" w14:textId="1BD9E4A1" w:rsidR="00C00AF0" w:rsidRPr="009D7BD5" w:rsidRDefault="00C00AF0" w:rsidP="0030101D">
            <w:pPr>
              <w:spacing w:before="120" w:after="240" w:line="240" w:lineRule="auto"/>
              <w:jc w:val="both"/>
              <w:textAlignment w:val="baseline"/>
              <w:rPr>
                <w:rFonts w:ascii="Lato Light" w:eastAsia="Times New Roman" w:hAnsi="Lato Light" w:cs="Calibri"/>
                <w:lang w:eastAsia="en-GB"/>
              </w:rPr>
            </w:pPr>
            <w:r w:rsidRPr="009D7BD5">
              <w:rPr>
                <w:rFonts w:ascii="Lato Light" w:eastAsia="Times New Roman" w:hAnsi="Lato Light" w:cs="Calibri"/>
                <w:lang w:eastAsia="en-GB"/>
              </w:rPr>
              <w:t>Liquidity risk and forecasting</w:t>
            </w:r>
          </w:p>
        </w:tc>
      </w:tr>
      <w:tr w:rsidR="00C00AF0" w:rsidRPr="009D7BD5" w14:paraId="05F3CEF9" w14:textId="77777777" w:rsidTr="00F74124">
        <w:tc>
          <w:tcPr>
            <w:tcW w:w="567" w:type="dxa"/>
            <w:vMerge/>
            <w:vAlign w:val="center"/>
          </w:tcPr>
          <w:p w14:paraId="33FEEC32"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00CEE384" w14:textId="50BE6A40"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1BFAF774" w14:textId="3BC48065" w:rsidR="00C00AF0" w:rsidRPr="009D7BD5" w:rsidRDefault="00C00AF0"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lang w:eastAsia="en-GB"/>
              </w:rPr>
              <w:t>Yields </w:t>
            </w:r>
          </w:p>
        </w:tc>
      </w:tr>
      <w:tr w:rsidR="00C00AF0" w:rsidRPr="009D7BD5" w14:paraId="4E067804" w14:textId="77777777" w:rsidTr="00F74124">
        <w:tc>
          <w:tcPr>
            <w:tcW w:w="567" w:type="dxa"/>
            <w:vMerge/>
            <w:vAlign w:val="center"/>
          </w:tcPr>
          <w:p w14:paraId="5BD99F87"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2593A53D" w14:textId="489A2065"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2C36D141" w14:textId="6936FD47" w:rsidR="00C00AF0" w:rsidRPr="009D7BD5" w:rsidRDefault="00C00AF0" w:rsidP="0030101D">
            <w:pPr>
              <w:spacing w:before="120" w:after="240" w:line="240" w:lineRule="auto"/>
              <w:jc w:val="both"/>
              <w:textAlignment w:val="baseline"/>
              <w:rPr>
                <w:rFonts w:ascii="Lato Light" w:eastAsia="Times New Roman" w:hAnsi="Lato Light" w:cs="Calibri"/>
                <w:lang w:eastAsia="en-GB"/>
              </w:rPr>
            </w:pPr>
            <w:r w:rsidRPr="009D7BD5">
              <w:rPr>
                <w:rFonts w:ascii="Lato Light" w:eastAsia="Times New Roman" w:hAnsi="Lato Light" w:cs="Calibri"/>
                <w:lang w:eastAsia="en-GB"/>
              </w:rPr>
              <w:t>Duration</w:t>
            </w:r>
          </w:p>
        </w:tc>
      </w:tr>
      <w:tr w:rsidR="00C00AF0" w:rsidRPr="009D7BD5" w14:paraId="77C66703" w14:textId="77777777" w:rsidTr="00F74124">
        <w:tc>
          <w:tcPr>
            <w:tcW w:w="567" w:type="dxa"/>
            <w:vMerge/>
            <w:vAlign w:val="center"/>
          </w:tcPr>
          <w:p w14:paraId="4919787D"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5C90AD9E" w14:textId="0BBC125F"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35617B5D" w14:textId="60344F13" w:rsidR="00C00AF0" w:rsidRPr="009D7BD5" w:rsidRDefault="00C00AF0"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lang w:eastAsia="en-GB"/>
              </w:rPr>
              <w:t>Leverage </w:t>
            </w:r>
          </w:p>
        </w:tc>
      </w:tr>
      <w:tr w:rsidR="00C00AF0" w:rsidRPr="009D7BD5" w14:paraId="11CDF821" w14:textId="77777777" w:rsidTr="00F74124">
        <w:tc>
          <w:tcPr>
            <w:tcW w:w="567" w:type="dxa"/>
            <w:vMerge/>
            <w:vAlign w:val="center"/>
          </w:tcPr>
          <w:p w14:paraId="46EE6328"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425ED883"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4BA4F168" w14:textId="0D2BC98F" w:rsidR="00C00AF0" w:rsidRPr="009D7BD5" w:rsidRDefault="00C00AF0" w:rsidP="0030101D">
            <w:pPr>
              <w:spacing w:before="120" w:after="240" w:line="240" w:lineRule="auto"/>
              <w:jc w:val="both"/>
              <w:textAlignment w:val="baseline"/>
              <w:rPr>
                <w:rFonts w:ascii="Lato Light" w:eastAsia="Times New Roman" w:hAnsi="Lato Light" w:cs="Calibri"/>
                <w:lang w:eastAsia="en-GB"/>
              </w:rPr>
            </w:pPr>
            <w:r w:rsidRPr="009D7BD5">
              <w:rPr>
                <w:rFonts w:ascii="Lato Light" w:eastAsia="Times New Roman" w:hAnsi="Lato Light" w:cs="Calibri"/>
                <w:lang w:eastAsia="en-GB"/>
              </w:rPr>
              <w:t>L</w:t>
            </w:r>
            <w:r w:rsidRPr="009D7BD5">
              <w:rPr>
                <w:rFonts w:ascii="Lato Light" w:eastAsia="Times New Roman" w:hAnsi="Lato Light"/>
                <w:lang w:eastAsia="en-GB"/>
              </w:rPr>
              <w:t xml:space="preserve">iquidated assets </w:t>
            </w:r>
          </w:p>
        </w:tc>
      </w:tr>
      <w:tr w:rsidR="00C00AF0" w:rsidRPr="009D7BD5" w14:paraId="6672C1B3" w14:textId="77777777" w:rsidTr="00F74124">
        <w:tc>
          <w:tcPr>
            <w:tcW w:w="567" w:type="dxa"/>
            <w:vMerge/>
            <w:vAlign w:val="center"/>
          </w:tcPr>
          <w:p w14:paraId="4B724076"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3260" w:type="dxa"/>
            <w:vMerge/>
            <w:vAlign w:val="center"/>
          </w:tcPr>
          <w:p w14:paraId="791FBC91" w14:textId="77777777" w:rsidR="00C00AF0" w:rsidRPr="009D7BD5" w:rsidRDefault="00C00AF0" w:rsidP="0030101D">
            <w:pPr>
              <w:pStyle w:val="ListParagraph"/>
              <w:spacing w:before="120" w:after="240" w:line="240" w:lineRule="auto"/>
              <w:ind w:left="0"/>
              <w:jc w:val="center"/>
              <w:textAlignment w:val="baseline"/>
              <w:rPr>
                <w:rStyle w:val="normaltextrun"/>
                <w:rFonts w:ascii="Lato Light" w:hAnsi="Lato Light" w:cs="Calibri"/>
                <w:b/>
                <w:bCs/>
                <w:shd w:val="clear" w:color="auto" w:fill="FFFFFF"/>
              </w:rPr>
            </w:pPr>
          </w:p>
        </w:tc>
        <w:tc>
          <w:tcPr>
            <w:tcW w:w="5386" w:type="dxa"/>
          </w:tcPr>
          <w:p w14:paraId="5191EE60" w14:textId="5B7DCE49" w:rsidR="00C00AF0" w:rsidRPr="009D7BD5" w:rsidRDefault="00C00AF0" w:rsidP="0030101D">
            <w:pPr>
              <w:spacing w:before="120" w:after="240" w:line="240" w:lineRule="auto"/>
              <w:jc w:val="both"/>
              <w:textAlignment w:val="baseline"/>
              <w:rPr>
                <w:rFonts w:ascii="Lato Light" w:eastAsia="Times New Roman" w:hAnsi="Lato Light" w:cs="Calibri"/>
                <w:lang w:eastAsia="en-GB"/>
              </w:rPr>
            </w:pPr>
            <w:r w:rsidRPr="009D7BD5">
              <w:rPr>
                <w:rStyle w:val="normaltextrun"/>
                <w:rFonts w:ascii="Lato Light" w:hAnsi="Lato Light" w:cs="Calibri"/>
                <w:color w:val="000000"/>
                <w:bdr w:val="none" w:sz="0" w:space="0" w:color="auto" w:frame="1"/>
              </w:rPr>
              <w:t>Negative unfunded checks</w:t>
            </w:r>
          </w:p>
        </w:tc>
      </w:tr>
      <w:tr w:rsidR="006E0A1E" w:rsidRPr="009D7BD5" w14:paraId="7FE3B7FE" w14:textId="77777777" w:rsidTr="00F74124">
        <w:tc>
          <w:tcPr>
            <w:tcW w:w="567" w:type="dxa"/>
            <w:vMerge w:val="restart"/>
            <w:vAlign w:val="center"/>
          </w:tcPr>
          <w:p w14:paraId="7FC7BDBC" w14:textId="51EA5E36"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r w:rsidRPr="009D7BD5">
              <w:rPr>
                <w:rFonts w:ascii="Lato Light" w:eastAsia="Times New Roman" w:hAnsi="Lato Light" w:cs="Calibri"/>
                <w:b/>
                <w:bCs/>
                <w:lang w:eastAsia="en-GB"/>
              </w:rPr>
              <w:t>e)</w:t>
            </w:r>
          </w:p>
        </w:tc>
        <w:tc>
          <w:tcPr>
            <w:tcW w:w="3260" w:type="dxa"/>
            <w:vMerge w:val="restart"/>
            <w:vAlign w:val="center"/>
          </w:tcPr>
          <w:p w14:paraId="26CAAAD4" w14:textId="4FA9EEDB" w:rsidR="006E0A1E" w:rsidRPr="009D7BD5" w:rsidRDefault="006E0A1E" w:rsidP="0030101D">
            <w:pPr>
              <w:spacing w:before="120" w:after="240" w:line="240" w:lineRule="auto"/>
              <w:jc w:val="center"/>
              <w:textAlignment w:val="baseline"/>
              <w:rPr>
                <w:rStyle w:val="normaltextrun"/>
                <w:rFonts w:ascii="Lato Light" w:eastAsia="Times New Roman" w:hAnsi="Lato Light" w:cs="Segoe UI"/>
                <w:b/>
                <w:bCs/>
                <w:lang w:eastAsia="en-GB"/>
              </w:rPr>
            </w:pPr>
            <w:r w:rsidRPr="009D7BD5">
              <w:rPr>
                <w:rFonts w:ascii="Lato Light" w:eastAsia="Times New Roman" w:hAnsi="Lato Light" w:cs="Calibri"/>
                <w:b/>
                <w:bCs/>
                <w:lang w:eastAsia="en-GB"/>
              </w:rPr>
              <w:t>Property &amp;</w:t>
            </w:r>
            <w:r w:rsidRPr="009D7BD5">
              <w:rPr>
                <w:rFonts w:ascii="Lato Light" w:eastAsia="Times New Roman" w:hAnsi="Lato Light"/>
                <w:b/>
                <w:bCs/>
                <w:lang w:eastAsia="en-GB"/>
              </w:rPr>
              <w:t xml:space="preserve"> Infrastructure </w:t>
            </w:r>
            <w:r w:rsidRPr="009D7BD5">
              <w:rPr>
                <w:rFonts w:ascii="Lato Light" w:eastAsia="Times New Roman" w:hAnsi="Lato Light" w:cs="Calibri"/>
                <w:b/>
                <w:bCs/>
                <w:lang w:eastAsia="en-GB"/>
              </w:rPr>
              <w:t>based risk measures</w:t>
            </w:r>
          </w:p>
        </w:tc>
        <w:tc>
          <w:tcPr>
            <w:tcW w:w="5386" w:type="dxa"/>
          </w:tcPr>
          <w:p w14:paraId="48084249" w14:textId="771BB3A8" w:rsidR="006E0A1E" w:rsidRPr="009D7BD5" w:rsidRDefault="006E0A1E"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lang w:eastAsia="en-GB"/>
              </w:rPr>
              <w:t>Currency analysis of the portfolio </w:t>
            </w:r>
          </w:p>
        </w:tc>
      </w:tr>
      <w:tr w:rsidR="006E0A1E" w:rsidRPr="009D7BD5" w14:paraId="776AA6E4" w14:textId="77777777" w:rsidTr="00F74124">
        <w:tc>
          <w:tcPr>
            <w:tcW w:w="567" w:type="dxa"/>
            <w:vMerge/>
            <w:vAlign w:val="center"/>
          </w:tcPr>
          <w:p w14:paraId="415DAD61" w14:textId="77777777"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3260" w:type="dxa"/>
            <w:vMerge/>
            <w:vAlign w:val="center"/>
          </w:tcPr>
          <w:p w14:paraId="64B8779F" w14:textId="629676F0"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5386" w:type="dxa"/>
          </w:tcPr>
          <w:p w14:paraId="13D1EC80" w14:textId="5B1F60DA" w:rsidR="006E0A1E" w:rsidRPr="009D7BD5" w:rsidRDefault="006E0A1E" w:rsidP="0030101D">
            <w:p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lang w:eastAsia="en-GB"/>
              </w:rPr>
              <w:t>Counterparty analysis (Tenants, Suppliers, Corporates) </w:t>
            </w:r>
          </w:p>
        </w:tc>
      </w:tr>
      <w:tr w:rsidR="006E0A1E" w:rsidRPr="009D7BD5" w14:paraId="15AA56B5" w14:textId="77777777" w:rsidTr="00F74124">
        <w:tc>
          <w:tcPr>
            <w:tcW w:w="567" w:type="dxa"/>
            <w:vMerge/>
            <w:vAlign w:val="center"/>
          </w:tcPr>
          <w:p w14:paraId="29C9824C" w14:textId="77777777"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3260" w:type="dxa"/>
            <w:vMerge/>
            <w:vAlign w:val="center"/>
          </w:tcPr>
          <w:p w14:paraId="00DCF107" w14:textId="1BF53A47"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5386" w:type="dxa"/>
          </w:tcPr>
          <w:p w14:paraId="3717587C" w14:textId="73AD3381" w:rsidR="006E0A1E" w:rsidRPr="009D7BD5" w:rsidRDefault="006E0A1E" w:rsidP="0030101D">
            <w:pPr>
              <w:spacing w:before="120" w:after="240" w:line="240" w:lineRule="auto"/>
              <w:jc w:val="both"/>
              <w:textAlignment w:val="baseline"/>
              <w:rPr>
                <w:rFonts w:ascii="Lato Light" w:eastAsia="Times New Roman" w:hAnsi="Lato Light" w:cs="Calibri"/>
                <w:lang w:eastAsia="en-GB"/>
              </w:rPr>
            </w:pPr>
            <w:r w:rsidRPr="009D7BD5">
              <w:rPr>
                <w:rFonts w:ascii="Lato Light" w:eastAsia="Times New Roman" w:hAnsi="Lato Light" w:cs="Calibri"/>
                <w:lang w:eastAsia="en-GB"/>
              </w:rPr>
              <w:t>Contract length (power purchase agreements, weighted average unexpired lease terms)</w:t>
            </w:r>
          </w:p>
        </w:tc>
      </w:tr>
      <w:tr w:rsidR="006E0A1E" w:rsidRPr="009D7BD5" w14:paraId="4712718A" w14:textId="77777777" w:rsidTr="00F74124">
        <w:tc>
          <w:tcPr>
            <w:tcW w:w="567" w:type="dxa"/>
            <w:vMerge w:val="restart"/>
            <w:vAlign w:val="center"/>
          </w:tcPr>
          <w:p w14:paraId="30170047" w14:textId="070F3F02"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r w:rsidRPr="009D7BD5">
              <w:rPr>
                <w:rFonts w:ascii="Lato Light" w:eastAsia="Times New Roman" w:hAnsi="Lato Light" w:cs="Calibri"/>
                <w:b/>
                <w:bCs/>
                <w:lang w:eastAsia="en-GB"/>
              </w:rPr>
              <w:t>f)</w:t>
            </w:r>
          </w:p>
        </w:tc>
        <w:tc>
          <w:tcPr>
            <w:tcW w:w="3260" w:type="dxa"/>
            <w:vMerge w:val="restart"/>
            <w:vAlign w:val="center"/>
          </w:tcPr>
          <w:p w14:paraId="5BEE3EE3" w14:textId="4EC9D5AC"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r w:rsidRPr="009D7BD5">
              <w:rPr>
                <w:rFonts w:ascii="Lato Light" w:eastAsia="Times New Roman" w:hAnsi="Lato Light" w:cs="Calibri"/>
                <w:b/>
                <w:bCs/>
                <w:lang w:eastAsia="en-GB"/>
              </w:rPr>
              <w:t>Peer Analysis</w:t>
            </w:r>
          </w:p>
        </w:tc>
        <w:tc>
          <w:tcPr>
            <w:tcW w:w="5386" w:type="dxa"/>
          </w:tcPr>
          <w:p w14:paraId="5DEF796F" w14:textId="5C5959A3" w:rsidR="006E0A1E" w:rsidRPr="009D7BD5" w:rsidRDefault="006E0A1E" w:rsidP="0030101D">
            <w:pPr>
              <w:spacing w:before="120" w:after="240" w:line="240" w:lineRule="auto"/>
              <w:jc w:val="both"/>
              <w:textAlignment w:val="baseline"/>
              <w:rPr>
                <w:rFonts w:ascii="Lato Light" w:eastAsia="Times New Roman" w:hAnsi="Lato Light" w:cs="Calibri"/>
                <w:lang w:eastAsia="en-GB"/>
              </w:rPr>
            </w:pPr>
            <w:r w:rsidRPr="009D7BD5">
              <w:rPr>
                <w:rStyle w:val="normaltextrun"/>
                <w:rFonts w:ascii="Lato Light" w:hAnsi="Lato Light" w:cs="Calibri"/>
                <w:color w:val="000000"/>
                <w:bdr w:val="none" w:sz="0" w:space="0" w:color="auto" w:frame="1"/>
              </w:rPr>
              <w:t>Firm and product database</w:t>
            </w:r>
          </w:p>
        </w:tc>
      </w:tr>
      <w:tr w:rsidR="006E0A1E" w:rsidRPr="009D7BD5" w14:paraId="48205A08" w14:textId="77777777" w:rsidTr="00F74124">
        <w:tc>
          <w:tcPr>
            <w:tcW w:w="567" w:type="dxa"/>
            <w:vMerge/>
            <w:vAlign w:val="center"/>
          </w:tcPr>
          <w:p w14:paraId="63BBE12A" w14:textId="77777777"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3260" w:type="dxa"/>
            <w:vMerge/>
            <w:vAlign w:val="center"/>
          </w:tcPr>
          <w:p w14:paraId="3E75F022" w14:textId="0CE5B776"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5386" w:type="dxa"/>
          </w:tcPr>
          <w:p w14:paraId="4D8A27A9" w14:textId="31445A8F" w:rsidR="006E0A1E" w:rsidRPr="009D7BD5" w:rsidRDefault="006E0A1E" w:rsidP="0030101D">
            <w:pPr>
              <w:spacing w:before="120" w:after="240" w:line="240" w:lineRule="auto"/>
              <w:jc w:val="both"/>
              <w:textAlignment w:val="baseline"/>
              <w:rPr>
                <w:rStyle w:val="normaltextrun"/>
                <w:rFonts w:ascii="Lato Light" w:hAnsi="Lato Light" w:cs="Calibri"/>
                <w:color w:val="000000"/>
                <w:bdr w:val="none" w:sz="0" w:space="0" w:color="auto" w:frame="1"/>
              </w:rPr>
            </w:pPr>
            <w:r w:rsidRPr="009D7BD5">
              <w:rPr>
                <w:rStyle w:val="normaltextrun"/>
                <w:rFonts w:ascii="Lato Light" w:hAnsi="Lato Light" w:cs="Calibri"/>
                <w:color w:val="000000"/>
                <w:bdr w:val="none" w:sz="0" w:space="0" w:color="auto" w:frame="1"/>
              </w:rPr>
              <w:t>Universe/peer analytics per vintage</w:t>
            </w:r>
          </w:p>
        </w:tc>
      </w:tr>
      <w:tr w:rsidR="006E0A1E" w:rsidRPr="009D7BD5" w14:paraId="08D66258" w14:textId="77777777" w:rsidTr="00F74124">
        <w:tc>
          <w:tcPr>
            <w:tcW w:w="567" w:type="dxa"/>
            <w:vMerge/>
            <w:vAlign w:val="center"/>
          </w:tcPr>
          <w:p w14:paraId="0BCD535D" w14:textId="77777777"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3260" w:type="dxa"/>
            <w:vMerge/>
            <w:vAlign w:val="center"/>
          </w:tcPr>
          <w:p w14:paraId="1B0468E5" w14:textId="458148A9"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5386" w:type="dxa"/>
          </w:tcPr>
          <w:p w14:paraId="1338E5D9" w14:textId="3EFA07E1" w:rsidR="006E0A1E" w:rsidRPr="009D7BD5" w:rsidRDefault="006E0A1E" w:rsidP="0030101D">
            <w:pPr>
              <w:spacing w:before="120" w:after="240" w:line="240" w:lineRule="auto"/>
              <w:jc w:val="both"/>
              <w:textAlignment w:val="baseline"/>
              <w:rPr>
                <w:rStyle w:val="normaltextrun"/>
                <w:rFonts w:ascii="Lato Light" w:hAnsi="Lato Light" w:cs="Calibri"/>
                <w:color w:val="000000"/>
                <w:bdr w:val="none" w:sz="0" w:space="0" w:color="auto" w:frame="1"/>
              </w:rPr>
            </w:pPr>
            <w:r w:rsidRPr="009D7BD5">
              <w:rPr>
                <w:rStyle w:val="normaltextrun"/>
                <w:rFonts w:ascii="Lato Light" w:hAnsi="Lato Light" w:cs="Calibri"/>
                <w:color w:val="000000"/>
                <w:bdr w:val="none" w:sz="0" w:space="0" w:color="auto" w:frame="1"/>
              </w:rPr>
              <w:t>Peer benchmarks</w:t>
            </w:r>
          </w:p>
        </w:tc>
      </w:tr>
      <w:tr w:rsidR="006E0A1E" w:rsidRPr="009D7BD5" w14:paraId="0F2083D3" w14:textId="77777777" w:rsidTr="00F74124">
        <w:tc>
          <w:tcPr>
            <w:tcW w:w="567" w:type="dxa"/>
            <w:vMerge w:val="restart"/>
            <w:vAlign w:val="center"/>
          </w:tcPr>
          <w:p w14:paraId="32E1B9D3" w14:textId="2B5936E3"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r w:rsidRPr="009D7BD5">
              <w:rPr>
                <w:rFonts w:ascii="Lato Light" w:eastAsia="Times New Roman" w:hAnsi="Lato Light" w:cs="Calibri"/>
                <w:b/>
                <w:bCs/>
                <w:lang w:eastAsia="en-GB"/>
              </w:rPr>
              <w:t>h)</w:t>
            </w:r>
          </w:p>
        </w:tc>
        <w:tc>
          <w:tcPr>
            <w:tcW w:w="3260" w:type="dxa"/>
            <w:vMerge w:val="restart"/>
            <w:vAlign w:val="center"/>
          </w:tcPr>
          <w:p w14:paraId="18A2AE2B" w14:textId="340E9545"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r w:rsidRPr="009D7BD5">
              <w:rPr>
                <w:rFonts w:ascii="Lato Light" w:eastAsia="Times New Roman" w:hAnsi="Lato Light" w:cs="Calibri"/>
                <w:b/>
                <w:bCs/>
                <w:lang w:eastAsia="en-GB"/>
              </w:rPr>
              <w:t>Quarterly Reporting</w:t>
            </w:r>
          </w:p>
        </w:tc>
        <w:tc>
          <w:tcPr>
            <w:tcW w:w="5386" w:type="dxa"/>
          </w:tcPr>
          <w:p w14:paraId="34006B48" w14:textId="552FEA46" w:rsidR="006E0A1E" w:rsidRPr="009D7BD5" w:rsidRDefault="006E0A1E" w:rsidP="0030101D">
            <w:pPr>
              <w:spacing w:before="120" w:after="240" w:line="240" w:lineRule="auto"/>
              <w:jc w:val="both"/>
              <w:textAlignment w:val="baseline"/>
              <w:rPr>
                <w:rStyle w:val="normaltextrun"/>
                <w:rFonts w:ascii="Lato Light" w:hAnsi="Lato Light" w:cs="Calibri"/>
                <w:color w:val="000000"/>
                <w:bdr w:val="none" w:sz="0" w:space="0" w:color="auto" w:frame="1"/>
              </w:rPr>
            </w:pPr>
            <w:r w:rsidRPr="009D7BD5">
              <w:rPr>
                <w:rFonts w:ascii="Lato Light" w:eastAsia="Times New Roman" w:hAnsi="Lato Light"/>
              </w:rPr>
              <w:t>Management fees, expenses, and carry/performance fees by fund on an accrual basis</w:t>
            </w:r>
          </w:p>
        </w:tc>
      </w:tr>
      <w:tr w:rsidR="006E0A1E" w:rsidRPr="009D7BD5" w14:paraId="009378D4" w14:textId="77777777" w:rsidTr="00F74124">
        <w:tc>
          <w:tcPr>
            <w:tcW w:w="567" w:type="dxa"/>
            <w:vMerge/>
            <w:vAlign w:val="center"/>
          </w:tcPr>
          <w:p w14:paraId="321662FE" w14:textId="77777777"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3260" w:type="dxa"/>
            <w:vMerge/>
            <w:vAlign w:val="center"/>
          </w:tcPr>
          <w:p w14:paraId="1FE07906" w14:textId="77777777"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5386" w:type="dxa"/>
          </w:tcPr>
          <w:p w14:paraId="018FB15A" w14:textId="457E28A3" w:rsidR="006E0A1E" w:rsidRPr="009D7BD5" w:rsidRDefault="006E0A1E" w:rsidP="0030101D">
            <w:pPr>
              <w:spacing w:before="120" w:after="240" w:line="240" w:lineRule="auto"/>
              <w:rPr>
                <w:rFonts w:ascii="Lato Light" w:eastAsia="Times New Roman" w:hAnsi="Lato Light"/>
              </w:rPr>
            </w:pPr>
            <w:r w:rsidRPr="009D7BD5">
              <w:rPr>
                <w:rFonts w:ascii="Lato Light" w:eastAsia="Times New Roman" w:hAnsi="Lato Light"/>
              </w:rPr>
              <w:t>Date of commitment and commitment amount to each fund</w:t>
            </w:r>
          </w:p>
        </w:tc>
      </w:tr>
      <w:tr w:rsidR="006E0A1E" w:rsidRPr="009D7BD5" w14:paraId="4E786464" w14:textId="77777777" w:rsidTr="00F74124">
        <w:tc>
          <w:tcPr>
            <w:tcW w:w="567" w:type="dxa"/>
            <w:vMerge/>
            <w:vAlign w:val="center"/>
          </w:tcPr>
          <w:p w14:paraId="0F284963" w14:textId="77777777"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3260" w:type="dxa"/>
            <w:vMerge/>
            <w:vAlign w:val="center"/>
          </w:tcPr>
          <w:p w14:paraId="17940A79" w14:textId="77777777" w:rsidR="006E0A1E" w:rsidRPr="009D7BD5" w:rsidRDefault="006E0A1E" w:rsidP="0030101D">
            <w:pPr>
              <w:spacing w:before="120" w:after="240" w:line="240" w:lineRule="auto"/>
              <w:jc w:val="center"/>
              <w:textAlignment w:val="baseline"/>
              <w:rPr>
                <w:rFonts w:ascii="Lato Light" w:eastAsia="Times New Roman" w:hAnsi="Lato Light" w:cs="Calibri"/>
                <w:b/>
                <w:bCs/>
                <w:lang w:eastAsia="en-GB"/>
              </w:rPr>
            </w:pPr>
          </w:p>
        </w:tc>
        <w:tc>
          <w:tcPr>
            <w:tcW w:w="5386" w:type="dxa"/>
          </w:tcPr>
          <w:p w14:paraId="25627D94" w14:textId="7BB0310F" w:rsidR="006E0A1E" w:rsidRPr="009D7BD5" w:rsidRDefault="006E0A1E" w:rsidP="0030101D">
            <w:pPr>
              <w:spacing w:before="120" w:after="240" w:line="240" w:lineRule="auto"/>
              <w:rPr>
                <w:rFonts w:ascii="Lato Light" w:eastAsia="Times New Roman" w:hAnsi="Lato Light"/>
              </w:rPr>
            </w:pPr>
            <w:r w:rsidRPr="009D7BD5">
              <w:rPr>
                <w:rFonts w:ascii="Lato Light" w:eastAsia="Times New Roman" w:hAnsi="Lato Light"/>
              </w:rPr>
              <w:t>Drawdown, outstanding commitment, Unfunded commitment check and distribution amounts by fund</w:t>
            </w:r>
          </w:p>
        </w:tc>
      </w:tr>
    </w:tbl>
    <w:p w14:paraId="448A8511" w14:textId="1473B5E4" w:rsidR="00DC2F57" w:rsidRDefault="0055676C" w:rsidP="0030101D">
      <w:pPr>
        <w:pStyle w:val="ListParagraph"/>
        <w:numPr>
          <w:ilvl w:val="1"/>
          <w:numId w:val="28"/>
        </w:numPr>
        <w:spacing w:before="120" w:after="240" w:line="240" w:lineRule="auto"/>
        <w:jc w:val="both"/>
        <w:textAlignment w:val="baseline"/>
        <w:rPr>
          <w:rStyle w:val="normaltextrun"/>
          <w:rFonts w:ascii="Lato Light" w:hAnsi="Lato Light" w:cs="Calibri"/>
          <w:shd w:val="clear" w:color="auto" w:fill="FFFFFF"/>
        </w:rPr>
      </w:pPr>
      <w:r w:rsidRPr="009D7BD5">
        <w:rPr>
          <w:rStyle w:val="normaltextrun"/>
          <w:rFonts w:ascii="Lato Light" w:hAnsi="Lato Light" w:cs="Calibri"/>
          <w:shd w:val="clear" w:color="auto" w:fill="FFFFFF"/>
        </w:rPr>
        <w:t xml:space="preserve">The solution must track fund performance as outlined in paragraph </w:t>
      </w:r>
      <w:r w:rsidRPr="009D7BD5">
        <w:rPr>
          <w:rStyle w:val="normaltextrun"/>
          <w:rFonts w:ascii="Lato Light" w:hAnsi="Lato Light" w:cs="Calibri"/>
          <w:shd w:val="clear" w:color="auto" w:fill="FFFFFF"/>
        </w:rPr>
        <w:fldChar w:fldCharType="begin"/>
      </w:r>
      <w:r w:rsidRPr="009D7BD5">
        <w:rPr>
          <w:rStyle w:val="normaltextrun"/>
          <w:rFonts w:ascii="Lato Light" w:hAnsi="Lato Light" w:cs="Calibri"/>
          <w:shd w:val="clear" w:color="auto" w:fill="FFFFFF"/>
        </w:rPr>
        <w:instrText xml:space="preserve"> REF _Ref109654288 \r \h  \* MERGEFORMAT </w:instrText>
      </w:r>
      <w:r w:rsidRPr="009D7BD5">
        <w:rPr>
          <w:rStyle w:val="normaltextrun"/>
          <w:rFonts w:ascii="Lato Light" w:hAnsi="Lato Light" w:cs="Calibri"/>
          <w:shd w:val="clear" w:color="auto" w:fill="FFFFFF"/>
        </w:rPr>
      </w:r>
      <w:r w:rsidRPr="009D7BD5">
        <w:rPr>
          <w:rStyle w:val="normaltextrun"/>
          <w:rFonts w:ascii="Lato Light" w:hAnsi="Lato Light" w:cs="Calibri"/>
          <w:shd w:val="clear" w:color="auto" w:fill="FFFFFF"/>
        </w:rPr>
        <w:fldChar w:fldCharType="separate"/>
      </w:r>
      <w:r w:rsidR="00B44B03">
        <w:rPr>
          <w:rStyle w:val="normaltextrun"/>
          <w:rFonts w:ascii="Lato Light" w:hAnsi="Lato Light" w:cs="Calibri"/>
          <w:shd w:val="clear" w:color="auto" w:fill="FFFFFF"/>
        </w:rPr>
        <w:t>1.2</w:t>
      </w:r>
      <w:r w:rsidRPr="009D7BD5">
        <w:rPr>
          <w:rStyle w:val="normaltextrun"/>
          <w:rFonts w:ascii="Lato Light" w:hAnsi="Lato Light" w:cs="Calibri"/>
          <w:shd w:val="clear" w:color="auto" w:fill="FFFFFF"/>
        </w:rPr>
        <w:fldChar w:fldCharType="end"/>
      </w:r>
      <w:r w:rsidRPr="009D7BD5">
        <w:rPr>
          <w:rStyle w:val="normaltextrun"/>
          <w:rFonts w:ascii="Lato Light" w:hAnsi="Lato Light" w:cs="Calibri"/>
          <w:shd w:val="clear" w:color="auto" w:fill="FFFFFF"/>
        </w:rPr>
        <w:t xml:space="preserve"> on a net basis and information on portfolio company holdings within the funds, plus peer universe and benchmark insights.</w:t>
      </w:r>
      <w:r w:rsidR="006E0A1E" w:rsidRPr="009D7BD5">
        <w:rPr>
          <w:rStyle w:val="normaltextrun"/>
          <w:rFonts w:ascii="Lato Light" w:hAnsi="Lato Light" w:cs="Calibri"/>
          <w:shd w:val="clear" w:color="auto" w:fill="FFFFFF"/>
        </w:rPr>
        <w:t xml:space="preserve"> In addition, London CIV may pay fees outside of the funds, which will need to be accounted for in the performance calculations.</w:t>
      </w:r>
    </w:p>
    <w:p w14:paraId="3525DC0E" w14:textId="77777777" w:rsidR="002D3BAC" w:rsidRPr="009D7BD5" w:rsidRDefault="002D3BAC" w:rsidP="002D3BAC">
      <w:pPr>
        <w:pStyle w:val="ListParagraph"/>
        <w:spacing w:before="120" w:after="240" w:line="240" w:lineRule="auto"/>
        <w:ind w:left="396"/>
        <w:jc w:val="both"/>
        <w:textAlignment w:val="baseline"/>
        <w:rPr>
          <w:rStyle w:val="normaltextrun"/>
          <w:rFonts w:ascii="Lato Light" w:hAnsi="Lato Light" w:cs="Calibri"/>
          <w:shd w:val="clear" w:color="auto" w:fill="FFFFFF"/>
        </w:rPr>
      </w:pPr>
    </w:p>
    <w:p w14:paraId="24B85DB3" w14:textId="5D5F569C" w:rsidR="006B1727" w:rsidRDefault="00D4411D" w:rsidP="0030101D">
      <w:pPr>
        <w:pStyle w:val="ListParagraph"/>
        <w:numPr>
          <w:ilvl w:val="0"/>
          <w:numId w:val="28"/>
        </w:numPr>
        <w:spacing w:before="120" w:after="240" w:line="240" w:lineRule="auto"/>
        <w:jc w:val="both"/>
        <w:textAlignment w:val="baseline"/>
        <w:rPr>
          <w:rFonts w:ascii="Lato Light" w:hAnsi="Lato Light" w:cs="Calibri"/>
          <w:b/>
          <w:bCs/>
          <w:shd w:val="clear" w:color="auto" w:fill="FFFFFF"/>
        </w:rPr>
      </w:pPr>
      <w:r>
        <w:rPr>
          <w:rFonts w:ascii="Lato Light" w:hAnsi="Lato Light" w:cs="Calibri"/>
          <w:b/>
          <w:bCs/>
          <w:shd w:val="clear" w:color="auto" w:fill="FFFFFF"/>
        </w:rPr>
        <w:t xml:space="preserve">System </w:t>
      </w:r>
      <w:r w:rsidR="006B1727" w:rsidRPr="009D7BD5">
        <w:rPr>
          <w:rFonts w:ascii="Lato Light" w:hAnsi="Lato Light" w:cs="Calibri"/>
          <w:b/>
          <w:bCs/>
          <w:shd w:val="clear" w:color="auto" w:fill="FFFFFF"/>
        </w:rPr>
        <w:t>Functionality</w:t>
      </w:r>
    </w:p>
    <w:p w14:paraId="757A0C44" w14:textId="77777777" w:rsidR="002D3BAC" w:rsidRPr="009D7BD5" w:rsidRDefault="002D3BAC" w:rsidP="002D3BAC">
      <w:pPr>
        <w:pStyle w:val="ListParagraph"/>
        <w:spacing w:before="120" w:after="240" w:line="240" w:lineRule="auto"/>
        <w:ind w:left="396"/>
        <w:jc w:val="both"/>
        <w:textAlignment w:val="baseline"/>
        <w:rPr>
          <w:rFonts w:ascii="Lato Light" w:hAnsi="Lato Light" w:cs="Calibri"/>
          <w:b/>
          <w:bCs/>
          <w:shd w:val="clear" w:color="auto" w:fill="FFFFFF"/>
        </w:rPr>
      </w:pPr>
    </w:p>
    <w:p w14:paraId="2B3B4258" w14:textId="05290327" w:rsidR="002D3BAC" w:rsidRPr="002D3BAC" w:rsidRDefault="006B1727" w:rsidP="002D3BAC">
      <w:pPr>
        <w:pStyle w:val="ListParagraph"/>
        <w:numPr>
          <w:ilvl w:val="1"/>
          <w:numId w:val="28"/>
        </w:numPr>
        <w:spacing w:before="120" w:after="240" w:line="240" w:lineRule="auto"/>
        <w:jc w:val="both"/>
        <w:textAlignment w:val="baseline"/>
        <w:rPr>
          <w:rStyle w:val="normaltextrun"/>
          <w:rFonts w:ascii="Lato Light" w:hAnsi="Lato Light" w:cs="Calibri"/>
          <w:shd w:val="clear" w:color="auto" w:fill="FFFFFF"/>
        </w:rPr>
      </w:pPr>
      <w:r w:rsidRPr="009D7BD5">
        <w:rPr>
          <w:rStyle w:val="normaltextrun"/>
          <w:rFonts w:ascii="Lato Light" w:hAnsi="Lato Light" w:cs="Calibri"/>
          <w:shd w:val="clear" w:color="auto" w:fill="FFFFFF"/>
        </w:rPr>
        <w:t xml:space="preserve">London CIV </w:t>
      </w:r>
      <w:r w:rsidR="004D59E3" w:rsidRPr="009D7BD5">
        <w:rPr>
          <w:rStyle w:val="normaltextrun"/>
          <w:rFonts w:ascii="Lato Light" w:hAnsi="Lato Light" w:cs="Calibri"/>
          <w:shd w:val="clear" w:color="auto" w:fill="FFFFFF"/>
        </w:rPr>
        <w:t xml:space="preserve">requires </w:t>
      </w:r>
      <w:r w:rsidRPr="009D7BD5">
        <w:rPr>
          <w:rStyle w:val="normaltextrun"/>
          <w:rFonts w:ascii="Lato Light" w:hAnsi="Lato Light" w:cs="Calibri"/>
          <w:shd w:val="clear" w:color="auto" w:fill="FFFFFF"/>
        </w:rPr>
        <w:t xml:space="preserve">a data consolidation and aggregation solution that </w:t>
      </w:r>
      <w:r w:rsidR="00E564DA" w:rsidRPr="009D7BD5">
        <w:rPr>
          <w:rStyle w:val="normaltextrun"/>
          <w:rFonts w:ascii="Lato Light" w:hAnsi="Lato Light" w:cs="Calibri"/>
          <w:shd w:val="clear" w:color="auto" w:fill="FFFFFF"/>
        </w:rPr>
        <w:t xml:space="preserve">meets with the following </w:t>
      </w:r>
      <w:r w:rsidR="004D59E3" w:rsidRPr="009D7BD5">
        <w:rPr>
          <w:rStyle w:val="normaltextrun"/>
          <w:rFonts w:ascii="Lato Light" w:hAnsi="Lato Light" w:cs="Calibri"/>
          <w:shd w:val="clear" w:color="auto" w:fill="FFFFFF"/>
        </w:rPr>
        <w:t xml:space="preserve">functional </w:t>
      </w:r>
      <w:r w:rsidR="00E564DA" w:rsidRPr="009D7BD5">
        <w:rPr>
          <w:rStyle w:val="normaltextrun"/>
          <w:rFonts w:ascii="Lato Light" w:hAnsi="Lato Light" w:cs="Calibri"/>
          <w:shd w:val="clear" w:color="auto" w:fill="FFFFFF"/>
        </w:rPr>
        <w:t>requirements</w:t>
      </w:r>
      <w:r w:rsidRPr="009D7BD5">
        <w:rPr>
          <w:rStyle w:val="normaltextrun"/>
          <w:rFonts w:ascii="Lato Light" w:hAnsi="Lato Light" w:cs="Calibri"/>
          <w:shd w:val="clear" w:color="auto" w:fill="FFFFFF"/>
        </w:rPr>
        <w:t>:</w:t>
      </w:r>
    </w:p>
    <w:p w14:paraId="526113DD" w14:textId="77777777" w:rsidR="006B1727" w:rsidRPr="009D7BD5" w:rsidRDefault="006B1727" w:rsidP="0030101D">
      <w:pPr>
        <w:pStyle w:val="ListParagraph"/>
        <w:numPr>
          <w:ilvl w:val="2"/>
          <w:numId w:val="28"/>
        </w:numPr>
        <w:spacing w:before="120" w:after="240" w:line="240" w:lineRule="auto"/>
        <w:jc w:val="both"/>
        <w:textAlignment w:val="baseline"/>
        <w:rPr>
          <w:rStyle w:val="normaltextrun"/>
          <w:rFonts w:ascii="Lato Light" w:hAnsi="Lato Light" w:cs="Calibri"/>
          <w:shd w:val="clear" w:color="auto" w:fill="FFFFFF"/>
        </w:rPr>
      </w:pPr>
      <w:r w:rsidRPr="009D7BD5">
        <w:rPr>
          <w:rStyle w:val="normaltextrun"/>
          <w:rFonts w:ascii="Lato Light" w:hAnsi="Lato Light" w:cs="Calibri"/>
          <w:shd w:val="clear" w:color="auto" w:fill="FFFFFF"/>
        </w:rPr>
        <w:t xml:space="preserve">create the import </w:t>
      </w:r>
      <w:proofErr w:type="gramStart"/>
      <w:r w:rsidRPr="009D7BD5">
        <w:rPr>
          <w:rStyle w:val="normaltextrun"/>
          <w:rFonts w:ascii="Lato Light" w:hAnsi="Lato Light" w:cs="Calibri"/>
          <w:shd w:val="clear" w:color="auto" w:fill="FFFFFF"/>
        </w:rPr>
        <w:t>translation;</w:t>
      </w:r>
      <w:proofErr w:type="gramEnd"/>
    </w:p>
    <w:p w14:paraId="7143E318" w14:textId="288E77CB" w:rsidR="006B1727" w:rsidRPr="009D7BD5" w:rsidRDefault="006B1727" w:rsidP="0030101D">
      <w:pPr>
        <w:pStyle w:val="ListParagraph"/>
        <w:numPr>
          <w:ilvl w:val="2"/>
          <w:numId w:val="28"/>
        </w:numPr>
        <w:spacing w:before="120" w:after="240" w:line="240" w:lineRule="auto"/>
        <w:jc w:val="both"/>
        <w:textAlignment w:val="baseline"/>
        <w:rPr>
          <w:rStyle w:val="normaltextrun"/>
          <w:rFonts w:ascii="Lato Light" w:hAnsi="Lato Light" w:cs="Calibri"/>
          <w:shd w:val="clear" w:color="auto" w:fill="FFFFFF"/>
        </w:rPr>
      </w:pPr>
      <w:r w:rsidRPr="009D7BD5">
        <w:rPr>
          <w:rStyle w:val="normaltextrun"/>
          <w:rFonts w:ascii="Lato Light" w:hAnsi="Lato Light" w:cs="Calibri"/>
          <w:shd w:val="clear" w:color="auto" w:fill="FFFFFF"/>
        </w:rPr>
        <w:t xml:space="preserve">support </w:t>
      </w:r>
      <w:r w:rsidR="00CA5119" w:rsidRPr="009D7BD5">
        <w:rPr>
          <w:rStyle w:val="normaltextrun"/>
          <w:rFonts w:ascii="Lato Light" w:hAnsi="Lato Light" w:cs="Calibri"/>
          <w:shd w:val="clear" w:color="auto" w:fill="FFFFFF"/>
        </w:rPr>
        <w:t xml:space="preserve">London LCIV </w:t>
      </w:r>
      <w:r w:rsidR="009813F3" w:rsidRPr="009D7BD5">
        <w:rPr>
          <w:rStyle w:val="normaltextrun"/>
          <w:rFonts w:ascii="Lato Light" w:hAnsi="Lato Light" w:cs="Calibri"/>
          <w:shd w:val="clear" w:color="auto" w:fill="FFFFFF"/>
        </w:rPr>
        <w:t>with its reports to</w:t>
      </w:r>
      <w:r w:rsidR="00CA5119" w:rsidRPr="009D7BD5">
        <w:rPr>
          <w:rStyle w:val="normaltextrun"/>
          <w:rFonts w:ascii="Lato Light" w:hAnsi="Lato Light" w:cs="Calibri"/>
          <w:shd w:val="clear" w:color="auto" w:fill="FFFFFF"/>
        </w:rPr>
        <w:t xml:space="preserve"> </w:t>
      </w:r>
      <w:proofErr w:type="gramStart"/>
      <w:r w:rsidR="00CA5119" w:rsidRPr="009D7BD5">
        <w:rPr>
          <w:rStyle w:val="normaltextrun"/>
          <w:rFonts w:ascii="Lato Light" w:hAnsi="Lato Light" w:cs="Calibri"/>
          <w:shd w:val="clear" w:color="auto" w:fill="FFFFFF"/>
        </w:rPr>
        <w:t>clients</w:t>
      </w:r>
      <w:r w:rsidRPr="009D7BD5">
        <w:rPr>
          <w:rStyle w:val="normaltextrun"/>
          <w:rFonts w:ascii="Lato Light" w:hAnsi="Lato Light" w:cs="Calibri"/>
          <w:shd w:val="clear" w:color="auto" w:fill="FFFFFF"/>
        </w:rPr>
        <w:t>;</w:t>
      </w:r>
      <w:proofErr w:type="gramEnd"/>
    </w:p>
    <w:p w14:paraId="546BF971" w14:textId="795BE4AC" w:rsidR="006B1727" w:rsidRPr="009D7BD5" w:rsidRDefault="006B1727" w:rsidP="0030101D">
      <w:pPr>
        <w:pStyle w:val="ListParagraph"/>
        <w:numPr>
          <w:ilvl w:val="2"/>
          <w:numId w:val="28"/>
        </w:numPr>
        <w:spacing w:before="120" w:after="240" w:line="240" w:lineRule="auto"/>
        <w:jc w:val="both"/>
        <w:textAlignment w:val="baseline"/>
        <w:rPr>
          <w:rStyle w:val="normaltextrun"/>
          <w:rFonts w:ascii="Lato Light" w:hAnsi="Lato Light" w:cs="Calibri"/>
          <w:shd w:val="clear" w:color="auto" w:fill="FFFFFF"/>
        </w:rPr>
      </w:pPr>
      <w:r w:rsidRPr="009D7BD5">
        <w:rPr>
          <w:rStyle w:val="normaltextrun"/>
          <w:rFonts w:ascii="Lato Light" w:hAnsi="Lato Light" w:cs="Calibri"/>
          <w:color w:val="000000"/>
          <w:bdr w:val="none" w:sz="0" w:space="0" w:color="auto" w:frame="1"/>
        </w:rPr>
        <w:t xml:space="preserve">allow for the creation of a fund risk profile and monitoring plan that relates to each of the </w:t>
      </w:r>
      <w:r w:rsidR="0032354C" w:rsidRPr="009D7BD5">
        <w:rPr>
          <w:rStyle w:val="normaltextrun"/>
          <w:rFonts w:ascii="Lato Light" w:hAnsi="Lato Light" w:cs="Calibri"/>
          <w:color w:val="000000"/>
          <w:bdr w:val="none" w:sz="0" w:space="0" w:color="auto" w:frame="1"/>
        </w:rPr>
        <w:t>risk areas</w:t>
      </w:r>
      <w:r w:rsidR="002D3BAC">
        <w:rPr>
          <w:rStyle w:val="normaltextrun"/>
          <w:rFonts w:ascii="Lato Light" w:hAnsi="Lato Light" w:cs="Calibri"/>
          <w:color w:val="000000"/>
          <w:bdr w:val="none" w:sz="0" w:space="0" w:color="auto" w:frame="1"/>
        </w:rPr>
        <w:t xml:space="preserve"> outlined in section </w:t>
      </w:r>
      <w:r w:rsidR="009C7F4B">
        <w:rPr>
          <w:rStyle w:val="normaltextrun"/>
          <w:rFonts w:ascii="Lato Light" w:hAnsi="Lato Light" w:cs="Calibri"/>
          <w:color w:val="000000"/>
          <w:bdr w:val="none" w:sz="0" w:space="0" w:color="auto" w:frame="1"/>
        </w:rPr>
        <w:fldChar w:fldCharType="begin"/>
      </w:r>
      <w:r w:rsidR="009C7F4B">
        <w:rPr>
          <w:rStyle w:val="normaltextrun"/>
          <w:rFonts w:ascii="Lato Light" w:hAnsi="Lato Light" w:cs="Calibri"/>
          <w:color w:val="000000"/>
          <w:bdr w:val="none" w:sz="0" w:space="0" w:color="auto" w:frame="1"/>
        </w:rPr>
        <w:instrText xml:space="preserve"> REF _Ref110802971 \r \h </w:instrText>
      </w:r>
      <w:r w:rsidR="009C7F4B">
        <w:rPr>
          <w:rStyle w:val="normaltextrun"/>
          <w:rFonts w:ascii="Lato Light" w:hAnsi="Lato Light" w:cs="Calibri"/>
          <w:color w:val="000000"/>
          <w:bdr w:val="none" w:sz="0" w:space="0" w:color="auto" w:frame="1"/>
        </w:rPr>
      </w:r>
      <w:r w:rsidR="009C7F4B">
        <w:rPr>
          <w:rStyle w:val="normaltextrun"/>
          <w:rFonts w:ascii="Lato Light" w:hAnsi="Lato Light" w:cs="Calibri"/>
          <w:color w:val="000000"/>
          <w:bdr w:val="none" w:sz="0" w:space="0" w:color="auto" w:frame="1"/>
        </w:rPr>
        <w:fldChar w:fldCharType="separate"/>
      </w:r>
      <w:r w:rsidR="00B44B03">
        <w:rPr>
          <w:rStyle w:val="normaltextrun"/>
          <w:rFonts w:ascii="Lato Light" w:hAnsi="Lato Light" w:cs="Calibri"/>
          <w:color w:val="000000"/>
          <w:bdr w:val="none" w:sz="0" w:space="0" w:color="auto" w:frame="1"/>
        </w:rPr>
        <w:t>1.2</w:t>
      </w:r>
      <w:r w:rsidR="009C7F4B">
        <w:rPr>
          <w:rStyle w:val="normaltextrun"/>
          <w:rFonts w:ascii="Lato Light" w:hAnsi="Lato Light" w:cs="Calibri"/>
          <w:color w:val="000000"/>
          <w:bdr w:val="none" w:sz="0" w:space="0" w:color="auto" w:frame="1"/>
        </w:rPr>
        <w:fldChar w:fldCharType="end"/>
      </w:r>
      <w:r w:rsidR="009C7F4B">
        <w:rPr>
          <w:rStyle w:val="normaltextrun"/>
          <w:rFonts w:ascii="Lato Light" w:hAnsi="Lato Light" w:cs="Calibri"/>
          <w:color w:val="000000"/>
          <w:bdr w:val="none" w:sz="0" w:space="0" w:color="auto" w:frame="1"/>
        </w:rPr>
        <w:t>(d</w:t>
      </w:r>
      <w:proofErr w:type="gramStart"/>
      <w:r w:rsidR="009C7F4B">
        <w:rPr>
          <w:rStyle w:val="normaltextrun"/>
          <w:rFonts w:ascii="Lato Light" w:hAnsi="Lato Light" w:cs="Calibri"/>
          <w:color w:val="000000"/>
          <w:bdr w:val="none" w:sz="0" w:space="0" w:color="auto" w:frame="1"/>
        </w:rPr>
        <w:t>)</w:t>
      </w:r>
      <w:r w:rsidR="007E0D1A">
        <w:rPr>
          <w:rStyle w:val="normaltextrun"/>
          <w:rFonts w:ascii="Lato Light" w:hAnsi="Lato Light" w:cs="Calibri"/>
          <w:color w:val="000000"/>
          <w:bdr w:val="none" w:sz="0" w:space="0" w:color="auto" w:frame="1"/>
        </w:rPr>
        <w:t>;</w:t>
      </w:r>
      <w:proofErr w:type="gramEnd"/>
    </w:p>
    <w:p w14:paraId="4D4D4947" w14:textId="77777777" w:rsidR="006B1727" w:rsidRPr="009D7BD5" w:rsidRDefault="006B1727" w:rsidP="0030101D">
      <w:pPr>
        <w:pStyle w:val="ListParagraph"/>
        <w:numPr>
          <w:ilvl w:val="2"/>
          <w:numId w:val="28"/>
        </w:numPr>
        <w:spacing w:before="120" w:after="240" w:line="240" w:lineRule="auto"/>
        <w:jc w:val="both"/>
        <w:textAlignment w:val="baseline"/>
        <w:rPr>
          <w:rStyle w:val="normaltextrun"/>
          <w:rFonts w:ascii="Lato Light" w:hAnsi="Lato Light" w:cs="Calibri"/>
          <w:shd w:val="clear" w:color="auto" w:fill="FFFFFF"/>
        </w:rPr>
      </w:pPr>
      <w:r w:rsidRPr="009D7BD5">
        <w:rPr>
          <w:rStyle w:val="normaltextrun"/>
          <w:rFonts w:ascii="Lato Light" w:hAnsi="Lato Light" w:cs="Calibri"/>
          <w:color w:val="000000"/>
          <w:bdr w:val="none" w:sz="0" w:space="0" w:color="auto" w:frame="1"/>
        </w:rPr>
        <w:lastRenderedPageBreak/>
        <w:t>has data load exception management including:</w:t>
      </w:r>
    </w:p>
    <w:p w14:paraId="290111D8" w14:textId="77777777" w:rsidR="006B1727" w:rsidRPr="009D7BD5" w:rsidRDefault="006B1727" w:rsidP="009C7F4B">
      <w:pPr>
        <w:pStyle w:val="ListParagraph"/>
        <w:numPr>
          <w:ilvl w:val="1"/>
          <w:numId w:val="29"/>
        </w:numPr>
        <w:spacing w:after="120" w:line="240" w:lineRule="auto"/>
        <w:ind w:left="1134" w:hanging="425"/>
        <w:contextualSpacing w:val="0"/>
        <w:rPr>
          <w:rFonts w:ascii="Lato Light" w:eastAsia="Times New Roman" w:hAnsi="Lato Light" w:cs="Calibri"/>
        </w:rPr>
      </w:pPr>
      <w:r w:rsidRPr="009D7BD5">
        <w:rPr>
          <w:rFonts w:ascii="Lato Light" w:eastAsia="Times New Roman" w:hAnsi="Lato Light"/>
        </w:rPr>
        <w:t xml:space="preserve">missing </w:t>
      </w:r>
      <w:proofErr w:type="gramStart"/>
      <w:r w:rsidRPr="009D7BD5">
        <w:rPr>
          <w:rFonts w:ascii="Lato Light" w:eastAsia="Times New Roman" w:hAnsi="Lato Light"/>
        </w:rPr>
        <w:t>data;</w:t>
      </w:r>
      <w:proofErr w:type="gramEnd"/>
    </w:p>
    <w:p w14:paraId="29165846" w14:textId="77777777" w:rsidR="006B1727" w:rsidRPr="009D7BD5" w:rsidRDefault="006B1727" w:rsidP="009C7F4B">
      <w:pPr>
        <w:pStyle w:val="ListParagraph"/>
        <w:numPr>
          <w:ilvl w:val="1"/>
          <w:numId w:val="29"/>
        </w:numPr>
        <w:spacing w:after="120" w:line="240" w:lineRule="auto"/>
        <w:ind w:left="1134" w:hanging="425"/>
        <w:contextualSpacing w:val="0"/>
        <w:rPr>
          <w:rFonts w:ascii="Lato Light" w:eastAsia="Times New Roman" w:hAnsi="Lato Light"/>
        </w:rPr>
      </w:pPr>
      <w:r w:rsidRPr="009D7BD5">
        <w:rPr>
          <w:rFonts w:ascii="Lato Light" w:eastAsia="Times New Roman" w:hAnsi="Lato Light"/>
        </w:rPr>
        <w:t xml:space="preserve">duplicated </w:t>
      </w:r>
      <w:proofErr w:type="gramStart"/>
      <w:r w:rsidRPr="009D7BD5">
        <w:rPr>
          <w:rFonts w:ascii="Lato Light" w:eastAsia="Times New Roman" w:hAnsi="Lato Light"/>
        </w:rPr>
        <w:t>transactions;</w:t>
      </w:r>
      <w:proofErr w:type="gramEnd"/>
    </w:p>
    <w:p w14:paraId="59452FDF" w14:textId="77777777" w:rsidR="006B1727" w:rsidRPr="009D7BD5" w:rsidRDefault="006B1727" w:rsidP="009C7F4B">
      <w:pPr>
        <w:pStyle w:val="ListParagraph"/>
        <w:numPr>
          <w:ilvl w:val="1"/>
          <w:numId w:val="29"/>
        </w:numPr>
        <w:spacing w:after="120" w:line="240" w:lineRule="auto"/>
        <w:ind w:left="1134" w:hanging="425"/>
        <w:contextualSpacing w:val="0"/>
        <w:rPr>
          <w:rFonts w:ascii="Lato Light" w:eastAsia="Times New Roman" w:hAnsi="Lato Light"/>
        </w:rPr>
      </w:pPr>
      <w:r w:rsidRPr="009D7BD5">
        <w:rPr>
          <w:rFonts w:ascii="Lato Light" w:eastAsia="Times New Roman" w:hAnsi="Lato Light"/>
        </w:rPr>
        <w:t>data formatted incorrectly (e.g., date in UK rather than US format</w:t>
      </w:r>
      <w:proofErr w:type="gramStart"/>
      <w:r w:rsidRPr="009D7BD5">
        <w:rPr>
          <w:rFonts w:ascii="Lato Light" w:eastAsia="Times New Roman" w:hAnsi="Lato Light"/>
        </w:rPr>
        <w:t>);</w:t>
      </w:r>
      <w:proofErr w:type="gramEnd"/>
    </w:p>
    <w:p w14:paraId="4E4A71ED" w14:textId="77777777" w:rsidR="006B1727" w:rsidRPr="009D7BD5" w:rsidRDefault="006B1727" w:rsidP="009C7F4B">
      <w:pPr>
        <w:pStyle w:val="ListParagraph"/>
        <w:numPr>
          <w:ilvl w:val="1"/>
          <w:numId w:val="29"/>
        </w:numPr>
        <w:spacing w:after="120" w:line="240" w:lineRule="auto"/>
        <w:ind w:left="1134" w:hanging="425"/>
        <w:contextualSpacing w:val="0"/>
        <w:rPr>
          <w:rFonts w:ascii="Lato Light" w:eastAsia="Times New Roman" w:hAnsi="Lato Light"/>
        </w:rPr>
      </w:pPr>
      <w:r w:rsidRPr="009D7BD5">
        <w:rPr>
          <w:rFonts w:ascii="Lato Light" w:eastAsia="Times New Roman" w:hAnsi="Lato Light"/>
        </w:rPr>
        <w:t xml:space="preserve">data not mapped </w:t>
      </w:r>
      <w:proofErr w:type="gramStart"/>
      <w:r w:rsidRPr="009D7BD5">
        <w:rPr>
          <w:rFonts w:ascii="Lato Light" w:eastAsia="Times New Roman" w:hAnsi="Lato Light"/>
        </w:rPr>
        <w:t>correctly;</w:t>
      </w:r>
      <w:proofErr w:type="gramEnd"/>
    </w:p>
    <w:p w14:paraId="19016ADD" w14:textId="77777777" w:rsidR="006B1727" w:rsidRPr="009D7BD5" w:rsidRDefault="006B1727" w:rsidP="009C7F4B">
      <w:pPr>
        <w:pStyle w:val="ListParagraph"/>
        <w:numPr>
          <w:ilvl w:val="1"/>
          <w:numId w:val="29"/>
        </w:numPr>
        <w:spacing w:after="120" w:line="240" w:lineRule="auto"/>
        <w:ind w:left="1134" w:hanging="425"/>
        <w:contextualSpacing w:val="0"/>
        <w:rPr>
          <w:rFonts w:ascii="Lato Light" w:eastAsia="Times New Roman" w:hAnsi="Lato Light"/>
        </w:rPr>
      </w:pPr>
      <w:r w:rsidRPr="009D7BD5">
        <w:rPr>
          <w:rFonts w:ascii="Lato Light" w:eastAsia="Times New Roman" w:hAnsi="Lato Light"/>
        </w:rPr>
        <w:t xml:space="preserve">transactions occurring before the inception date of a </w:t>
      </w:r>
      <w:proofErr w:type="gramStart"/>
      <w:r w:rsidRPr="009D7BD5">
        <w:rPr>
          <w:rFonts w:ascii="Lato Light" w:eastAsia="Times New Roman" w:hAnsi="Lato Light"/>
        </w:rPr>
        <w:t>fund;</w:t>
      </w:r>
      <w:proofErr w:type="gramEnd"/>
    </w:p>
    <w:p w14:paraId="666D6AFD" w14:textId="43FBD25B" w:rsidR="006B1727" w:rsidRPr="009D7BD5" w:rsidRDefault="006B1727" w:rsidP="009C7F4B">
      <w:pPr>
        <w:pStyle w:val="ListParagraph"/>
        <w:numPr>
          <w:ilvl w:val="1"/>
          <w:numId w:val="29"/>
        </w:numPr>
        <w:spacing w:after="120" w:line="240" w:lineRule="auto"/>
        <w:ind w:left="1134" w:hanging="425"/>
        <w:contextualSpacing w:val="0"/>
        <w:rPr>
          <w:rStyle w:val="normaltextrun"/>
          <w:rFonts w:ascii="Lato Light" w:eastAsia="Times New Roman" w:hAnsi="Lato Light"/>
        </w:rPr>
      </w:pPr>
      <w:r w:rsidRPr="009D7BD5">
        <w:rPr>
          <w:rFonts w:ascii="Lato Light" w:eastAsia="Times New Roman" w:hAnsi="Lato Light"/>
        </w:rPr>
        <w:t>identifiers missing in the import file or database</w:t>
      </w:r>
      <w:r w:rsidR="007E0D1A">
        <w:rPr>
          <w:rFonts w:ascii="Lato Light" w:eastAsia="Times New Roman" w:hAnsi="Lato Light"/>
        </w:rPr>
        <w:t>;</w:t>
      </w:r>
      <w:r w:rsidR="002712C4">
        <w:rPr>
          <w:rFonts w:ascii="Lato Light" w:eastAsia="Times New Roman" w:hAnsi="Lato Light"/>
        </w:rPr>
        <w:t xml:space="preserve"> and</w:t>
      </w:r>
    </w:p>
    <w:p w14:paraId="0EAE496D" w14:textId="64CD271B" w:rsidR="006B1727" w:rsidRPr="009D7BD5" w:rsidRDefault="006B1727" w:rsidP="0030101D">
      <w:pPr>
        <w:pStyle w:val="ListParagraph"/>
        <w:numPr>
          <w:ilvl w:val="2"/>
          <w:numId w:val="28"/>
        </w:numPr>
        <w:spacing w:before="120" w:after="240" w:line="240" w:lineRule="auto"/>
        <w:jc w:val="both"/>
        <w:textAlignment w:val="baseline"/>
        <w:rPr>
          <w:rStyle w:val="normaltextrun"/>
          <w:rFonts w:ascii="Lato Light" w:hAnsi="Lato Light" w:cs="Calibri"/>
          <w:shd w:val="clear" w:color="auto" w:fill="FFFFFF"/>
        </w:rPr>
      </w:pPr>
      <w:r w:rsidRPr="009D7BD5">
        <w:rPr>
          <w:rStyle w:val="normaltextrun"/>
          <w:rFonts w:ascii="Lato Light" w:hAnsi="Lato Light" w:cs="Calibri"/>
          <w:color w:val="000000"/>
          <w:bdr w:val="none" w:sz="0" w:space="0" w:color="auto" w:frame="1"/>
        </w:rPr>
        <w:t>ha</w:t>
      </w:r>
      <w:r w:rsidR="007E0D1A">
        <w:rPr>
          <w:rStyle w:val="normaltextrun"/>
          <w:rFonts w:ascii="Lato Light" w:hAnsi="Lato Light" w:cs="Calibri"/>
          <w:color w:val="000000"/>
          <w:bdr w:val="none" w:sz="0" w:space="0" w:color="auto" w:frame="1"/>
        </w:rPr>
        <w:t>s</w:t>
      </w:r>
      <w:r w:rsidRPr="009D7BD5">
        <w:rPr>
          <w:rStyle w:val="normaltextrun"/>
          <w:rFonts w:ascii="Lato Light" w:hAnsi="Lato Light" w:cs="Calibri"/>
          <w:color w:val="000000"/>
          <w:bdr w:val="none" w:sz="0" w:space="0" w:color="auto" w:frame="1"/>
        </w:rPr>
        <w:t xml:space="preserve"> export capabilities into excel</w:t>
      </w:r>
      <w:r w:rsidR="00C06A74" w:rsidRPr="009D7BD5">
        <w:rPr>
          <w:rStyle w:val="normaltextrun"/>
          <w:rFonts w:ascii="Lato Light" w:hAnsi="Lato Light" w:cs="Calibri"/>
          <w:color w:val="000000"/>
          <w:bdr w:val="none" w:sz="0" w:space="0" w:color="auto" w:frame="1"/>
        </w:rPr>
        <w:t xml:space="preserve"> and pdf.</w:t>
      </w:r>
    </w:p>
    <w:p w14:paraId="503EE519" w14:textId="30BC2193" w:rsidR="00AD02F4" w:rsidRPr="002712C4" w:rsidRDefault="00412D96" w:rsidP="0030101D">
      <w:pPr>
        <w:pStyle w:val="ListParagraph"/>
        <w:numPr>
          <w:ilvl w:val="1"/>
          <w:numId w:val="28"/>
        </w:numPr>
        <w:spacing w:before="120" w:after="240" w:line="240" w:lineRule="auto"/>
        <w:jc w:val="both"/>
        <w:textAlignment w:val="baseline"/>
        <w:rPr>
          <w:rFonts w:ascii="Lato Light" w:hAnsi="Lato Light" w:cs="Calibri"/>
          <w:shd w:val="clear" w:color="auto" w:fill="FFFFFF"/>
        </w:rPr>
      </w:pPr>
      <w:r w:rsidRPr="009D7BD5">
        <w:rPr>
          <w:rFonts w:ascii="Lato Light" w:eastAsia="Times New Roman" w:hAnsi="Lato Light" w:cs="Calibri"/>
          <w:lang w:eastAsia="en-GB"/>
        </w:rPr>
        <w:t xml:space="preserve">Usability of the interface is </w:t>
      </w:r>
      <w:r w:rsidR="00D2759C" w:rsidRPr="009D7BD5">
        <w:rPr>
          <w:rFonts w:ascii="Lato Light" w:eastAsia="Times New Roman" w:hAnsi="Lato Light" w:cs="Calibri"/>
          <w:lang w:eastAsia="en-GB"/>
        </w:rPr>
        <w:t>key,</w:t>
      </w:r>
      <w:r w:rsidRPr="009D7BD5">
        <w:rPr>
          <w:rFonts w:ascii="Lato Light" w:eastAsia="Times New Roman" w:hAnsi="Lato Light" w:cs="Calibri"/>
          <w:lang w:eastAsia="en-GB"/>
        </w:rPr>
        <w:t xml:space="preserve"> with a dashboard so users can view key information across all private </w:t>
      </w:r>
      <w:proofErr w:type="gramStart"/>
      <w:r w:rsidRPr="009D7BD5">
        <w:rPr>
          <w:rFonts w:ascii="Lato Light" w:eastAsia="Times New Roman" w:hAnsi="Lato Light" w:cs="Calibri"/>
          <w:lang w:eastAsia="en-GB"/>
        </w:rPr>
        <w:t>markets</w:t>
      </w:r>
      <w:proofErr w:type="gramEnd"/>
      <w:r w:rsidRPr="009D7BD5">
        <w:rPr>
          <w:rFonts w:ascii="Lato Light" w:eastAsia="Times New Roman" w:hAnsi="Lato Light" w:cs="Calibri"/>
          <w:lang w:eastAsia="en-GB"/>
        </w:rPr>
        <w:t xml:space="preserve"> portfolios, over time periods in charts, as well as drill through to detailed analysis on individual funds. In addition, exporting to Excel of key information is a mandatory requirement</w:t>
      </w:r>
      <w:r w:rsidR="004B04B4" w:rsidRPr="009D7BD5">
        <w:rPr>
          <w:rFonts w:ascii="Lato Light" w:eastAsia="Times New Roman" w:hAnsi="Lato Light" w:cs="Calibri"/>
          <w:lang w:eastAsia="en-GB"/>
        </w:rPr>
        <w:t>.</w:t>
      </w:r>
    </w:p>
    <w:p w14:paraId="59040DBA" w14:textId="77777777" w:rsidR="002712C4" w:rsidRPr="009D7BD5" w:rsidRDefault="002712C4" w:rsidP="002712C4">
      <w:pPr>
        <w:pStyle w:val="ListParagraph"/>
        <w:spacing w:before="120" w:after="240" w:line="240" w:lineRule="auto"/>
        <w:ind w:left="396"/>
        <w:jc w:val="both"/>
        <w:textAlignment w:val="baseline"/>
        <w:rPr>
          <w:rStyle w:val="normaltextrun"/>
          <w:rFonts w:ascii="Lato Light" w:hAnsi="Lato Light" w:cs="Calibri"/>
          <w:shd w:val="clear" w:color="auto" w:fill="FFFFFF"/>
        </w:rPr>
      </w:pPr>
    </w:p>
    <w:p w14:paraId="45EDFE0B" w14:textId="689BEAFA" w:rsidR="003450E8" w:rsidRDefault="00E167FF" w:rsidP="0030101D">
      <w:pPr>
        <w:pStyle w:val="ListParagraph"/>
        <w:numPr>
          <w:ilvl w:val="0"/>
          <w:numId w:val="28"/>
        </w:numPr>
        <w:spacing w:before="120" w:after="240" w:line="240" w:lineRule="auto"/>
        <w:jc w:val="both"/>
        <w:textAlignment w:val="baseline"/>
        <w:rPr>
          <w:rFonts w:ascii="Lato Light" w:eastAsia="Times New Roman" w:hAnsi="Lato Light" w:cs="Segoe UI"/>
          <w:b/>
          <w:bCs/>
          <w:lang w:eastAsia="en-GB"/>
        </w:rPr>
      </w:pPr>
      <w:r w:rsidRPr="009D7BD5">
        <w:rPr>
          <w:rFonts w:ascii="Lato Light" w:eastAsia="Times New Roman" w:hAnsi="Lato Light" w:cs="Segoe UI"/>
          <w:b/>
          <w:bCs/>
          <w:lang w:eastAsia="en-GB"/>
        </w:rPr>
        <w:t>Implementation</w:t>
      </w:r>
      <w:r w:rsidR="00FE076D" w:rsidRPr="009D7BD5">
        <w:rPr>
          <w:rFonts w:ascii="Lato Light" w:eastAsia="Times New Roman" w:hAnsi="Lato Light" w:cs="Segoe UI"/>
          <w:b/>
          <w:bCs/>
          <w:lang w:eastAsia="en-GB"/>
        </w:rPr>
        <w:t xml:space="preserve"> </w:t>
      </w:r>
      <w:r w:rsidR="00D4411D">
        <w:rPr>
          <w:rFonts w:ascii="Lato Light" w:eastAsia="Times New Roman" w:hAnsi="Lato Light" w:cs="Segoe UI"/>
          <w:b/>
          <w:bCs/>
          <w:lang w:eastAsia="en-GB"/>
        </w:rPr>
        <w:t xml:space="preserve">&amp; </w:t>
      </w:r>
      <w:r w:rsidR="00A256B2">
        <w:rPr>
          <w:rFonts w:ascii="Lato Light" w:eastAsia="Times New Roman" w:hAnsi="Lato Light" w:cs="Segoe UI"/>
          <w:b/>
          <w:bCs/>
          <w:lang w:eastAsia="en-GB"/>
        </w:rPr>
        <w:t xml:space="preserve">On-going </w:t>
      </w:r>
      <w:r w:rsidR="00D4411D">
        <w:rPr>
          <w:rFonts w:ascii="Lato Light" w:eastAsia="Times New Roman" w:hAnsi="Lato Light" w:cs="Segoe UI"/>
          <w:b/>
          <w:bCs/>
          <w:lang w:eastAsia="en-GB"/>
        </w:rPr>
        <w:t>Support</w:t>
      </w:r>
    </w:p>
    <w:p w14:paraId="37AE2B85" w14:textId="77777777" w:rsidR="00672DC9" w:rsidRPr="009D7BD5" w:rsidRDefault="00672DC9" w:rsidP="00672DC9">
      <w:pPr>
        <w:pStyle w:val="ListParagraph"/>
        <w:spacing w:before="120" w:after="240" w:line="240" w:lineRule="auto"/>
        <w:ind w:left="396"/>
        <w:jc w:val="both"/>
        <w:textAlignment w:val="baseline"/>
        <w:rPr>
          <w:rFonts w:ascii="Lato Light" w:eastAsia="Times New Roman" w:hAnsi="Lato Light" w:cs="Segoe UI"/>
          <w:b/>
          <w:bCs/>
          <w:lang w:eastAsia="en-GB"/>
        </w:rPr>
      </w:pPr>
    </w:p>
    <w:p w14:paraId="18CF9D24" w14:textId="731C74E1" w:rsidR="007B1584" w:rsidRPr="009D7BD5" w:rsidRDefault="004D4086" w:rsidP="0030101D">
      <w:pPr>
        <w:pStyle w:val="ListParagraph"/>
        <w:numPr>
          <w:ilvl w:val="1"/>
          <w:numId w:val="28"/>
        </w:num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lang w:eastAsia="en-GB"/>
        </w:rPr>
        <w:t xml:space="preserve">The solution must be completely cloud based with the </w:t>
      </w:r>
      <w:r w:rsidR="000C40F8">
        <w:rPr>
          <w:rFonts w:ascii="Lato Light" w:eastAsia="Times New Roman" w:hAnsi="Lato Light" w:cs="Calibri"/>
          <w:lang w:eastAsia="en-GB"/>
        </w:rPr>
        <w:t>Service Provider</w:t>
      </w:r>
      <w:r w:rsidRPr="009D7BD5">
        <w:rPr>
          <w:rFonts w:ascii="Lato Light" w:eastAsia="Times New Roman" w:hAnsi="Lato Light" w:cs="Calibri"/>
          <w:lang w:eastAsia="en-GB"/>
        </w:rPr>
        <w:t xml:space="preserve"> being able to demonstrate complete security of the solution. </w:t>
      </w:r>
    </w:p>
    <w:p w14:paraId="63493E74" w14:textId="67CD5A2A" w:rsidR="00851B0D" w:rsidRPr="009D7BD5" w:rsidRDefault="00DA60E5" w:rsidP="0030101D">
      <w:pPr>
        <w:pStyle w:val="ListParagraph"/>
        <w:numPr>
          <w:ilvl w:val="1"/>
          <w:numId w:val="28"/>
        </w:num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Calibri"/>
          <w:lang w:eastAsia="en-GB"/>
        </w:rPr>
        <w:t>London CIV</w:t>
      </w:r>
      <w:r w:rsidR="00C05BB8" w:rsidRPr="009D7BD5">
        <w:rPr>
          <w:rFonts w:ascii="Lato Light" w:eastAsia="Times New Roman" w:hAnsi="Lato Light" w:cs="Calibri"/>
          <w:lang w:eastAsia="en-GB"/>
        </w:rPr>
        <w:t xml:space="preserve">’s operating hours are 8 – 6, Monday to Friday (excluding Bank Holidays) the </w:t>
      </w:r>
      <w:r w:rsidR="000C40F8">
        <w:rPr>
          <w:rFonts w:ascii="Lato Light" w:eastAsia="Times New Roman" w:hAnsi="Lato Light" w:cs="Calibri"/>
          <w:lang w:eastAsia="en-GB"/>
        </w:rPr>
        <w:t>Services</w:t>
      </w:r>
      <w:r w:rsidR="00C05BB8" w:rsidRPr="009D7BD5">
        <w:rPr>
          <w:rFonts w:ascii="Lato Light" w:eastAsia="Times New Roman" w:hAnsi="Lato Light" w:cs="Calibri"/>
          <w:lang w:eastAsia="en-GB"/>
        </w:rPr>
        <w:t xml:space="preserve"> must be available within these hours</w:t>
      </w:r>
      <w:r w:rsidR="0032259D" w:rsidRPr="009D7BD5">
        <w:rPr>
          <w:rFonts w:ascii="Lato Light" w:eastAsia="Times New Roman" w:hAnsi="Lato Light" w:cs="Calibri"/>
          <w:lang w:eastAsia="en-GB"/>
        </w:rPr>
        <w:t xml:space="preserve">. </w:t>
      </w:r>
      <w:r w:rsidR="000C40F8">
        <w:rPr>
          <w:rFonts w:ascii="Lato Light" w:eastAsia="Times New Roman" w:hAnsi="Lato Light" w:cs="Calibri"/>
          <w:lang w:eastAsia="en-GB"/>
        </w:rPr>
        <w:t>Service Provider</w:t>
      </w:r>
      <w:r w:rsidR="00D9629A" w:rsidRPr="009D7BD5">
        <w:rPr>
          <w:rFonts w:ascii="Lato Light" w:eastAsia="Times New Roman" w:hAnsi="Lato Light" w:cs="Calibri"/>
          <w:lang w:eastAsia="en-GB"/>
        </w:rPr>
        <w:t xml:space="preserve"> Support must be available within the operating window and details of the service level</w:t>
      </w:r>
      <w:r w:rsidR="00B46229" w:rsidRPr="009D7BD5">
        <w:rPr>
          <w:rFonts w:ascii="Lato Light" w:eastAsia="Times New Roman" w:hAnsi="Lato Light" w:cs="Calibri"/>
          <w:lang w:eastAsia="en-GB"/>
        </w:rPr>
        <w:t>s provided.</w:t>
      </w:r>
    </w:p>
    <w:p w14:paraId="309D2895" w14:textId="5ED7B73C" w:rsidR="007F2EC6" w:rsidRDefault="00AE2AF5" w:rsidP="0030101D">
      <w:pPr>
        <w:pStyle w:val="ListParagraph"/>
        <w:numPr>
          <w:ilvl w:val="1"/>
          <w:numId w:val="28"/>
        </w:numPr>
        <w:spacing w:before="120" w:after="240" w:line="240" w:lineRule="auto"/>
        <w:jc w:val="both"/>
        <w:textAlignment w:val="baseline"/>
        <w:rPr>
          <w:rFonts w:ascii="Lato Light" w:eastAsia="Times New Roman" w:hAnsi="Lato Light" w:cs="Segoe UI"/>
          <w:lang w:eastAsia="en-GB"/>
        </w:rPr>
      </w:pPr>
      <w:r>
        <w:rPr>
          <w:rFonts w:ascii="Lato Light" w:eastAsia="Times New Roman" w:hAnsi="Lato Light" w:cs="Segoe UI"/>
          <w:lang w:eastAsia="en-GB"/>
        </w:rPr>
        <w:t>T</w:t>
      </w:r>
      <w:r w:rsidR="006A6471" w:rsidRPr="009D7BD5">
        <w:rPr>
          <w:rFonts w:ascii="Lato Light" w:eastAsia="Times New Roman" w:hAnsi="Lato Light" w:cs="Segoe UI"/>
          <w:lang w:eastAsia="en-GB"/>
        </w:rPr>
        <w:t>he S</w:t>
      </w:r>
      <w:r>
        <w:rPr>
          <w:rFonts w:ascii="Lato Light" w:eastAsia="Times New Roman" w:hAnsi="Lato Light" w:cs="Segoe UI"/>
          <w:lang w:eastAsia="en-GB"/>
        </w:rPr>
        <w:t>ervice Provider</w:t>
      </w:r>
      <w:r w:rsidR="006A6471" w:rsidRPr="009D7BD5">
        <w:rPr>
          <w:rFonts w:ascii="Lato Light" w:eastAsia="Times New Roman" w:hAnsi="Lato Light" w:cs="Segoe UI"/>
          <w:lang w:eastAsia="en-GB"/>
        </w:rPr>
        <w:t xml:space="preserve"> must provide an implementation plan, clearly identifying both </w:t>
      </w:r>
      <w:r>
        <w:rPr>
          <w:rFonts w:ascii="Lato Light" w:eastAsia="Times New Roman" w:hAnsi="Lato Light" w:cs="Segoe UI"/>
          <w:lang w:eastAsia="en-GB"/>
        </w:rPr>
        <w:t xml:space="preserve">Service Provider </w:t>
      </w:r>
      <w:r w:rsidR="006A6471" w:rsidRPr="009D7BD5">
        <w:rPr>
          <w:rFonts w:ascii="Lato Light" w:eastAsia="Times New Roman" w:hAnsi="Lato Light" w:cs="Segoe UI"/>
          <w:lang w:eastAsia="en-GB"/>
        </w:rPr>
        <w:t>and London CIV actions</w:t>
      </w:r>
      <w:r w:rsidR="00FE2F79" w:rsidRPr="009D7BD5">
        <w:rPr>
          <w:rFonts w:ascii="Lato Light" w:eastAsia="Times New Roman" w:hAnsi="Lato Light" w:cs="Segoe UI"/>
          <w:lang w:eastAsia="en-GB"/>
        </w:rPr>
        <w:t xml:space="preserve"> and associated timelines</w:t>
      </w:r>
      <w:r>
        <w:rPr>
          <w:rFonts w:ascii="Lato Light" w:eastAsia="Times New Roman" w:hAnsi="Lato Light" w:cs="Segoe UI"/>
          <w:lang w:eastAsia="en-GB"/>
        </w:rPr>
        <w:t xml:space="preserve"> to ensure the desired Service commencement date is achieved</w:t>
      </w:r>
      <w:r w:rsidR="00FE2F79" w:rsidRPr="009D7BD5">
        <w:rPr>
          <w:rFonts w:ascii="Lato Light" w:eastAsia="Times New Roman" w:hAnsi="Lato Light" w:cs="Segoe UI"/>
          <w:lang w:eastAsia="en-GB"/>
        </w:rPr>
        <w:t>.</w:t>
      </w:r>
    </w:p>
    <w:p w14:paraId="2855B66B" w14:textId="77777777" w:rsidR="00AE2AF5" w:rsidRPr="009D7BD5" w:rsidRDefault="00AE2AF5" w:rsidP="00AE2AF5">
      <w:pPr>
        <w:pStyle w:val="ListParagraph"/>
        <w:spacing w:before="120" w:after="240" w:line="240" w:lineRule="auto"/>
        <w:ind w:left="396"/>
        <w:jc w:val="both"/>
        <w:textAlignment w:val="baseline"/>
        <w:rPr>
          <w:rFonts w:ascii="Lato Light" w:eastAsia="Times New Roman" w:hAnsi="Lato Light" w:cs="Segoe UI"/>
          <w:lang w:eastAsia="en-GB"/>
        </w:rPr>
      </w:pPr>
    </w:p>
    <w:p w14:paraId="640F5DC9" w14:textId="0C810D3B" w:rsidR="00DB277A" w:rsidRDefault="00DB277A" w:rsidP="0030101D">
      <w:pPr>
        <w:pStyle w:val="ListParagraph"/>
        <w:numPr>
          <w:ilvl w:val="0"/>
          <w:numId w:val="28"/>
        </w:numPr>
        <w:spacing w:before="120" w:after="240" w:line="240" w:lineRule="auto"/>
        <w:jc w:val="both"/>
        <w:textAlignment w:val="baseline"/>
        <w:rPr>
          <w:rFonts w:ascii="Lato Light" w:eastAsia="Times New Roman" w:hAnsi="Lato Light" w:cs="Segoe UI"/>
          <w:b/>
          <w:bCs/>
          <w:lang w:eastAsia="en-GB"/>
        </w:rPr>
      </w:pPr>
      <w:r w:rsidRPr="009D7BD5">
        <w:rPr>
          <w:rFonts w:ascii="Lato Light" w:eastAsia="Times New Roman" w:hAnsi="Lato Light" w:cs="Segoe UI"/>
          <w:b/>
          <w:bCs/>
          <w:lang w:eastAsia="en-GB"/>
        </w:rPr>
        <w:t>Staff &amp; Resourcing</w:t>
      </w:r>
    </w:p>
    <w:p w14:paraId="7EC4DAAB" w14:textId="77777777" w:rsidR="00672DC9" w:rsidRPr="009D7BD5" w:rsidRDefault="00672DC9" w:rsidP="00672DC9">
      <w:pPr>
        <w:pStyle w:val="ListParagraph"/>
        <w:spacing w:before="120" w:after="240" w:line="240" w:lineRule="auto"/>
        <w:ind w:left="396"/>
        <w:jc w:val="both"/>
        <w:textAlignment w:val="baseline"/>
        <w:rPr>
          <w:rFonts w:ascii="Lato Light" w:eastAsia="Times New Roman" w:hAnsi="Lato Light" w:cs="Segoe UI"/>
          <w:b/>
          <w:bCs/>
          <w:lang w:eastAsia="en-GB"/>
        </w:rPr>
      </w:pPr>
    </w:p>
    <w:p w14:paraId="71810C92" w14:textId="3767870F" w:rsidR="001F7196" w:rsidRPr="006A3357" w:rsidRDefault="001D491A" w:rsidP="001F7196">
      <w:pPr>
        <w:pStyle w:val="ListParagraph"/>
        <w:numPr>
          <w:ilvl w:val="1"/>
          <w:numId w:val="28"/>
        </w:numPr>
        <w:spacing w:before="120" w:after="240" w:line="240" w:lineRule="auto"/>
        <w:jc w:val="both"/>
        <w:textAlignment w:val="baseline"/>
        <w:rPr>
          <w:rFonts w:ascii="Lato Light" w:eastAsia="Times New Roman" w:hAnsi="Lato Light" w:cs="Segoe UI"/>
          <w:lang w:eastAsia="en-GB"/>
        </w:rPr>
      </w:pPr>
      <w:r w:rsidRPr="009D7BD5">
        <w:rPr>
          <w:rFonts w:ascii="Lato Light" w:eastAsia="Times New Roman" w:hAnsi="Lato Light" w:cs="Segoe UI"/>
          <w:lang w:eastAsia="en-GB"/>
        </w:rPr>
        <w:t xml:space="preserve">The </w:t>
      </w:r>
      <w:r w:rsidR="00AE2AF5">
        <w:rPr>
          <w:rFonts w:ascii="Lato Light" w:eastAsia="Times New Roman" w:hAnsi="Lato Light" w:cs="Segoe UI"/>
          <w:lang w:eastAsia="en-GB"/>
        </w:rPr>
        <w:t>Service Provider</w:t>
      </w:r>
      <w:r w:rsidRPr="009D7BD5">
        <w:rPr>
          <w:rFonts w:ascii="Lato Light" w:eastAsia="Times New Roman" w:hAnsi="Lato Light" w:cs="Segoe UI"/>
          <w:lang w:eastAsia="en-GB"/>
        </w:rPr>
        <w:t xml:space="preserve"> must provide and maintain at all times a team of suitably skilled and qualified personnel to deliver the Services. It is expected that the </w:t>
      </w:r>
      <w:r w:rsidR="00AE2AF5">
        <w:rPr>
          <w:rFonts w:ascii="Lato Light" w:eastAsia="Times New Roman" w:hAnsi="Lato Light" w:cs="Segoe UI"/>
          <w:lang w:eastAsia="en-GB"/>
        </w:rPr>
        <w:t>Service P</w:t>
      </w:r>
      <w:r w:rsidR="00666018">
        <w:rPr>
          <w:rFonts w:ascii="Lato Light" w:eastAsia="Times New Roman" w:hAnsi="Lato Light" w:cs="Segoe UI"/>
          <w:lang w:eastAsia="en-GB"/>
        </w:rPr>
        <w:t>r</w:t>
      </w:r>
      <w:r w:rsidR="00AE2AF5">
        <w:rPr>
          <w:rFonts w:ascii="Lato Light" w:eastAsia="Times New Roman" w:hAnsi="Lato Light" w:cs="Segoe UI"/>
          <w:lang w:eastAsia="en-GB"/>
        </w:rPr>
        <w:t>ovider</w:t>
      </w:r>
      <w:r w:rsidRPr="009D7BD5">
        <w:rPr>
          <w:rFonts w:ascii="Lato Light" w:eastAsia="Times New Roman" w:hAnsi="Lato Light" w:cs="Segoe UI"/>
          <w:lang w:eastAsia="en-GB"/>
        </w:rPr>
        <w:t xml:space="preserve"> will deliver training on systems and processes to London CIV staff at the outset and on an on-going basis</w:t>
      </w:r>
      <w:r w:rsidR="00A5575A" w:rsidRPr="009D7BD5">
        <w:rPr>
          <w:rFonts w:ascii="Lato Light" w:eastAsia="Times New Roman" w:hAnsi="Lato Light" w:cs="Segoe UI"/>
          <w:lang w:eastAsia="en-GB"/>
        </w:rPr>
        <w:t>.</w:t>
      </w:r>
    </w:p>
    <w:p w14:paraId="6C912EA2" w14:textId="77777777" w:rsidR="001F7196" w:rsidRPr="001F7196" w:rsidRDefault="001F7196" w:rsidP="001F7196">
      <w:pPr>
        <w:rPr>
          <w:lang w:eastAsia="en-GB"/>
        </w:rPr>
      </w:pPr>
    </w:p>
    <w:p w14:paraId="3D4808BB" w14:textId="77777777" w:rsidR="001F7196" w:rsidRPr="001F7196" w:rsidRDefault="001F7196" w:rsidP="001F7196">
      <w:pPr>
        <w:rPr>
          <w:lang w:eastAsia="en-GB"/>
        </w:rPr>
      </w:pPr>
    </w:p>
    <w:p w14:paraId="4B8B8002" w14:textId="77777777" w:rsidR="001F7196" w:rsidRDefault="001F7196" w:rsidP="001F7196">
      <w:pPr>
        <w:rPr>
          <w:rFonts w:ascii="Lato Light" w:eastAsia="Times New Roman" w:hAnsi="Lato Light" w:cs="Segoe UI"/>
          <w:lang w:eastAsia="en-GB"/>
        </w:rPr>
      </w:pPr>
    </w:p>
    <w:p w14:paraId="33101DC5" w14:textId="3707147D" w:rsidR="00B540CC" w:rsidRDefault="001F7196" w:rsidP="001F7196">
      <w:pPr>
        <w:tabs>
          <w:tab w:val="left" w:pos="1752"/>
        </w:tabs>
        <w:rPr>
          <w:lang w:eastAsia="en-GB"/>
        </w:rPr>
      </w:pPr>
      <w:r>
        <w:rPr>
          <w:lang w:eastAsia="en-GB"/>
        </w:rPr>
        <w:tab/>
      </w:r>
    </w:p>
    <w:p w14:paraId="25A9DFEB" w14:textId="77777777" w:rsidR="00B540CC" w:rsidRDefault="00B540CC">
      <w:pPr>
        <w:spacing w:after="0" w:line="240" w:lineRule="auto"/>
        <w:rPr>
          <w:lang w:eastAsia="en-GB"/>
        </w:rPr>
      </w:pPr>
      <w:r>
        <w:rPr>
          <w:lang w:eastAsia="en-GB"/>
        </w:rPr>
        <w:br w:type="page"/>
      </w:r>
    </w:p>
    <w:p w14:paraId="304C0BE6" w14:textId="522479E3" w:rsidR="00B540CC" w:rsidRPr="00E6642D" w:rsidRDefault="00B540CC" w:rsidP="00052FBA">
      <w:pPr>
        <w:pStyle w:val="Schedule"/>
        <w:rPr>
          <w:lang w:eastAsia="en-GB"/>
        </w:rPr>
      </w:pPr>
      <w:bookmarkStart w:id="43" w:name="_Toc111036757"/>
      <w:r w:rsidRPr="00E6642D">
        <w:rPr>
          <w:lang w:eastAsia="en-GB"/>
        </w:rPr>
        <w:lastRenderedPageBreak/>
        <w:t xml:space="preserve">Annex 2 – </w:t>
      </w:r>
      <w:r w:rsidR="00B44B03">
        <w:rPr>
          <w:lang w:eastAsia="en-GB"/>
        </w:rPr>
        <w:t xml:space="preserve">Executive Summary &amp; </w:t>
      </w:r>
      <w:r w:rsidRPr="00E6642D">
        <w:rPr>
          <w:lang w:eastAsia="en-GB"/>
        </w:rPr>
        <w:t>Technical/Quality Questionnaire</w:t>
      </w:r>
      <w:bookmarkEnd w:id="43"/>
    </w:p>
    <w:p w14:paraId="6CBC9B35" w14:textId="32937E63" w:rsidR="00BD0A14" w:rsidRDefault="00BD0A14" w:rsidP="001F7196">
      <w:pPr>
        <w:tabs>
          <w:tab w:val="left" w:pos="1752"/>
        </w:tabs>
        <w:rPr>
          <w:rFonts w:ascii="Lato Light" w:hAnsi="Lato Light"/>
          <w:lang w:eastAsia="en-GB"/>
        </w:rPr>
      </w:pPr>
      <w:r w:rsidRPr="00E6642D">
        <w:rPr>
          <w:rFonts w:ascii="Lato Light" w:hAnsi="Lato Light"/>
          <w:lang w:eastAsia="en-GB"/>
        </w:rPr>
        <w:t>See Excel document</w:t>
      </w:r>
      <w:r>
        <w:rPr>
          <w:rFonts w:ascii="Lato Light" w:hAnsi="Lato Light"/>
          <w:lang w:eastAsia="en-GB"/>
        </w:rPr>
        <w:t xml:space="preserve"> for Technical/Quality Questions.</w:t>
      </w:r>
    </w:p>
    <w:p w14:paraId="24485386" w14:textId="76DE9AE3" w:rsidR="00BD0A14" w:rsidRDefault="000616F2" w:rsidP="00BD0A14">
      <w:pPr>
        <w:tabs>
          <w:tab w:val="left" w:pos="1752"/>
        </w:tabs>
        <w:rPr>
          <w:rFonts w:ascii="Lato Light" w:hAnsi="Lato Light"/>
          <w:lang w:eastAsia="en-GB"/>
        </w:rPr>
      </w:pPr>
      <w:r>
        <w:rPr>
          <w:rFonts w:ascii="Lato Light" w:hAnsi="Lato Light"/>
          <w:lang w:eastAsia="en-GB"/>
        </w:rPr>
        <w:t xml:space="preserve">Please </w:t>
      </w:r>
      <w:r w:rsidR="00BD0A14">
        <w:rPr>
          <w:rFonts w:ascii="Lato Light" w:hAnsi="Lato Light"/>
          <w:lang w:eastAsia="en-GB"/>
        </w:rPr>
        <w:t>complete</w:t>
      </w:r>
      <w:r>
        <w:rPr>
          <w:rFonts w:ascii="Lato Light" w:hAnsi="Lato Light"/>
          <w:lang w:eastAsia="en-GB"/>
        </w:rPr>
        <w:t xml:space="preserve"> </w:t>
      </w:r>
      <w:r w:rsidR="00BD0A14">
        <w:rPr>
          <w:rFonts w:ascii="Lato Light" w:hAnsi="Lato Light"/>
          <w:lang w:eastAsia="en-GB"/>
        </w:rPr>
        <w:t>an</w:t>
      </w:r>
      <w:r>
        <w:rPr>
          <w:rFonts w:ascii="Lato Light" w:hAnsi="Lato Light"/>
          <w:lang w:eastAsia="en-GB"/>
        </w:rPr>
        <w:t xml:space="preserve"> executive summary in accordance with paragraph </w:t>
      </w:r>
      <w:r>
        <w:rPr>
          <w:rFonts w:ascii="Lato Light" w:hAnsi="Lato Light"/>
          <w:lang w:eastAsia="en-GB"/>
        </w:rPr>
        <w:fldChar w:fldCharType="begin"/>
      </w:r>
      <w:r>
        <w:rPr>
          <w:rFonts w:ascii="Lato Light" w:hAnsi="Lato Light"/>
          <w:lang w:eastAsia="en-GB"/>
        </w:rPr>
        <w:instrText xml:space="preserve"> REF a210696 \r \h </w:instrText>
      </w:r>
      <w:r>
        <w:rPr>
          <w:rFonts w:ascii="Lato Light" w:hAnsi="Lato Light"/>
          <w:lang w:eastAsia="en-GB"/>
        </w:rPr>
      </w:r>
      <w:r>
        <w:rPr>
          <w:rFonts w:ascii="Lato Light" w:hAnsi="Lato Light"/>
          <w:lang w:eastAsia="en-GB"/>
        </w:rPr>
        <w:fldChar w:fldCharType="separate"/>
      </w:r>
      <w:r w:rsidR="00B44B03">
        <w:rPr>
          <w:rFonts w:ascii="Lato Light" w:hAnsi="Lato Light"/>
          <w:lang w:eastAsia="en-GB"/>
        </w:rPr>
        <w:t>4.2</w:t>
      </w:r>
      <w:r>
        <w:rPr>
          <w:rFonts w:ascii="Lato Light" w:hAnsi="Lato Light"/>
          <w:lang w:eastAsia="en-GB"/>
        </w:rPr>
        <w:fldChar w:fldCharType="end"/>
      </w:r>
      <w:r w:rsidR="00B44B03">
        <w:rPr>
          <w:rFonts w:ascii="Lato Light" w:hAnsi="Lato Light"/>
          <w:lang w:eastAsia="en-GB"/>
        </w:rPr>
        <w:t xml:space="preserve"> (</w:t>
      </w:r>
      <w:r w:rsidR="00B44B03" w:rsidRPr="00B44B03">
        <w:rPr>
          <w:rFonts w:ascii="Lato Light" w:hAnsi="Lato Light"/>
          <w:u w:val="single"/>
          <w:lang w:eastAsia="en-GB"/>
        </w:rPr>
        <w:t>Weighting: 5%</w:t>
      </w:r>
      <w:r w:rsidR="00B44B03">
        <w:rPr>
          <w:rFonts w:ascii="Lato Light" w:hAnsi="Lato Light"/>
          <w:lang w:eastAsia="en-GB"/>
        </w:rPr>
        <w:t>)</w:t>
      </w:r>
      <w:r>
        <w:rPr>
          <w:rFonts w:ascii="Lato Light" w:hAnsi="Lato Light"/>
          <w:lang w:eastAsia="en-GB"/>
        </w:rPr>
        <w:t>.</w:t>
      </w:r>
    </w:p>
    <w:p w14:paraId="44047293" w14:textId="77777777" w:rsidR="00BD0A14" w:rsidRDefault="00BD0A14" w:rsidP="00BD0A14">
      <w:pPr>
        <w:rPr>
          <w:rFonts w:ascii="Lato Light" w:hAnsi="Lato Light"/>
        </w:rPr>
      </w:pPr>
      <w:r w:rsidRPr="00BD0A14">
        <w:rPr>
          <w:rFonts w:ascii="Lato Light" w:hAnsi="Lato Light"/>
        </w:rPr>
        <w:t xml:space="preserve">We </w:t>
      </w:r>
      <w:r>
        <w:rPr>
          <w:rFonts w:ascii="Lato Light" w:hAnsi="Lato Light"/>
        </w:rPr>
        <w:t xml:space="preserve">hereby undertake, warrant and </w:t>
      </w:r>
      <w:r w:rsidRPr="00BD0A14">
        <w:rPr>
          <w:rFonts w:ascii="Lato Light" w:hAnsi="Lato Light"/>
        </w:rPr>
        <w:t xml:space="preserve">confirm </w:t>
      </w:r>
      <w:r>
        <w:rPr>
          <w:rFonts w:ascii="Lato Light" w:hAnsi="Lato Light"/>
        </w:rPr>
        <w:t>as follows:</w:t>
      </w:r>
    </w:p>
    <w:p w14:paraId="01FAC48A" w14:textId="728FBDB2" w:rsidR="00BD0A14" w:rsidRPr="00BD0A14" w:rsidRDefault="00BD0A14" w:rsidP="00BD0A14">
      <w:pPr>
        <w:pStyle w:val="ListParagraph"/>
        <w:numPr>
          <w:ilvl w:val="0"/>
          <w:numId w:val="50"/>
        </w:numPr>
        <w:rPr>
          <w:rFonts w:ascii="Lato Light" w:hAnsi="Lato Light"/>
        </w:rPr>
      </w:pPr>
      <w:r>
        <w:rPr>
          <w:rFonts w:ascii="Lato Light" w:hAnsi="Lato Light"/>
        </w:rPr>
        <w:t>We are</w:t>
      </w:r>
      <w:r w:rsidR="000616F2" w:rsidRPr="00BD0A14">
        <w:rPr>
          <w:rFonts w:ascii="Lato Light" w:hAnsi="Lato Light"/>
        </w:rPr>
        <w:t xml:space="preserve"> commit</w:t>
      </w:r>
      <w:r>
        <w:rPr>
          <w:rFonts w:ascii="Lato Light" w:hAnsi="Lato Light"/>
        </w:rPr>
        <w:t>ted</w:t>
      </w:r>
      <w:r w:rsidR="000616F2" w:rsidRPr="00BD0A14">
        <w:rPr>
          <w:rFonts w:ascii="Lato Light" w:hAnsi="Lato Light"/>
        </w:rPr>
        <w:t xml:space="preserve"> to meet</w:t>
      </w:r>
      <w:r>
        <w:rPr>
          <w:rFonts w:ascii="Lato Light" w:hAnsi="Lato Light"/>
        </w:rPr>
        <w:t>ing</w:t>
      </w:r>
      <w:r w:rsidR="000616F2" w:rsidRPr="00BD0A14">
        <w:rPr>
          <w:rFonts w:ascii="Lato Light" w:hAnsi="Lato Light"/>
        </w:rPr>
        <w:t xml:space="preserve"> London </w:t>
      </w:r>
      <w:proofErr w:type="gramStart"/>
      <w:r w:rsidR="000616F2" w:rsidRPr="00BD0A14">
        <w:rPr>
          <w:rFonts w:ascii="Lato Light" w:hAnsi="Lato Light"/>
        </w:rPr>
        <w:t>CIV‘</w:t>
      </w:r>
      <w:proofErr w:type="gramEnd"/>
      <w:r w:rsidR="000616F2" w:rsidRPr="00BD0A14">
        <w:rPr>
          <w:rFonts w:ascii="Lato Light" w:hAnsi="Lato Light"/>
        </w:rPr>
        <w:t xml:space="preserve">s </w:t>
      </w:r>
      <w:r w:rsidRPr="00BD0A14">
        <w:rPr>
          <w:rFonts w:ascii="Lato Light" w:hAnsi="Lato Light"/>
        </w:rPr>
        <w:t>Specification,</w:t>
      </w:r>
      <w:r w:rsidR="000616F2" w:rsidRPr="00BD0A14">
        <w:rPr>
          <w:rFonts w:ascii="Lato Light" w:hAnsi="Lato Light"/>
        </w:rPr>
        <w:t xml:space="preserve"> </w:t>
      </w:r>
      <w:r w:rsidRPr="00BD0A14">
        <w:rPr>
          <w:rFonts w:ascii="Lato Light" w:hAnsi="Lato Light"/>
        </w:rPr>
        <w:t>Commercial and KPI</w:t>
      </w:r>
      <w:r w:rsidR="000616F2" w:rsidRPr="00BD0A14">
        <w:rPr>
          <w:rFonts w:ascii="Lato Light" w:hAnsi="Lato Light"/>
        </w:rPr>
        <w:t xml:space="preserve"> model.</w:t>
      </w:r>
    </w:p>
    <w:p w14:paraId="68BDE1FB" w14:textId="0F6D4AB5" w:rsidR="00BD0A14" w:rsidRDefault="00BD0A14" w:rsidP="00BD0A14">
      <w:pPr>
        <w:pStyle w:val="ListParagraph"/>
        <w:numPr>
          <w:ilvl w:val="0"/>
          <w:numId w:val="50"/>
        </w:numPr>
        <w:rPr>
          <w:rFonts w:ascii="Lato Light" w:hAnsi="Lato Light"/>
        </w:rPr>
      </w:pPr>
      <w:r>
        <w:rPr>
          <w:rFonts w:ascii="Lato Light" w:hAnsi="Lato Light"/>
        </w:rPr>
        <w:t xml:space="preserve">The Tender shall </w:t>
      </w:r>
      <w:r w:rsidR="000616F2" w:rsidRPr="00BD0A14">
        <w:rPr>
          <w:rFonts w:ascii="Lato Light" w:hAnsi="Lato Light"/>
        </w:rPr>
        <w:t>remain open for a period of 90 days.</w:t>
      </w:r>
    </w:p>
    <w:p w14:paraId="7778B24A" w14:textId="2BB3441F" w:rsidR="000616F2" w:rsidRDefault="00BD0A14" w:rsidP="00BD0A14">
      <w:pPr>
        <w:pStyle w:val="ListParagraph"/>
        <w:numPr>
          <w:ilvl w:val="0"/>
          <w:numId w:val="50"/>
        </w:numPr>
        <w:rPr>
          <w:rFonts w:ascii="Lato Light" w:hAnsi="Lato Light"/>
        </w:rPr>
      </w:pPr>
      <w:r>
        <w:rPr>
          <w:rFonts w:ascii="Lato Light" w:hAnsi="Lato Light"/>
        </w:rPr>
        <w:t xml:space="preserve">There </w:t>
      </w:r>
      <w:proofErr w:type="gramStart"/>
      <w:r>
        <w:rPr>
          <w:rFonts w:ascii="Lato Light" w:hAnsi="Lato Light"/>
        </w:rPr>
        <w:t>have</w:t>
      </w:r>
      <w:proofErr w:type="gramEnd"/>
      <w:r>
        <w:rPr>
          <w:rFonts w:ascii="Lato Light" w:hAnsi="Lato Light"/>
        </w:rPr>
        <w:t xml:space="preserve"> been no</w:t>
      </w:r>
      <w:r w:rsidR="000616F2" w:rsidRPr="00BD0A14">
        <w:rPr>
          <w:rFonts w:ascii="Lato Light" w:hAnsi="Lato Light"/>
        </w:rPr>
        <w:t xml:space="preserve"> adverse change since the SQ stage </w:t>
      </w:r>
      <w:r>
        <w:rPr>
          <w:rFonts w:ascii="Lato Light" w:hAnsi="Lato Light"/>
        </w:rPr>
        <w:t>in our</w:t>
      </w:r>
      <w:r w:rsidR="000616F2" w:rsidRPr="00BD0A14">
        <w:rPr>
          <w:rFonts w:ascii="Lato Light" w:hAnsi="Lato Light"/>
        </w:rPr>
        <w:t xml:space="preserve"> financial standing and any other information provided at that stage.</w:t>
      </w:r>
    </w:p>
    <w:p w14:paraId="79653B31" w14:textId="77777777" w:rsidR="00BD0A14" w:rsidRDefault="00BD0A14" w:rsidP="00BD0A14">
      <w:pPr>
        <w:pStyle w:val="ListParagraph"/>
        <w:numPr>
          <w:ilvl w:val="0"/>
          <w:numId w:val="50"/>
        </w:numPr>
        <w:rPr>
          <w:rFonts w:ascii="Lato Light" w:hAnsi="Lato Light"/>
        </w:rPr>
      </w:pPr>
      <w:r>
        <w:rPr>
          <w:rFonts w:ascii="Lato Light" w:hAnsi="Lato Light"/>
        </w:rPr>
        <w:t xml:space="preserve">We shall inform London CIV in the event that there is any </w:t>
      </w:r>
      <w:r w:rsidR="000616F2" w:rsidRPr="00BD0A14">
        <w:rPr>
          <w:rFonts w:ascii="Lato Light" w:hAnsi="Lato Light"/>
        </w:rPr>
        <w:t xml:space="preserve">control, composition or membership (if any) that has taken place after </w:t>
      </w:r>
      <w:r>
        <w:rPr>
          <w:rFonts w:ascii="Lato Light" w:hAnsi="Lato Light"/>
        </w:rPr>
        <w:t>submission of the SQ or Tender</w:t>
      </w:r>
      <w:r w:rsidR="000616F2" w:rsidRPr="00BD0A14">
        <w:rPr>
          <w:rFonts w:ascii="Lato Light" w:hAnsi="Lato Light"/>
        </w:rPr>
        <w:t>.</w:t>
      </w:r>
    </w:p>
    <w:p w14:paraId="3C150A00" w14:textId="611B8FB7" w:rsidR="000616F2" w:rsidRPr="00BD0A14" w:rsidRDefault="000616F2" w:rsidP="00BD0A14">
      <w:pPr>
        <w:rPr>
          <w:rFonts w:ascii="Lato Light" w:hAnsi="Lato Light"/>
        </w:rPr>
      </w:pPr>
      <w:r w:rsidRPr="00BD0A14">
        <w:rPr>
          <w:rFonts w:ascii="Lato Light" w:hAnsi="Lato Light"/>
        </w:rPr>
        <w:t xml:space="preserve">Contact details for two referees. </w:t>
      </w:r>
    </w:p>
    <w:p w14:paraId="292B4243" w14:textId="77777777" w:rsidR="00BD0A14" w:rsidRDefault="00BD0A14" w:rsidP="001F7196">
      <w:pPr>
        <w:tabs>
          <w:tab w:val="left" w:pos="1752"/>
        </w:tabs>
        <w:rPr>
          <w:rFonts w:ascii="Lato Light" w:hAnsi="Lato Light"/>
          <w:lang w:eastAsia="en-GB"/>
        </w:rPr>
      </w:pPr>
    </w:p>
    <w:p w14:paraId="5C45EFD6" w14:textId="20DDB7B4" w:rsidR="00B540CC" w:rsidRPr="00E6642D" w:rsidRDefault="00B540CC" w:rsidP="00052FBA">
      <w:pPr>
        <w:pStyle w:val="Schedule"/>
        <w:rPr>
          <w:lang w:eastAsia="en-GB"/>
        </w:rPr>
      </w:pPr>
      <w:bookmarkStart w:id="44" w:name="_Toc111036758"/>
      <w:r w:rsidRPr="00E6642D">
        <w:rPr>
          <w:lang w:eastAsia="en-GB"/>
        </w:rPr>
        <w:t>Annex 3 – Commercial Model</w:t>
      </w:r>
      <w:bookmarkEnd w:id="44"/>
    </w:p>
    <w:p w14:paraId="645D7529" w14:textId="0A227443" w:rsidR="00B540CC" w:rsidRPr="00E6642D" w:rsidRDefault="00B540CC" w:rsidP="001F7196">
      <w:pPr>
        <w:tabs>
          <w:tab w:val="left" w:pos="1752"/>
        </w:tabs>
        <w:rPr>
          <w:rFonts w:ascii="Lato Light" w:hAnsi="Lato Light"/>
          <w:lang w:eastAsia="en-GB"/>
        </w:rPr>
      </w:pPr>
      <w:r w:rsidRPr="00E6642D">
        <w:rPr>
          <w:rFonts w:ascii="Lato Light" w:hAnsi="Lato Light"/>
          <w:lang w:eastAsia="en-GB"/>
        </w:rPr>
        <w:t>See Excel document</w:t>
      </w:r>
    </w:p>
    <w:p w14:paraId="52D8F7E9" w14:textId="5F647068" w:rsidR="00B540CC" w:rsidRPr="00E6642D" w:rsidRDefault="00B540CC">
      <w:pPr>
        <w:spacing w:after="0" w:line="240" w:lineRule="auto"/>
        <w:rPr>
          <w:rFonts w:ascii="Lato Light" w:hAnsi="Lato Light"/>
          <w:lang w:eastAsia="en-GB"/>
        </w:rPr>
      </w:pPr>
    </w:p>
    <w:p w14:paraId="4B98F77D" w14:textId="2F0B54E1" w:rsidR="00B540CC" w:rsidRDefault="00B540CC" w:rsidP="00D614BD">
      <w:pPr>
        <w:pStyle w:val="Schedule"/>
        <w:rPr>
          <w:lang w:eastAsia="en-GB"/>
        </w:rPr>
      </w:pPr>
      <w:bookmarkStart w:id="45" w:name="_Toc111036759"/>
      <w:r w:rsidRPr="00B540CC">
        <w:rPr>
          <w:lang w:eastAsia="en-GB"/>
        </w:rPr>
        <w:t>Annex 4</w:t>
      </w:r>
      <w:r>
        <w:rPr>
          <w:lang w:eastAsia="en-GB"/>
        </w:rPr>
        <w:t xml:space="preserve"> – Service Provider Terms and Conditions</w:t>
      </w:r>
      <w:bookmarkEnd w:id="45"/>
    </w:p>
    <w:p w14:paraId="5E2BF88C" w14:textId="0E09CA1A" w:rsidR="00B540CC" w:rsidRPr="00D614BD" w:rsidRDefault="00B540CC" w:rsidP="00B540CC">
      <w:pPr>
        <w:pStyle w:val="Paragraph"/>
        <w:rPr>
          <w:rFonts w:ascii="Lato Light" w:hAnsi="Lato Light"/>
          <w:lang w:eastAsia="en-GB"/>
        </w:rPr>
      </w:pPr>
      <w:r w:rsidRPr="00D614BD">
        <w:rPr>
          <w:rFonts w:ascii="Lato Light" w:hAnsi="Lato Light"/>
          <w:lang w:eastAsia="en-GB"/>
        </w:rPr>
        <w:t xml:space="preserve">Tenderers must provide a copy of their Contract terms and conditions in accordance with paragraphs </w:t>
      </w:r>
      <w:r w:rsidR="002758B1" w:rsidRPr="00D614BD">
        <w:rPr>
          <w:rFonts w:ascii="Lato Light" w:hAnsi="Lato Light"/>
          <w:lang w:eastAsia="en-GB"/>
        </w:rPr>
        <w:fldChar w:fldCharType="begin"/>
      </w:r>
      <w:r w:rsidR="002758B1" w:rsidRPr="00D614BD">
        <w:rPr>
          <w:rFonts w:ascii="Lato Light" w:hAnsi="Lato Light"/>
          <w:lang w:eastAsia="en-GB"/>
        </w:rPr>
        <w:instrText xml:space="preserve"> REF _Ref110807985 \r \h </w:instrText>
      </w:r>
      <w:r w:rsidR="00D614BD">
        <w:rPr>
          <w:rFonts w:ascii="Lato Light" w:hAnsi="Lato Light"/>
          <w:lang w:eastAsia="en-GB"/>
        </w:rPr>
        <w:instrText xml:space="preserve"> \* MERGEFORMAT </w:instrText>
      </w:r>
      <w:r w:rsidR="002758B1" w:rsidRPr="00D614BD">
        <w:rPr>
          <w:rFonts w:ascii="Lato Light" w:hAnsi="Lato Light"/>
          <w:lang w:eastAsia="en-GB"/>
        </w:rPr>
      </w:r>
      <w:r w:rsidR="002758B1" w:rsidRPr="00D614BD">
        <w:rPr>
          <w:rFonts w:ascii="Lato Light" w:hAnsi="Lato Light"/>
          <w:lang w:eastAsia="en-GB"/>
        </w:rPr>
        <w:fldChar w:fldCharType="separate"/>
      </w:r>
      <w:r w:rsidR="00B44B03">
        <w:rPr>
          <w:rFonts w:ascii="Lato Light" w:hAnsi="Lato Light"/>
          <w:lang w:eastAsia="en-GB"/>
        </w:rPr>
        <w:t>2.4</w:t>
      </w:r>
      <w:r w:rsidR="002758B1" w:rsidRPr="00D614BD">
        <w:rPr>
          <w:rFonts w:ascii="Lato Light" w:hAnsi="Lato Light"/>
          <w:lang w:eastAsia="en-GB"/>
        </w:rPr>
        <w:fldChar w:fldCharType="end"/>
      </w:r>
    </w:p>
    <w:sectPr w:rsidR="00B540CC" w:rsidRPr="00D614BD" w:rsidSect="00E7617A">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CF61" w14:textId="77777777" w:rsidR="00E14D0E" w:rsidRDefault="00E14D0E">
      <w:pPr>
        <w:spacing w:line="240" w:lineRule="auto"/>
      </w:pPr>
      <w:r>
        <w:separator/>
      </w:r>
    </w:p>
  </w:endnote>
  <w:endnote w:type="continuationSeparator" w:id="0">
    <w:p w14:paraId="418245AF" w14:textId="77777777" w:rsidR="00E14D0E" w:rsidRDefault="00E14D0E">
      <w:pPr>
        <w:spacing w:line="240" w:lineRule="auto"/>
      </w:pPr>
      <w:r>
        <w:continuationSeparator/>
      </w:r>
    </w:p>
  </w:endnote>
  <w:endnote w:type="continuationNotice" w:id="1">
    <w:p w14:paraId="5ABEBAAC" w14:textId="77777777" w:rsidR="00E14D0E" w:rsidRDefault="00E14D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Light">
    <w:altName w:val="Segoe UI"/>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4588" w14:textId="77777777" w:rsidR="00FE4581" w:rsidRDefault="00F33767">
    <w:pPr>
      <w:jc w:val="center"/>
    </w:pPr>
    <w:r>
      <w:fldChar w:fldCharType="begin"/>
    </w:r>
    <w:r>
      <w:instrText>PAGE</w:instrText>
    </w:r>
    <w:r>
      <w:fldChar w:fldCharType="separate"/>
    </w:r>
    <w: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1335" w14:textId="77777777" w:rsidR="00E14D0E" w:rsidRDefault="00E14D0E">
      <w:pPr>
        <w:spacing w:line="240" w:lineRule="auto"/>
      </w:pPr>
      <w:r>
        <w:separator/>
      </w:r>
    </w:p>
  </w:footnote>
  <w:footnote w:type="continuationSeparator" w:id="0">
    <w:p w14:paraId="52FFF33A" w14:textId="77777777" w:rsidR="00E14D0E" w:rsidRDefault="00E14D0E">
      <w:pPr>
        <w:spacing w:line="240" w:lineRule="auto"/>
      </w:pPr>
      <w:r>
        <w:continuationSeparator/>
      </w:r>
    </w:p>
  </w:footnote>
  <w:footnote w:type="continuationNotice" w:id="1">
    <w:p w14:paraId="12FB47E6" w14:textId="77777777" w:rsidR="00E14D0E" w:rsidRDefault="00E14D0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 w15:restartNumberingAfterBreak="0">
    <w:nsid w:val="FFFFFF7C"/>
    <w:multiLevelType w:val="singleLevel"/>
    <w:tmpl w:val="2FEA75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600B0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002BE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2221F4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208427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2058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D30704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C18E5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0270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DF0B1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814D04"/>
    <w:multiLevelType w:val="multilevel"/>
    <w:tmpl w:val="9FC0F132"/>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862"/>
        </w:tabs>
        <w:ind w:left="862" w:hanging="720"/>
      </w:pPr>
      <w:rPr>
        <w:rFonts w:ascii="Lato Light" w:hAnsi="Lato Light" w:hint="default"/>
        <w:b w:val="0"/>
        <w:bCs w:val="0"/>
        <w:color w:val="000000"/>
        <w:sz w:val="22"/>
        <w:szCs w:val="22"/>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253412"/>
    <w:multiLevelType w:val="hybridMultilevel"/>
    <w:tmpl w:val="960CC850"/>
    <w:lvl w:ilvl="0" w:tplc="5930E314">
      <w:start w:val="1"/>
      <w:numFmt w:val="bullet"/>
      <w:pStyle w:val="DefinedTermBullet"/>
      <w:lvlText w:val=""/>
      <w:lvlJc w:val="left"/>
      <w:pPr>
        <w:ind w:left="1440" w:hanging="360"/>
      </w:pPr>
      <w:rPr>
        <w:rFonts w:ascii="Symbol" w:hAnsi="Symbol" w:hint="default"/>
        <w:color w:val="000000"/>
      </w:rPr>
    </w:lvl>
    <w:lvl w:ilvl="1" w:tplc="2D903FEC" w:tentative="1">
      <w:start w:val="1"/>
      <w:numFmt w:val="bullet"/>
      <w:lvlText w:val="o"/>
      <w:lvlJc w:val="left"/>
      <w:pPr>
        <w:ind w:left="2160" w:hanging="360"/>
      </w:pPr>
      <w:rPr>
        <w:rFonts w:ascii="Courier New" w:hAnsi="Courier New" w:cs="Courier New" w:hint="default"/>
      </w:rPr>
    </w:lvl>
    <w:lvl w:ilvl="2" w:tplc="B52AB98E" w:tentative="1">
      <w:start w:val="1"/>
      <w:numFmt w:val="bullet"/>
      <w:lvlText w:val=""/>
      <w:lvlJc w:val="left"/>
      <w:pPr>
        <w:ind w:left="2880" w:hanging="360"/>
      </w:pPr>
      <w:rPr>
        <w:rFonts w:ascii="Wingdings" w:hAnsi="Wingdings" w:hint="default"/>
      </w:rPr>
    </w:lvl>
    <w:lvl w:ilvl="3" w:tplc="04743398" w:tentative="1">
      <w:start w:val="1"/>
      <w:numFmt w:val="bullet"/>
      <w:lvlText w:val=""/>
      <w:lvlJc w:val="left"/>
      <w:pPr>
        <w:ind w:left="3600" w:hanging="360"/>
      </w:pPr>
      <w:rPr>
        <w:rFonts w:ascii="Symbol" w:hAnsi="Symbol" w:hint="default"/>
      </w:rPr>
    </w:lvl>
    <w:lvl w:ilvl="4" w:tplc="9E105D9C" w:tentative="1">
      <w:start w:val="1"/>
      <w:numFmt w:val="bullet"/>
      <w:lvlText w:val="o"/>
      <w:lvlJc w:val="left"/>
      <w:pPr>
        <w:ind w:left="4320" w:hanging="360"/>
      </w:pPr>
      <w:rPr>
        <w:rFonts w:ascii="Courier New" w:hAnsi="Courier New" w:cs="Courier New" w:hint="default"/>
      </w:rPr>
    </w:lvl>
    <w:lvl w:ilvl="5" w:tplc="B4F47C6A" w:tentative="1">
      <w:start w:val="1"/>
      <w:numFmt w:val="bullet"/>
      <w:lvlText w:val=""/>
      <w:lvlJc w:val="left"/>
      <w:pPr>
        <w:ind w:left="5040" w:hanging="360"/>
      </w:pPr>
      <w:rPr>
        <w:rFonts w:ascii="Wingdings" w:hAnsi="Wingdings" w:hint="default"/>
      </w:rPr>
    </w:lvl>
    <w:lvl w:ilvl="6" w:tplc="5E0A2014" w:tentative="1">
      <w:start w:val="1"/>
      <w:numFmt w:val="bullet"/>
      <w:lvlText w:val=""/>
      <w:lvlJc w:val="left"/>
      <w:pPr>
        <w:ind w:left="5760" w:hanging="360"/>
      </w:pPr>
      <w:rPr>
        <w:rFonts w:ascii="Symbol" w:hAnsi="Symbol" w:hint="default"/>
      </w:rPr>
    </w:lvl>
    <w:lvl w:ilvl="7" w:tplc="FE50F0D0" w:tentative="1">
      <w:start w:val="1"/>
      <w:numFmt w:val="bullet"/>
      <w:lvlText w:val="o"/>
      <w:lvlJc w:val="left"/>
      <w:pPr>
        <w:ind w:left="6480" w:hanging="360"/>
      </w:pPr>
      <w:rPr>
        <w:rFonts w:ascii="Courier New" w:hAnsi="Courier New" w:cs="Courier New" w:hint="default"/>
      </w:rPr>
    </w:lvl>
    <w:lvl w:ilvl="8" w:tplc="DCD42E68" w:tentative="1">
      <w:start w:val="1"/>
      <w:numFmt w:val="bullet"/>
      <w:lvlText w:val=""/>
      <w:lvlJc w:val="left"/>
      <w:pPr>
        <w:ind w:left="7200" w:hanging="360"/>
      </w:pPr>
      <w:rPr>
        <w:rFonts w:ascii="Wingdings" w:hAnsi="Wingdings" w:hint="default"/>
      </w:rPr>
    </w:lvl>
  </w:abstractNum>
  <w:abstractNum w:abstractNumId="13" w15:restartNumberingAfterBreak="0">
    <w:nsid w:val="0BF73B31"/>
    <w:multiLevelType w:val="multilevel"/>
    <w:tmpl w:val="F334B36E"/>
    <w:lvl w:ilvl="0">
      <w:start w:val="1"/>
      <w:numFmt w:val="decimal"/>
      <w:lvlText w:val="%1"/>
      <w:lvlJc w:val="left"/>
      <w:pPr>
        <w:ind w:left="396" w:hanging="396"/>
      </w:pPr>
      <w:rPr>
        <w:rFonts w:cs="Times New Roman" w:hint="default"/>
      </w:rPr>
    </w:lvl>
    <w:lvl w:ilvl="1">
      <w:start w:val="1"/>
      <w:numFmt w:val="decimal"/>
      <w:lvlText w:val="%1.%2"/>
      <w:lvlJc w:val="left"/>
      <w:pPr>
        <w:ind w:left="396" w:hanging="39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0E131090"/>
    <w:multiLevelType w:val="hybridMultilevel"/>
    <w:tmpl w:val="202829AE"/>
    <w:lvl w:ilvl="0" w:tplc="1B0A9D04">
      <w:start w:val="1"/>
      <w:numFmt w:val="bullet"/>
      <w:lvlText w:val="-"/>
      <w:lvlJc w:val="left"/>
      <w:pPr>
        <w:ind w:left="720" w:hanging="360"/>
      </w:pPr>
      <w:rPr>
        <w:rFonts w:ascii="Lato Light" w:eastAsiaTheme="minorHAnsi" w:hAnsi="Lat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83755F"/>
    <w:multiLevelType w:val="hybridMultilevel"/>
    <w:tmpl w:val="32FC79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73219C"/>
    <w:multiLevelType w:val="hybridMultilevel"/>
    <w:tmpl w:val="1888767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E82F3A"/>
    <w:multiLevelType w:val="hybridMultilevel"/>
    <w:tmpl w:val="1DF80854"/>
    <w:lvl w:ilvl="0" w:tplc="8D8A54CC">
      <w:start w:val="1"/>
      <w:numFmt w:val="decimal"/>
      <w:pStyle w:val="ScheduleHeading-Single"/>
      <w:lvlText w:val="Schedule"/>
      <w:lvlJc w:val="left"/>
      <w:pPr>
        <w:tabs>
          <w:tab w:val="num" w:pos="720"/>
        </w:tabs>
        <w:ind w:left="720" w:hanging="720"/>
      </w:pPr>
      <w:rPr>
        <w:color w:val="000000"/>
      </w:rPr>
    </w:lvl>
    <w:lvl w:ilvl="1" w:tplc="6E74B97E" w:tentative="1">
      <w:start w:val="1"/>
      <w:numFmt w:val="lowerLetter"/>
      <w:lvlText w:val="%2."/>
      <w:lvlJc w:val="left"/>
      <w:pPr>
        <w:tabs>
          <w:tab w:val="num" w:pos="1440"/>
        </w:tabs>
        <w:ind w:left="1440" w:hanging="360"/>
      </w:pPr>
    </w:lvl>
    <w:lvl w:ilvl="2" w:tplc="AB08DF0C" w:tentative="1">
      <w:start w:val="1"/>
      <w:numFmt w:val="lowerRoman"/>
      <w:lvlText w:val="%3."/>
      <w:lvlJc w:val="right"/>
      <w:pPr>
        <w:tabs>
          <w:tab w:val="num" w:pos="2160"/>
        </w:tabs>
        <w:ind w:left="2160" w:hanging="180"/>
      </w:pPr>
    </w:lvl>
    <w:lvl w:ilvl="3" w:tplc="6BD2B378" w:tentative="1">
      <w:start w:val="1"/>
      <w:numFmt w:val="decimal"/>
      <w:lvlText w:val="%4."/>
      <w:lvlJc w:val="left"/>
      <w:pPr>
        <w:tabs>
          <w:tab w:val="num" w:pos="2880"/>
        </w:tabs>
        <w:ind w:left="2880" w:hanging="360"/>
      </w:pPr>
    </w:lvl>
    <w:lvl w:ilvl="4" w:tplc="7D1030EC" w:tentative="1">
      <w:start w:val="1"/>
      <w:numFmt w:val="lowerLetter"/>
      <w:lvlText w:val="%5."/>
      <w:lvlJc w:val="left"/>
      <w:pPr>
        <w:tabs>
          <w:tab w:val="num" w:pos="3600"/>
        </w:tabs>
        <w:ind w:left="3600" w:hanging="360"/>
      </w:pPr>
    </w:lvl>
    <w:lvl w:ilvl="5" w:tplc="555E79BE" w:tentative="1">
      <w:start w:val="1"/>
      <w:numFmt w:val="lowerRoman"/>
      <w:lvlText w:val="%6."/>
      <w:lvlJc w:val="right"/>
      <w:pPr>
        <w:tabs>
          <w:tab w:val="num" w:pos="4320"/>
        </w:tabs>
        <w:ind w:left="4320" w:hanging="180"/>
      </w:pPr>
    </w:lvl>
    <w:lvl w:ilvl="6" w:tplc="DFF44068" w:tentative="1">
      <w:start w:val="1"/>
      <w:numFmt w:val="decimal"/>
      <w:lvlText w:val="%7."/>
      <w:lvlJc w:val="left"/>
      <w:pPr>
        <w:tabs>
          <w:tab w:val="num" w:pos="5040"/>
        </w:tabs>
        <w:ind w:left="5040" w:hanging="360"/>
      </w:pPr>
    </w:lvl>
    <w:lvl w:ilvl="7" w:tplc="2A4891C4" w:tentative="1">
      <w:start w:val="1"/>
      <w:numFmt w:val="lowerLetter"/>
      <w:lvlText w:val="%8."/>
      <w:lvlJc w:val="left"/>
      <w:pPr>
        <w:tabs>
          <w:tab w:val="num" w:pos="5760"/>
        </w:tabs>
        <w:ind w:left="5760" w:hanging="360"/>
      </w:pPr>
    </w:lvl>
    <w:lvl w:ilvl="8" w:tplc="7A081D32" w:tentative="1">
      <w:start w:val="1"/>
      <w:numFmt w:val="lowerRoman"/>
      <w:lvlText w:val="%9."/>
      <w:lvlJc w:val="right"/>
      <w:pPr>
        <w:tabs>
          <w:tab w:val="num" w:pos="6480"/>
        </w:tabs>
        <w:ind w:left="6480" w:hanging="180"/>
      </w:pPr>
    </w:lvl>
  </w:abstractNum>
  <w:abstractNum w:abstractNumId="19" w15:restartNumberingAfterBreak="0">
    <w:nsid w:val="25B00E4C"/>
    <w:multiLevelType w:val="hybridMultilevel"/>
    <w:tmpl w:val="97C4AA26"/>
    <w:lvl w:ilvl="0" w:tplc="474A5CD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plc="3328CBFE" w:tentative="1">
      <w:start w:val="1"/>
      <w:numFmt w:val="lowerLetter"/>
      <w:lvlText w:val="%2."/>
      <w:lvlJc w:val="left"/>
      <w:pPr>
        <w:ind w:left="1440" w:hanging="360"/>
      </w:pPr>
    </w:lvl>
    <w:lvl w:ilvl="2" w:tplc="448409F4" w:tentative="1">
      <w:start w:val="1"/>
      <w:numFmt w:val="lowerRoman"/>
      <w:lvlText w:val="%3."/>
      <w:lvlJc w:val="right"/>
      <w:pPr>
        <w:ind w:left="2160" w:hanging="180"/>
      </w:pPr>
    </w:lvl>
    <w:lvl w:ilvl="3" w:tplc="1B644B44" w:tentative="1">
      <w:start w:val="1"/>
      <w:numFmt w:val="decimal"/>
      <w:lvlText w:val="%4."/>
      <w:lvlJc w:val="left"/>
      <w:pPr>
        <w:ind w:left="2880" w:hanging="360"/>
      </w:pPr>
    </w:lvl>
    <w:lvl w:ilvl="4" w:tplc="E1E244A0" w:tentative="1">
      <w:start w:val="1"/>
      <w:numFmt w:val="lowerLetter"/>
      <w:lvlText w:val="%5."/>
      <w:lvlJc w:val="left"/>
      <w:pPr>
        <w:ind w:left="3600" w:hanging="360"/>
      </w:pPr>
    </w:lvl>
    <w:lvl w:ilvl="5" w:tplc="2662E52A" w:tentative="1">
      <w:start w:val="1"/>
      <w:numFmt w:val="lowerRoman"/>
      <w:lvlText w:val="%6."/>
      <w:lvlJc w:val="right"/>
      <w:pPr>
        <w:ind w:left="4320" w:hanging="180"/>
      </w:pPr>
    </w:lvl>
    <w:lvl w:ilvl="6" w:tplc="13EEDC02" w:tentative="1">
      <w:start w:val="1"/>
      <w:numFmt w:val="decimal"/>
      <w:lvlText w:val="%7."/>
      <w:lvlJc w:val="left"/>
      <w:pPr>
        <w:ind w:left="5040" w:hanging="360"/>
      </w:pPr>
    </w:lvl>
    <w:lvl w:ilvl="7" w:tplc="DDE2A4EA" w:tentative="1">
      <w:start w:val="1"/>
      <w:numFmt w:val="lowerLetter"/>
      <w:lvlText w:val="%8."/>
      <w:lvlJc w:val="left"/>
      <w:pPr>
        <w:ind w:left="5760" w:hanging="360"/>
      </w:pPr>
    </w:lvl>
    <w:lvl w:ilvl="8" w:tplc="42C4D210"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089237B8">
      <w:start w:val="1"/>
      <w:numFmt w:val="decimal"/>
      <w:pStyle w:val="QuestionParagraph"/>
      <w:lvlText w:val="%1."/>
      <w:lvlJc w:val="left"/>
      <w:pPr>
        <w:ind w:left="720" w:hanging="360"/>
      </w:pPr>
      <w:rPr>
        <w:color w:val="000000"/>
      </w:rPr>
    </w:lvl>
    <w:lvl w:ilvl="1" w:tplc="D81AE9F2" w:tentative="1">
      <w:start w:val="1"/>
      <w:numFmt w:val="lowerLetter"/>
      <w:lvlText w:val="%2."/>
      <w:lvlJc w:val="left"/>
      <w:pPr>
        <w:ind w:left="1440" w:hanging="360"/>
      </w:pPr>
    </w:lvl>
    <w:lvl w:ilvl="2" w:tplc="86AE3A56" w:tentative="1">
      <w:start w:val="1"/>
      <w:numFmt w:val="lowerRoman"/>
      <w:lvlText w:val="%3."/>
      <w:lvlJc w:val="right"/>
      <w:pPr>
        <w:ind w:left="2160" w:hanging="180"/>
      </w:pPr>
    </w:lvl>
    <w:lvl w:ilvl="3" w:tplc="4800904C" w:tentative="1">
      <w:start w:val="1"/>
      <w:numFmt w:val="decimal"/>
      <w:lvlText w:val="%4."/>
      <w:lvlJc w:val="left"/>
      <w:pPr>
        <w:ind w:left="2880" w:hanging="360"/>
      </w:pPr>
    </w:lvl>
    <w:lvl w:ilvl="4" w:tplc="4288D250" w:tentative="1">
      <w:start w:val="1"/>
      <w:numFmt w:val="lowerLetter"/>
      <w:lvlText w:val="%5."/>
      <w:lvlJc w:val="left"/>
      <w:pPr>
        <w:ind w:left="3600" w:hanging="360"/>
      </w:pPr>
    </w:lvl>
    <w:lvl w:ilvl="5" w:tplc="FEC093AC" w:tentative="1">
      <w:start w:val="1"/>
      <w:numFmt w:val="lowerRoman"/>
      <w:lvlText w:val="%6."/>
      <w:lvlJc w:val="right"/>
      <w:pPr>
        <w:ind w:left="4320" w:hanging="180"/>
      </w:pPr>
    </w:lvl>
    <w:lvl w:ilvl="6" w:tplc="A1F24C46" w:tentative="1">
      <w:start w:val="1"/>
      <w:numFmt w:val="decimal"/>
      <w:lvlText w:val="%7."/>
      <w:lvlJc w:val="left"/>
      <w:pPr>
        <w:ind w:left="5040" w:hanging="360"/>
      </w:pPr>
    </w:lvl>
    <w:lvl w:ilvl="7" w:tplc="79BE0420" w:tentative="1">
      <w:start w:val="1"/>
      <w:numFmt w:val="lowerLetter"/>
      <w:lvlText w:val="%8."/>
      <w:lvlJc w:val="left"/>
      <w:pPr>
        <w:ind w:left="5760" w:hanging="360"/>
      </w:pPr>
    </w:lvl>
    <w:lvl w:ilvl="8" w:tplc="9474AA32" w:tentative="1">
      <w:start w:val="1"/>
      <w:numFmt w:val="lowerRoman"/>
      <w:lvlText w:val="%9."/>
      <w:lvlJc w:val="right"/>
      <w:pPr>
        <w:ind w:left="6480" w:hanging="180"/>
      </w:pPr>
    </w:lvl>
  </w:abstractNum>
  <w:abstractNum w:abstractNumId="21" w15:restartNumberingAfterBreak="0">
    <w:nsid w:val="310416CA"/>
    <w:multiLevelType w:val="hybridMultilevel"/>
    <w:tmpl w:val="072EDEC8"/>
    <w:lvl w:ilvl="0" w:tplc="1F987256">
      <w:start w:val="1"/>
      <w:numFmt w:val="bullet"/>
      <w:pStyle w:val="subclause2Bullet2"/>
      <w:lvlText w:val=""/>
      <w:lvlJc w:val="left"/>
      <w:pPr>
        <w:ind w:left="2279" w:hanging="360"/>
      </w:pPr>
      <w:rPr>
        <w:rFonts w:ascii="Symbol" w:hAnsi="Symbol" w:hint="default"/>
        <w:color w:val="000000"/>
      </w:rPr>
    </w:lvl>
    <w:lvl w:ilvl="1" w:tplc="AAAAB762" w:tentative="1">
      <w:start w:val="1"/>
      <w:numFmt w:val="bullet"/>
      <w:lvlText w:val="o"/>
      <w:lvlJc w:val="left"/>
      <w:pPr>
        <w:ind w:left="2999" w:hanging="360"/>
      </w:pPr>
      <w:rPr>
        <w:rFonts w:ascii="Courier New" w:hAnsi="Courier New" w:cs="Courier New" w:hint="default"/>
      </w:rPr>
    </w:lvl>
    <w:lvl w:ilvl="2" w:tplc="996C69EC" w:tentative="1">
      <w:start w:val="1"/>
      <w:numFmt w:val="bullet"/>
      <w:lvlText w:val=""/>
      <w:lvlJc w:val="left"/>
      <w:pPr>
        <w:ind w:left="3719" w:hanging="360"/>
      </w:pPr>
      <w:rPr>
        <w:rFonts w:ascii="Wingdings" w:hAnsi="Wingdings" w:hint="default"/>
      </w:rPr>
    </w:lvl>
    <w:lvl w:ilvl="3" w:tplc="F27E6F2A" w:tentative="1">
      <w:start w:val="1"/>
      <w:numFmt w:val="bullet"/>
      <w:lvlText w:val=""/>
      <w:lvlJc w:val="left"/>
      <w:pPr>
        <w:ind w:left="4439" w:hanging="360"/>
      </w:pPr>
      <w:rPr>
        <w:rFonts w:ascii="Symbol" w:hAnsi="Symbol" w:hint="default"/>
      </w:rPr>
    </w:lvl>
    <w:lvl w:ilvl="4" w:tplc="425C1B4A" w:tentative="1">
      <w:start w:val="1"/>
      <w:numFmt w:val="bullet"/>
      <w:lvlText w:val="o"/>
      <w:lvlJc w:val="left"/>
      <w:pPr>
        <w:ind w:left="5159" w:hanging="360"/>
      </w:pPr>
      <w:rPr>
        <w:rFonts w:ascii="Courier New" w:hAnsi="Courier New" w:cs="Courier New" w:hint="default"/>
      </w:rPr>
    </w:lvl>
    <w:lvl w:ilvl="5" w:tplc="492EFD5A" w:tentative="1">
      <w:start w:val="1"/>
      <w:numFmt w:val="bullet"/>
      <w:lvlText w:val=""/>
      <w:lvlJc w:val="left"/>
      <w:pPr>
        <w:ind w:left="5879" w:hanging="360"/>
      </w:pPr>
      <w:rPr>
        <w:rFonts w:ascii="Wingdings" w:hAnsi="Wingdings" w:hint="default"/>
      </w:rPr>
    </w:lvl>
    <w:lvl w:ilvl="6" w:tplc="F2264166" w:tentative="1">
      <w:start w:val="1"/>
      <w:numFmt w:val="bullet"/>
      <w:lvlText w:val=""/>
      <w:lvlJc w:val="left"/>
      <w:pPr>
        <w:ind w:left="6599" w:hanging="360"/>
      </w:pPr>
      <w:rPr>
        <w:rFonts w:ascii="Symbol" w:hAnsi="Symbol" w:hint="default"/>
      </w:rPr>
    </w:lvl>
    <w:lvl w:ilvl="7" w:tplc="636815D2" w:tentative="1">
      <w:start w:val="1"/>
      <w:numFmt w:val="bullet"/>
      <w:lvlText w:val="o"/>
      <w:lvlJc w:val="left"/>
      <w:pPr>
        <w:ind w:left="7319" w:hanging="360"/>
      </w:pPr>
      <w:rPr>
        <w:rFonts w:ascii="Courier New" w:hAnsi="Courier New" w:cs="Courier New" w:hint="default"/>
      </w:rPr>
    </w:lvl>
    <w:lvl w:ilvl="8" w:tplc="95F42012" w:tentative="1">
      <w:start w:val="1"/>
      <w:numFmt w:val="bullet"/>
      <w:lvlText w:val=""/>
      <w:lvlJc w:val="left"/>
      <w:pPr>
        <w:ind w:left="8039" w:hanging="360"/>
      </w:pPr>
      <w:rPr>
        <w:rFonts w:ascii="Wingdings" w:hAnsi="Wingdings" w:hint="default"/>
      </w:rPr>
    </w:lvl>
  </w:abstractNum>
  <w:abstractNum w:abstractNumId="22" w15:restartNumberingAfterBreak="0">
    <w:nsid w:val="31E9741F"/>
    <w:multiLevelType w:val="hybridMultilevel"/>
    <w:tmpl w:val="0CAC7D4E"/>
    <w:lvl w:ilvl="0" w:tplc="60901392">
      <w:start w:val="1"/>
      <w:numFmt w:val="bullet"/>
      <w:pStyle w:val="BulletList2"/>
      <w:lvlText w:val=""/>
      <w:lvlJc w:val="left"/>
      <w:pPr>
        <w:tabs>
          <w:tab w:val="num" w:pos="1077"/>
        </w:tabs>
        <w:ind w:left="1077" w:hanging="357"/>
      </w:pPr>
      <w:rPr>
        <w:rFonts w:ascii="Symbol" w:hAnsi="Symbol" w:hint="default"/>
        <w:color w:val="000000"/>
      </w:rPr>
    </w:lvl>
    <w:lvl w:ilvl="1" w:tplc="15C80DD4" w:tentative="1">
      <w:start w:val="1"/>
      <w:numFmt w:val="bullet"/>
      <w:lvlText w:val="o"/>
      <w:lvlJc w:val="left"/>
      <w:pPr>
        <w:tabs>
          <w:tab w:val="num" w:pos="1440"/>
        </w:tabs>
        <w:ind w:left="1440" w:hanging="360"/>
      </w:pPr>
      <w:rPr>
        <w:rFonts w:ascii="Courier New" w:hAnsi="Courier New" w:cs="Courier New" w:hint="default"/>
      </w:rPr>
    </w:lvl>
    <w:lvl w:ilvl="2" w:tplc="BC266F50" w:tentative="1">
      <w:start w:val="1"/>
      <w:numFmt w:val="bullet"/>
      <w:lvlText w:val=""/>
      <w:lvlJc w:val="left"/>
      <w:pPr>
        <w:tabs>
          <w:tab w:val="num" w:pos="2160"/>
        </w:tabs>
        <w:ind w:left="2160" w:hanging="360"/>
      </w:pPr>
      <w:rPr>
        <w:rFonts w:ascii="Wingdings" w:hAnsi="Wingdings" w:hint="default"/>
      </w:rPr>
    </w:lvl>
    <w:lvl w:ilvl="3" w:tplc="A8EE5AAA" w:tentative="1">
      <w:start w:val="1"/>
      <w:numFmt w:val="bullet"/>
      <w:lvlText w:val=""/>
      <w:lvlJc w:val="left"/>
      <w:pPr>
        <w:tabs>
          <w:tab w:val="num" w:pos="2880"/>
        </w:tabs>
        <w:ind w:left="2880" w:hanging="360"/>
      </w:pPr>
      <w:rPr>
        <w:rFonts w:ascii="Symbol" w:hAnsi="Symbol" w:hint="default"/>
      </w:rPr>
    </w:lvl>
    <w:lvl w:ilvl="4" w:tplc="912E289A" w:tentative="1">
      <w:start w:val="1"/>
      <w:numFmt w:val="bullet"/>
      <w:lvlText w:val="o"/>
      <w:lvlJc w:val="left"/>
      <w:pPr>
        <w:tabs>
          <w:tab w:val="num" w:pos="3600"/>
        </w:tabs>
        <w:ind w:left="3600" w:hanging="360"/>
      </w:pPr>
      <w:rPr>
        <w:rFonts w:ascii="Courier New" w:hAnsi="Courier New" w:cs="Courier New" w:hint="default"/>
      </w:rPr>
    </w:lvl>
    <w:lvl w:ilvl="5" w:tplc="250A7496" w:tentative="1">
      <w:start w:val="1"/>
      <w:numFmt w:val="bullet"/>
      <w:lvlText w:val=""/>
      <w:lvlJc w:val="left"/>
      <w:pPr>
        <w:tabs>
          <w:tab w:val="num" w:pos="4320"/>
        </w:tabs>
        <w:ind w:left="4320" w:hanging="360"/>
      </w:pPr>
      <w:rPr>
        <w:rFonts w:ascii="Wingdings" w:hAnsi="Wingdings" w:hint="default"/>
      </w:rPr>
    </w:lvl>
    <w:lvl w:ilvl="6" w:tplc="3D2C4ADA" w:tentative="1">
      <w:start w:val="1"/>
      <w:numFmt w:val="bullet"/>
      <w:lvlText w:val=""/>
      <w:lvlJc w:val="left"/>
      <w:pPr>
        <w:tabs>
          <w:tab w:val="num" w:pos="5040"/>
        </w:tabs>
        <w:ind w:left="5040" w:hanging="360"/>
      </w:pPr>
      <w:rPr>
        <w:rFonts w:ascii="Symbol" w:hAnsi="Symbol" w:hint="default"/>
      </w:rPr>
    </w:lvl>
    <w:lvl w:ilvl="7" w:tplc="143E01A0" w:tentative="1">
      <w:start w:val="1"/>
      <w:numFmt w:val="bullet"/>
      <w:lvlText w:val="o"/>
      <w:lvlJc w:val="left"/>
      <w:pPr>
        <w:tabs>
          <w:tab w:val="num" w:pos="5760"/>
        </w:tabs>
        <w:ind w:left="5760" w:hanging="360"/>
      </w:pPr>
      <w:rPr>
        <w:rFonts w:ascii="Courier New" w:hAnsi="Courier New" w:cs="Courier New" w:hint="default"/>
      </w:rPr>
    </w:lvl>
    <w:lvl w:ilvl="8" w:tplc="AFFCE3A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C668D"/>
    <w:multiLevelType w:val="hybridMultilevel"/>
    <w:tmpl w:val="594C4DAE"/>
    <w:lvl w:ilvl="0" w:tplc="6272107A">
      <w:start w:val="1"/>
      <w:numFmt w:val="bullet"/>
      <w:pStyle w:val="Bullet4"/>
      <w:lvlText w:val=""/>
      <w:lvlJc w:val="left"/>
      <w:pPr>
        <w:tabs>
          <w:tab w:val="num" w:pos="2676"/>
        </w:tabs>
        <w:ind w:left="2676" w:hanging="357"/>
      </w:pPr>
      <w:rPr>
        <w:rFonts w:ascii="Symbol" w:hAnsi="Symbol" w:hint="default"/>
        <w:color w:val="000000"/>
      </w:rPr>
    </w:lvl>
    <w:lvl w:ilvl="1" w:tplc="987C5580" w:tentative="1">
      <w:start w:val="1"/>
      <w:numFmt w:val="bullet"/>
      <w:lvlText w:val="o"/>
      <w:lvlJc w:val="left"/>
      <w:pPr>
        <w:tabs>
          <w:tab w:val="num" w:pos="1440"/>
        </w:tabs>
        <w:ind w:left="1440" w:hanging="360"/>
      </w:pPr>
      <w:rPr>
        <w:rFonts w:ascii="Courier New" w:hAnsi="Courier New" w:cs="Courier New" w:hint="default"/>
      </w:rPr>
    </w:lvl>
    <w:lvl w:ilvl="2" w:tplc="84DE9CA0" w:tentative="1">
      <w:start w:val="1"/>
      <w:numFmt w:val="bullet"/>
      <w:lvlText w:val=""/>
      <w:lvlJc w:val="left"/>
      <w:pPr>
        <w:tabs>
          <w:tab w:val="num" w:pos="2160"/>
        </w:tabs>
        <w:ind w:left="2160" w:hanging="360"/>
      </w:pPr>
      <w:rPr>
        <w:rFonts w:ascii="Wingdings" w:hAnsi="Wingdings" w:hint="default"/>
      </w:rPr>
    </w:lvl>
    <w:lvl w:ilvl="3" w:tplc="13864114" w:tentative="1">
      <w:start w:val="1"/>
      <w:numFmt w:val="bullet"/>
      <w:lvlText w:val=""/>
      <w:lvlJc w:val="left"/>
      <w:pPr>
        <w:tabs>
          <w:tab w:val="num" w:pos="2880"/>
        </w:tabs>
        <w:ind w:left="2880" w:hanging="360"/>
      </w:pPr>
      <w:rPr>
        <w:rFonts w:ascii="Symbol" w:hAnsi="Symbol" w:hint="default"/>
      </w:rPr>
    </w:lvl>
    <w:lvl w:ilvl="4" w:tplc="0610F61A" w:tentative="1">
      <w:start w:val="1"/>
      <w:numFmt w:val="bullet"/>
      <w:lvlText w:val="o"/>
      <w:lvlJc w:val="left"/>
      <w:pPr>
        <w:tabs>
          <w:tab w:val="num" w:pos="3600"/>
        </w:tabs>
        <w:ind w:left="3600" w:hanging="360"/>
      </w:pPr>
      <w:rPr>
        <w:rFonts w:ascii="Courier New" w:hAnsi="Courier New" w:cs="Courier New" w:hint="default"/>
      </w:rPr>
    </w:lvl>
    <w:lvl w:ilvl="5" w:tplc="E9609D4E" w:tentative="1">
      <w:start w:val="1"/>
      <w:numFmt w:val="bullet"/>
      <w:lvlText w:val=""/>
      <w:lvlJc w:val="left"/>
      <w:pPr>
        <w:tabs>
          <w:tab w:val="num" w:pos="4320"/>
        </w:tabs>
        <w:ind w:left="4320" w:hanging="360"/>
      </w:pPr>
      <w:rPr>
        <w:rFonts w:ascii="Wingdings" w:hAnsi="Wingdings" w:hint="default"/>
      </w:rPr>
    </w:lvl>
    <w:lvl w:ilvl="6" w:tplc="4886AD68" w:tentative="1">
      <w:start w:val="1"/>
      <w:numFmt w:val="bullet"/>
      <w:lvlText w:val=""/>
      <w:lvlJc w:val="left"/>
      <w:pPr>
        <w:tabs>
          <w:tab w:val="num" w:pos="5040"/>
        </w:tabs>
        <w:ind w:left="5040" w:hanging="360"/>
      </w:pPr>
      <w:rPr>
        <w:rFonts w:ascii="Symbol" w:hAnsi="Symbol" w:hint="default"/>
      </w:rPr>
    </w:lvl>
    <w:lvl w:ilvl="7" w:tplc="F3140B0C" w:tentative="1">
      <w:start w:val="1"/>
      <w:numFmt w:val="bullet"/>
      <w:lvlText w:val="o"/>
      <w:lvlJc w:val="left"/>
      <w:pPr>
        <w:tabs>
          <w:tab w:val="num" w:pos="5760"/>
        </w:tabs>
        <w:ind w:left="5760" w:hanging="360"/>
      </w:pPr>
      <w:rPr>
        <w:rFonts w:ascii="Courier New" w:hAnsi="Courier New" w:cs="Courier New" w:hint="default"/>
      </w:rPr>
    </w:lvl>
    <w:lvl w:ilvl="8" w:tplc="47BC6B2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15:restartNumberingAfterBreak="0">
    <w:nsid w:val="38130038"/>
    <w:multiLevelType w:val="hybridMultilevel"/>
    <w:tmpl w:val="FF8A0FAE"/>
    <w:lvl w:ilvl="0" w:tplc="1D30FB12">
      <w:start w:val="1"/>
      <w:numFmt w:val="bullet"/>
      <w:pStyle w:val="ClauseBullet2"/>
      <w:lvlText w:val=""/>
      <w:lvlJc w:val="left"/>
      <w:pPr>
        <w:ind w:left="1440" w:hanging="360"/>
      </w:pPr>
      <w:rPr>
        <w:rFonts w:ascii="Symbol" w:hAnsi="Symbol" w:hint="default"/>
        <w:color w:val="000000"/>
      </w:rPr>
    </w:lvl>
    <w:lvl w:ilvl="1" w:tplc="A88EE29A" w:tentative="1">
      <w:start w:val="1"/>
      <w:numFmt w:val="bullet"/>
      <w:lvlText w:val="o"/>
      <w:lvlJc w:val="left"/>
      <w:pPr>
        <w:ind w:left="2160" w:hanging="360"/>
      </w:pPr>
      <w:rPr>
        <w:rFonts w:ascii="Courier New" w:hAnsi="Courier New" w:cs="Courier New" w:hint="default"/>
      </w:rPr>
    </w:lvl>
    <w:lvl w:ilvl="2" w:tplc="BD1EC552" w:tentative="1">
      <w:start w:val="1"/>
      <w:numFmt w:val="bullet"/>
      <w:lvlText w:val=""/>
      <w:lvlJc w:val="left"/>
      <w:pPr>
        <w:ind w:left="2880" w:hanging="360"/>
      </w:pPr>
      <w:rPr>
        <w:rFonts w:ascii="Wingdings" w:hAnsi="Wingdings" w:hint="default"/>
      </w:rPr>
    </w:lvl>
    <w:lvl w:ilvl="3" w:tplc="517421D0" w:tentative="1">
      <w:start w:val="1"/>
      <w:numFmt w:val="bullet"/>
      <w:lvlText w:val=""/>
      <w:lvlJc w:val="left"/>
      <w:pPr>
        <w:ind w:left="3600" w:hanging="360"/>
      </w:pPr>
      <w:rPr>
        <w:rFonts w:ascii="Symbol" w:hAnsi="Symbol" w:hint="default"/>
      </w:rPr>
    </w:lvl>
    <w:lvl w:ilvl="4" w:tplc="82B4BCE4" w:tentative="1">
      <w:start w:val="1"/>
      <w:numFmt w:val="bullet"/>
      <w:lvlText w:val="o"/>
      <w:lvlJc w:val="left"/>
      <w:pPr>
        <w:ind w:left="4320" w:hanging="360"/>
      </w:pPr>
      <w:rPr>
        <w:rFonts w:ascii="Courier New" w:hAnsi="Courier New" w:cs="Courier New" w:hint="default"/>
      </w:rPr>
    </w:lvl>
    <w:lvl w:ilvl="5" w:tplc="2750A01E" w:tentative="1">
      <w:start w:val="1"/>
      <w:numFmt w:val="bullet"/>
      <w:lvlText w:val=""/>
      <w:lvlJc w:val="left"/>
      <w:pPr>
        <w:ind w:left="5040" w:hanging="360"/>
      </w:pPr>
      <w:rPr>
        <w:rFonts w:ascii="Wingdings" w:hAnsi="Wingdings" w:hint="default"/>
      </w:rPr>
    </w:lvl>
    <w:lvl w:ilvl="6" w:tplc="2498488C" w:tentative="1">
      <w:start w:val="1"/>
      <w:numFmt w:val="bullet"/>
      <w:lvlText w:val=""/>
      <w:lvlJc w:val="left"/>
      <w:pPr>
        <w:ind w:left="5760" w:hanging="360"/>
      </w:pPr>
      <w:rPr>
        <w:rFonts w:ascii="Symbol" w:hAnsi="Symbol" w:hint="default"/>
      </w:rPr>
    </w:lvl>
    <w:lvl w:ilvl="7" w:tplc="70607144" w:tentative="1">
      <w:start w:val="1"/>
      <w:numFmt w:val="bullet"/>
      <w:lvlText w:val="o"/>
      <w:lvlJc w:val="left"/>
      <w:pPr>
        <w:ind w:left="6480" w:hanging="360"/>
      </w:pPr>
      <w:rPr>
        <w:rFonts w:ascii="Courier New" w:hAnsi="Courier New" w:cs="Courier New" w:hint="default"/>
      </w:rPr>
    </w:lvl>
    <w:lvl w:ilvl="8" w:tplc="C252513E" w:tentative="1">
      <w:start w:val="1"/>
      <w:numFmt w:val="bullet"/>
      <w:lvlText w:val=""/>
      <w:lvlJc w:val="left"/>
      <w:pPr>
        <w:ind w:left="7200" w:hanging="360"/>
      </w:pPr>
      <w:rPr>
        <w:rFonts w:ascii="Wingdings" w:hAnsi="Wingdings" w:hint="default"/>
      </w:rPr>
    </w:lvl>
  </w:abstractNum>
  <w:abstractNum w:abstractNumId="26" w15:restartNumberingAfterBreak="0">
    <w:nsid w:val="44D67987"/>
    <w:multiLevelType w:val="hybridMultilevel"/>
    <w:tmpl w:val="EBD6FB80"/>
    <w:lvl w:ilvl="0" w:tplc="3DD0ADD0">
      <w:start w:val="1"/>
      <w:numFmt w:val="bullet"/>
      <w:pStyle w:val="subclause1Bullet2"/>
      <w:lvlText w:val=""/>
      <w:lvlJc w:val="left"/>
      <w:pPr>
        <w:ind w:left="1440" w:hanging="360"/>
      </w:pPr>
      <w:rPr>
        <w:rFonts w:ascii="Symbol" w:hAnsi="Symbol" w:hint="default"/>
        <w:color w:val="000000"/>
      </w:rPr>
    </w:lvl>
    <w:lvl w:ilvl="1" w:tplc="9E0C9858" w:tentative="1">
      <w:start w:val="1"/>
      <w:numFmt w:val="bullet"/>
      <w:lvlText w:val="o"/>
      <w:lvlJc w:val="left"/>
      <w:pPr>
        <w:ind w:left="2160" w:hanging="360"/>
      </w:pPr>
      <w:rPr>
        <w:rFonts w:ascii="Courier New" w:hAnsi="Courier New" w:cs="Courier New" w:hint="default"/>
      </w:rPr>
    </w:lvl>
    <w:lvl w:ilvl="2" w:tplc="FFD2A110" w:tentative="1">
      <w:start w:val="1"/>
      <w:numFmt w:val="bullet"/>
      <w:lvlText w:val=""/>
      <w:lvlJc w:val="left"/>
      <w:pPr>
        <w:ind w:left="2880" w:hanging="360"/>
      </w:pPr>
      <w:rPr>
        <w:rFonts w:ascii="Wingdings" w:hAnsi="Wingdings" w:hint="default"/>
      </w:rPr>
    </w:lvl>
    <w:lvl w:ilvl="3" w:tplc="68DC4B84" w:tentative="1">
      <w:start w:val="1"/>
      <w:numFmt w:val="bullet"/>
      <w:lvlText w:val=""/>
      <w:lvlJc w:val="left"/>
      <w:pPr>
        <w:ind w:left="3600" w:hanging="360"/>
      </w:pPr>
      <w:rPr>
        <w:rFonts w:ascii="Symbol" w:hAnsi="Symbol" w:hint="default"/>
      </w:rPr>
    </w:lvl>
    <w:lvl w:ilvl="4" w:tplc="8FDED21A" w:tentative="1">
      <w:start w:val="1"/>
      <w:numFmt w:val="bullet"/>
      <w:lvlText w:val="o"/>
      <w:lvlJc w:val="left"/>
      <w:pPr>
        <w:ind w:left="4320" w:hanging="360"/>
      </w:pPr>
      <w:rPr>
        <w:rFonts w:ascii="Courier New" w:hAnsi="Courier New" w:cs="Courier New" w:hint="default"/>
      </w:rPr>
    </w:lvl>
    <w:lvl w:ilvl="5" w:tplc="B67AFCE0" w:tentative="1">
      <w:start w:val="1"/>
      <w:numFmt w:val="bullet"/>
      <w:lvlText w:val=""/>
      <w:lvlJc w:val="left"/>
      <w:pPr>
        <w:ind w:left="5040" w:hanging="360"/>
      </w:pPr>
      <w:rPr>
        <w:rFonts w:ascii="Wingdings" w:hAnsi="Wingdings" w:hint="default"/>
      </w:rPr>
    </w:lvl>
    <w:lvl w:ilvl="6" w:tplc="E1FAAE80" w:tentative="1">
      <w:start w:val="1"/>
      <w:numFmt w:val="bullet"/>
      <w:lvlText w:val=""/>
      <w:lvlJc w:val="left"/>
      <w:pPr>
        <w:ind w:left="5760" w:hanging="360"/>
      </w:pPr>
      <w:rPr>
        <w:rFonts w:ascii="Symbol" w:hAnsi="Symbol" w:hint="default"/>
      </w:rPr>
    </w:lvl>
    <w:lvl w:ilvl="7" w:tplc="1A66009C" w:tentative="1">
      <w:start w:val="1"/>
      <w:numFmt w:val="bullet"/>
      <w:lvlText w:val="o"/>
      <w:lvlJc w:val="left"/>
      <w:pPr>
        <w:ind w:left="6480" w:hanging="360"/>
      </w:pPr>
      <w:rPr>
        <w:rFonts w:ascii="Courier New" w:hAnsi="Courier New" w:cs="Courier New" w:hint="default"/>
      </w:rPr>
    </w:lvl>
    <w:lvl w:ilvl="8" w:tplc="A4E08D7C" w:tentative="1">
      <w:start w:val="1"/>
      <w:numFmt w:val="bullet"/>
      <w:lvlText w:val=""/>
      <w:lvlJc w:val="left"/>
      <w:pPr>
        <w:ind w:left="7200" w:hanging="360"/>
      </w:pPr>
      <w:rPr>
        <w:rFonts w:ascii="Wingdings" w:hAnsi="Wingdings" w:hint="default"/>
      </w:rPr>
    </w:lvl>
  </w:abstractNum>
  <w:abstractNum w:abstractNumId="27" w15:restartNumberingAfterBreak="0">
    <w:nsid w:val="44E96665"/>
    <w:multiLevelType w:val="hybridMultilevel"/>
    <w:tmpl w:val="EF1E142A"/>
    <w:lvl w:ilvl="0" w:tplc="C0E46D5A">
      <w:start w:val="1"/>
      <w:numFmt w:val="bullet"/>
      <w:pStyle w:val="subclause3Bullet1"/>
      <w:lvlText w:val=""/>
      <w:lvlJc w:val="left"/>
      <w:pPr>
        <w:ind w:left="2988" w:hanging="360"/>
      </w:pPr>
      <w:rPr>
        <w:rFonts w:ascii="Symbol" w:hAnsi="Symbol" w:hint="default"/>
        <w:color w:val="000000"/>
      </w:rPr>
    </w:lvl>
    <w:lvl w:ilvl="1" w:tplc="91D62C8C" w:tentative="1">
      <w:start w:val="1"/>
      <w:numFmt w:val="bullet"/>
      <w:lvlText w:val="o"/>
      <w:lvlJc w:val="left"/>
      <w:pPr>
        <w:ind w:left="3708" w:hanging="360"/>
      </w:pPr>
      <w:rPr>
        <w:rFonts w:ascii="Courier New" w:hAnsi="Courier New" w:cs="Courier New" w:hint="default"/>
      </w:rPr>
    </w:lvl>
    <w:lvl w:ilvl="2" w:tplc="44E0BCEE" w:tentative="1">
      <w:start w:val="1"/>
      <w:numFmt w:val="bullet"/>
      <w:lvlText w:val=""/>
      <w:lvlJc w:val="left"/>
      <w:pPr>
        <w:ind w:left="4428" w:hanging="360"/>
      </w:pPr>
      <w:rPr>
        <w:rFonts w:ascii="Wingdings" w:hAnsi="Wingdings" w:hint="default"/>
      </w:rPr>
    </w:lvl>
    <w:lvl w:ilvl="3" w:tplc="82627958" w:tentative="1">
      <w:start w:val="1"/>
      <w:numFmt w:val="bullet"/>
      <w:lvlText w:val=""/>
      <w:lvlJc w:val="left"/>
      <w:pPr>
        <w:ind w:left="5148" w:hanging="360"/>
      </w:pPr>
      <w:rPr>
        <w:rFonts w:ascii="Symbol" w:hAnsi="Symbol" w:hint="default"/>
      </w:rPr>
    </w:lvl>
    <w:lvl w:ilvl="4" w:tplc="8452D2FC" w:tentative="1">
      <w:start w:val="1"/>
      <w:numFmt w:val="bullet"/>
      <w:lvlText w:val="o"/>
      <w:lvlJc w:val="left"/>
      <w:pPr>
        <w:ind w:left="5868" w:hanging="360"/>
      </w:pPr>
      <w:rPr>
        <w:rFonts w:ascii="Courier New" w:hAnsi="Courier New" w:cs="Courier New" w:hint="default"/>
      </w:rPr>
    </w:lvl>
    <w:lvl w:ilvl="5" w:tplc="8DEE8CC6" w:tentative="1">
      <w:start w:val="1"/>
      <w:numFmt w:val="bullet"/>
      <w:lvlText w:val=""/>
      <w:lvlJc w:val="left"/>
      <w:pPr>
        <w:ind w:left="6588" w:hanging="360"/>
      </w:pPr>
      <w:rPr>
        <w:rFonts w:ascii="Wingdings" w:hAnsi="Wingdings" w:hint="default"/>
      </w:rPr>
    </w:lvl>
    <w:lvl w:ilvl="6" w:tplc="F8265A3C" w:tentative="1">
      <w:start w:val="1"/>
      <w:numFmt w:val="bullet"/>
      <w:lvlText w:val=""/>
      <w:lvlJc w:val="left"/>
      <w:pPr>
        <w:ind w:left="7308" w:hanging="360"/>
      </w:pPr>
      <w:rPr>
        <w:rFonts w:ascii="Symbol" w:hAnsi="Symbol" w:hint="default"/>
      </w:rPr>
    </w:lvl>
    <w:lvl w:ilvl="7" w:tplc="3E407CF6" w:tentative="1">
      <w:start w:val="1"/>
      <w:numFmt w:val="bullet"/>
      <w:lvlText w:val="o"/>
      <w:lvlJc w:val="left"/>
      <w:pPr>
        <w:ind w:left="8028" w:hanging="360"/>
      </w:pPr>
      <w:rPr>
        <w:rFonts w:ascii="Courier New" w:hAnsi="Courier New" w:cs="Courier New" w:hint="default"/>
      </w:rPr>
    </w:lvl>
    <w:lvl w:ilvl="8" w:tplc="8A8A609E" w:tentative="1">
      <w:start w:val="1"/>
      <w:numFmt w:val="bullet"/>
      <w:lvlText w:val=""/>
      <w:lvlJc w:val="left"/>
      <w:pPr>
        <w:ind w:left="8748" w:hanging="360"/>
      </w:pPr>
      <w:rPr>
        <w:rFonts w:ascii="Wingdings" w:hAnsi="Wingdings" w:hint="default"/>
      </w:rPr>
    </w:lvl>
  </w:abstractNum>
  <w:abstractNum w:abstractNumId="28" w15:restartNumberingAfterBreak="0">
    <w:nsid w:val="46AC04C6"/>
    <w:multiLevelType w:val="hybridMultilevel"/>
    <w:tmpl w:val="E6C47700"/>
    <w:lvl w:ilvl="0" w:tplc="D248BFA4">
      <w:start w:val="1"/>
      <w:numFmt w:val="bullet"/>
      <w:pStyle w:val="subclause2Bullet1"/>
      <w:lvlText w:val=""/>
      <w:lvlJc w:val="left"/>
      <w:pPr>
        <w:ind w:left="2279" w:hanging="360"/>
      </w:pPr>
      <w:rPr>
        <w:rFonts w:ascii="Symbol" w:hAnsi="Symbol" w:hint="default"/>
        <w:color w:val="000000"/>
      </w:rPr>
    </w:lvl>
    <w:lvl w:ilvl="1" w:tplc="860AA89E" w:tentative="1">
      <w:start w:val="1"/>
      <w:numFmt w:val="bullet"/>
      <w:lvlText w:val="o"/>
      <w:lvlJc w:val="left"/>
      <w:pPr>
        <w:ind w:left="2999" w:hanging="360"/>
      </w:pPr>
      <w:rPr>
        <w:rFonts w:ascii="Courier New" w:hAnsi="Courier New" w:cs="Courier New" w:hint="default"/>
      </w:rPr>
    </w:lvl>
    <w:lvl w:ilvl="2" w:tplc="68749FA0" w:tentative="1">
      <w:start w:val="1"/>
      <w:numFmt w:val="bullet"/>
      <w:lvlText w:val=""/>
      <w:lvlJc w:val="left"/>
      <w:pPr>
        <w:ind w:left="3719" w:hanging="360"/>
      </w:pPr>
      <w:rPr>
        <w:rFonts w:ascii="Wingdings" w:hAnsi="Wingdings" w:hint="default"/>
      </w:rPr>
    </w:lvl>
    <w:lvl w:ilvl="3" w:tplc="35CEA1E4" w:tentative="1">
      <w:start w:val="1"/>
      <w:numFmt w:val="bullet"/>
      <w:lvlText w:val=""/>
      <w:lvlJc w:val="left"/>
      <w:pPr>
        <w:ind w:left="4439" w:hanging="360"/>
      </w:pPr>
      <w:rPr>
        <w:rFonts w:ascii="Symbol" w:hAnsi="Symbol" w:hint="default"/>
      </w:rPr>
    </w:lvl>
    <w:lvl w:ilvl="4" w:tplc="28825A98" w:tentative="1">
      <w:start w:val="1"/>
      <w:numFmt w:val="bullet"/>
      <w:lvlText w:val="o"/>
      <w:lvlJc w:val="left"/>
      <w:pPr>
        <w:ind w:left="5159" w:hanging="360"/>
      </w:pPr>
      <w:rPr>
        <w:rFonts w:ascii="Courier New" w:hAnsi="Courier New" w:cs="Courier New" w:hint="default"/>
      </w:rPr>
    </w:lvl>
    <w:lvl w:ilvl="5" w:tplc="103ADF0C" w:tentative="1">
      <w:start w:val="1"/>
      <w:numFmt w:val="bullet"/>
      <w:lvlText w:val=""/>
      <w:lvlJc w:val="left"/>
      <w:pPr>
        <w:ind w:left="5879" w:hanging="360"/>
      </w:pPr>
      <w:rPr>
        <w:rFonts w:ascii="Wingdings" w:hAnsi="Wingdings" w:hint="default"/>
      </w:rPr>
    </w:lvl>
    <w:lvl w:ilvl="6" w:tplc="4FDE5A8C" w:tentative="1">
      <w:start w:val="1"/>
      <w:numFmt w:val="bullet"/>
      <w:lvlText w:val=""/>
      <w:lvlJc w:val="left"/>
      <w:pPr>
        <w:ind w:left="6599" w:hanging="360"/>
      </w:pPr>
      <w:rPr>
        <w:rFonts w:ascii="Symbol" w:hAnsi="Symbol" w:hint="default"/>
      </w:rPr>
    </w:lvl>
    <w:lvl w:ilvl="7" w:tplc="077A3DEA" w:tentative="1">
      <w:start w:val="1"/>
      <w:numFmt w:val="bullet"/>
      <w:lvlText w:val="o"/>
      <w:lvlJc w:val="left"/>
      <w:pPr>
        <w:ind w:left="7319" w:hanging="360"/>
      </w:pPr>
      <w:rPr>
        <w:rFonts w:ascii="Courier New" w:hAnsi="Courier New" w:cs="Courier New" w:hint="default"/>
      </w:rPr>
    </w:lvl>
    <w:lvl w:ilvl="8" w:tplc="96D627F8" w:tentative="1">
      <w:start w:val="1"/>
      <w:numFmt w:val="bullet"/>
      <w:lvlText w:val=""/>
      <w:lvlJc w:val="left"/>
      <w:pPr>
        <w:ind w:left="8039" w:hanging="360"/>
      </w:pPr>
      <w:rPr>
        <w:rFonts w:ascii="Wingdings" w:hAnsi="Wingdings" w:hint="default"/>
      </w:rPr>
    </w:lvl>
  </w:abstractNum>
  <w:abstractNum w:abstractNumId="29" w15:restartNumberingAfterBreak="0">
    <w:nsid w:val="46DD5EBD"/>
    <w:multiLevelType w:val="hybridMultilevel"/>
    <w:tmpl w:val="F356C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F42723"/>
    <w:multiLevelType w:val="hybridMultilevel"/>
    <w:tmpl w:val="38E660D6"/>
    <w:lvl w:ilvl="0" w:tplc="DA0ECD5C">
      <w:start w:val="1"/>
      <w:numFmt w:val="lowerLetter"/>
      <w:pStyle w:val="subclause1Bullet1"/>
      <w:lvlText w:val="%1)"/>
      <w:lvlJc w:val="left"/>
      <w:pPr>
        <w:ind w:left="1440" w:hanging="360"/>
      </w:pPr>
      <w:rPr>
        <w:rFonts w:ascii="Lato Light" w:eastAsia="Arial Unicode MS" w:hAnsi="Lato Light" w:cstheme="minorBidi"/>
        <w:color w:val="000000"/>
      </w:rPr>
    </w:lvl>
    <w:lvl w:ilvl="1" w:tplc="480EAB86" w:tentative="1">
      <w:start w:val="1"/>
      <w:numFmt w:val="bullet"/>
      <w:lvlText w:val="o"/>
      <w:lvlJc w:val="left"/>
      <w:pPr>
        <w:ind w:left="2160" w:hanging="360"/>
      </w:pPr>
      <w:rPr>
        <w:rFonts w:ascii="Courier New" w:hAnsi="Courier New" w:cs="Courier New" w:hint="default"/>
      </w:rPr>
    </w:lvl>
    <w:lvl w:ilvl="2" w:tplc="A3D24E12" w:tentative="1">
      <w:start w:val="1"/>
      <w:numFmt w:val="bullet"/>
      <w:lvlText w:val=""/>
      <w:lvlJc w:val="left"/>
      <w:pPr>
        <w:ind w:left="2880" w:hanging="360"/>
      </w:pPr>
      <w:rPr>
        <w:rFonts w:ascii="Wingdings" w:hAnsi="Wingdings" w:hint="default"/>
      </w:rPr>
    </w:lvl>
    <w:lvl w:ilvl="3" w:tplc="8894F8FE" w:tentative="1">
      <w:start w:val="1"/>
      <w:numFmt w:val="bullet"/>
      <w:lvlText w:val=""/>
      <w:lvlJc w:val="left"/>
      <w:pPr>
        <w:ind w:left="3600" w:hanging="360"/>
      </w:pPr>
      <w:rPr>
        <w:rFonts w:ascii="Symbol" w:hAnsi="Symbol" w:hint="default"/>
      </w:rPr>
    </w:lvl>
    <w:lvl w:ilvl="4" w:tplc="DD2ED014" w:tentative="1">
      <w:start w:val="1"/>
      <w:numFmt w:val="bullet"/>
      <w:lvlText w:val="o"/>
      <w:lvlJc w:val="left"/>
      <w:pPr>
        <w:ind w:left="4320" w:hanging="360"/>
      </w:pPr>
      <w:rPr>
        <w:rFonts w:ascii="Courier New" w:hAnsi="Courier New" w:cs="Courier New" w:hint="default"/>
      </w:rPr>
    </w:lvl>
    <w:lvl w:ilvl="5" w:tplc="1F5A08A8" w:tentative="1">
      <w:start w:val="1"/>
      <w:numFmt w:val="bullet"/>
      <w:lvlText w:val=""/>
      <w:lvlJc w:val="left"/>
      <w:pPr>
        <w:ind w:left="5040" w:hanging="360"/>
      </w:pPr>
      <w:rPr>
        <w:rFonts w:ascii="Wingdings" w:hAnsi="Wingdings" w:hint="default"/>
      </w:rPr>
    </w:lvl>
    <w:lvl w:ilvl="6" w:tplc="5886603A" w:tentative="1">
      <w:start w:val="1"/>
      <w:numFmt w:val="bullet"/>
      <w:lvlText w:val=""/>
      <w:lvlJc w:val="left"/>
      <w:pPr>
        <w:ind w:left="5760" w:hanging="360"/>
      </w:pPr>
      <w:rPr>
        <w:rFonts w:ascii="Symbol" w:hAnsi="Symbol" w:hint="default"/>
      </w:rPr>
    </w:lvl>
    <w:lvl w:ilvl="7" w:tplc="2E50072E" w:tentative="1">
      <w:start w:val="1"/>
      <w:numFmt w:val="bullet"/>
      <w:lvlText w:val="o"/>
      <w:lvlJc w:val="left"/>
      <w:pPr>
        <w:ind w:left="6480" w:hanging="360"/>
      </w:pPr>
      <w:rPr>
        <w:rFonts w:ascii="Courier New" w:hAnsi="Courier New" w:cs="Courier New" w:hint="default"/>
      </w:rPr>
    </w:lvl>
    <w:lvl w:ilvl="8" w:tplc="E6D28936" w:tentative="1">
      <w:start w:val="1"/>
      <w:numFmt w:val="bullet"/>
      <w:lvlText w:val=""/>
      <w:lvlJc w:val="left"/>
      <w:pPr>
        <w:ind w:left="7200" w:hanging="360"/>
      </w:pPr>
      <w:rPr>
        <w:rFonts w:ascii="Wingdings" w:hAnsi="Wingdings" w:hint="default"/>
      </w:rPr>
    </w:lvl>
  </w:abstractNum>
  <w:abstractNum w:abstractNumId="31" w15:restartNumberingAfterBreak="0">
    <w:nsid w:val="55CB0AF0"/>
    <w:multiLevelType w:val="hybridMultilevel"/>
    <w:tmpl w:val="EB98B43A"/>
    <w:lvl w:ilvl="0" w:tplc="E916AE96">
      <w:start w:val="1"/>
      <w:numFmt w:val="decimal"/>
      <w:pStyle w:val="LongQuestionPara"/>
      <w:lvlText w:val="%1."/>
      <w:lvlJc w:val="left"/>
      <w:pPr>
        <w:ind w:left="360" w:hanging="360"/>
      </w:pPr>
      <w:rPr>
        <w:rFonts w:hint="default"/>
        <w:b/>
        <w:i w:val="0"/>
        <w:color w:val="000000"/>
        <w:sz w:val="24"/>
      </w:rPr>
    </w:lvl>
    <w:lvl w:ilvl="1" w:tplc="3BE07A3A" w:tentative="1">
      <w:start w:val="1"/>
      <w:numFmt w:val="lowerLetter"/>
      <w:lvlText w:val="%2."/>
      <w:lvlJc w:val="left"/>
      <w:pPr>
        <w:ind w:left="1440" w:hanging="360"/>
      </w:pPr>
    </w:lvl>
    <w:lvl w:ilvl="2" w:tplc="8F624940" w:tentative="1">
      <w:start w:val="1"/>
      <w:numFmt w:val="lowerRoman"/>
      <w:lvlText w:val="%3."/>
      <w:lvlJc w:val="right"/>
      <w:pPr>
        <w:ind w:left="2160" w:hanging="180"/>
      </w:pPr>
    </w:lvl>
    <w:lvl w:ilvl="3" w:tplc="769EE696" w:tentative="1">
      <w:start w:val="1"/>
      <w:numFmt w:val="decimal"/>
      <w:lvlText w:val="%4."/>
      <w:lvlJc w:val="left"/>
      <w:pPr>
        <w:ind w:left="2880" w:hanging="360"/>
      </w:pPr>
    </w:lvl>
    <w:lvl w:ilvl="4" w:tplc="9B48B70C" w:tentative="1">
      <w:start w:val="1"/>
      <w:numFmt w:val="lowerLetter"/>
      <w:lvlText w:val="%5."/>
      <w:lvlJc w:val="left"/>
      <w:pPr>
        <w:ind w:left="3600" w:hanging="360"/>
      </w:pPr>
    </w:lvl>
    <w:lvl w:ilvl="5" w:tplc="E2B6F522" w:tentative="1">
      <w:start w:val="1"/>
      <w:numFmt w:val="lowerRoman"/>
      <w:lvlText w:val="%6."/>
      <w:lvlJc w:val="right"/>
      <w:pPr>
        <w:ind w:left="4320" w:hanging="180"/>
      </w:pPr>
    </w:lvl>
    <w:lvl w:ilvl="6" w:tplc="E54C4762" w:tentative="1">
      <w:start w:val="1"/>
      <w:numFmt w:val="decimal"/>
      <w:lvlText w:val="%7."/>
      <w:lvlJc w:val="left"/>
      <w:pPr>
        <w:ind w:left="5040" w:hanging="360"/>
      </w:pPr>
    </w:lvl>
    <w:lvl w:ilvl="7" w:tplc="0E2C105E" w:tentative="1">
      <w:start w:val="1"/>
      <w:numFmt w:val="lowerLetter"/>
      <w:lvlText w:val="%8."/>
      <w:lvlJc w:val="left"/>
      <w:pPr>
        <w:ind w:left="5760" w:hanging="360"/>
      </w:pPr>
    </w:lvl>
    <w:lvl w:ilvl="8" w:tplc="5A4A4416"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C6304E8"/>
    <w:multiLevelType w:val="multilevel"/>
    <w:tmpl w:val="EB4A1B9E"/>
    <w:lvl w:ilvl="0">
      <w:start w:val="1"/>
      <w:numFmt w:val="decimal"/>
      <w:pStyle w:val="Level1"/>
      <w:lvlText w:val="%1"/>
      <w:lvlJc w:val="left"/>
      <w:pPr>
        <w:tabs>
          <w:tab w:val="num" w:pos="720"/>
        </w:tabs>
        <w:ind w:left="720" w:hanging="720"/>
      </w:pPr>
      <w:rPr>
        <w:rFonts w:ascii="Arial" w:hAnsi="Arial" w:cs="Arial" w:hint="default"/>
        <w:caps w:val="0"/>
        <w:strike w:val="0"/>
        <w:dstrike w:val="0"/>
        <w:vanish w:val="0"/>
        <w:color w:val="auto"/>
        <w:sz w:val="20"/>
        <w:effect w:val="none"/>
        <w:vertAlign w:val="baseline"/>
      </w:rPr>
    </w:lvl>
    <w:lvl w:ilvl="1">
      <w:start w:val="1"/>
      <w:numFmt w:val="decimal"/>
      <w:pStyle w:val="Level2"/>
      <w:lvlText w:val="%1.%2"/>
      <w:lvlJc w:val="left"/>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ascii="Arial" w:hAnsi="Arial" w:cs="Arial" w:hint="default"/>
        <w:b w:val="0"/>
        <w:i w:val="0"/>
        <w:caps w:val="0"/>
        <w:smallCaps w:val="0"/>
        <w:strike w:val="0"/>
        <w:dstrike w:val="0"/>
        <w:vanish w:val="0"/>
        <w:color w:val="auto"/>
        <w:u w:val="none"/>
        <w:effect w:val="none"/>
        <w:vertAlign w:val="base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auto"/>
        <w:u w:val="none"/>
        <w:effect w:val="none"/>
        <w:vertAlign w:val="base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auto"/>
        <w:u w:val="none"/>
        <w:effect w:val="none"/>
        <w:vertAlign w:val="baseline"/>
      </w:rPr>
    </w:lvl>
    <w:lvl w:ilvl="5">
      <w:start w:val="1"/>
      <w:numFmt w:val="decimal"/>
      <w:pStyle w:val="Level4"/>
      <w:lvlText w:val="%6)"/>
      <w:lvlJc w:val="left"/>
      <w:pPr>
        <w:tabs>
          <w:tab w:val="num" w:pos="3600"/>
        </w:tabs>
        <w:ind w:left="3600" w:hanging="720"/>
      </w:pPr>
      <w:rPr>
        <w:rFonts w:ascii="Arial" w:hAnsi="Arial" w:cs="Arial"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34" w15:restartNumberingAfterBreak="0">
    <w:nsid w:val="61071422"/>
    <w:multiLevelType w:val="hybridMultilevel"/>
    <w:tmpl w:val="59B858D8"/>
    <w:lvl w:ilvl="0" w:tplc="B31A6F3A">
      <w:start w:val="1"/>
      <w:numFmt w:val="bullet"/>
      <w:pStyle w:val="ClauseBullet1"/>
      <w:lvlText w:val=""/>
      <w:lvlJc w:val="left"/>
      <w:pPr>
        <w:ind w:left="1080" w:hanging="360"/>
      </w:pPr>
      <w:rPr>
        <w:rFonts w:ascii="Symbol" w:hAnsi="Symbol" w:hint="default"/>
        <w:color w:val="000000"/>
      </w:rPr>
    </w:lvl>
    <w:lvl w:ilvl="1" w:tplc="75EE9B0E" w:tentative="1">
      <w:start w:val="1"/>
      <w:numFmt w:val="bullet"/>
      <w:lvlText w:val="o"/>
      <w:lvlJc w:val="left"/>
      <w:pPr>
        <w:ind w:left="1800" w:hanging="360"/>
      </w:pPr>
      <w:rPr>
        <w:rFonts w:ascii="Courier New" w:hAnsi="Courier New" w:cs="Courier New" w:hint="default"/>
      </w:rPr>
    </w:lvl>
    <w:lvl w:ilvl="2" w:tplc="0BFE6574" w:tentative="1">
      <w:start w:val="1"/>
      <w:numFmt w:val="bullet"/>
      <w:lvlText w:val=""/>
      <w:lvlJc w:val="left"/>
      <w:pPr>
        <w:ind w:left="2520" w:hanging="360"/>
      </w:pPr>
      <w:rPr>
        <w:rFonts w:ascii="Wingdings" w:hAnsi="Wingdings" w:hint="default"/>
      </w:rPr>
    </w:lvl>
    <w:lvl w:ilvl="3" w:tplc="9806C990" w:tentative="1">
      <w:start w:val="1"/>
      <w:numFmt w:val="bullet"/>
      <w:lvlText w:val=""/>
      <w:lvlJc w:val="left"/>
      <w:pPr>
        <w:ind w:left="3240" w:hanging="360"/>
      </w:pPr>
      <w:rPr>
        <w:rFonts w:ascii="Symbol" w:hAnsi="Symbol" w:hint="default"/>
      </w:rPr>
    </w:lvl>
    <w:lvl w:ilvl="4" w:tplc="0BD8DF42" w:tentative="1">
      <w:start w:val="1"/>
      <w:numFmt w:val="bullet"/>
      <w:lvlText w:val="o"/>
      <w:lvlJc w:val="left"/>
      <w:pPr>
        <w:ind w:left="3960" w:hanging="360"/>
      </w:pPr>
      <w:rPr>
        <w:rFonts w:ascii="Courier New" w:hAnsi="Courier New" w:cs="Courier New" w:hint="default"/>
      </w:rPr>
    </w:lvl>
    <w:lvl w:ilvl="5" w:tplc="A9F48222" w:tentative="1">
      <w:start w:val="1"/>
      <w:numFmt w:val="bullet"/>
      <w:lvlText w:val=""/>
      <w:lvlJc w:val="left"/>
      <w:pPr>
        <w:ind w:left="4680" w:hanging="360"/>
      </w:pPr>
      <w:rPr>
        <w:rFonts w:ascii="Wingdings" w:hAnsi="Wingdings" w:hint="default"/>
      </w:rPr>
    </w:lvl>
    <w:lvl w:ilvl="6" w:tplc="C3B0B7C4" w:tentative="1">
      <w:start w:val="1"/>
      <w:numFmt w:val="bullet"/>
      <w:lvlText w:val=""/>
      <w:lvlJc w:val="left"/>
      <w:pPr>
        <w:ind w:left="5400" w:hanging="360"/>
      </w:pPr>
      <w:rPr>
        <w:rFonts w:ascii="Symbol" w:hAnsi="Symbol" w:hint="default"/>
      </w:rPr>
    </w:lvl>
    <w:lvl w:ilvl="7" w:tplc="4E78B35C" w:tentative="1">
      <w:start w:val="1"/>
      <w:numFmt w:val="bullet"/>
      <w:lvlText w:val="o"/>
      <w:lvlJc w:val="left"/>
      <w:pPr>
        <w:ind w:left="6120" w:hanging="360"/>
      </w:pPr>
      <w:rPr>
        <w:rFonts w:ascii="Courier New" w:hAnsi="Courier New" w:cs="Courier New" w:hint="default"/>
      </w:rPr>
    </w:lvl>
    <w:lvl w:ilvl="8" w:tplc="54129556" w:tentative="1">
      <w:start w:val="1"/>
      <w:numFmt w:val="bullet"/>
      <w:lvlText w:val=""/>
      <w:lvlJc w:val="left"/>
      <w:pPr>
        <w:ind w:left="6840" w:hanging="360"/>
      </w:pPr>
      <w:rPr>
        <w:rFonts w:ascii="Wingdings" w:hAnsi="Wingdings" w:hint="default"/>
      </w:rPr>
    </w:lvl>
  </w:abstractNum>
  <w:abstractNum w:abstractNumId="35" w15:restartNumberingAfterBreak="0">
    <w:nsid w:val="642371CD"/>
    <w:multiLevelType w:val="hybridMultilevel"/>
    <w:tmpl w:val="3B76A654"/>
    <w:lvl w:ilvl="0" w:tplc="C7F82542">
      <w:start w:val="1"/>
      <w:numFmt w:val="bullet"/>
      <w:pStyle w:val="subclause3Bullet2"/>
      <w:lvlText w:val=""/>
      <w:lvlJc w:val="left"/>
      <w:pPr>
        <w:ind w:left="3748" w:hanging="360"/>
      </w:pPr>
      <w:rPr>
        <w:rFonts w:ascii="Symbol" w:hAnsi="Symbol" w:hint="default"/>
        <w:color w:val="000000"/>
      </w:rPr>
    </w:lvl>
    <w:lvl w:ilvl="1" w:tplc="CFCEB0B8" w:tentative="1">
      <w:start w:val="1"/>
      <w:numFmt w:val="bullet"/>
      <w:lvlText w:val="o"/>
      <w:lvlJc w:val="left"/>
      <w:pPr>
        <w:ind w:left="4468" w:hanging="360"/>
      </w:pPr>
      <w:rPr>
        <w:rFonts w:ascii="Courier New" w:hAnsi="Courier New" w:cs="Courier New" w:hint="default"/>
      </w:rPr>
    </w:lvl>
    <w:lvl w:ilvl="2" w:tplc="2FD8EBC2" w:tentative="1">
      <w:start w:val="1"/>
      <w:numFmt w:val="bullet"/>
      <w:lvlText w:val=""/>
      <w:lvlJc w:val="left"/>
      <w:pPr>
        <w:ind w:left="5188" w:hanging="360"/>
      </w:pPr>
      <w:rPr>
        <w:rFonts w:ascii="Wingdings" w:hAnsi="Wingdings" w:hint="default"/>
      </w:rPr>
    </w:lvl>
    <w:lvl w:ilvl="3" w:tplc="303847F6" w:tentative="1">
      <w:start w:val="1"/>
      <w:numFmt w:val="bullet"/>
      <w:lvlText w:val=""/>
      <w:lvlJc w:val="left"/>
      <w:pPr>
        <w:ind w:left="5908" w:hanging="360"/>
      </w:pPr>
      <w:rPr>
        <w:rFonts w:ascii="Symbol" w:hAnsi="Symbol" w:hint="default"/>
      </w:rPr>
    </w:lvl>
    <w:lvl w:ilvl="4" w:tplc="2708E036" w:tentative="1">
      <w:start w:val="1"/>
      <w:numFmt w:val="bullet"/>
      <w:lvlText w:val="o"/>
      <w:lvlJc w:val="left"/>
      <w:pPr>
        <w:ind w:left="6628" w:hanging="360"/>
      </w:pPr>
      <w:rPr>
        <w:rFonts w:ascii="Courier New" w:hAnsi="Courier New" w:cs="Courier New" w:hint="default"/>
      </w:rPr>
    </w:lvl>
    <w:lvl w:ilvl="5" w:tplc="F8D251A2" w:tentative="1">
      <w:start w:val="1"/>
      <w:numFmt w:val="bullet"/>
      <w:lvlText w:val=""/>
      <w:lvlJc w:val="left"/>
      <w:pPr>
        <w:ind w:left="7348" w:hanging="360"/>
      </w:pPr>
      <w:rPr>
        <w:rFonts w:ascii="Wingdings" w:hAnsi="Wingdings" w:hint="default"/>
      </w:rPr>
    </w:lvl>
    <w:lvl w:ilvl="6" w:tplc="05C49242" w:tentative="1">
      <w:start w:val="1"/>
      <w:numFmt w:val="bullet"/>
      <w:lvlText w:val=""/>
      <w:lvlJc w:val="left"/>
      <w:pPr>
        <w:ind w:left="8068" w:hanging="360"/>
      </w:pPr>
      <w:rPr>
        <w:rFonts w:ascii="Symbol" w:hAnsi="Symbol" w:hint="default"/>
      </w:rPr>
    </w:lvl>
    <w:lvl w:ilvl="7" w:tplc="50A0A2E2" w:tentative="1">
      <w:start w:val="1"/>
      <w:numFmt w:val="bullet"/>
      <w:lvlText w:val="o"/>
      <w:lvlJc w:val="left"/>
      <w:pPr>
        <w:ind w:left="8788" w:hanging="360"/>
      </w:pPr>
      <w:rPr>
        <w:rFonts w:ascii="Courier New" w:hAnsi="Courier New" w:cs="Courier New" w:hint="default"/>
      </w:rPr>
    </w:lvl>
    <w:lvl w:ilvl="8" w:tplc="4336BE28" w:tentative="1">
      <w:start w:val="1"/>
      <w:numFmt w:val="bullet"/>
      <w:lvlText w:val=""/>
      <w:lvlJc w:val="left"/>
      <w:pPr>
        <w:ind w:left="9508" w:hanging="360"/>
      </w:pPr>
      <w:rPr>
        <w:rFonts w:ascii="Wingdings" w:hAnsi="Wingdings" w:hint="default"/>
      </w:rPr>
    </w:lvl>
  </w:abstractNum>
  <w:abstractNum w:abstractNumId="3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15:restartNumberingAfterBreak="0">
    <w:nsid w:val="6A14466B"/>
    <w:multiLevelType w:val="hybridMultilevel"/>
    <w:tmpl w:val="2402A666"/>
    <w:lvl w:ilvl="0" w:tplc="BA1AE6AA">
      <w:start w:val="1"/>
      <w:numFmt w:val="bullet"/>
      <w:pStyle w:val="BulletList1"/>
      <w:lvlText w:val="·"/>
      <w:lvlJc w:val="left"/>
      <w:pPr>
        <w:tabs>
          <w:tab w:val="num" w:pos="360"/>
        </w:tabs>
        <w:ind w:left="360" w:hanging="360"/>
      </w:pPr>
      <w:rPr>
        <w:rFonts w:ascii="Symbol" w:hAnsi="Symbol" w:hint="default"/>
        <w:color w:val="000000"/>
      </w:rPr>
    </w:lvl>
    <w:lvl w:ilvl="1" w:tplc="C3C030C2" w:tentative="1">
      <w:start w:val="1"/>
      <w:numFmt w:val="bullet"/>
      <w:lvlText w:val="·"/>
      <w:lvlJc w:val="left"/>
      <w:pPr>
        <w:tabs>
          <w:tab w:val="num" w:pos="1440"/>
        </w:tabs>
        <w:ind w:left="1440" w:hanging="360"/>
      </w:pPr>
      <w:rPr>
        <w:rFonts w:ascii="Symbol" w:hAnsi="Symbol" w:hint="default"/>
      </w:rPr>
    </w:lvl>
    <w:lvl w:ilvl="2" w:tplc="FD124D06" w:tentative="1">
      <w:start w:val="1"/>
      <w:numFmt w:val="bullet"/>
      <w:lvlText w:val="·"/>
      <w:lvlJc w:val="left"/>
      <w:pPr>
        <w:tabs>
          <w:tab w:val="num" w:pos="2160"/>
        </w:tabs>
        <w:ind w:left="2160" w:hanging="360"/>
      </w:pPr>
      <w:rPr>
        <w:rFonts w:ascii="Symbol" w:hAnsi="Symbol" w:hint="default"/>
      </w:rPr>
    </w:lvl>
    <w:lvl w:ilvl="3" w:tplc="480423E2" w:tentative="1">
      <w:start w:val="1"/>
      <w:numFmt w:val="bullet"/>
      <w:lvlText w:val="·"/>
      <w:lvlJc w:val="left"/>
      <w:pPr>
        <w:tabs>
          <w:tab w:val="num" w:pos="2880"/>
        </w:tabs>
        <w:ind w:left="2880" w:hanging="360"/>
      </w:pPr>
      <w:rPr>
        <w:rFonts w:ascii="Symbol" w:hAnsi="Symbol" w:hint="default"/>
      </w:rPr>
    </w:lvl>
    <w:lvl w:ilvl="4" w:tplc="DE88C42E" w:tentative="1">
      <w:start w:val="1"/>
      <w:numFmt w:val="bullet"/>
      <w:lvlText w:val="o"/>
      <w:lvlJc w:val="left"/>
      <w:pPr>
        <w:tabs>
          <w:tab w:val="num" w:pos="3600"/>
        </w:tabs>
        <w:ind w:left="3600" w:hanging="360"/>
      </w:pPr>
      <w:rPr>
        <w:rFonts w:ascii="Courier New" w:hAnsi="Courier New" w:hint="default"/>
      </w:rPr>
    </w:lvl>
    <w:lvl w:ilvl="5" w:tplc="BFA6C592" w:tentative="1">
      <w:start w:val="1"/>
      <w:numFmt w:val="bullet"/>
      <w:lvlText w:val="§"/>
      <w:lvlJc w:val="left"/>
      <w:pPr>
        <w:tabs>
          <w:tab w:val="num" w:pos="4320"/>
        </w:tabs>
        <w:ind w:left="4320" w:hanging="360"/>
      </w:pPr>
      <w:rPr>
        <w:rFonts w:ascii="Wingdings" w:hAnsi="Wingdings" w:hint="default"/>
      </w:rPr>
    </w:lvl>
    <w:lvl w:ilvl="6" w:tplc="E946CEFE" w:tentative="1">
      <w:start w:val="1"/>
      <w:numFmt w:val="bullet"/>
      <w:lvlText w:val="·"/>
      <w:lvlJc w:val="left"/>
      <w:pPr>
        <w:tabs>
          <w:tab w:val="num" w:pos="5040"/>
        </w:tabs>
        <w:ind w:left="5040" w:hanging="360"/>
      </w:pPr>
      <w:rPr>
        <w:rFonts w:ascii="Symbol" w:hAnsi="Symbol" w:hint="default"/>
      </w:rPr>
    </w:lvl>
    <w:lvl w:ilvl="7" w:tplc="95324890" w:tentative="1">
      <w:start w:val="1"/>
      <w:numFmt w:val="bullet"/>
      <w:lvlText w:val="o"/>
      <w:lvlJc w:val="left"/>
      <w:pPr>
        <w:tabs>
          <w:tab w:val="num" w:pos="5760"/>
        </w:tabs>
        <w:ind w:left="5760" w:hanging="360"/>
      </w:pPr>
      <w:rPr>
        <w:rFonts w:ascii="Courier New" w:hAnsi="Courier New" w:hint="default"/>
      </w:rPr>
    </w:lvl>
    <w:lvl w:ilvl="8" w:tplc="18E66FE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D617205"/>
    <w:multiLevelType w:val="hybridMultilevel"/>
    <w:tmpl w:val="3F365736"/>
    <w:lvl w:ilvl="0" w:tplc="4F562E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DB5644F"/>
    <w:multiLevelType w:val="hybridMultilevel"/>
    <w:tmpl w:val="8BCC9C08"/>
    <w:lvl w:ilvl="0" w:tplc="E46A728E">
      <w:start w:val="1"/>
      <w:numFmt w:val="bullet"/>
      <w:pStyle w:val="BulletList3"/>
      <w:lvlText w:val=""/>
      <w:lvlJc w:val="left"/>
      <w:pPr>
        <w:tabs>
          <w:tab w:val="num" w:pos="1945"/>
        </w:tabs>
        <w:ind w:left="1945" w:hanging="357"/>
      </w:pPr>
      <w:rPr>
        <w:rFonts w:ascii="Symbol" w:hAnsi="Symbol" w:hint="default"/>
        <w:color w:val="000000"/>
      </w:rPr>
    </w:lvl>
    <w:lvl w:ilvl="1" w:tplc="1FE88318" w:tentative="1">
      <w:start w:val="1"/>
      <w:numFmt w:val="bullet"/>
      <w:lvlText w:val="o"/>
      <w:lvlJc w:val="left"/>
      <w:pPr>
        <w:tabs>
          <w:tab w:val="num" w:pos="1440"/>
        </w:tabs>
        <w:ind w:left="1440" w:hanging="360"/>
      </w:pPr>
      <w:rPr>
        <w:rFonts w:ascii="Courier New" w:hAnsi="Courier New" w:cs="Courier New" w:hint="default"/>
      </w:rPr>
    </w:lvl>
    <w:lvl w:ilvl="2" w:tplc="B502C26C" w:tentative="1">
      <w:start w:val="1"/>
      <w:numFmt w:val="bullet"/>
      <w:lvlText w:val=""/>
      <w:lvlJc w:val="left"/>
      <w:pPr>
        <w:tabs>
          <w:tab w:val="num" w:pos="2160"/>
        </w:tabs>
        <w:ind w:left="2160" w:hanging="360"/>
      </w:pPr>
      <w:rPr>
        <w:rFonts w:ascii="Wingdings" w:hAnsi="Wingdings" w:hint="default"/>
      </w:rPr>
    </w:lvl>
    <w:lvl w:ilvl="3" w:tplc="31EC7BD4" w:tentative="1">
      <w:start w:val="1"/>
      <w:numFmt w:val="bullet"/>
      <w:lvlText w:val=""/>
      <w:lvlJc w:val="left"/>
      <w:pPr>
        <w:tabs>
          <w:tab w:val="num" w:pos="2880"/>
        </w:tabs>
        <w:ind w:left="2880" w:hanging="360"/>
      </w:pPr>
      <w:rPr>
        <w:rFonts w:ascii="Symbol" w:hAnsi="Symbol" w:hint="default"/>
      </w:rPr>
    </w:lvl>
    <w:lvl w:ilvl="4" w:tplc="0AB644A8" w:tentative="1">
      <w:start w:val="1"/>
      <w:numFmt w:val="bullet"/>
      <w:lvlText w:val="o"/>
      <w:lvlJc w:val="left"/>
      <w:pPr>
        <w:tabs>
          <w:tab w:val="num" w:pos="3600"/>
        </w:tabs>
        <w:ind w:left="3600" w:hanging="360"/>
      </w:pPr>
      <w:rPr>
        <w:rFonts w:ascii="Courier New" w:hAnsi="Courier New" w:cs="Courier New" w:hint="default"/>
      </w:rPr>
    </w:lvl>
    <w:lvl w:ilvl="5" w:tplc="6712A3A0" w:tentative="1">
      <w:start w:val="1"/>
      <w:numFmt w:val="bullet"/>
      <w:lvlText w:val=""/>
      <w:lvlJc w:val="left"/>
      <w:pPr>
        <w:tabs>
          <w:tab w:val="num" w:pos="4320"/>
        </w:tabs>
        <w:ind w:left="4320" w:hanging="360"/>
      </w:pPr>
      <w:rPr>
        <w:rFonts w:ascii="Wingdings" w:hAnsi="Wingdings" w:hint="default"/>
      </w:rPr>
    </w:lvl>
    <w:lvl w:ilvl="6" w:tplc="9B582DEC" w:tentative="1">
      <w:start w:val="1"/>
      <w:numFmt w:val="bullet"/>
      <w:lvlText w:val=""/>
      <w:lvlJc w:val="left"/>
      <w:pPr>
        <w:tabs>
          <w:tab w:val="num" w:pos="5040"/>
        </w:tabs>
        <w:ind w:left="5040" w:hanging="360"/>
      </w:pPr>
      <w:rPr>
        <w:rFonts w:ascii="Symbol" w:hAnsi="Symbol" w:hint="default"/>
      </w:rPr>
    </w:lvl>
    <w:lvl w:ilvl="7" w:tplc="28A22918" w:tentative="1">
      <w:start w:val="1"/>
      <w:numFmt w:val="bullet"/>
      <w:lvlText w:val="o"/>
      <w:lvlJc w:val="left"/>
      <w:pPr>
        <w:tabs>
          <w:tab w:val="num" w:pos="5760"/>
        </w:tabs>
        <w:ind w:left="5760" w:hanging="360"/>
      </w:pPr>
      <w:rPr>
        <w:rFonts w:ascii="Courier New" w:hAnsi="Courier New" w:cs="Courier New" w:hint="default"/>
      </w:rPr>
    </w:lvl>
    <w:lvl w:ilvl="8" w:tplc="EFC85CA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3" w15:restartNumberingAfterBreak="0">
    <w:nsid w:val="7ED036BC"/>
    <w:multiLevelType w:val="hybridMultilevel"/>
    <w:tmpl w:val="1B002656"/>
    <w:lvl w:ilvl="0" w:tplc="B4662740">
      <w:numFmt w:val="bullet"/>
      <w:lvlText w:val="-"/>
      <w:lvlJc w:val="left"/>
      <w:pPr>
        <w:ind w:left="720" w:hanging="360"/>
      </w:pPr>
      <w:rPr>
        <w:rFonts w:ascii="Lato Light" w:eastAsia="Arial Unicode MS" w:hAnsi="Lat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681884">
    <w:abstractNumId w:val="36"/>
  </w:num>
  <w:num w:numId="2" w16cid:durableId="575090244">
    <w:abstractNumId w:val="37"/>
  </w:num>
  <w:num w:numId="3" w16cid:durableId="297951396">
    <w:abstractNumId w:val="22"/>
  </w:num>
  <w:num w:numId="4" w16cid:durableId="1329747059">
    <w:abstractNumId w:val="41"/>
  </w:num>
  <w:num w:numId="5" w16cid:durableId="1667270">
    <w:abstractNumId w:val="40"/>
  </w:num>
  <w:num w:numId="6" w16cid:durableId="571277799">
    <w:abstractNumId w:val="18"/>
  </w:num>
  <w:num w:numId="7" w16cid:durableId="797456119">
    <w:abstractNumId w:val="24"/>
  </w:num>
  <w:num w:numId="8" w16cid:durableId="1854372853">
    <w:abstractNumId w:val="23"/>
  </w:num>
  <w:num w:numId="9" w16cid:durableId="1085306032">
    <w:abstractNumId w:val="20"/>
  </w:num>
  <w:num w:numId="10" w16cid:durableId="1197814689">
    <w:abstractNumId w:val="32"/>
  </w:num>
  <w:num w:numId="11" w16cid:durableId="1511024311">
    <w:abstractNumId w:val="19"/>
  </w:num>
  <w:num w:numId="12" w16cid:durableId="1301500980">
    <w:abstractNumId w:val="31"/>
  </w:num>
  <w:num w:numId="13" w16cid:durableId="324820542">
    <w:abstractNumId w:val="34"/>
  </w:num>
  <w:num w:numId="14" w16cid:durableId="1265650750">
    <w:abstractNumId w:val="25"/>
  </w:num>
  <w:num w:numId="15" w16cid:durableId="556091788">
    <w:abstractNumId w:val="30"/>
  </w:num>
  <w:num w:numId="16" w16cid:durableId="1437024019">
    <w:abstractNumId w:val="27"/>
  </w:num>
  <w:num w:numId="17" w16cid:durableId="118912418">
    <w:abstractNumId w:val="28"/>
  </w:num>
  <w:num w:numId="18" w16cid:durableId="388309260">
    <w:abstractNumId w:val="26"/>
  </w:num>
  <w:num w:numId="19" w16cid:durableId="249390805">
    <w:abstractNumId w:val="21"/>
  </w:num>
  <w:num w:numId="20" w16cid:durableId="1348947056">
    <w:abstractNumId w:val="35"/>
  </w:num>
  <w:num w:numId="21" w16cid:durableId="660740112">
    <w:abstractNumId w:val="12"/>
  </w:num>
  <w:num w:numId="22" w16cid:durableId="1316450407">
    <w:abstractNumId w:val="16"/>
  </w:num>
  <w:num w:numId="23" w16cid:durableId="1842353442">
    <w:abstractNumId w:val="11"/>
  </w:num>
  <w:num w:numId="24" w16cid:durableId="1961761513">
    <w:abstractNumId w:val="38"/>
  </w:num>
  <w:num w:numId="25" w16cid:durableId="200022524">
    <w:abstractNumId w:val="42"/>
  </w:num>
  <w:num w:numId="26" w16cid:durableId="352074599">
    <w:abstractNumId w:val="0"/>
  </w:num>
  <w:num w:numId="27" w16cid:durableId="640040361">
    <w:abstractNumId w:val="33"/>
  </w:num>
  <w:num w:numId="28" w16cid:durableId="787509503">
    <w:abstractNumId w:val="13"/>
  </w:num>
  <w:num w:numId="29" w16cid:durableId="603152199">
    <w:abstractNumId w:val="15"/>
  </w:num>
  <w:num w:numId="30" w16cid:durableId="1964265021">
    <w:abstractNumId w:val="43"/>
  </w:num>
  <w:num w:numId="31" w16cid:durableId="1187475648">
    <w:abstractNumId w:val="39"/>
  </w:num>
  <w:num w:numId="32" w16cid:durableId="1083145757">
    <w:abstractNumId w:val="10"/>
  </w:num>
  <w:num w:numId="33" w16cid:durableId="2063167451">
    <w:abstractNumId w:val="8"/>
  </w:num>
  <w:num w:numId="34" w16cid:durableId="2056655352">
    <w:abstractNumId w:val="7"/>
  </w:num>
  <w:num w:numId="35" w16cid:durableId="171073898">
    <w:abstractNumId w:val="6"/>
  </w:num>
  <w:num w:numId="36" w16cid:durableId="1588032033">
    <w:abstractNumId w:val="5"/>
  </w:num>
  <w:num w:numId="37" w16cid:durableId="659234201">
    <w:abstractNumId w:val="9"/>
  </w:num>
  <w:num w:numId="38" w16cid:durableId="752513700">
    <w:abstractNumId w:val="4"/>
  </w:num>
  <w:num w:numId="39" w16cid:durableId="1265991212">
    <w:abstractNumId w:val="3"/>
  </w:num>
  <w:num w:numId="40" w16cid:durableId="587345807">
    <w:abstractNumId w:val="2"/>
  </w:num>
  <w:num w:numId="41" w16cid:durableId="1218661431">
    <w:abstractNumId w:val="1"/>
  </w:num>
  <w:num w:numId="42" w16cid:durableId="480006493">
    <w:abstractNumId w:val="30"/>
    <w:lvlOverride w:ilvl="0">
      <w:startOverride w:val="1"/>
    </w:lvlOverride>
  </w:num>
  <w:num w:numId="43" w16cid:durableId="718821035">
    <w:abstractNumId w:val="30"/>
    <w:lvlOverride w:ilvl="0">
      <w:startOverride w:val="1"/>
    </w:lvlOverride>
  </w:num>
  <w:num w:numId="44" w16cid:durableId="831139705">
    <w:abstractNumId w:val="30"/>
    <w:lvlOverride w:ilvl="0">
      <w:startOverride w:val="1"/>
    </w:lvlOverride>
  </w:num>
  <w:num w:numId="45" w16cid:durableId="2138717040">
    <w:abstractNumId w:val="30"/>
    <w:lvlOverride w:ilvl="0">
      <w:startOverride w:val="1"/>
    </w:lvlOverride>
  </w:num>
  <w:num w:numId="46" w16cid:durableId="1745377642">
    <w:abstractNumId w:val="30"/>
    <w:lvlOverride w:ilvl="0">
      <w:startOverride w:val="1"/>
    </w:lvlOverride>
  </w:num>
  <w:num w:numId="47" w16cid:durableId="156194271">
    <w:abstractNumId w:val="14"/>
  </w:num>
  <w:num w:numId="48" w16cid:durableId="651367855">
    <w:abstractNumId w:val="17"/>
  </w:num>
  <w:num w:numId="49" w16cid:durableId="26949283">
    <w:abstractNumId w:val="30"/>
    <w:lvlOverride w:ilvl="0">
      <w:startOverride w:val="1"/>
    </w:lvlOverride>
  </w:num>
  <w:num w:numId="50" w16cid:durableId="1473869321">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Yes without message&lt;/SignaturePageBreakType&gt;_x005f_x000d__x005f_x000a_&lt;/docParts&gt;"/>
    <w:docVar w:name="gentXMLPartID" w:val="{D605FE29-61AA-42CA-9202-E7A64BA38C35}"/>
  </w:docVars>
  <w:rsids>
    <w:rsidRoot w:val="00F33767"/>
    <w:rsid w:val="00000BC1"/>
    <w:rsid w:val="00001352"/>
    <w:rsid w:val="0000623F"/>
    <w:rsid w:val="000103E2"/>
    <w:rsid w:val="000112D2"/>
    <w:rsid w:val="0001137D"/>
    <w:rsid w:val="00022578"/>
    <w:rsid w:val="000237C5"/>
    <w:rsid w:val="00024B6C"/>
    <w:rsid w:val="00027939"/>
    <w:rsid w:val="00027AA7"/>
    <w:rsid w:val="00027D8A"/>
    <w:rsid w:val="00031D80"/>
    <w:rsid w:val="00033E13"/>
    <w:rsid w:val="0003442A"/>
    <w:rsid w:val="00034C52"/>
    <w:rsid w:val="000362A0"/>
    <w:rsid w:val="00041DA4"/>
    <w:rsid w:val="0004340A"/>
    <w:rsid w:val="0004494C"/>
    <w:rsid w:val="00044DE6"/>
    <w:rsid w:val="0005266D"/>
    <w:rsid w:val="00052FBA"/>
    <w:rsid w:val="000616F2"/>
    <w:rsid w:val="00063162"/>
    <w:rsid w:val="00071162"/>
    <w:rsid w:val="000739F3"/>
    <w:rsid w:val="000803C0"/>
    <w:rsid w:val="00084ACB"/>
    <w:rsid w:val="000853A7"/>
    <w:rsid w:val="000859C3"/>
    <w:rsid w:val="00087D1D"/>
    <w:rsid w:val="00094FC3"/>
    <w:rsid w:val="00096B10"/>
    <w:rsid w:val="00096F94"/>
    <w:rsid w:val="000A1E8D"/>
    <w:rsid w:val="000A2B3B"/>
    <w:rsid w:val="000A66AE"/>
    <w:rsid w:val="000B7103"/>
    <w:rsid w:val="000B7F08"/>
    <w:rsid w:val="000C0AC6"/>
    <w:rsid w:val="000C3DC4"/>
    <w:rsid w:val="000C40D1"/>
    <w:rsid w:val="000C40F8"/>
    <w:rsid w:val="000D3990"/>
    <w:rsid w:val="000E096A"/>
    <w:rsid w:val="000F0DF1"/>
    <w:rsid w:val="000F2F0C"/>
    <w:rsid w:val="00110670"/>
    <w:rsid w:val="00115935"/>
    <w:rsid w:val="00115BEC"/>
    <w:rsid w:val="00117192"/>
    <w:rsid w:val="0012107C"/>
    <w:rsid w:val="00123663"/>
    <w:rsid w:val="001278BF"/>
    <w:rsid w:val="001314AF"/>
    <w:rsid w:val="00132A76"/>
    <w:rsid w:val="00133F7C"/>
    <w:rsid w:val="001352E0"/>
    <w:rsid w:val="00135EA3"/>
    <w:rsid w:val="00136261"/>
    <w:rsid w:val="00137900"/>
    <w:rsid w:val="00141B8F"/>
    <w:rsid w:val="00144B38"/>
    <w:rsid w:val="001470D7"/>
    <w:rsid w:val="00151681"/>
    <w:rsid w:val="00151EC7"/>
    <w:rsid w:val="00157F23"/>
    <w:rsid w:val="001617AE"/>
    <w:rsid w:val="001657C6"/>
    <w:rsid w:val="00166FC1"/>
    <w:rsid w:val="00172605"/>
    <w:rsid w:val="00175175"/>
    <w:rsid w:val="00184B91"/>
    <w:rsid w:val="00191E21"/>
    <w:rsid w:val="00193539"/>
    <w:rsid w:val="00195639"/>
    <w:rsid w:val="001A07E1"/>
    <w:rsid w:val="001A0868"/>
    <w:rsid w:val="001A1038"/>
    <w:rsid w:val="001A1177"/>
    <w:rsid w:val="001A394C"/>
    <w:rsid w:val="001B3092"/>
    <w:rsid w:val="001C1B45"/>
    <w:rsid w:val="001C61EB"/>
    <w:rsid w:val="001C635A"/>
    <w:rsid w:val="001C74AA"/>
    <w:rsid w:val="001D15C9"/>
    <w:rsid w:val="001D45FB"/>
    <w:rsid w:val="001D491A"/>
    <w:rsid w:val="001D5074"/>
    <w:rsid w:val="001E5B81"/>
    <w:rsid w:val="001E6135"/>
    <w:rsid w:val="001F0ECD"/>
    <w:rsid w:val="001F181D"/>
    <w:rsid w:val="001F65EF"/>
    <w:rsid w:val="001F7196"/>
    <w:rsid w:val="00200005"/>
    <w:rsid w:val="00202749"/>
    <w:rsid w:val="00204B9F"/>
    <w:rsid w:val="00212130"/>
    <w:rsid w:val="00216567"/>
    <w:rsid w:val="00220355"/>
    <w:rsid w:val="00220D9E"/>
    <w:rsid w:val="00221619"/>
    <w:rsid w:val="0022250B"/>
    <w:rsid w:val="0022346D"/>
    <w:rsid w:val="00223CA2"/>
    <w:rsid w:val="002277CF"/>
    <w:rsid w:val="00231B83"/>
    <w:rsid w:val="00233F1C"/>
    <w:rsid w:val="00240A57"/>
    <w:rsid w:val="002410B4"/>
    <w:rsid w:val="002414D3"/>
    <w:rsid w:val="0024678B"/>
    <w:rsid w:val="00252FF8"/>
    <w:rsid w:val="00253186"/>
    <w:rsid w:val="00254AE2"/>
    <w:rsid w:val="002635ED"/>
    <w:rsid w:val="002712C4"/>
    <w:rsid w:val="002758B1"/>
    <w:rsid w:val="00277F8A"/>
    <w:rsid w:val="0028053A"/>
    <w:rsid w:val="00285B48"/>
    <w:rsid w:val="0029222C"/>
    <w:rsid w:val="00294966"/>
    <w:rsid w:val="002A1774"/>
    <w:rsid w:val="002A35C8"/>
    <w:rsid w:val="002A40FC"/>
    <w:rsid w:val="002B3644"/>
    <w:rsid w:val="002B7037"/>
    <w:rsid w:val="002C25C8"/>
    <w:rsid w:val="002C30F3"/>
    <w:rsid w:val="002C7E06"/>
    <w:rsid w:val="002D294B"/>
    <w:rsid w:val="002D3159"/>
    <w:rsid w:val="002D3BAC"/>
    <w:rsid w:val="002D44B0"/>
    <w:rsid w:val="002D5A09"/>
    <w:rsid w:val="002D5EE3"/>
    <w:rsid w:val="002E3988"/>
    <w:rsid w:val="002E4B2B"/>
    <w:rsid w:val="002E5167"/>
    <w:rsid w:val="002F3A36"/>
    <w:rsid w:val="002F468F"/>
    <w:rsid w:val="002F571E"/>
    <w:rsid w:val="0030101D"/>
    <w:rsid w:val="00303C54"/>
    <w:rsid w:val="0030514F"/>
    <w:rsid w:val="00311394"/>
    <w:rsid w:val="003211F8"/>
    <w:rsid w:val="00322557"/>
    <w:rsid w:val="0032259D"/>
    <w:rsid w:val="0032354C"/>
    <w:rsid w:val="0032665A"/>
    <w:rsid w:val="003266E0"/>
    <w:rsid w:val="00327DC8"/>
    <w:rsid w:val="003326DD"/>
    <w:rsid w:val="00334D64"/>
    <w:rsid w:val="003413DD"/>
    <w:rsid w:val="003450E8"/>
    <w:rsid w:val="0035025B"/>
    <w:rsid w:val="00352528"/>
    <w:rsid w:val="00355672"/>
    <w:rsid w:val="0035644C"/>
    <w:rsid w:val="003618AE"/>
    <w:rsid w:val="003661B3"/>
    <w:rsid w:val="00374FE2"/>
    <w:rsid w:val="00377515"/>
    <w:rsid w:val="00384493"/>
    <w:rsid w:val="0038521A"/>
    <w:rsid w:val="00397F51"/>
    <w:rsid w:val="003A230A"/>
    <w:rsid w:val="003A301B"/>
    <w:rsid w:val="003B482B"/>
    <w:rsid w:val="003B7E92"/>
    <w:rsid w:val="003C4E54"/>
    <w:rsid w:val="003D1569"/>
    <w:rsid w:val="003E32FD"/>
    <w:rsid w:val="003E5740"/>
    <w:rsid w:val="003E637F"/>
    <w:rsid w:val="003F2E7E"/>
    <w:rsid w:val="003F589F"/>
    <w:rsid w:val="0040001C"/>
    <w:rsid w:val="004018C3"/>
    <w:rsid w:val="00403E92"/>
    <w:rsid w:val="004112A6"/>
    <w:rsid w:val="004117A0"/>
    <w:rsid w:val="00412D96"/>
    <w:rsid w:val="00421AB0"/>
    <w:rsid w:val="00421C15"/>
    <w:rsid w:val="00421D31"/>
    <w:rsid w:val="004276FD"/>
    <w:rsid w:val="00431734"/>
    <w:rsid w:val="00434561"/>
    <w:rsid w:val="00437609"/>
    <w:rsid w:val="00447230"/>
    <w:rsid w:val="00471C80"/>
    <w:rsid w:val="0047461B"/>
    <w:rsid w:val="00481C83"/>
    <w:rsid w:val="004863D4"/>
    <w:rsid w:val="00495AAF"/>
    <w:rsid w:val="004A3848"/>
    <w:rsid w:val="004A4872"/>
    <w:rsid w:val="004B04B4"/>
    <w:rsid w:val="004B0C0A"/>
    <w:rsid w:val="004C4FEF"/>
    <w:rsid w:val="004D4086"/>
    <w:rsid w:val="004D59E3"/>
    <w:rsid w:val="004E2F33"/>
    <w:rsid w:val="004E4EDA"/>
    <w:rsid w:val="004E63C9"/>
    <w:rsid w:val="004F2EB4"/>
    <w:rsid w:val="00500E89"/>
    <w:rsid w:val="00502F3E"/>
    <w:rsid w:val="0050325F"/>
    <w:rsid w:val="005056A8"/>
    <w:rsid w:val="00506051"/>
    <w:rsid w:val="00506ACA"/>
    <w:rsid w:val="00513359"/>
    <w:rsid w:val="0052161A"/>
    <w:rsid w:val="00527109"/>
    <w:rsid w:val="0053451C"/>
    <w:rsid w:val="00535724"/>
    <w:rsid w:val="00536113"/>
    <w:rsid w:val="0054137A"/>
    <w:rsid w:val="005418A3"/>
    <w:rsid w:val="005418D3"/>
    <w:rsid w:val="005445F9"/>
    <w:rsid w:val="00556551"/>
    <w:rsid w:val="0055676C"/>
    <w:rsid w:val="0056045B"/>
    <w:rsid w:val="005649D7"/>
    <w:rsid w:val="00566E22"/>
    <w:rsid w:val="00570EDF"/>
    <w:rsid w:val="00571BF3"/>
    <w:rsid w:val="00571EB3"/>
    <w:rsid w:val="0057202A"/>
    <w:rsid w:val="00582602"/>
    <w:rsid w:val="0058413E"/>
    <w:rsid w:val="005A191C"/>
    <w:rsid w:val="005A78DC"/>
    <w:rsid w:val="005B16B6"/>
    <w:rsid w:val="005B2D44"/>
    <w:rsid w:val="005B3E35"/>
    <w:rsid w:val="005C0DBD"/>
    <w:rsid w:val="005C18A5"/>
    <w:rsid w:val="005C205F"/>
    <w:rsid w:val="005C55B2"/>
    <w:rsid w:val="005D49D5"/>
    <w:rsid w:val="005D51F8"/>
    <w:rsid w:val="005D716F"/>
    <w:rsid w:val="005D74D8"/>
    <w:rsid w:val="005D7A72"/>
    <w:rsid w:val="005E0920"/>
    <w:rsid w:val="005E1BDA"/>
    <w:rsid w:val="005E30AC"/>
    <w:rsid w:val="005E3F99"/>
    <w:rsid w:val="005E7501"/>
    <w:rsid w:val="005E7923"/>
    <w:rsid w:val="005F29AD"/>
    <w:rsid w:val="005F36DE"/>
    <w:rsid w:val="005F4DCE"/>
    <w:rsid w:val="005F564C"/>
    <w:rsid w:val="00602F5D"/>
    <w:rsid w:val="006050AA"/>
    <w:rsid w:val="0060526F"/>
    <w:rsid w:val="0060608B"/>
    <w:rsid w:val="006122B9"/>
    <w:rsid w:val="00614B2A"/>
    <w:rsid w:val="0061793B"/>
    <w:rsid w:val="006211F8"/>
    <w:rsid w:val="006218DE"/>
    <w:rsid w:val="00627A11"/>
    <w:rsid w:val="00632F2F"/>
    <w:rsid w:val="00633B89"/>
    <w:rsid w:val="006342BD"/>
    <w:rsid w:val="006342F1"/>
    <w:rsid w:val="00635A38"/>
    <w:rsid w:val="00635E33"/>
    <w:rsid w:val="00647D69"/>
    <w:rsid w:val="006521FF"/>
    <w:rsid w:val="0066086A"/>
    <w:rsid w:val="00660D58"/>
    <w:rsid w:val="006621E8"/>
    <w:rsid w:val="0066365B"/>
    <w:rsid w:val="00663E0E"/>
    <w:rsid w:val="0066507C"/>
    <w:rsid w:val="00666018"/>
    <w:rsid w:val="00672DC9"/>
    <w:rsid w:val="0067390F"/>
    <w:rsid w:val="006752CA"/>
    <w:rsid w:val="006753C2"/>
    <w:rsid w:val="0067762D"/>
    <w:rsid w:val="0068286F"/>
    <w:rsid w:val="00682EB3"/>
    <w:rsid w:val="006842FE"/>
    <w:rsid w:val="00685745"/>
    <w:rsid w:val="006914C1"/>
    <w:rsid w:val="00692C3B"/>
    <w:rsid w:val="00696069"/>
    <w:rsid w:val="006A3357"/>
    <w:rsid w:val="006A4F66"/>
    <w:rsid w:val="006A624C"/>
    <w:rsid w:val="006A6471"/>
    <w:rsid w:val="006A65DE"/>
    <w:rsid w:val="006B1727"/>
    <w:rsid w:val="006B4493"/>
    <w:rsid w:val="006B4A62"/>
    <w:rsid w:val="006B7B62"/>
    <w:rsid w:val="006C0A1F"/>
    <w:rsid w:val="006C0A83"/>
    <w:rsid w:val="006C1AA4"/>
    <w:rsid w:val="006D4A48"/>
    <w:rsid w:val="006D5EFF"/>
    <w:rsid w:val="006D6C25"/>
    <w:rsid w:val="006E0A1E"/>
    <w:rsid w:val="006E2D2E"/>
    <w:rsid w:val="006E31BA"/>
    <w:rsid w:val="006E770B"/>
    <w:rsid w:val="006F03E5"/>
    <w:rsid w:val="006F2054"/>
    <w:rsid w:val="006F454D"/>
    <w:rsid w:val="00702B80"/>
    <w:rsid w:val="00707A9B"/>
    <w:rsid w:val="00722067"/>
    <w:rsid w:val="0072220B"/>
    <w:rsid w:val="00722964"/>
    <w:rsid w:val="0072699A"/>
    <w:rsid w:val="00727E98"/>
    <w:rsid w:val="0073442E"/>
    <w:rsid w:val="00745459"/>
    <w:rsid w:val="0075138A"/>
    <w:rsid w:val="00772479"/>
    <w:rsid w:val="00773E87"/>
    <w:rsid w:val="00792E7A"/>
    <w:rsid w:val="00795A37"/>
    <w:rsid w:val="007A2374"/>
    <w:rsid w:val="007A3119"/>
    <w:rsid w:val="007B1584"/>
    <w:rsid w:val="007C589F"/>
    <w:rsid w:val="007D0565"/>
    <w:rsid w:val="007D4905"/>
    <w:rsid w:val="007D7223"/>
    <w:rsid w:val="007E057B"/>
    <w:rsid w:val="007E0D1A"/>
    <w:rsid w:val="007E11F9"/>
    <w:rsid w:val="007E1B60"/>
    <w:rsid w:val="007F1C4D"/>
    <w:rsid w:val="007F2EC6"/>
    <w:rsid w:val="007F4C8F"/>
    <w:rsid w:val="00803927"/>
    <w:rsid w:val="0080670F"/>
    <w:rsid w:val="008130D8"/>
    <w:rsid w:val="00815516"/>
    <w:rsid w:val="00815C05"/>
    <w:rsid w:val="00817069"/>
    <w:rsid w:val="00822038"/>
    <w:rsid w:val="0082474B"/>
    <w:rsid w:val="008266B8"/>
    <w:rsid w:val="00832354"/>
    <w:rsid w:val="00835F3C"/>
    <w:rsid w:val="00843260"/>
    <w:rsid w:val="00851B0D"/>
    <w:rsid w:val="00851BF1"/>
    <w:rsid w:val="00854F8D"/>
    <w:rsid w:val="00860381"/>
    <w:rsid w:val="008604AA"/>
    <w:rsid w:val="00861AB0"/>
    <w:rsid w:val="008646E5"/>
    <w:rsid w:val="0086579E"/>
    <w:rsid w:val="00867576"/>
    <w:rsid w:val="0087037C"/>
    <w:rsid w:val="008705A6"/>
    <w:rsid w:val="0087074D"/>
    <w:rsid w:val="008759D9"/>
    <w:rsid w:val="00881EF1"/>
    <w:rsid w:val="00883BC0"/>
    <w:rsid w:val="00885673"/>
    <w:rsid w:val="00886841"/>
    <w:rsid w:val="00892855"/>
    <w:rsid w:val="008A27F4"/>
    <w:rsid w:val="008A6604"/>
    <w:rsid w:val="008C516A"/>
    <w:rsid w:val="008C5C55"/>
    <w:rsid w:val="008C6EF5"/>
    <w:rsid w:val="008C7C5A"/>
    <w:rsid w:val="008D4AC5"/>
    <w:rsid w:val="008D576B"/>
    <w:rsid w:val="008D7DE3"/>
    <w:rsid w:val="008E7814"/>
    <w:rsid w:val="008F08C3"/>
    <w:rsid w:val="008F4809"/>
    <w:rsid w:val="008F5D7D"/>
    <w:rsid w:val="009039F0"/>
    <w:rsid w:val="00905634"/>
    <w:rsid w:val="00905F2C"/>
    <w:rsid w:val="009060BE"/>
    <w:rsid w:val="00910840"/>
    <w:rsid w:val="0091153E"/>
    <w:rsid w:val="00913604"/>
    <w:rsid w:val="00915D20"/>
    <w:rsid w:val="009174E7"/>
    <w:rsid w:val="00920F30"/>
    <w:rsid w:val="00921BC4"/>
    <w:rsid w:val="009254B9"/>
    <w:rsid w:val="00925B37"/>
    <w:rsid w:val="009347DC"/>
    <w:rsid w:val="00936588"/>
    <w:rsid w:val="009367CD"/>
    <w:rsid w:val="00947A97"/>
    <w:rsid w:val="00950261"/>
    <w:rsid w:val="0097279E"/>
    <w:rsid w:val="00973039"/>
    <w:rsid w:val="00975741"/>
    <w:rsid w:val="009813F3"/>
    <w:rsid w:val="00981BBE"/>
    <w:rsid w:val="00983227"/>
    <w:rsid w:val="00985D40"/>
    <w:rsid w:val="0098736C"/>
    <w:rsid w:val="009901E2"/>
    <w:rsid w:val="009917CE"/>
    <w:rsid w:val="00991F86"/>
    <w:rsid w:val="00992DDD"/>
    <w:rsid w:val="009944A9"/>
    <w:rsid w:val="009956C4"/>
    <w:rsid w:val="00995A31"/>
    <w:rsid w:val="00995EED"/>
    <w:rsid w:val="0099654E"/>
    <w:rsid w:val="009978C1"/>
    <w:rsid w:val="009A0184"/>
    <w:rsid w:val="009A0814"/>
    <w:rsid w:val="009A238E"/>
    <w:rsid w:val="009A281B"/>
    <w:rsid w:val="009A3592"/>
    <w:rsid w:val="009A4895"/>
    <w:rsid w:val="009A6DEF"/>
    <w:rsid w:val="009A72B1"/>
    <w:rsid w:val="009B7495"/>
    <w:rsid w:val="009C7F4B"/>
    <w:rsid w:val="009D1FC2"/>
    <w:rsid w:val="009D38FD"/>
    <w:rsid w:val="009D595B"/>
    <w:rsid w:val="009D6159"/>
    <w:rsid w:val="009D7BD5"/>
    <w:rsid w:val="009E11D0"/>
    <w:rsid w:val="009E4630"/>
    <w:rsid w:val="009F17FB"/>
    <w:rsid w:val="009F34A0"/>
    <w:rsid w:val="009F4599"/>
    <w:rsid w:val="009F5556"/>
    <w:rsid w:val="00A00007"/>
    <w:rsid w:val="00A0272E"/>
    <w:rsid w:val="00A17ED5"/>
    <w:rsid w:val="00A22550"/>
    <w:rsid w:val="00A256B2"/>
    <w:rsid w:val="00A25C29"/>
    <w:rsid w:val="00A313B7"/>
    <w:rsid w:val="00A33D3D"/>
    <w:rsid w:val="00A36C7E"/>
    <w:rsid w:val="00A37861"/>
    <w:rsid w:val="00A50EDF"/>
    <w:rsid w:val="00A51EC3"/>
    <w:rsid w:val="00A5575A"/>
    <w:rsid w:val="00A6027D"/>
    <w:rsid w:val="00A66543"/>
    <w:rsid w:val="00A7149F"/>
    <w:rsid w:val="00A74F8F"/>
    <w:rsid w:val="00A90BCB"/>
    <w:rsid w:val="00A93052"/>
    <w:rsid w:val="00A931C0"/>
    <w:rsid w:val="00A96238"/>
    <w:rsid w:val="00AA42D9"/>
    <w:rsid w:val="00AA7BAA"/>
    <w:rsid w:val="00AB0FD6"/>
    <w:rsid w:val="00AB170C"/>
    <w:rsid w:val="00AB19BA"/>
    <w:rsid w:val="00AB1CBD"/>
    <w:rsid w:val="00AB1E88"/>
    <w:rsid w:val="00AB6219"/>
    <w:rsid w:val="00AC0DFA"/>
    <w:rsid w:val="00AD02F4"/>
    <w:rsid w:val="00AE2AF5"/>
    <w:rsid w:val="00AF007A"/>
    <w:rsid w:val="00AF2C22"/>
    <w:rsid w:val="00AF6456"/>
    <w:rsid w:val="00B0388D"/>
    <w:rsid w:val="00B0578B"/>
    <w:rsid w:val="00B0689C"/>
    <w:rsid w:val="00B1190D"/>
    <w:rsid w:val="00B235E7"/>
    <w:rsid w:val="00B25778"/>
    <w:rsid w:val="00B359CD"/>
    <w:rsid w:val="00B4001D"/>
    <w:rsid w:val="00B405C2"/>
    <w:rsid w:val="00B421CE"/>
    <w:rsid w:val="00B44B03"/>
    <w:rsid w:val="00B46229"/>
    <w:rsid w:val="00B47962"/>
    <w:rsid w:val="00B50F20"/>
    <w:rsid w:val="00B540CC"/>
    <w:rsid w:val="00B6126D"/>
    <w:rsid w:val="00B63EB8"/>
    <w:rsid w:val="00B715AE"/>
    <w:rsid w:val="00B74236"/>
    <w:rsid w:val="00B7790A"/>
    <w:rsid w:val="00B80EB2"/>
    <w:rsid w:val="00B81999"/>
    <w:rsid w:val="00B8341D"/>
    <w:rsid w:val="00B85CBA"/>
    <w:rsid w:val="00B87359"/>
    <w:rsid w:val="00B94446"/>
    <w:rsid w:val="00B944AC"/>
    <w:rsid w:val="00B944CA"/>
    <w:rsid w:val="00BA0BEE"/>
    <w:rsid w:val="00BA4FAC"/>
    <w:rsid w:val="00BB6C45"/>
    <w:rsid w:val="00BB6EF4"/>
    <w:rsid w:val="00BC2A17"/>
    <w:rsid w:val="00BC3E79"/>
    <w:rsid w:val="00BC61A4"/>
    <w:rsid w:val="00BC6AE8"/>
    <w:rsid w:val="00BD0679"/>
    <w:rsid w:val="00BD0A14"/>
    <w:rsid w:val="00BD2215"/>
    <w:rsid w:val="00BE0920"/>
    <w:rsid w:val="00BE2074"/>
    <w:rsid w:val="00BE55F2"/>
    <w:rsid w:val="00BE5E54"/>
    <w:rsid w:val="00BE66CB"/>
    <w:rsid w:val="00C00AF0"/>
    <w:rsid w:val="00C053B2"/>
    <w:rsid w:val="00C05BB8"/>
    <w:rsid w:val="00C06A74"/>
    <w:rsid w:val="00C06C08"/>
    <w:rsid w:val="00C1062E"/>
    <w:rsid w:val="00C1092B"/>
    <w:rsid w:val="00C140BD"/>
    <w:rsid w:val="00C141F5"/>
    <w:rsid w:val="00C14BB8"/>
    <w:rsid w:val="00C17D91"/>
    <w:rsid w:val="00C2753A"/>
    <w:rsid w:val="00C30B16"/>
    <w:rsid w:val="00C3348A"/>
    <w:rsid w:val="00C36B96"/>
    <w:rsid w:val="00C414F4"/>
    <w:rsid w:val="00C41CB2"/>
    <w:rsid w:val="00C427CB"/>
    <w:rsid w:val="00C435D7"/>
    <w:rsid w:val="00C43718"/>
    <w:rsid w:val="00C5124E"/>
    <w:rsid w:val="00C53FC8"/>
    <w:rsid w:val="00C5592D"/>
    <w:rsid w:val="00C75004"/>
    <w:rsid w:val="00C77A90"/>
    <w:rsid w:val="00C8154A"/>
    <w:rsid w:val="00C83FBA"/>
    <w:rsid w:val="00C94259"/>
    <w:rsid w:val="00CA472C"/>
    <w:rsid w:val="00CA5119"/>
    <w:rsid w:val="00CA7612"/>
    <w:rsid w:val="00CB16DA"/>
    <w:rsid w:val="00CB78E2"/>
    <w:rsid w:val="00CD059F"/>
    <w:rsid w:val="00CD2CF8"/>
    <w:rsid w:val="00CD45F7"/>
    <w:rsid w:val="00CD6575"/>
    <w:rsid w:val="00CE4F2C"/>
    <w:rsid w:val="00CE6AA0"/>
    <w:rsid w:val="00CF522C"/>
    <w:rsid w:val="00CF6CF9"/>
    <w:rsid w:val="00D02144"/>
    <w:rsid w:val="00D0390D"/>
    <w:rsid w:val="00D05759"/>
    <w:rsid w:val="00D05A90"/>
    <w:rsid w:val="00D14E11"/>
    <w:rsid w:val="00D225BA"/>
    <w:rsid w:val="00D228DF"/>
    <w:rsid w:val="00D257B5"/>
    <w:rsid w:val="00D2759C"/>
    <w:rsid w:val="00D31753"/>
    <w:rsid w:val="00D33684"/>
    <w:rsid w:val="00D405FB"/>
    <w:rsid w:val="00D43BD7"/>
    <w:rsid w:val="00D4411D"/>
    <w:rsid w:val="00D544A0"/>
    <w:rsid w:val="00D614BD"/>
    <w:rsid w:val="00D61C06"/>
    <w:rsid w:val="00D643BA"/>
    <w:rsid w:val="00D71412"/>
    <w:rsid w:val="00D75DEF"/>
    <w:rsid w:val="00D77793"/>
    <w:rsid w:val="00D81999"/>
    <w:rsid w:val="00D877A3"/>
    <w:rsid w:val="00D91880"/>
    <w:rsid w:val="00D94976"/>
    <w:rsid w:val="00D9629A"/>
    <w:rsid w:val="00DA2035"/>
    <w:rsid w:val="00DA60E5"/>
    <w:rsid w:val="00DA76B0"/>
    <w:rsid w:val="00DB277A"/>
    <w:rsid w:val="00DB6E9B"/>
    <w:rsid w:val="00DB77EE"/>
    <w:rsid w:val="00DC1420"/>
    <w:rsid w:val="00DC1942"/>
    <w:rsid w:val="00DC2F57"/>
    <w:rsid w:val="00DC499E"/>
    <w:rsid w:val="00DC577E"/>
    <w:rsid w:val="00DC5EAE"/>
    <w:rsid w:val="00DC6E4B"/>
    <w:rsid w:val="00DC768A"/>
    <w:rsid w:val="00DD3516"/>
    <w:rsid w:val="00DD4BB4"/>
    <w:rsid w:val="00DD62A3"/>
    <w:rsid w:val="00DE347D"/>
    <w:rsid w:val="00E04527"/>
    <w:rsid w:val="00E0640E"/>
    <w:rsid w:val="00E114A4"/>
    <w:rsid w:val="00E14D0E"/>
    <w:rsid w:val="00E167FF"/>
    <w:rsid w:val="00E20AD9"/>
    <w:rsid w:val="00E22A59"/>
    <w:rsid w:val="00E26F8C"/>
    <w:rsid w:val="00E40F5A"/>
    <w:rsid w:val="00E415EE"/>
    <w:rsid w:val="00E4288F"/>
    <w:rsid w:val="00E45050"/>
    <w:rsid w:val="00E564DA"/>
    <w:rsid w:val="00E62217"/>
    <w:rsid w:val="00E6642D"/>
    <w:rsid w:val="00E753F0"/>
    <w:rsid w:val="00E7617A"/>
    <w:rsid w:val="00E82F9F"/>
    <w:rsid w:val="00E86247"/>
    <w:rsid w:val="00E904BA"/>
    <w:rsid w:val="00E96FBE"/>
    <w:rsid w:val="00EA127A"/>
    <w:rsid w:val="00EA6442"/>
    <w:rsid w:val="00EA7ECE"/>
    <w:rsid w:val="00EB1298"/>
    <w:rsid w:val="00EB370F"/>
    <w:rsid w:val="00EB3F9C"/>
    <w:rsid w:val="00EB7DFD"/>
    <w:rsid w:val="00EC083E"/>
    <w:rsid w:val="00EC78C5"/>
    <w:rsid w:val="00EC7CC0"/>
    <w:rsid w:val="00ED4076"/>
    <w:rsid w:val="00EE032D"/>
    <w:rsid w:val="00EE15BD"/>
    <w:rsid w:val="00EE1668"/>
    <w:rsid w:val="00EE282F"/>
    <w:rsid w:val="00EE3241"/>
    <w:rsid w:val="00EE4E83"/>
    <w:rsid w:val="00EE6F18"/>
    <w:rsid w:val="00EF0C4D"/>
    <w:rsid w:val="00EF1496"/>
    <w:rsid w:val="00EF492F"/>
    <w:rsid w:val="00EF4E79"/>
    <w:rsid w:val="00EF6B3B"/>
    <w:rsid w:val="00F05D03"/>
    <w:rsid w:val="00F076B8"/>
    <w:rsid w:val="00F07FDC"/>
    <w:rsid w:val="00F10453"/>
    <w:rsid w:val="00F21EB0"/>
    <w:rsid w:val="00F22CC2"/>
    <w:rsid w:val="00F272C7"/>
    <w:rsid w:val="00F33767"/>
    <w:rsid w:val="00F444CC"/>
    <w:rsid w:val="00F44EDB"/>
    <w:rsid w:val="00F474D2"/>
    <w:rsid w:val="00F47C22"/>
    <w:rsid w:val="00F50692"/>
    <w:rsid w:val="00F5233F"/>
    <w:rsid w:val="00F53986"/>
    <w:rsid w:val="00F555AB"/>
    <w:rsid w:val="00F56162"/>
    <w:rsid w:val="00F62034"/>
    <w:rsid w:val="00F62F8E"/>
    <w:rsid w:val="00F64CCD"/>
    <w:rsid w:val="00F67057"/>
    <w:rsid w:val="00F67447"/>
    <w:rsid w:val="00F7268E"/>
    <w:rsid w:val="00F73EA5"/>
    <w:rsid w:val="00F74124"/>
    <w:rsid w:val="00F76D0F"/>
    <w:rsid w:val="00F82BED"/>
    <w:rsid w:val="00F836EC"/>
    <w:rsid w:val="00F837EE"/>
    <w:rsid w:val="00F850DB"/>
    <w:rsid w:val="00F90154"/>
    <w:rsid w:val="00F93B46"/>
    <w:rsid w:val="00F93BCA"/>
    <w:rsid w:val="00F953B7"/>
    <w:rsid w:val="00FA1E46"/>
    <w:rsid w:val="00FA28EB"/>
    <w:rsid w:val="00FA7B59"/>
    <w:rsid w:val="00FB1512"/>
    <w:rsid w:val="00FB310D"/>
    <w:rsid w:val="00FB3319"/>
    <w:rsid w:val="00FB5A92"/>
    <w:rsid w:val="00FC0CAD"/>
    <w:rsid w:val="00FD5052"/>
    <w:rsid w:val="00FE076D"/>
    <w:rsid w:val="00FE10FC"/>
    <w:rsid w:val="00FE2383"/>
    <w:rsid w:val="00FE2E1F"/>
    <w:rsid w:val="00FE2F79"/>
    <w:rsid w:val="00FE4581"/>
    <w:rsid w:val="00FE56D9"/>
    <w:rsid w:val="00FF20DA"/>
    <w:rsid w:val="0B2130ED"/>
    <w:rsid w:val="1BF37677"/>
    <w:rsid w:val="4536F42F"/>
    <w:rsid w:val="4AD8B2A7"/>
    <w:rsid w:val="647869D5"/>
    <w:rsid w:val="70E98AF8"/>
    <w:rsid w:val="7FCC5D0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E375A0"/>
  <w15:chartTrackingRefBased/>
  <w15:docId w15:val="{8408B957-8957-4B3A-92E2-916094A8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59"/>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5735A7"/>
    <w:pPr>
      <w:keepNext/>
      <w:keepLines/>
      <w:numPr>
        <w:numId w:val="10"/>
      </w:numPr>
      <w:spacing w:before="480"/>
      <w:outlineLvl w:val="0"/>
    </w:pPr>
    <w:rPr>
      <w:rFonts w:ascii="Cambria" w:eastAsia="Times New Roman" w:hAnsi="Cambria"/>
      <w:b/>
      <w:bCs/>
      <w:sz w:val="28"/>
      <w:szCs w:val="28"/>
    </w:rPr>
  </w:style>
  <w:style w:type="paragraph" w:styleId="Heading2">
    <w:name w:val="heading 2"/>
    <w:basedOn w:val="Normal"/>
    <w:next w:val="Normal"/>
    <w:link w:val="Heading2Char"/>
    <w:uiPriority w:val="9"/>
    <w:qFormat/>
    <w:rsid w:val="005735A7"/>
    <w:pPr>
      <w:keepNext/>
      <w:keepLines/>
      <w:numPr>
        <w:ilvl w:val="1"/>
        <w:numId w:val="10"/>
      </w:num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5735A7"/>
    <w:pPr>
      <w:keepNext/>
      <w:keepLines/>
      <w:numPr>
        <w:ilvl w:val="2"/>
        <w:numId w:val="10"/>
      </w:numPr>
      <w:spacing w:before="200"/>
      <w:outlineLvl w:val="2"/>
    </w:pPr>
    <w:rPr>
      <w:rFonts w:ascii="Cambria" w:eastAsia="Times New Roman" w:hAnsi="Cambria"/>
      <w:b/>
      <w:bCs/>
    </w:rPr>
  </w:style>
  <w:style w:type="paragraph" w:styleId="Heading4">
    <w:name w:val="heading 4"/>
    <w:basedOn w:val="Normal"/>
    <w:next w:val="Normal"/>
    <w:link w:val="Heading4Char"/>
    <w:uiPriority w:val="9"/>
    <w:qFormat/>
    <w:rsid w:val="005735A7"/>
    <w:pPr>
      <w:keepNext/>
      <w:keepLines/>
      <w:numPr>
        <w:ilvl w:val="3"/>
        <w:numId w:val="10"/>
      </w:numPr>
      <w:spacing w:before="200"/>
      <w:outlineLvl w:val="3"/>
    </w:pPr>
    <w:rPr>
      <w:rFonts w:ascii="Cambria" w:eastAsia="Times New Roman" w:hAnsi="Cambria"/>
      <w:b/>
      <w:bCs/>
      <w:i/>
      <w:iCs/>
    </w:rPr>
  </w:style>
  <w:style w:type="paragraph" w:styleId="Heading5">
    <w:name w:val="heading 5"/>
    <w:basedOn w:val="Normal"/>
    <w:next w:val="Normal"/>
    <w:link w:val="Heading5Char"/>
    <w:uiPriority w:val="9"/>
    <w:qFormat/>
    <w:rsid w:val="005735A7"/>
    <w:pPr>
      <w:keepNext/>
      <w:keepLines/>
      <w:numPr>
        <w:ilvl w:val="4"/>
        <w:numId w:val="10"/>
      </w:numPr>
      <w:spacing w:before="200"/>
      <w:outlineLvl w:val="4"/>
    </w:pPr>
    <w:rPr>
      <w:rFonts w:ascii="Cambria" w:eastAsia="Times New Roman" w:hAnsi="Cambria"/>
    </w:rPr>
  </w:style>
  <w:style w:type="paragraph" w:styleId="Heading6">
    <w:name w:val="heading 6"/>
    <w:basedOn w:val="Normal"/>
    <w:next w:val="Normal"/>
    <w:link w:val="Heading6Char"/>
    <w:uiPriority w:val="9"/>
    <w:qFormat/>
    <w:rsid w:val="005735A7"/>
    <w:pPr>
      <w:keepNext/>
      <w:keepLines/>
      <w:numPr>
        <w:ilvl w:val="5"/>
        <w:numId w:val="10"/>
      </w:numPr>
      <w:spacing w:before="200"/>
      <w:outlineLvl w:val="5"/>
    </w:pPr>
    <w:rPr>
      <w:rFonts w:ascii="Cambria" w:eastAsia="Times New Roman" w:hAnsi="Cambria"/>
      <w:i/>
      <w:iCs/>
    </w:rPr>
  </w:style>
  <w:style w:type="paragraph" w:styleId="Heading7">
    <w:name w:val="heading 7"/>
    <w:basedOn w:val="Normal"/>
    <w:next w:val="Normal"/>
    <w:link w:val="Heading7Char"/>
    <w:uiPriority w:val="9"/>
    <w:qFormat/>
    <w:rsid w:val="005735A7"/>
    <w:pPr>
      <w:keepNext/>
      <w:keepLines/>
      <w:numPr>
        <w:ilvl w:val="6"/>
        <w:numId w:val="10"/>
      </w:numPr>
      <w:spacing w:before="200"/>
      <w:outlineLvl w:val="6"/>
    </w:pPr>
    <w:rPr>
      <w:rFonts w:ascii="Cambria" w:eastAsia="Times New Roman" w:hAnsi="Cambria"/>
      <w:i/>
      <w:iCs/>
    </w:rPr>
  </w:style>
  <w:style w:type="paragraph" w:styleId="Heading8">
    <w:name w:val="heading 8"/>
    <w:basedOn w:val="Normal"/>
    <w:next w:val="Normal"/>
    <w:link w:val="Heading8Char"/>
    <w:uiPriority w:val="9"/>
    <w:qFormat/>
    <w:rsid w:val="005735A7"/>
    <w:pPr>
      <w:keepNext/>
      <w:keepLines/>
      <w:numPr>
        <w:ilvl w:val="7"/>
        <w:numId w:val="10"/>
      </w:numPr>
      <w:spacing w:before="200"/>
      <w:outlineLvl w:val="7"/>
    </w:pPr>
    <w:rPr>
      <w:rFonts w:ascii="Cambria" w:eastAsia="Times New Roman" w:hAnsi="Cambria"/>
      <w:sz w:val="20"/>
      <w:szCs w:val="20"/>
    </w:rPr>
  </w:style>
  <w:style w:type="paragraph" w:styleId="Heading9">
    <w:name w:val="heading 9"/>
    <w:basedOn w:val="Normal"/>
    <w:next w:val="Normal"/>
    <w:link w:val="Heading9Char"/>
    <w:uiPriority w:val="9"/>
    <w:qFormat/>
    <w:rsid w:val="005735A7"/>
    <w:pPr>
      <w:keepNext/>
      <w:keepLines/>
      <w:numPr>
        <w:ilvl w:val="8"/>
        <w:numId w:val="10"/>
      </w:numPr>
      <w:spacing w:before="200"/>
      <w:outlineLvl w:val="8"/>
    </w:pPr>
    <w:rPr>
      <w:rFonts w:ascii="Cambria" w:eastAsia="Times New Roman" w:hAnsi="Cambria"/>
      <w:i/>
      <w:iCs/>
      <w:sz w:val="20"/>
      <w:szCs w:val="20"/>
    </w:rPr>
  </w:style>
  <w:style w:type="character" w:default="1" w:styleId="DefaultParagraphFont">
    <w:name w:val="Default Paragraph Font"/>
    <w:uiPriority w:val="1"/>
    <w:semiHidden/>
    <w:unhideWhenUsed/>
    <w:rsid w:val="00FA7B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7B59"/>
  </w:style>
  <w:style w:type="paragraph" w:customStyle="1" w:styleId="Abstract">
    <w:name w:val="Abstract"/>
    <w:link w:val="AbstractChar"/>
    <w:rsid w:val="005735A7"/>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5735A7"/>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5735A7"/>
    <w:pPr>
      <w:numPr>
        <w:numId w:val="11"/>
      </w:numPr>
      <w:spacing w:before="240" w:after="240"/>
      <w:ind w:left="0" w:firstLine="0"/>
    </w:pPr>
    <w:rPr>
      <w:b/>
    </w:rPr>
  </w:style>
  <w:style w:type="paragraph" w:customStyle="1" w:styleId="AuthoringGroup">
    <w:name w:val="Authoring Group"/>
    <w:link w:val="AuthoringGroupChar"/>
    <w:rsid w:val="005735A7"/>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5735A7"/>
    <w:rPr>
      <w:rFonts w:ascii="Arial" w:eastAsia="Arial Unicode MS" w:hAnsi="Arial" w:cs="Arial"/>
      <w:color w:val="000000"/>
      <w:sz w:val="24"/>
      <w:lang w:val="en-US" w:eastAsia="en-US"/>
    </w:rPr>
  </w:style>
  <w:style w:type="paragraph" w:customStyle="1" w:styleId="Background">
    <w:name w:val="Background"/>
    <w:aliases w:val="(A) Background"/>
    <w:basedOn w:val="Normal"/>
    <w:rsid w:val="005735A7"/>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5735A7"/>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5735A7"/>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5735A7"/>
    <w:pPr>
      <w:numPr>
        <w:numId w:val="4"/>
      </w:numPr>
      <w:spacing w:after="240" w:line="240" w:lineRule="auto"/>
      <w:jc w:val="both"/>
    </w:pPr>
    <w:rPr>
      <w:rFonts w:eastAsia="Arial Unicode MS"/>
      <w:szCs w:val="20"/>
    </w:rPr>
  </w:style>
  <w:style w:type="paragraph" w:customStyle="1" w:styleId="TitleClause">
    <w:name w:val="Title Clause"/>
    <w:basedOn w:val="Normal"/>
    <w:rsid w:val="005735A7"/>
    <w:pPr>
      <w:keepNext/>
      <w:numPr>
        <w:numId w:val="23"/>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5735A7"/>
    <w:rPr>
      <w:b w:val="0"/>
      <w:smallCaps/>
    </w:rPr>
  </w:style>
  <w:style w:type="paragraph" w:customStyle="1" w:styleId="ClosingPara">
    <w:name w:val="Closing Para"/>
    <w:basedOn w:val="Normal"/>
    <w:rsid w:val="005735A7"/>
    <w:pPr>
      <w:spacing w:before="120" w:after="240" w:line="300" w:lineRule="atLeast"/>
      <w:jc w:val="both"/>
    </w:pPr>
    <w:rPr>
      <w:rFonts w:eastAsia="Arial Unicode MS"/>
      <w:szCs w:val="20"/>
    </w:rPr>
  </w:style>
  <w:style w:type="paragraph" w:customStyle="1" w:styleId="ClosingSignOff">
    <w:name w:val="Closing SignOff"/>
    <w:basedOn w:val="Normal"/>
    <w:rsid w:val="005735A7"/>
    <w:pPr>
      <w:spacing w:after="120" w:line="300" w:lineRule="atLeast"/>
      <w:jc w:val="both"/>
    </w:pPr>
    <w:rPr>
      <w:rFonts w:eastAsia="Arial Unicode MS"/>
      <w:szCs w:val="20"/>
    </w:rPr>
  </w:style>
  <w:style w:type="paragraph" w:customStyle="1" w:styleId="CoversheetTitle">
    <w:name w:val="Coversheet Title"/>
    <w:basedOn w:val="Normal"/>
    <w:autoRedefine/>
    <w:rsid w:val="009D7BD5"/>
    <w:pPr>
      <w:spacing w:before="480" w:after="480" w:line="300" w:lineRule="atLeast"/>
      <w:jc w:val="center"/>
    </w:pPr>
    <w:rPr>
      <w:rFonts w:ascii="Lato Light" w:eastAsia="Arial Unicode MS" w:hAnsi="Lato Light"/>
      <w:b/>
      <w:smallCaps/>
      <w:sz w:val="40"/>
      <w:szCs w:val="40"/>
    </w:rPr>
  </w:style>
  <w:style w:type="paragraph" w:customStyle="1" w:styleId="CoverSheetHeading">
    <w:name w:val="Cover Sheet Heading"/>
    <w:aliases w:val="Coversheet Title2"/>
    <w:basedOn w:val="CoversheetTitle"/>
    <w:rsid w:val="005735A7"/>
  </w:style>
  <w:style w:type="paragraph" w:customStyle="1" w:styleId="CoverSheetSubjectText">
    <w:name w:val="Cover Sheet Subject Text"/>
    <w:basedOn w:val="Normal"/>
    <w:rsid w:val="005735A7"/>
    <w:pPr>
      <w:spacing w:line="300" w:lineRule="atLeast"/>
      <w:jc w:val="center"/>
    </w:pPr>
    <w:rPr>
      <w:rFonts w:eastAsia="Arial Unicode MS"/>
      <w:szCs w:val="20"/>
    </w:rPr>
  </w:style>
  <w:style w:type="paragraph" w:customStyle="1" w:styleId="CoverSheetSubjectTitle">
    <w:name w:val="Cover Sheet Subject Title"/>
    <w:basedOn w:val="Normal"/>
    <w:rsid w:val="005735A7"/>
    <w:pPr>
      <w:spacing w:line="300" w:lineRule="atLeast"/>
      <w:jc w:val="center"/>
    </w:pPr>
    <w:rPr>
      <w:rFonts w:eastAsia="Arial Unicode MS"/>
      <w:szCs w:val="20"/>
    </w:rPr>
  </w:style>
  <w:style w:type="paragraph" w:customStyle="1" w:styleId="DefinedTermPara">
    <w:name w:val="Defined Term Para"/>
    <w:basedOn w:val="Paragraph"/>
    <w:qFormat/>
    <w:rsid w:val="005735A7"/>
    <w:pPr>
      <w:numPr>
        <w:numId w:val="24"/>
      </w:numPr>
    </w:pPr>
  </w:style>
  <w:style w:type="paragraph" w:customStyle="1" w:styleId="DescriptiveHeading">
    <w:name w:val="DescriptiveHeading"/>
    <w:next w:val="Paragraph"/>
    <w:link w:val="DescriptiveHeadingChar"/>
    <w:rsid w:val="005735A7"/>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5735A7"/>
    <w:rPr>
      <w:rFonts w:ascii="Arial" w:eastAsia="Arial Unicode MS" w:hAnsi="Arial" w:cs="Arial"/>
      <w:b/>
      <w:color w:val="000000"/>
      <w:lang w:val="en-US" w:eastAsia="en-US"/>
    </w:rPr>
  </w:style>
  <w:style w:type="paragraph" w:customStyle="1" w:styleId="DraftingnoteSection1Para">
    <w:name w:val="Draftingnote Section1 Para"/>
    <w:basedOn w:val="Normal"/>
    <w:rsid w:val="005735A7"/>
    <w:pPr>
      <w:spacing w:after="120" w:line="300" w:lineRule="atLeast"/>
      <w:jc w:val="both"/>
    </w:pPr>
    <w:rPr>
      <w:rFonts w:eastAsia="Arial Unicode MS"/>
      <w:szCs w:val="20"/>
    </w:rPr>
  </w:style>
  <w:style w:type="paragraph" w:customStyle="1" w:styleId="DraftingnoteSection1Title">
    <w:name w:val="Draftingnote Section1 Title"/>
    <w:basedOn w:val="Normal"/>
    <w:rsid w:val="005735A7"/>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5735A7"/>
    <w:pPr>
      <w:spacing w:after="120" w:line="300" w:lineRule="atLeast"/>
      <w:jc w:val="both"/>
    </w:pPr>
    <w:rPr>
      <w:rFonts w:eastAsia="Arial Unicode MS"/>
      <w:szCs w:val="20"/>
    </w:rPr>
  </w:style>
  <w:style w:type="paragraph" w:customStyle="1" w:styleId="DraftingnoteSection2Title">
    <w:name w:val="Draftingnote Section2 Title"/>
    <w:basedOn w:val="Normal"/>
    <w:rsid w:val="005735A7"/>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5735A7"/>
    <w:pPr>
      <w:spacing w:after="120" w:line="300" w:lineRule="atLeast"/>
      <w:jc w:val="both"/>
    </w:pPr>
    <w:rPr>
      <w:rFonts w:eastAsia="Arial Unicode MS"/>
      <w:szCs w:val="20"/>
    </w:rPr>
  </w:style>
  <w:style w:type="paragraph" w:customStyle="1" w:styleId="DraftingnoteSection3Title">
    <w:name w:val="Draftingnote Section3 Title"/>
    <w:basedOn w:val="Normal"/>
    <w:rsid w:val="005735A7"/>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5735A7"/>
    <w:pPr>
      <w:spacing w:after="120" w:line="300" w:lineRule="atLeast"/>
      <w:jc w:val="both"/>
    </w:pPr>
    <w:rPr>
      <w:rFonts w:eastAsia="Arial Unicode MS"/>
      <w:szCs w:val="20"/>
    </w:rPr>
  </w:style>
  <w:style w:type="paragraph" w:customStyle="1" w:styleId="DraftingnoteSection4Title">
    <w:name w:val="Draftingnote Section4 Title"/>
    <w:basedOn w:val="Normal"/>
    <w:rsid w:val="005735A7"/>
    <w:pPr>
      <w:spacing w:after="120" w:line="300" w:lineRule="atLeast"/>
      <w:jc w:val="both"/>
    </w:pPr>
    <w:rPr>
      <w:rFonts w:eastAsia="Arial Unicode MS"/>
      <w:b/>
      <w:i/>
      <w:sz w:val="28"/>
      <w:szCs w:val="20"/>
    </w:rPr>
  </w:style>
  <w:style w:type="paragraph" w:customStyle="1" w:styleId="DraftingnoteTitle">
    <w:name w:val="Draftingnote Title"/>
    <w:basedOn w:val="Normal"/>
    <w:rsid w:val="005735A7"/>
    <w:pPr>
      <w:spacing w:after="120" w:line="300" w:lineRule="atLeast"/>
      <w:jc w:val="both"/>
    </w:pPr>
    <w:rPr>
      <w:rFonts w:eastAsia="Arial Unicode MS"/>
      <w:b/>
      <w:sz w:val="28"/>
      <w:szCs w:val="20"/>
    </w:rPr>
  </w:style>
  <w:style w:type="paragraph" w:customStyle="1" w:styleId="FulltextBridgehead">
    <w:name w:val="Fulltext Bridgehead"/>
    <w:basedOn w:val="Normal"/>
    <w:rsid w:val="005735A7"/>
    <w:pPr>
      <w:spacing w:after="120" w:line="300" w:lineRule="atLeast"/>
      <w:jc w:val="both"/>
    </w:pPr>
    <w:rPr>
      <w:rFonts w:eastAsia="Arial Unicode MS"/>
      <w:b/>
      <w:sz w:val="48"/>
      <w:szCs w:val="20"/>
    </w:rPr>
  </w:style>
  <w:style w:type="paragraph" w:customStyle="1" w:styleId="FulltextSection1Para">
    <w:name w:val="Fulltext Section1 Para"/>
    <w:basedOn w:val="Normal"/>
    <w:rsid w:val="005735A7"/>
    <w:pPr>
      <w:spacing w:after="120" w:line="300" w:lineRule="atLeast"/>
      <w:jc w:val="both"/>
    </w:pPr>
    <w:rPr>
      <w:rFonts w:eastAsia="Arial Unicode MS"/>
      <w:szCs w:val="20"/>
    </w:rPr>
  </w:style>
  <w:style w:type="paragraph" w:customStyle="1" w:styleId="FulltextSection1Title">
    <w:name w:val="Fulltext Section1 Title"/>
    <w:basedOn w:val="Normal"/>
    <w:rsid w:val="005735A7"/>
    <w:pPr>
      <w:spacing w:after="120" w:line="300" w:lineRule="atLeast"/>
      <w:jc w:val="both"/>
    </w:pPr>
    <w:rPr>
      <w:rFonts w:eastAsia="Arial Unicode MS"/>
      <w:b/>
      <w:sz w:val="36"/>
      <w:szCs w:val="20"/>
    </w:rPr>
  </w:style>
  <w:style w:type="paragraph" w:customStyle="1" w:styleId="FulltextSection2Para">
    <w:name w:val="Fulltext Section2 Para"/>
    <w:basedOn w:val="Normal"/>
    <w:rsid w:val="005735A7"/>
    <w:pPr>
      <w:spacing w:after="120" w:line="300" w:lineRule="atLeast"/>
      <w:jc w:val="both"/>
    </w:pPr>
    <w:rPr>
      <w:rFonts w:eastAsia="Arial Unicode MS"/>
      <w:szCs w:val="20"/>
    </w:rPr>
  </w:style>
  <w:style w:type="paragraph" w:customStyle="1" w:styleId="FulltextSection2Title">
    <w:name w:val="Fulltext Section2 Title"/>
    <w:basedOn w:val="Normal"/>
    <w:rsid w:val="005735A7"/>
    <w:pPr>
      <w:spacing w:after="120" w:line="300" w:lineRule="atLeast"/>
      <w:jc w:val="both"/>
    </w:pPr>
    <w:rPr>
      <w:rFonts w:eastAsia="Arial Unicode MS"/>
      <w:b/>
      <w:sz w:val="28"/>
      <w:szCs w:val="20"/>
    </w:rPr>
  </w:style>
  <w:style w:type="paragraph" w:customStyle="1" w:styleId="FulltextSection3Para">
    <w:name w:val="Fulltext Section3 Para"/>
    <w:basedOn w:val="Normal"/>
    <w:rsid w:val="005735A7"/>
    <w:pPr>
      <w:spacing w:after="120" w:line="300" w:lineRule="atLeast"/>
      <w:jc w:val="both"/>
    </w:pPr>
    <w:rPr>
      <w:rFonts w:eastAsia="Arial Unicode MS"/>
      <w:szCs w:val="20"/>
    </w:rPr>
  </w:style>
  <w:style w:type="paragraph" w:customStyle="1" w:styleId="FulltextSection3Title">
    <w:name w:val="Fulltext Section3 Title"/>
    <w:basedOn w:val="Normal"/>
    <w:rsid w:val="005735A7"/>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5735A7"/>
    <w:pPr>
      <w:spacing w:after="120" w:line="300" w:lineRule="atLeast"/>
      <w:jc w:val="both"/>
    </w:pPr>
    <w:rPr>
      <w:rFonts w:eastAsia="Arial Unicode MS"/>
      <w:szCs w:val="20"/>
    </w:rPr>
  </w:style>
  <w:style w:type="paragraph" w:customStyle="1" w:styleId="FulltextSection4Title">
    <w:name w:val="Fulltext Section4 Title"/>
    <w:basedOn w:val="Normal"/>
    <w:rsid w:val="005735A7"/>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5735A7"/>
    <w:pPr>
      <w:spacing w:after="120" w:line="300" w:lineRule="atLeast"/>
      <w:jc w:val="both"/>
    </w:pPr>
    <w:rPr>
      <w:rFonts w:eastAsia="Arial Unicode MS"/>
      <w:szCs w:val="20"/>
    </w:rPr>
  </w:style>
  <w:style w:type="paragraph" w:customStyle="1" w:styleId="GlossItemGlossterm">
    <w:name w:val="GlossItem Glossterm"/>
    <w:basedOn w:val="Normal"/>
    <w:rsid w:val="005735A7"/>
    <w:pPr>
      <w:spacing w:after="120" w:line="300" w:lineRule="atLeast"/>
      <w:jc w:val="both"/>
    </w:pPr>
    <w:rPr>
      <w:rFonts w:eastAsia="Arial Unicode MS"/>
      <w:b/>
      <w:sz w:val="48"/>
      <w:szCs w:val="20"/>
    </w:rPr>
  </w:style>
  <w:style w:type="paragraph" w:customStyle="1" w:styleId="HeadingAddressLine">
    <w:name w:val="Heading Address Line"/>
    <w:basedOn w:val="Normal"/>
    <w:rsid w:val="005735A7"/>
    <w:pPr>
      <w:spacing w:after="120" w:line="300" w:lineRule="atLeast"/>
      <w:jc w:val="both"/>
    </w:pPr>
    <w:rPr>
      <w:rFonts w:eastAsia="Arial Unicode MS"/>
      <w:szCs w:val="20"/>
    </w:rPr>
  </w:style>
  <w:style w:type="paragraph" w:customStyle="1" w:styleId="HeadingDate">
    <w:name w:val="Heading Date"/>
    <w:basedOn w:val="Normal"/>
    <w:rsid w:val="005735A7"/>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5735A7"/>
    <w:pPr>
      <w:spacing w:after="120" w:line="300" w:lineRule="atLeast"/>
      <w:jc w:val="both"/>
    </w:pPr>
    <w:rPr>
      <w:rFonts w:eastAsia="Arial Unicode MS"/>
      <w:szCs w:val="20"/>
    </w:rPr>
  </w:style>
  <w:style w:type="paragraph" w:customStyle="1" w:styleId="HeadingSalutation">
    <w:name w:val="Heading Salutation"/>
    <w:basedOn w:val="Normal"/>
    <w:rsid w:val="005735A7"/>
    <w:pPr>
      <w:spacing w:after="120" w:line="300" w:lineRule="atLeast"/>
      <w:jc w:val="both"/>
    </w:pPr>
    <w:rPr>
      <w:rFonts w:eastAsia="Arial Unicode MS"/>
      <w:szCs w:val="20"/>
    </w:rPr>
  </w:style>
  <w:style w:type="paragraph" w:customStyle="1" w:styleId="IgnoredSpacing">
    <w:name w:val="Ignored Spacing"/>
    <w:link w:val="IgnoredSpacingChar"/>
    <w:rsid w:val="005735A7"/>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5735A7"/>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5735A7"/>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5735A7"/>
    <w:rPr>
      <w:rFonts w:ascii="Arial" w:eastAsia="Arial Unicode MS" w:hAnsi="Arial" w:cs="Arial"/>
      <w:color w:val="000000"/>
      <w:sz w:val="24"/>
      <w:lang w:val="en-US" w:eastAsia="en-US"/>
    </w:rPr>
  </w:style>
  <w:style w:type="paragraph" w:customStyle="1" w:styleId="MaintenanceEditor">
    <w:name w:val="Maintenance Editor"/>
    <w:link w:val="MaintenanceEditorChar"/>
    <w:rsid w:val="005735A7"/>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5735A7"/>
    <w:rPr>
      <w:rFonts w:ascii="Arial" w:eastAsia="Arial Unicode MS" w:hAnsi="Arial" w:cs="Arial"/>
      <w:color w:val="000000"/>
      <w:sz w:val="24"/>
      <w:lang w:val="en-US" w:eastAsia="en-US"/>
    </w:rPr>
  </w:style>
  <w:style w:type="paragraph" w:customStyle="1" w:styleId="ParaClause">
    <w:name w:val="Para Clause"/>
    <w:basedOn w:val="Normal"/>
    <w:rsid w:val="005735A7"/>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5735A7"/>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5735A7"/>
    <w:pPr>
      <w:numPr>
        <w:ilvl w:val="1"/>
        <w:numId w:val="23"/>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5735A7"/>
    <w:pPr>
      <w:spacing w:after="240" w:line="300" w:lineRule="atLeast"/>
      <w:ind w:left="1559"/>
      <w:jc w:val="both"/>
    </w:pPr>
    <w:rPr>
      <w:rFonts w:eastAsia="Arial Unicode MS"/>
      <w:szCs w:val="20"/>
    </w:rPr>
  </w:style>
  <w:style w:type="paragraph" w:customStyle="1" w:styleId="Untitledsubclause2">
    <w:name w:val="Untitled subclause 2"/>
    <w:basedOn w:val="Normal"/>
    <w:rsid w:val="005735A7"/>
    <w:pPr>
      <w:numPr>
        <w:ilvl w:val="2"/>
        <w:numId w:val="23"/>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5735A7"/>
    <w:pPr>
      <w:spacing w:after="120" w:line="300" w:lineRule="atLeast"/>
      <w:ind w:left="2268"/>
      <w:jc w:val="both"/>
    </w:pPr>
    <w:rPr>
      <w:rFonts w:eastAsia="Arial Unicode MS"/>
      <w:szCs w:val="20"/>
    </w:rPr>
  </w:style>
  <w:style w:type="paragraph" w:customStyle="1" w:styleId="Untitledsubclause3">
    <w:name w:val="Untitled subclause 3"/>
    <w:basedOn w:val="Normal"/>
    <w:rsid w:val="005735A7"/>
    <w:pPr>
      <w:numPr>
        <w:ilvl w:val="3"/>
        <w:numId w:val="23"/>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5735A7"/>
    <w:pPr>
      <w:spacing w:after="240"/>
      <w:ind w:left="3028"/>
    </w:pPr>
  </w:style>
  <w:style w:type="paragraph" w:customStyle="1" w:styleId="Untitledsubclause4">
    <w:name w:val="Untitled subclause 4"/>
    <w:basedOn w:val="Normal"/>
    <w:rsid w:val="005735A7"/>
    <w:pPr>
      <w:numPr>
        <w:ilvl w:val="4"/>
        <w:numId w:val="23"/>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5735A7"/>
    <w:pPr>
      <w:spacing w:after="120" w:line="300" w:lineRule="atLeast"/>
      <w:jc w:val="both"/>
    </w:pPr>
    <w:rPr>
      <w:rFonts w:eastAsia="Arial Unicode MS"/>
      <w:szCs w:val="20"/>
    </w:rPr>
  </w:style>
  <w:style w:type="paragraph" w:customStyle="1" w:styleId="Parties">
    <w:name w:val="Parties"/>
    <w:aliases w:val="(1) Parties"/>
    <w:basedOn w:val="Normal"/>
    <w:rsid w:val="005735A7"/>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5735A7"/>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5735A7"/>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5735A7"/>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5735A7"/>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5735A7"/>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5735A7"/>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5735A7"/>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5735A7"/>
    <w:rPr>
      <w:rFonts w:ascii="Arial" w:eastAsia="Arial Unicode MS" w:hAnsi="Arial" w:cs="Arial"/>
      <w:b/>
      <w:bCs/>
      <w:color w:val="000000"/>
      <w:sz w:val="24"/>
      <w:lang w:val="en-US" w:eastAsia="en-US"/>
    </w:rPr>
  </w:style>
  <w:style w:type="paragraph" w:customStyle="1" w:styleId="ResourceType">
    <w:name w:val="Resource Type"/>
    <w:link w:val="ResourceTypeChar"/>
    <w:rsid w:val="005735A7"/>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5735A7"/>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5735A7"/>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5735A7"/>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5735A7"/>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rsid w:val="005735A7"/>
    <w:pPr>
      <w:spacing w:after="120" w:line="300" w:lineRule="atLeast"/>
      <w:jc w:val="both"/>
    </w:pPr>
    <w:rPr>
      <w:rFonts w:eastAsia="Arial Unicode MS"/>
      <w:szCs w:val="20"/>
    </w:rPr>
  </w:style>
  <w:style w:type="paragraph" w:customStyle="1" w:styleId="SpeedreadPara">
    <w:name w:val="Speedread Para"/>
    <w:basedOn w:val="Normal"/>
    <w:rsid w:val="005735A7"/>
    <w:pPr>
      <w:spacing w:after="120" w:line="300" w:lineRule="atLeast"/>
      <w:jc w:val="both"/>
    </w:pPr>
    <w:rPr>
      <w:rFonts w:eastAsia="Arial Unicode MS"/>
      <w:szCs w:val="20"/>
    </w:rPr>
  </w:style>
  <w:style w:type="paragraph" w:customStyle="1" w:styleId="SpeedreadSection1Para">
    <w:name w:val="Speedread Section1 Para"/>
    <w:basedOn w:val="Normal"/>
    <w:rsid w:val="005735A7"/>
    <w:pPr>
      <w:spacing w:after="120" w:line="300" w:lineRule="atLeast"/>
      <w:jc w:val="both"/>
    </w:pPr>
    <w:rPr>
      <w:rFonts w:eastAsia="Arial Unicode MS"/>
      <w:szCs w:val="20"/>
    </w:rPr>
  </w:style>
  <w:style w:type="paragraph" w:customStyle="1" w:styleId="SpeedreadSection1Text">
    <w:name w:val="Speedread Section1 Text"/>
    <w:basedOn w:val="Normal"/>
    <w:rsid w:val="005735A7"/>
    <w:pPr>
      <w:spacing w:after="120" w:line="300" w:lineRule="atLeast"/>
      <w:jc w:val="both"/>
    </w:pPr>
    <w:rPr>
      <w:rFonts w:eastAsia="Arial Unicode MS"/>
      <w:szCs w:val="20"/>
    </w:rPr>
  </w:style>
  <w:style w:type="paragraph" w:customStyle="1" w:styleId="SpeedreadText">
    <w:name w:val="Speedread Text"/>
    <w:basedOn w:val="Normal"/>
    <w:rsid w:val="005735A7"/>
    <w:pPr>
      <w:spacing w:after="120" w:line="300" w:lineRule="atLeast"/>
      <w:jc w:val="both"/>
    </w:pPr>
    <w:rPr>
      <w:rFonts w:eastAsia="Arial Unicode MS"/>
      <w:szCs w:val="20"/>
    </w:rPr>
  </w:style>
  <w:style w:type="paragraph" w:customStyle="1" w:styleId="SpeedreadTitle">
    <w:name w:val="Speedread Title"/>
    <w:basedOn w:val="Normal"/>
    <w:rsid w:val="005735A7"/>
    <w:pPr>
      <w:spacing w:after="120" w:line="300" w:lineRule="atLeast"/>
      <w:jc w:val="both"/>
    </w:pPr>
    <w:rPr>
      <w:rFonts w:eastAsia="Arial Unicode MS"/>
      <w:b/>
      <w:sz w:val="36"/>
      <w:szCs w:val="20"/>
    </w:rPr>
  </w:style>
  <w:style w:type="paragraph" w:customStyle="1" w:styleId="TemplateType">
    <w:name w:val="Template Type"/>
    <w:link w:val="TemplateTypeChar"/>
    <w:rsid w:val="005735A7"/>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5735A7"/>
    <w:rPr>
      <w:rFonts w:ascii="Arial" w:eastAsia="Arial Unicode MS" w:hAnsi="Arial" w:cs="Arial"/>
      <w:color w:val="000000"/>
      <w:sz w:val="24"/>
      <w:szCs w:val="24"/>
      <w:lang w:val="en-US" w:eastAsia="en-US"/>
    </w:rPr>
  </w:style>
  <w:style w:type="paragraph" w:styleId="Title">
    <w:name w:val="Title"/>
    <w:link w:val="TitleChar"/>
    <w:qFormat/>
    <w:rsid w:val="005735A7"/>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5735A7"/>
    <w:rPr>
      <w:rFonts w:ascii="Arial" w:eastAsia="Arial Unicode MS" w:hAnsi="Arial" w:cs="Arial"/>
      <w:color w:val="000000"/>
      <w:sz w:val="24"/>
      <w:lang w:val="en-US" w:eastAsia="en-US"/>
    </w:rPr>
  </w:style>
  <w:style w:type="paragraph" w:styleId="Footer">
    <w:name w:val="footer"/>
    <w:basedOn w:val="Normal"/>
    <w:link w:val="FooterChar"/>
    <w:rsid w:val="005735A7"/>
    <w:pPr>
      <w:tabs>
        <w:tab w:val="center" w:pos="4153"/>
        <w:tab w:val="right" w:pos="8306"/>
      </w:tabs>
      <w:spacing w:after="240" w:line="300" w:lineRule="atLeast"/>
      <w:jc w:val="both"/>
    </w:pPr>
    <w:rPr>
      <w:rFonts w:ascii="Times New Roman" w:eastAsia="Times New Roman" w:hAnsi="Times New Roman"/>
      <w:szCs w:val="20"/>
    </w:rPr>
  </w:style>
  <w:style w:type="character" w:customStyle="1" w:styleId="FooterChar">
    <w:name w:val="Footer Char"/>
    <w:basedOn w:val="DefaultParagraphFont"/>
    <w:link w:val="Footer"/>
    <w:rsid w:val="005735A7"/>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5735A7"/>
    <w:rPr>
      <w:rFonts w:ascii="Arial" w:eastAsia="Arial" w:hAnsi="Arial" w:cs="Arial"/>
      <w:i/>
      <w:color w:val="000000"/>
      <w:u w:val="single"/>
    </w:rPr>
  </w:style>
  <w:style w:type="paragraph" w:customStyle="1" w:styleId="Bullet4">
    <w:name w:val="Bullet4"/>
    <w:basedOn w:val="Normal"/>
    <w:rsid w:val="005735A7"/>
    <w:pPr>
      <w:numPr>
        <w:numId w:val="8"/>
      </w:numPr>
      <w:spacing w:after="240" w:line="240" w:lineRule="auto"/>
      <w:jc w:val="both"/>
    </w:pPr>
    <w:rPr>
      <w:rFonts w:ascii="Times New Roman" w:eastAsia="Times New Roman" w:hAnsi="Times New Roman"/>
      <w:szCs w:val="20"/>
    </w:rPr>
  </w:style>
  <w:style w:type="paragraph" w:customStyle="1" w:styleId="Paragraph">
    <w:name w:val="Paragraph"/>
    <w:basedOn w:val="Normal"/>
    <w:link w:val="ParagraphChar"/>
    <w:qFormat/>
    <w:rsid w:val="005735A7"/>
    <w:pPr>
      <w:spacing w:after="120" w:line="300" w:lineRule="atLeast"/>
      <w:jc w:val="both"/>
    </w:pPr>
    <w:rPr>
      <w:rFonts w:eastAsia="Arial Unicode MS"/>
      <w:szCs w:val="20"/>
    </w:rPr>
  </w:style>
  <w:style w:type="paragraph" w:customStyle="1" w:styleId="IgnoredTemplateText">
    <w:name w:val="Ignored Template Text"/>
    <w:link w:val="IgnoredTemplateTextChar"/>
    <w:rsid w:val="005735A7"/>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5735A7"/>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5735A7"/>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5735A7"/>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5735A7"/>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5735A7"/>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5735A7"/>
    <w:pPr>
      <w:tabs>
        <w:tab w:val="center" w:pos="4513"/>
        <w:tab w:val="right" w:pos="9026"/>
      </w:tabs>
      <w:spacing w:line="240" w:lineRule="auto"/>
    </w:pPr>
  </w:style>
  <w:style w:type="character" w:customStyle="1" w:styleId="HeaderChar">
    <w:name w:val="Header Char"/>
    <w:basedOn w:val="DefaultParagraphFont"/>
    <w:link w:val="Header"/>
    <w:uiPriority w:val="99"/>
    <w:rsid w:val="005735A7"/>
    <w:rPr>
      <w:rFonts w:ascii="Arial" w:eastAsia="Arial" w:hAnsi="Arial" w:cs="Arial"/>
      <w:color w:val="000000"/>
    </w:rPr>
  </w:style>
  <w:style w:type="character" w:styleId="PlaceholderText">
    <w:name w:val="Placeholder Text"/>
    <w:basedOn w:val="DefaultParagraphFont"/>
    <w:uiPriority w:val="99"/>
    <w:rsid w:val="005735A7"/>
    <w:rPr>
      <w:rFonts w:ascii="Arial" w:eastAsia="Arial" w:hAnsi="Arial" w:cs="Arial"/>
      <w:color w:val="000000"/>
    </w:rPr>
  </w:style>
  <w:style w:type="paragraph" w:styleId="BalloonText">
    <w:name w:val="Balloon Text"/>
    <w:basedOn w:val="Normal"/>
    <w:link w:val="BalloonTextChar"/>
    <w:uiPriority w:val="99"/>
    <w:semiHidden/>
    <w:unhideWhenUsed/>
    <w:rsid w:val="005735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5A7"/>
    <w:rPr>
      <w:rFonts w:ascii="Tahoma" w:eastAsia="Arial" w:hAnsi="Tahoma" w:cs="Tahoma"/>
      <w:color w:val="000000"/>
      <w:sz w:val="16"/>
      <w:szCs w:val="16"/>
    </w:rPr>
  </w:style>
  <w:style w:type="paragraph" w:customStyle="1" w:styleId="PinPointRef">
    <w:name w:val="PinPoint Ref"/>
    <w:link w:val="PinPointRefChar"/>
    <w:qFormat/>
    <w:rsid w:val="005735A7"/>
    <w:rPr>
      <w:rFonts w:ascii="Times New Roman" w:hAnsi="Times New Roman"/>
      <w:b/>
      <w:vanish/>
      <w:color w:val="000000"/>
      <w:sz w:val="18"/>
      <w:lang w:eastAsia="en-US"/>
    </w:rPr>
  </w:style>
  <w:style w:type="character" w:customStyle="1" w:styleId="PinPointRefChar">
    <w:name w:val="PinPoint Ref Char"/>
    <w:basedOn w:val="DefaultParagraphFont"/>
    <w:link w:val="PinPointRef"/>
    <w:rsid w:val="005735A7"/>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5735A7"/>
    <w:pPr>
      <w:spacing w:before="120"/>
      <w:ind w:left="720"/>
    </w:pPr>
    <w:rPr>
      <w:rFonts w:ascii="Arial" w:eastAsia="Arial Unicode MS" w:hAnsi="Arial" w:cs="Arial"/>
      <w:color w:val="000000"/>
      <w:sz w:val="18"/>
      <w:lang w:eastAsia="en-US"/>
    </w:rPr>
  </w:style>
  <w:style w:type="character" w:customStyle="1" w:styleId="BlockQuoteChar">
    <w:name w:val="Block Quote Char"/>
    <w:basedOn w:val="DefaultParagraphFont"/>
    <w:link w:val="BlockQuote"/>
    <w:rsid w:val="005735A7"/>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5735A7"/>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5735A7"/>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basedOn w:val="DefaultParagraphFont"/>
    <w:link w:val="ListParagraphLevel1"/>
    <w:rsid w:val="005735A7"/>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5735A7"/>
    <w:rPr>
      <w:rFonts w:ascii="Arial" w:eastAsia="Arial Unicode MS" w:hAnsi="Arial" w:cs="Arial"/>
      <w:color w:val="000000"/>
      <w:szCs w:val="24"/>
      <w:lang w:val="en-US" w:eastAsia="en-US"/>
    </w:rPr>
  </w:style>
  <w:style w:type="paragraph" w:customStyle="1" w:styleId="IntroDefault">
    <w:name w:val="Intro Default"/>
    <w:basedOn w:val="Paragraph"/>
    <w:qFormat/>
    <w:rsid w:val="005735A7"/>
  </w:style>
  <w:style w:type="paragraph" w:customStyle="1" w:styleId="IntroCustom">
    <w:name w:val="Intro Custom"/>
    <w:basedOn w:val="Paragraph"/>
    <w:qFormat/>
    <w:rsid w:val="005735A7"/>
  </w:style>
  <w:style w:type="paragraph" w:customStyle="1" w:styleId="PrecedentType">
    <w:name w:val="Precedent Type"/>
    <w:basedOn w:val="IgnoredSpacing"/>
    <w:qFormat/>
    <w:rsid w:val="005735A7"/>
  </w:style>
  <w:style w:type="paragraph" w:customStyle="1" w:styleId="Operative">
    <w:name w:val="Operative"/>
    <w:basedOn w:val="IgnoredSpacing"/>
    <w:qFormat/>
    <w:rsid w:val="005735A7"/>
    <w:rPr>
      <w:vanish/>
    </w:rPr>
  </w:style>
  <w:style w:type="paragraph" w:customStyle="1" w:styleId="SpeedreadBulletList1">
    <w:name w:val="Speedread Bullet List 1"/>
    <w:basedOn w:val="BulletList1"/>
    <w:qFormat/>
    <w:rsid w:val="005735A7"/>
  </w:style>
  <w:style w:type="paragraph" w:customStyle="1" w:styleId="PartiesTitle">
    <w:name w:val="Parties Title"/>
    <w:basedOn w:val="Paragraph"/>
    <w:qFormat/>
    <w:rsid w:val="005735A7"/>
    <w:rPr>
      <w:b/>
    </w:rPr>
  </w:style>
  <w:style w:type="table" w:styleId="TableGrid">
    <w:name w:val="Table Grid"/>
    <w:basedOn w:val="TableNormal"/>
    <w:rsid w:val="00573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5735A7"/>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5735A7"/>
    <w:pPr>
      <w:shd w:val="clear" w:color="auto" w:fill="D9D9D9"/>
      <w:spacing w:after="120" w:line="240" w:lineRule="auto"/>
      <w:ind w:left="714" w:hanging="357"/>
    </w:pPr>
  </w:style>
  <w:style w:type="character" w:customStyle="1" w:styleId="QuestionParagraphChar">
    <w:name w:val="Question Paragraph Char"/>
    <w:basedOn w:val="DefaultParagraphFont"/>
    <w:link w:val="QuestionParagraph"/>
    <w:rsid w:val="005735A7"/>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rsid w:val="005735A7"/>
    <w:pPr>
      <w:shd w:val="clear" w:color="auto" w:fill="D9D9D9"/>
      <w:ind w:left="1077"/>
    </w:pPr>
  </w:style>
  <w:style w:type="paragraph" w:customStyle="1" w:styleId="TestimoniumContract">
    <w:name w:val="Testimonium Contract"/>
    <w:basedOn w:val="Paragraph"/>
    <w:qFormat/>
    <w:rsid w:val="005735A7"/>
  </w:style>
  <w:style w:type="paragraph" w:customStyle="1" w:styleId="TestimoniumDeed">
    <w:name w:val="Testimonium Deed"/>
    <w:basedOn w:val="Paragraph"/>
    <w:qFormat/>
    <w:rsid w:val="005735A7"/>
  </w:style>
  <w:style w:type="paragraph" w:customStyle="1" w:styleId="Titlesubclause2">
    <w:name w:val="Title subclause2"/>
    <w:basedOn w:val="Untitledsubclause2"/>
    <w:qFormat/>
    <w:rsid w:val="005735A7"/>
    <w:rPr>
      <w:b/>
    </w:rPr>
  </w:style>
  <w:style w:type="paragraph" w:customStyle="1" w:styleId="Titlesubclause3">
    <w:name w:val="Title subclause3"/>
    <w:basedOn w:val="Untitledsubclause3"/>
    <w:qFormat/>
    <w:rsid w:val="005735A7"/>
    <w:rPr>
      <w:b/>
    </w:rPr>
  </w:style>
  <w:style w:type="paragraph" w:customStyle="1" w:styleId="Titlesubclause4">
    <w:name w:val="Title subclause4"/>
    <w:basedOn w:val="Untitledsubclause4"/>
    <w:qFormat/>
    <w:rsid w:val="005735A7"/>
    <w:rPr>
      <w:b/>
    </w:rPr>
  </w:style>
  <w:style w:type="paragraph" w:customStyle="1" w:styleId="UntitledClause">
    <w:name w:val="Untitled Clause"/>
    <w:basedOn w:val="TitleClause"/>
    <w:qFormat/>
    <w:rsid w:val="005735A7"/>
    <w:pPr>
      <w:spacing w:before="120"/>
    </w:pPr>
    <w:rPr>
      <w:b w:val="0"/>
    </w:rPr>
  </w:style>
  <w:style w:type="paragraph" w:customStyle="1" w:styleId="Titlesubclause1">
    <w:name w:val="Title subclause1"/>
    <w:basedOn w:val="Untitledsubclause1"/>
    <w:qFormat/>
    <w:rsid w:val="005735A7"/>
    <w:pPr>
      <w:spacing w:before="120"/>
    </w:pPr>
    <w:rPr>
      <w:b/>
    </w:rPr>
  </w:style>
  <w:style w:type="paragraph" w:customStyle="1" w:styleId="Schedule">
    <w:name w:val="Schedule"/>
    <w:qFormat/>
    <w:rsid w:val="00FA1E46"/>
    <w:pPr>
      <w:tabs>
        <w:tab w:val="num" w:pos="0"/>
      </w:tabs>
      <w:spacing w:before="240" w:after="240" w:line="240" w:lineRule="atLeast"/>
      <w:ind w:left="360" w:hanging="360"/>
      <w:jc w:val="center"/>
    </w:pPr>
    <w:rPr>
      <w:rFonts w:ascii="Lato Light" w:eastAsia="Arial Unicode MS" w:hAnsi="Lato Light" w:cs="Arial"/>
      <w:b/>
      <w:color w:val="000000"/>
      <w:sz w:val="24"/>
      <w:szCs w:val="22"/>
      <w:lang w:val="en-US" w:eastAsia="en-US"/>
    </w:rPr>
  </w:style>
  <w:style w:type="character" w:customStyle="1" w:styleId="Heading1Char">
    <w:name w:val="Heading 1 Char"/>
    <w:basedOn w:val="DefaultParagraphFont"/>
    <w:link w:val="Heading1"/>
    <w:uiPriority w:val="9"/>
    <w:rsid w:val="005735A7"/>
    <w:rPr>
      <w:rFonts w:ascii="Cambria" w:hAnsi="Cambria" w:cstheme="minorBidi"/>
      <w:b/>
      <w:bCs/>
      <w:sz w:val="28"/>
      <w:szCs w:val="28"/>
      <w:lang w:eastAsia="en-US"/>
    </w:rPr>
  </w:style>
  <w:style w:type="character" w:customStyle="1" w:styleId="Heading2Char">
    <w:name w:val="Heading 2 Char"/>
    <w:basedOn w:val="DefaultParagraphFont"/>
    <w:link w:val="Heading2"/>
    <w:uiPriority w:val="9"/>
    <w:rsid w:val="005735A7"/>
    <w:rPr>
      <w:rFonts w:ascii="Cambria" w:hAnsi="Cambria" w:cstheme="minorBidi"/>
      <w:b/>
      <w:bCs/>
      <w:sz w:val="26"/>
      <w:szCs w:val="26"/>
      <w:lang w:eastAsia="en-US"/>
    </w:rPr>
  </w:style>
  <w:style w:type="character" w:customStyle="1" w:styleId="Heading3Char">
    <w:name w:val="Heading 3 Char"/>
    <w:basedOn w:val="DefaultParagraphFont"/>
    <w:link w:val="Heading3"/>
    <w:uiPriority w:val="9"/>
    <w:rsid w:val="005735A7"/>
    <w:rPr>
      <w:rFonts w:ascii="Cambria" w:hAnsi="Cambria" w:cstheme="minorBidi"/>
      <w:b/>
      <w:bCs/>
      <w:sz w:val="22"/>
      <w:szCs w:val="22"/>
      <w:lang w:eastAsia="en-US"/>
    </w:rPr>
  </w:style>
  <w:style w:type="character" w:customStyle="1" w:styleId="Heading4Char">
    <w:name w:val="Heading 4 Char"/>
    <w:basedOn w:val="DefaultParagraphFont"/>
    <w:link w:val="Heading4"/>
    <w:uiPriority w:val="9"/>
    <w:rsid w:val="005735A7"/>
    <w:rPr>
      <w:rFonts w:ascii="Cambria" w:hAnsi="Cambria" w:cstheme="minorBidi"/>
      <w:b/>
      <w:bCs/>
      <w:i/>
      <w:iCs/>
      <w:sz w:val="22"/>
      <w:szCs w:val="22"/>
      <w:lang w:eastAsia="en-US"/>
    </w:rPr>
  </w:style>
  <w:style w:type="character" w:customStyle="1" w:styleId="Heading5Char">
    <w:name w:val="Heading 5 Char"/>
    <w:basedOn w:val="DefaultParagraphFont"/>
    <w:link w:val="Heading5"/>
    <w:uiPriority w:val="9"/>
    <w:rsid w:val="005735A7"/>
    <w:rPr>
      <w:rFonts w:ascii="Cambria" w:hAnsi="Cambria" w:cstheme="minorBidi"/>
      <w:sz w:val="22"/>
      <w:szCs w:val="22"/>
      <w:lang w:eastAsia="en-US"/>
    </w:rPr>
  </w:style>
  <w:style w:type="character" w:customStyle="1" w:styleId="Heading6Char">
    <w:name w:val="Heading 6 Char"/>
    <w:basedOn w:val="DefaultParagraphFont"/>
    <w:link w:val="Heading6"/>
    <w:uiPriority w:val="9"/>
    <w:rsid w:val="005735A7"/>
    <w:rPr>
      <w:rFonts w:ascii="Cambria" w:hAnsi="Cambria" w:cstheme="minorBidi"/>
      <w:i/>
      <w:iCs/>
      <w:sz w:val="22"/>
      <w:szCs w:val="22"/>
      <w:lang w:eastAsia="en-US"/>
    </w:rPr>
  </w:style>
  <w:style w:type="character" w:customStyle="1" w:styleId="Heading7Char">
    <w:name w:val="Heading 7 Char"/>
    <w:basedOn w:val="DefaultParagraphFont"/>
    <w:link w:val="Heading7"/>
    <w:uiPriority w:val="9"/>
    <w:rsid w:val="005735A7"/>
    <w:rPr>
      <w:rFonts w:ascii="Cambria" w:hAnsi="Cambria" w:cstheme="minorBidi"/>
      <w:i/>
      <w:iCs/>
      <w:sz w:val="22"/>
      <w:szCs w:val="22"/>
      <w:lang w:eastAsia="en-US"/>
    </w:rPr>
  </w:style>
  <w:style w:type="character" w:customStyle="1" w:styleId="Heading8Char">
    <w:name w:val="Heading 8 Char"/>
    <w:basedOn w:val="DefaultParagraphFont"/>
    <w:link w:val="Heading8"/>
    <w:uiPriority w:val="9"/>
    <w:rsid w:val="005735A7"/>
    <w:rPr>
      <w:rFonts w:ascii="Cambria" w:hAnsi="Cambria" w:cstheme="minorBidi"/>
      <w:lang w:eastAsia="en-US"/>
    </w:rPr>
  </w:style>
  <w:style w:type="character" w:customStyle="1" w:styleId="Heading9Char">
    <w:name w:val="Heading 9 Char"/>
    <w:basedOn w:val="DefaultParagraphFont"/>
    <w:link w:val="Heading9"/>
    <w:uiPriority w:val="9"/>
    <w:rsid w:val="005735A7"/>
    <w:rPr>
      <w:rFonts w:ascii="Cambria" w:hAnsi="Cambria" w:cstheme="minorBidi"/>
      <w:i/>
      <w:iCs/>
      <w:lang w:eastAsia="en-US"/>
    </w:rPr>
  </w:style>
  <w:style w:type="paragraph" w:customStyle="1" w:styleId="ScheduleTitle">
    <w:name w:val="Schedule Title"/>
    <w:basedOn w:val="Paragraph"/>
    <w:qFormat/>
    <w:rsid w:val="005735A7"/>
    <w:rPr>
      <w:b/>
    </w:rPr>
  </w:style>
  <w:style w:type="paragraph" w:customStyle="1" w:styleId="Part">
    <w:name w:val="Part"/>
    <w:basedOn w:val="Paragraph"/>
    <w:qFormat/>
    <w:rsid w:val="005735A7"/>
    <w:pPr>
      <w:numPr>
        <w:ilvl w:val="1"/>
        <w:numId w:val="22"/>
      </w:numPr>
      <w:spacing w:before="240" w:after="240"/>
      <w:jc w:val="left"/>
    </w:pPr>
    <w:rPr>
      <w:b/>
    </w:rPr>
  </w:style>
  <w:style w:type="paragraph" w:customStyle="1" w:styleId="AnnexTitle">
    <w:name w:val="Annex Title"/>
    <w:basedOn w:val="Paragraph"/>
    <w:next w:val="Paragraph"/>
    <w:qFormat/>
    <w:rsid w:val="005735A7"/>
    <w:pPr>
      <w:spacing w:before="240" w:after="240"/>
    </w:pPr>
    <w:rPr>
      <w:b/>
    </w:rPr>
  </w:style>
  <w:style w:type="paragraph" w:customStyle="1" w:styleId="PartTitle">
    <w:name w:val="Part Title"/>
    <w:basedOn w:val="Paragraph"/>
    <w:qFormat/>
    <w:rsid w:val="005735A7"/>
    <w:rPr>
      <w:b/>
    </w:rPr>
  </w:style>
  <w:style w:type="paragraph" w:customStyle="1" w:styleId="Testimonium">
    <w:name w:val="Testimonium"/>
    <w:basedOn w:val="Paragraph"/>
    <w:qFormat/>
    <w:rsid w:val="005735A7"/>
  </w:style>
  <w:style w:type="character" w:customStyle="1" w:styleId="apple-converted-space">
    <w:name w:val="apple-converted-space"/>
    <w:basedOn w:val="DefaultParagraphFont"/>
    <w:rsid w:val="005735A7"/>
    <w:rPr>
      <w:rFonts w:ascii="Arial" w:eastAsia="Arial" w:hAnsi="Arial" w:cs="Arial"/>
      <w:color w:val="000000"/>
    </w:rPr>
  </w:style>
  <w:style w:type="character" w:styleId="Emphasis">
    <w:name w:val="Emphasis"/>
    <w:basedOn w:val="DefaultParagraphFont"/>
    <w:uiPriority w:val="20"/>
    <w:qFormat/>
    <w:rsid w:val="005735A7"/>
    <w:rPr>
      <w:rFonts w:ascii="Arial" w:eastAsia="Arial" w:hAnsi="Arial" w:cs="Arial"/>
      <w:i/>
      <w:iCs/>
      <w:color w:val="000000"/>
    </w:rPr>
  </w:style>
  <w:style w:type="paragraph" w:customStyle="1" w:styleId="NoNumTitle-Clause">
    <w:name w:val="No Num Title - Clause"/>
    <w:basedOn w:val="TitleClause"/>
    <w:qFormat/>
    <w:rsid w:val="005735A7"/>
    <w:pPr>
      <w:numPr>
        <w:numId w:val="0"/>
      </w:numPr>
      <w:ind w:left="720"/>
    </w:pPr>
  </w:style>
  <w:style w:type="paragraph" w:customStyle="1" w:styleId="NoNumTitlesubclause1">
    <w:name w:val="No Num Title subclause1"/>
    <w:basedOn w:val="Titlesubclause1"/>
    <w:qFormat/>
    <w:rsid w:val="005735A7"/>
    <w:pPr>
      <w:numPr>
        <w:ilvl w:val="0"/>
        <w:numId w:val="0"/>
      </w:numPr>
      <w:ind w:left="720"/>
    </w:pPr>
  </w:style>
  <w:style w:type="paragraph" w:customStyle="1" w:styleId="AddressLine">
    <w:name w:val="Address Line"/>
    <w:basedOn w:val="Paragraph"/>
    <w:qFormat/>
    <w:rsid w:val="005735A7"/>
  </w:style>
  <w:style w:type="paragraph" w:styleId="Date">
    <w:name w:val="Date"/>
    <w:basedOn w:val="Paragraph"/>
    <w:qFormat/>
    <w:rsid w:val="005735A7"/>
  </w:style>
  <w:style w:type="paragraph" w:customStyle="1" w:styleId="SalutationPara">
    <w:name w:val="Salutation Para"/>
    <w:basedOn w:val="Paragraph"/>
    <w:next w:val="Paragraph"/>
    <w:qFormat/>
    <w:rsid w:val="005735A7"/>
    <w:pPr>
      <w:spacing w:before="240"/>
    </w:pPr>
  </w:style>
  <w:style w:type="character" w:styleId="FollowedHyperlink">
    <w:name w:val="FollowedHyperlink"/>
    <w:basedOn w:val="DefaultParagraphFont"/>
    <w:uiPriority w:val="99"/>
    <w:semiHidden/>
    <w:unhideWhenUsed/>
    <w:rsid w:val="005735A7"/>
    <w:rPr>
      <w:rFonts w:ascii="Arial" w:eastAsia="Arial" w:hAnsi="Arial" w:cs="Arial"/>
      <w:i/>
      <w:color w:val="000000"/>
      <w:u w:val="single"/>
    </w:rPr>
  </w:style>
  <w:style w:type="character" w:customStyle="1" w:styleId="DefTerm">
    <w:name w:val="DefTerm"/>
    <w:basedOn w:val="DefaultParagraphFont"/>
    <w:uiPriority w:val="1"/>
    <w:qFormat/>
    <w:rsid w:val="005735A7"/>
    <w:rPr>
      <w:rFonts w:ascii="Arial" w:eastAsia="Arial" w:hAnsi="Arial" w:cs="Arial"/>
      <w:b/>
      <w:color w:val="000000"/>
    </w:rPr>
  </w:style>
  <w:style w:type="table" w:customStyle="1" w:styleId="ShadedTable">
    <w:name w:val="Shaded Table"/>
    <w:basedOn w:val="TableNormal"/>
    <w:uiPriority w:val="99"/>
    <w:rsid w:val="005735A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5735A7"/>
    <w:rPr>
      <w:i/>
    </w:rPr>
  </w:style>
  <w:style w:type="paragraph" w:customStyle="1" w:styleId="LetterTitle">
    <w:name w:val="Letter Title"/>
    <w:basedOn w:val="Paragraph"/>
    <w:qFormat/>
    <w:rsid w:val="005735A7"/>
    <w:rPr>
      <w:b/>
    </w:rPr>
  </w:style>
  <w:style w:type="paragraph" w:customStyle="1" w:styleId="LongQuestionPara">
    <w:name w:val="Long Question Para"/>
    <w:basedOn w:val="Paragraph"/>
    <w:link w:val="LongQuestionParaChar"/>
    <w:rsid w:val="005735A7"/>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5735A7"/>
    <w:rPr>
      <w:rFonts w:eastAsia="Arial Unicode MS" w:cstheme="minorBidi"/>
      <w:lang w:val="en-US" w:eastAsia="en-US"/>
    </w:rPr>
  </w:style>
  <w:style w:type="paragraph" w:customStyle="1" w:styleId="ShortQuestionPara">
    <w:name w:val="Short Question Para"/>
    <w:basedOn w:val="Paragraph"/>
    <w:link w:val="ShortQuestionParaChar"/>
    <w:rsid w:val="005735A7"/>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5735A7"/>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basedOn w:val="DefaultParagraphFont"/>
    <w:link w:val="Paragraph"/>
    <w:rsid w:val="005735A7"/>
    <w:rPr>
      <w:rFonts w:ascii="Arial" w:eastAsia="Arial Unicode MS" w:hAnsi="Arial" w:cs="Arial"/>
      <w:color w:val="000000"/>
      <w:szCs w:val="20"/>
      <w:lang w:eastAsia="en-US"/>
    </w:rPr>
  </w:style>
  <w:style w:type="paragraph" w:customStyle="1" w:styleId="811D3A974D454A258B71E3C4DE24C4F210">
    <w:name w:val="811D3A974D454A258B71E3C4DE24C4F210"/>
    <w:rsid w:val="00BD4BA4"/>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5735A7"/>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5735A7"/>
    <w:pPr>
      <w:jc w:val="center"/>
    </w:pPr>
    <w:rPr>
      <w:sz w:val="28"/>
    </w:rPr>
  </w:style>
  <w:style w:type="paragraph" w:customStyle="1" w:styleId="Title-Clause">
    <w:name w:val="Title - Clause"/>
    <w:aliases w:val="BIWS Heading 1"/>
    <w:basedOn w:val="Normal"/>
    <w:rsid w:val="005735A7"/>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5735A7"/>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5735A7"/>
    <w:pPr>
      <w:spacing w:before="120"/>
    </w:pPr>
    <w:rPr>
      <w:b w:val="0"/>
    </w:rPr>
  </w:style>
  <w:style w:type="paragraph" w:customStyle="1" w:styleId="CoversheetParagraph">
    <w:name w:val="Coversheet Paragraph"/>
    <w:basedOn w:val="Normal"/>
    <w:autoRedefine/>
    <w:rsid w:val="005735A7"/>
    <w:pPr>
      <w:spacing w:line="300" w:lineRule="atLeast"/>
      <w:jc w:val="center"/>
    </w:pPr>
    <w:rPr>
      <w:rFonts w:ascii="Times New Roman" w:eastAsia="Times New Roman" w:hAnsi="Times New Roman"/>
      <w:szCs w:val="20"/>
    </w:rPr>
  </w:style>
  <w:style w:type="paragraph" w:customStyle="1" w:styleId="CoversheetIntro">
    <w:name w:val="Coversheet Intro"/>
    <w:basedOn w:val="CoversheetTitle"/>
    <w:qFormat/>
    <w:rsid w:val="005735A7"/>
    <w:rPr>
      <w:smallCaps w:val="0"/>
      <w:sz w:val="22"/>
    </w:rPr>
  </w:style>
  <w:style w:type="paragraph" w:customStyle="1" w:styleId="CoversheetStaticText">
    <w:name w:val="Coversheet Static Text"/>
    <w:basedOn w:val="CoversheetIntro"/>
    <w:qFormat/>
    <w:rsid w:val="005735A7"/>
    <w:rPr>
      <w:b w:val="0"/>
    </w:rPr>
  </w:style>
  <w:style w:type="paragraph" w:customStyle="1" w:styleId="CoversheetParty">
    <w:name w:val="Coversheet Party"/>
    <w:basedOn w:val="CoversheetIntro"/>
    <w:qFormat/>
    <w:rsid w:val="005735A7"/>
  </w:style>
  <w:style w:type="paragraph" w:customStyle="1" w:styleId="NoNumUntitledClause">
    <w:name w:val="No Num Untitled Clause"/>
    <w:basedOn w:val="UntitledClause"/>
    <w:qFormat/>
    <w:rsid w:val="005735A7"/>
    <w:pPr>
      <w:numPr>
        <w:numId w:val="0"/>
      </w:numPr>
      <w:ind w:left="720"/>
    </w:pPr>
  </w:style>
  <w:style w:type="paragraph" w:customStyle="1" w:styleId="BackgroundSubclause1">
    <w:name w:val="Background Subclause1"/>
    <w:basedOn w:val="Background"/>
    <w:qFormat/>
    <w:rsid w:val="005735A7"/>
    <w:pPr>
      <w:numPr>
        <w:ilvl w:val="1"/>
      </w:numPr>
    </w:pPr>
  </w:style>
  <w:style w:type="paragraph" w:customStyle="1" w:styleId="BackgroundSubclause2">
    <w:name w:val="Background Subclause2"/>
    <w:basedOn w:val="Background"/>
    <w:qFormat/>
    <w:rsid w:val="005735A7"/>
    <w:pPr>
      <w:numPr>
        <w:ilvl w:val="3"/>
      </w:numPr>
    </w:pPr>
  </w:style>
  <w:style w:type="paragraph" w:customStyle="1" w:styleId="HeadingLevel2CQA">
    <w:name w:val="Heading Level 2 CQA"/>
    <w:basedOn w:val="HeadingLevel2"/>
    <w:qFormat/>
    <w:rsid w:val="005735A7"/>
  </w:style>
  <w:style w:type="paragraph" w:customStyle="1" w:styleId="ClauseBullet1">
    <w:name w:val="Clause Bullet 1"/>
    <w:basedOn w:val="ParaClause"/>
    <w:qFormat/>
    <w:rsid w:val="005735A7"/>
    <w:pPr>
      <w:numPr>
        <w:numId w:val="13"/>
      </w:numPr>
      <w:ind w:left="1077" w:hanging="357"/>
      <w:outlineLvl w:val="0"/>
    </w:pPr>
  </w:style>
  <w:style w:type="paragraph" w:customStyle="1" w:styleId="ClauseBullet2">
    <w:name w:val="Clause Bullet 2"/>
    <w:basedOn w:val="ParaClause"/>
    <w:qFormat/>
    <w:rsid w:val="005735A7"/>
    <w:pPr>
      <w:numPr>
        <w:numId w:val="14"/>
      </w:numPr>
      <w:ind w:left="1434" w:hanging="357"/>
      <w:outlineLvl w:val="1"/>
    </w:pPr>
  </w:style>
  <w:style w:type="paragraph" w:customStyle="1" w:styleId="subclause1Bullet1">
    <w:name w:val="subclause 1 Bullet 1"/>
    <w:basedOn w:val="Parasubclause1"/>
    <w:qFormat/>
    <w:rsid w:val="005735A7"/>
    <w:pPr>
      <w:numPr>
        <w:numId w:val="15"/>
      </w:numPr>
    </w:pPr>
  </w:style>
  <w:style w:type="paragraph" w:customStyle="1" w:styleId="subclause2Bullet1">
    <w:name w:val="subclause 2 Bullet 1"/>
    <w:basedOn w:val="Parasubclause2"/>
    <w:qFormat/>
    <w:rsid w:val="005735A7"/>
    <w:pPr>
      <w:numPr>
        <w:numId w:val="17"/>
      </w:numPr>
      <w:ind w:left="1434" w:hanging="357"/>
    </w:pPr>
  </w:style>
  <w:style w:type="paragraph" w:customStyle="1" w:styleId="subclause3Bullet1">
    <w:name w:val="subclause 3 Bullet 1"/>
    <w:basedOn w:val="Parasubclause3"/>
    <w:qFormat/>
    <w:rsid w:val="005735A7"/>
    <w:pPr>
      <w:numPr>
        <w:numId w:val="16"/>
      </w:numPr>
      <w:ind w:left="2273" w:hanging="357"/>
    </w:pPr>
  </w:style>
  <w:style w:type="paragraph" w:customStyle="1" w:styleId="subclause1Bullet2">
    <w:name w:val="subclause 1 Bullet 2"/>
    <w:basedOn w:val="Parasubclause1"/>
    <w:qFormat/>
    <w:rsid w:val="005735A7"/>
    <w:pPr>
      <w:numPr>
        <w:numId w:val="18"/>
      </w:numPr>
      <w:ind w:left="1434" w:hanging="357"/>
    </w:pPr>
  </w:style>
  <w:style w:type="paragraph" w:customStyle="1" w:styleId="subclause2Bullet2">
    <w:name w:val="subclause 2 Bullet 2"/>
    <w:basedOn w:val="Parasubclause2"/>
    <w:qFormat/>
    <w:rsid w:val="005735A7"/>
    <w:pPr>
      <w:numPr>
        <w:numId w:val="19"/>
      </w:numPr>
      <w:ind w:left="2273" w:hanging="357"/>
    </w:pPr>
  </w:style>
  <w:style w:type="paragraph" w:customStyle="1" w:styleId="subclause3Bullet2">
    <w:name w:val="subclause 3 Bullet 2"/>
    <w:basedOn w:val="Parasubclause3"/>
    <w:qFormat/>
    <w:rsid w:val="005735A7"/>
    <w:pPr>
      <w:numPr>
        <w:numId w:val="20"/>
      </w:numPr>
      <w:ind w:left="2982" w:hanging="357"/>
    </w:pPr>
  </w:style>
  <w:style w:type="paragraph" w:customStyle="1" w:styleId="DefinedTermBullet">
    <w:name w:val="Defined Term Bullet"/>
    <w:basedOn w:val="DefinedTermPara"/>
    <w:qFormat/>
    <w:rsid w:val="005735A7"/>
    <w:pPr>
      <w:numPr>
        <w:numId w:val="21"/>
      </w:numPr>
    </w:pPr>
  </w:style>
  <w:style w:type="paragraph" w:customStyle="1" w:styleId="DefinedTermNumber">
    <w:name w:val="Defined Term Number"/>
    <w:basedOn w:val="DefinedTermPara"/>
    <w:qFormat/>
    <w:rsid w:val="005735A7"/>
    <w:pPr>
      <w:numPr>
        <w:ilvl w:val="1"/>
      </w:numPr>
    </w:pPr>
  </w:style>
  <w:style w:type="paragraph" w:customStyle="1" w:styleId="AdditionalTitle">
    <w:name w:val="Additional Title"/>
    <w:basedOn w:val="Paragraph"/>
    <w:qFormat/>
    <w:rsid w:val="005735A7"/>
    <w:pPr>
      <w:jc w:val="left"/>
    </w:pPr>
    <w:rPr>
      <w:b/>
      <w:sz w:val="24"/>
    </w:rPr>
  </w:style>
  <w:style w:type="character" w:customStyle="1" w:styleId="error">
    <w:name w:val="error"/>
    <w:basedOn w:val="DefaultParagraphFont"/>
    <w:rsid w:val="005735A7"/>
    <w:rPr>
      <w:rFonts w:ascii="Arial" w:eastAsia="Arial" w:hAnsi="Arial" w:cs="Arial"/>
      <w:color w:val="000000"/>
    </w:rPr>
  </w:style>
  <w:style w:type="paragraph" w:customStyle="1" w:styleId="NoNumUntitledsubclause1">
    <w:name w:val="No Num Untitled subclause 1"/>
    <w:basedOn w:val="Untitledsubclause1"/>
    <w:qFormat/>
    <w:rsid w:val="005735A7"/>
    <w:pPr>
      <w:numPr>
        <w:ilvl w:val="0"/>
        <w:numId w:val="0"/>
      </w:numPr>
      <w:ind w:left="720"/>
    </w:pPr>
  </w:style>
  <w:style w:type="paragraph" w:customStyle="1" w:styleId="BackgroundParaClause">
    <w:name w:val="Background Para Clause"/>
    <w:basedOn w:val="Background"/>
    <w:qFormat/>
    <w:rsid w:val="005735A7"/>
    <w:pPr>
      <w:numPr>
        <w:numId w:val="0"/>
      </w:numPr>
    </w:pPr>
  </w:style>
  <w:style w:type="paragraph" w:customStyle="1" w:styleId="BackgroundParaSubclause1">
    <w:name w:val="Background Para Subclause1"/>
    <w:basedOn w:val="BackgroundSubclause1"/>
    <w:qFormat/>
    <w:rsid w:val="005735A7"/>
    <w:pPr>
      <w:numPr>
        <w:ilvl w:val="0"/>
        <w:numId w:val="0"/>
      </w:numPr>
      <w:ind w:left="994"/>
    </w:pPr>
    <w:rPr>
      <w:lang w:val="en-US"/>
    </w:rPr>
  </w:style>
  <w:style w:type="paragraph" w:customStyle="1" w:styleId="BackgroundParaSubclause2">
    <w:name w:val="Background Para Subclause2"/>
    <w:basedOn w:val="BackgroundSubclause2"/>
    <w:qFormat/>
    <w:rsid w:val="005735A7"/>
    <w:pPr>
      <w:numPr>
        <w:ilvl w:val="0"/>
        <w:numId w:val="0"/>
      </w:numPr>
      <w:ind w:left="1701"/>
    </w:pPr>
    <w:rPr>
      <w:lang w:val="en-US"/>
    </w:rPr>
  </w:style>
  <w:style w:type="paragraph" w:customStyle="1" w:styleId="ClauseBulletPara">
    <w:name w:val="Clause Bullet Para"/>
    <w:basedOn w:val="ClauseBullet1"/>
    <w:qFormat/>
    <w:rsid w:val="005735A7"/>
    <w:pPr>
      <w:numPr>
        <w:numId w:val="0"/>
      </w:numPr>
      <w:ind w:left="1080"/>
    </w:pPr>
    <w:rPr>
      <w:lang w:val="en-US"/>
    </w:rPr>
  </w:style>
  <w:style w:type="paragraph" w:customStyle="1" w:styleId="ClauseBullet2Para">
    <w:name w:val="Clause Bullet 2 Para"/>
    <w:basedOn w:val="ClauseBullet2"/>
    <w:qFormat/>
    <w:rsid w:val="005735A7"/>
    <w:pPr>
      <w:numPr>
        <w:numId w:val="0"/>
      </w:numPr>
      <w:ind w:left="1440"/>
    </w:pPr>
    <w:rPr>
      <w:lang w:val="en-US"/>
    </w:rPr>
  </w:style>
  <w:style w:type="paragraph" w:customStyle="1" w:styleId="ACTJurisdictionCheckList">
    <w:name w:val="ACTJurisdictionCheckList"/>
    <w:basedOn w:val="Normal"/>
    <w:rsid w:val="005735A7"/>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5735A7"/>
  </w:style>
  <w:style w:type="paragraph" w:customStyle="1" w:styleId="ScheduleTitleClause">
    <w:name w:val="Schedule Title Clause"/>
    <w:basedOn w:val="Normal"/>
    <w:rsid w:val="005735A7"/>
    <w:pPr>
      <w:keepNext/>
      <w:numPr>
        <w:ilvl w:val="2"/>
        <w:numId w:val="22"/>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5735A7"/>
    <w:pPr>
      <w:numPr>
        <w:ilvl w:val="3"/>
        <w:numId w:val="22"/>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5735A7"/>
    <w:pPr>
      <w:numPr>
        <w:ilvl w:val="4"/>
        <w:numId w:val="22"/>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5735A7"/>
    <w:pPr>
      <w:numPr>
        <w:ilvl w:val="5"/>
        <w:numId w:val="22"/>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5735A7"/>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5735A7"/>
    <w:pPr>
      <w:shd w:val="clear" w:color="auto" w:fill="D9D9D9"/>
      <w:spacing w:after="120" w:line="240" w:lineRule="auto"/>
      <w:ind w:left="714" w:hanging="357"/>
    </w:pPr>
  </w:style>
  <w:style w:type="paragraph" w:customStyle="1" w:styleId="BulletListPattern2">
    <w:name w:val="Bullet List Pattern 2"/>
    <w:basedOn w:val="BulletList2"/>
    <w:qFormat/>
    <w:rsid w:val="005735A7"/>
    <w:pPr>
      <w:shd w:val="clear" w:color="auto" w:fill="D9D9D9"/>
      <w:ind w:left="1077"/>
    </w:pPr>
  </w:style>
  <w:style w:type="paragraph" w:customStyle="1" w:styleId="ScheduleUntitledClause">
    <w:name w:val="Schedule Untitled Clause"/>
    <w:basedOn w:val="ScheduleTitleClause"/>
    <w:qFormat/>
    <w:rsid w:val="005735A7"/>
    <w:pPr>
      <w:spacing w:before="120"/>
    </w:pPr>
    <w:rPr>
      <w:b w:val="0"/>
    </w:rPr>
  </w:style>
  <w:style w:type="paragraph" w:customStyle="1" w:styleId="EmptyClausePara">
    <w:name w:val="Empty Clause Para"/>
    <w:basedOn w:val="IgnoredSpacing"/>
    <w:qFormat/>
    <w:rsid w:val="005735A7"/>
  </w:style>
  <w:style w:type="paragraph" w:styleId="ListParagraph">
    <w:name w:val="List Paragraph"/>
    <w:basedOn w:val="Normal"/>
    <w:uiPriority w:val="34"/>
    <w:qFormat/>
    <w:rsid w:val="005735A7"/>
    <w:pPr>
      <w:ind w:left="720"/>
      <w:contextualSpacing/>
    </w:pPr>
  </w:style>
  <w:style w:type="paragraph" w:customStyle="1" w:styleId="ScheduleTitlesubclause1">
    <w:name w:val="Schedule Title subclause1"/>
    <w:basedOn w:val="ScheduleUntitledsubclause1"/>
    <w:qFormat/>
    <w:rsid w:val="005735A7"/>
    <w:pPr>
      <w:spacing w:before="120"/>
    </w:pPr>
    <w:rPr>
      <w:b/>
    </w:rPr>
  </w:style>
  <w:style w:type="paragraph" w:customStyle="1" w:styleId="835FF0B0D5344FE4A8EE41F54AA7E17C16">
    <w:name w:val="835FF0B0D5344FE4A8EE41F54AA7E17C16"/>
    <w:rsid w:val="00A200E2"/>
    <w:pPr>
      <w:spacing w:after="120"/>
    </w:pPr>
    <w:rPr>
      <w:rFonts w:ascii="Arial" w:hAnsi="Arial"/>
      <w:color w:val="000000"/>
      <w:sz w:val="24"/>
      <w:szCs w:val="24"/>
      <w:lang w:val="en-US" w:eastAsia="en-US"/>
    </w:rPr>
  </w:style>
  <w:style w:type="character" w:styleId="UnresolvedMention">
    <w:name w:val="Unresolved Mention"/>
    <w:basedOn w:val="DefaultParagraphFont"/>
    <w:uiPriority w:val="99"/>
    <w:semiHidden/>
    <w:unhideWhenUsed/>
    <w:rsid w:val="0004392C"/>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5735A7"/>
  </w:style>
  <w:style w:type="table" w:customStyle="1" w:styleId="ShadedTable1">
    <w:name w:val="Shaded Table1"/>
    <w:basedOn w:val="TableNormal"/>
    <w:uiPriority w:val="99"/>
    <w:rsid w:val="005735A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5735A7"/>
  </w:style>
  <w:style w:type="character" w:customStyle="1" w:styleId="IgnoredEmptysubclauseChar">
    <w:name w:val="Ignored Empty subclause Char"/>
    <w:basedOn w:val="DefaultParagraphFont"/>
    <w:link w:val="IgnoredEmptysubclause"/>
    <w:rsid w:val="005735A7"/>
    <w:rPr>
      <w:rFonts w:ascii="Arial" w:eastAsia="Arial" w:hAnsi="Arial" w:cs="Arial"/>
      <w:color w:val="000000"/>
    </w:rPr>
  </w:style>
  <w:style w:type="character" w:styleId="CommentReference">
    <w:name w:val="annotation reference"/>
    <w:basedOn w:val="DefaultParagraphFont"/>
    <w:uiPriority w:val="99"/>
    <w:semiHidden/>
    <w:unhideWhenUsed/>
    <w:rsid w:val="00D961E8"/>
    <w:rPr>
      <w:rFonts w:ascii="Arial" w:eastAsia="Arial" w:hAnsi="Arial" w:cs="Arial"/>
      <w:color w:val="000000"/>
      <w:sz w:val="16"/>
      <w:szCs w:val="16"/>
    </w:rPr>
  </w:style>
  <w:style w:type="paragraph" w:styleId="CommentText">
    <w:name w:val="annotation text"/>
    <w:basedOn w:val="Normal"/>
    <w:link w:val="CommentTextChar"/>
    <w:uiPriority w:val="99"/>
    <w:unhideWhenUsed/>
    <w:rsid w:val="00D961E8"/>
    <w:pPr>
      <w:spacing w:line="240" w:lineRule="auto"/>
    </w:pPr>
    <w:rPr>
      <w:sz w:val="20"/>
      <w:szCs w:val="20"/>
    </w:rPr>
  </w:style>
  <w:style w:type="character" w:customStyle="1" w:styleId="CommentTextChar">
    <w:name w:val="Comment Text Char"/>
    <w:basedOn w:val="DefaultParagraphFont"/>
    <w:link w:val="CommentText"/>
    <w:uiPriority w:val="99"/>
    <w:rsid w:val="00D961E8"/>
    <w:rPr>
      <w:rFonts w:ascii="Arial" w:eastAsia="Calibri" w:hAnsi="Arial" w:cs="Arial"/>
      <w:color w:val="000000"/>
      <w:sz w:val="20"/>
      <w:szCs w:val="20"/>
      <w:lang w:eastAsia="en-US"/>
    </w:rPr>
  </w:style>
  <w:style w:type="paragraph" w:customStyle="1" w:styleId="6B1115FCC3DC4C6AB2CF846F0C50B663">
    <w:name w:val="6B1115FCC3DC4C6AB2CF846F0C50B663"/>
    <w:rsid w:val="00D4114D"/>
    <w:pPr>
      <w:spacing w:after="200" w:line="276" w:lineRule="auto"/>
    </w:pPr>
    <w:rPr>
      <w:color w:val="000000"/>
      <w:sz w:val="22"/>
      <w:szCs w:val="22"/>
    </w:rPr>
  </w:style>
  <w:style w:type="paragraph" w:styleId="CommentSubject">
    <w:name w:val="annotation subject"/>
    <w:basedOn w:val="CommentText"/>
    <w:next w:val="CommentText"/>
    <w:link w:val="CommentSubjectChar"/>
    <w:uiPriority w:val="99"/>
    <w:semiHidden/>
    <w:unhideWhenUsed/>
    <w:rsid w:val="003F433E"/>
    <w:pPr>
      <w:spacing w:after="200"/>
    </w:pPr>
    <w:rPr>
      <w:rFonts w:eastAsia="Times New Roman"/>
      <w:b/>
      <w:bCs/>
      <w:lang w:eastAsia="en-GB"/>
    </w:rPr>
  </w:style>
  <w:style w:type="character" w:customStyle="1" w:styleId="CommentSubjectChar">
    <w:name w:val="Comment Subject Char"/>
    <w:basedOn w:val="CommentTextChar"/>
    <w:link w:val="CommentSubject"/>
    <w:uiPriority w:val="99"/>
    <w:semiHidden/>
    <w:rsid w:val="003F433E"/>
    <w:rPr>
      <w:rFonts w:ascii="Arial" w:eastAsia="Calibri" w:hAnsi="Arial" w:cs="Arial"/>
      <w:b/>
      <w:bCs/>
      <w:color w:val="000000"/>
      <w:sz w:val="20"/>
      <w:szCs w:val="20"/>
      <w:lang w:eastAsia="en-US"/>
    </w:rPr>
  </w:style>
  <w:style w:type="numbering" w:customStyle="1" w:styleId="ScheduleListStyle">
    <w:name w:val="ScheduleListStyle"/>
    <w:pPr>
      <w:numPr>
        <w:numId w:val="25"/>
      </w:numPr>
    </w:pPr>
  </w:style>
  <w:style w:type="paragraph" w:styleId="TOC1">
    <w:name w:val="toc 1"/>
    <w:basedOn w:val="Normal"/>
    <w:next w:val="Normal"/>
    <w:autoRedefine/>
    <w:uiPriority w:val="39"/>
    <w:rsid w:val="00805BCE"/>
    <w:pPr>
      <w:spacing w:after="100" w:line="240" w:lineRule="auto"/>
    </w:pPr>
  </w:style>
  <w:style w:type="paragraph" w:customStyle="1" w:styleId="Body1">
    <w:name w:val="Body 1"/>
    <w:basedOn w:val="Normal"/>
    <w:rsid w:val="001F0ECD"/>
    <w:pPr>
      <w:adjustRightInd w:val="0"/>
      <w:spacing w:after="220" w:line="240" w:lineRule="auto"/>
      <w:ind w:left="720"/>
      <w:jc w:val="both"/>
    </w:pPr>
    <w:rPr>
      <w:rFonts w:ascii="Arial" w:eastAsia="Arial" w:hAnsi="Arial" w:cs="Arial"/>
      <w:sz w:val="20"/>
      <w:szCs w:val="20"/>
      <w:lang w:eastAsia="en-GB"/>
    </w:rPr>
  </w:style>
  <w:style w:type="paragraph" w:customStyle="1" w:styleId="Level1">
    <w:name w:val="Level 1"/>
    <w:basedOn w:val="Body1"/>
    <w:uiPriority w:val="99"/>
    <w:qFormat/>
    <w:rsid w:val="001F0ECD"/>
    <w:pPr>
      <w:numPr>
        <w:numId w:val="27"/>
      </w:numPr>
    </w:pPr>
  </w:style>
  <w:style w:type="paragraph" w:customStyle="1" w:styleId="Level2">
    <w:name w:val="Level 2"/>
    <w:basedOn w:val="Normal"/>
    <w:uiPriority w:val="99"/>
    <w:qFormat/>
    <w:rsid w:val="001F0ECD"/>
    <w:pPr>
      <w:numPr>
        <w:ilvl w:val="1"/>
        <w:numId w:val="27"/>
      </w:numPr>
      <w:adjustRightInd w:val="0"/>
      <w:spacing w:after="220" w:line="240" w:lineRule="auto"/>
      <w:ind w:left="720"/>
      <w:jc w:val="both"/>
    </w:pPr>
    <w:rPr>
      <w:rFonts w:ascii="Arial" w:eastAsia="Arial" w:hAnsi="Arial" w:cs="Arial"/>
      <w:sz w:val="20"/>
      <w:szCs w:val="20"/>
      <w:lang w:eastAsia="en-GB"/>
    </w:rPr>
  </w:style>
  <w:style w:type="paragraph" w:customStyle="1" w:styleId="Level3">
    <w:name w:val="Level 3"/>
    <w:basedOn w:val="Normal"/>
    <w:link w:val="Level3Char"/>
    <w:uiPriority w:val="99"/>
    <w:qFormat/>
    <w:rsid w:val="001F0ECD"/>
    <w:pPr>
      <w:numPr>
        <w:ilvl w:val="2"/>
        <w:numId w:val="27"/>
      </w:numPr>
      <w:tabs>
        <w:tab w:val="left" w:pos="1440"/>
      </w:tabs>
      <w:adjustRightInd w:val="0"/>
      <w:spacing w:after="220" w:line="240" w:lineRule="auto"/>
      <w:jc w:val="both"/>
    </w:pPr>
    <w:rPr>
      <w:rFonts w:ascii="Arial" w:eastAsia="Arial" w:hAnsi="Arial" w:cs="Arial"/>
      <w:sz w:val="20"/>
      <w:szCs w:val="20"/>
      <w:lang w:eastAsia="en-GB"/>
    </w:rPr>
  </w:style>
  <w:style w:type="paragraph" w:customStyle="1" w:styleId="Level4">
    <w:name w:val="Level 4"/>
    <w:basedOn w:val="Normal"/>
    <w:uiPriority w:val="99"/>
    <w:qFormat/>
    <w:rsid w:val="001F0ECD"/>
    <w:pPr>
      <w:numPr>
        <w:ilvl w:val="5"/>
        <w:numId w:val="27"/>
      </w:numPr>
      <w:tabs>
        <w:tab w:val="left" w:pos="2160"/>
      </w:tabs>
      <w:adjustRightInd w:val="0"/>
      <w:spacing w:after="220" w:line="240" w:lineRule="auto"/>
      <w:jc w:val="both"/>
    </w:pPr>
    <w:rPr>
      <w:rFonts w:ascii="Arial" w:eastAsia="Arial" w:hAnsi="Arial" w:cs="Arial"/>
      <w:sz w:val="20"/>
      <w:szCs w:val="20"/>
      <w:lang w:eastAsia="en-GB"/>
    </w:rPr>
  </w:style>
  <w:style w:type="paragraph" w:customStyle="1" w:styleId="Level5">
    <w:name w:val="Level 5"/>
    <w:basedOn w:val="Normal"/>
    <w:uiPriority w:val="99"/>
    <w:qFormat/>
    <w:rsid w:val="001F0ECD"/>
    <w:pPr>
      <w:numPr>
        <w:ilvl w:val="4"/>
        <w:numId w:val="27"/>
      </w:numPr>
      <w:tabs>
        <w:tab w:val="left" w:pos="2880"/>
      </w:tabs>
      <w:adjustRightInd w:val="0"/>
      <w:spacing w:after="220" w:line="240" w:lineRule="auto"/>
      <w:jc w:val="both"/>
    </w:pPr>
    <w:rPr>
      <w:rFonts w:ascii="Arial" w:eastAsia="Arial" w:hAnsi="Arial" w:cs="Arial"/>
      <w:sz w:val="20"/>
      <w:szCs w:val="20"/>
      <w:lang w:eastAsia="en-GB"/>
    </w:rPr>
  </w:style>
  <w:style w:type="character" w:customStyle="1" w:styleId="Level3Char">
    <w:name w:val="Level 3 Char"/>
    <w:link w:val="Level3"/>
    <w:uiPriority w:val="99"/>
    <w:locked/>
    <w:rsid w:val="006D6C25"/>
    <w:rPr>
      <w:rFonts w:ascii="Arial" w:eastAsia="Arial" w:hAnsi="Arial" w:cs="Arial"/>
    </w:rPr>
  </w:style>
  <w:style w:type="paragraph" w:customStyle="1" w:styleId="paragraph0">
    <w:name w:val="paragraph"/>
    <w:basedOn w:val="Normal"/>
    <w:rsid w:val="00421AB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421AB0"/>
  </w:style>
  <w:style w:type="character" w:customStyle="1" w:styleId="eop">
    <w:name w:val="eop"/>
    <w:basedOn w:val="DefaultParagraphFont"/>
    <w:rsid w:val="00421AB0"/>
  </w:style>
  <w:style w:type="character" w:customStyle="1" w:styleId="advancedproofingissue">
    <w:name w:val="advancedproofingissue"/>
    <w:basedOn w:val="DefaultParagraphFont"/>
    <w:rsid w:val="001D491A"/>
  </w:style>
  <w:style w:type="character" w:customStyle="1" w:styleId="spellingerror">
    <w:name w:val="spellingerror"/>
    <w:basedOn w:val="DefaultParagraphFont"/>
    <w:rsid w:val="001D491A"/>
  </w:style>
  <w:style w:type="paragraph" w:styleId="Revision">
    <w:name w:val="Revision"/>
    <w:hidden/>
    <w:uiPriority w:val="99"/>
    <w:semiHidden/>
    <w:rsid w:val="0011719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342">
      <w:bodyDiv w:val="1"/>
      <w:marLeft w:val="0"/>
      <w:marRight w:val="0"/>
      <w:marTop w:val="0"/>
      <w:marBottom w:val="0"/>
      <w:divBdr>
        <w:top w:val="none" w:sz="0" w:space="0" w:color="auto"/>
        <w:left w:val="none" w:sz="0" w:space="0" w:color="auto"/>
        <w:bottom w:val="none" w:sz="0" w:space="0" w:color="auto"/>
        <w:right w:val="none" w:sz="0" w:space="0" w:color="auto"/>
      </w:divBdr>
    </w:div>
    <w:div w:id="149098956">
      <w:bodyDiv w:val="1"/>
      <w:marLeft w:val="0"/>
      <w:marRight w:val="0"/>
      <w:marTop w:val="0"/>
      <w:marBottom w:val="0"/>
      <w:divBdr>
        <w:top w:val="none" w:sz="0" w:space="0" w:color="auto"/>
        <w:left w:val="none" w:sz="0" w:space="0" w:color="auto"/>
        <w:bottom w:val="none" w:sz="0" w:space="0" w:color="auto"/>
        <w:right w:val="none" w:sz="0" w:space="0" w:color="auto"/>
      </w:divBdr>
      <w:divsChild>
        <w:div w:id="330765598">
          <w:marLeft w:val="0"/>
          <w:marRight w:val="0"/>
          <w:marTop w:val="0"/>
          <w:marBottom w:val="0"/>
          <w:divBdr>
            <w:top w:val="none" w:sz="0" w:space="0" w:color="auto"/>
            <w:left w:val="none" w:sz="0" w:space="0" w:color="auto"/>
            <w:bottom w:val="none" w:sz="0" w:space="0" w:color="auto"/>
            <w:right w:val="none" w:sz="0" w:space="0" w:color="auto"/>
          </w:divBdr>
          <w:divsChild>
            <w:div w:id="272565510">
              <w:marLeft w:val="0"/>
              <w:marRight w:val="0"/>
              <w:marTop w:val="0"/>
              <w:marBottom w:val="0"/>
              <w:divBdr>
                <w:top w:val="none" w:sz="0" w:space="0" w:color="auto"/>
                <w:left w:val="none" w:sz="0" w:space="0" w:color="auto"/>
                <w:bottom w:val="none" w:sz="0" w:space="0" w:color="auto"/>
                <w:right w:val="none" w:sz="0" w:space="0" w:color="auto"/>
              </w:divBdr>
            </w:div>
            <w:div w:id="591940214">
              <w:marLeft w:val="0"/>
              <w:marRight w:val="0"/>
              <w:marTop w:val="0"/>
              <w:marBottom w:val="0"/>
              <w:divBdr>
                <w:top w:val="none" w:sz="0" w:space="0" w:color="auto"/>
                <w:left w:val="none" w:sz="0" w:space="0" w:color="auto"/>
                <w:bottom w:val="none" w:sz="0" w:space="0" w:color="auto"/>
                <w:right w:val="none" w:sz="0" w:space="0" w:color="auto"/>
              </w:divBdr>
            </w:div>
            <w:div w:id="1106969414">
              <w:marLeft w:val="0"/>
              <w:marRight w:val="0"/>
              <w:marTop w:val="0"/>
              <w:marBottom w:val="0"/>
              <w:divBdr>
                <w:top w:val="none" w:sz="0" w:space="0" w:color="auto"/>
                <w:left w:val="none" w:sz="0" w:space="0" w:color="auto"/>
                <w:bottom w:val="none" w:sz="0" w:space="0" w:color="auto"/>
                <w:right w:val="none" w:sz="0" w:space="0" w:color="auto"/>
              </w:divBdr>
            </w:div>
            <w:div w:id="1987397386">
              <w:marLeft w:val="0"/>
              <w:marRight w:val="0"/>
              <w:marTop w:val="0"/>
              <w:marBottom w:val="0"/>
              <w:divBdr>
                <w:top w:val="none" w:sz="0" w:space="0" w:color="auto"/>
                <w:left w:val="none" w:sz="0" w:space="0" w:color="auto"/>
                <w:bottom w:val="none" w:sz="0" w:space="0" w:color="auto"/>
                <w:right w:val="none" w:sz="0" w:space="0" w:color="auto"/>
              </w:divBdr>
            </w:div>
            <w:div w:id="2012874693">
              <w:marLeft w:val="0"/>
              <w:marRight w:val="0"/>
              <w:marTop w:val="0"/>
              <w:marBottom w:val="0"/>
              <w:divBdr>
                <w:top w:val="none" w:sz="0" w:space="0" w:color="auto"/>
                <w:left w:val="none" w:sz="0" w:space="0" w:color="auto"/>
                <w:bottom w:val="none" w:sz="0" w:space="0" w:color="auto"/>
                <w:right w:val="none" w:sz="0" w:space="0" w:color="auto"/>
              </w:divBdr>
            </w:div>
          </w:divsChild>
        </w:div>
        <w:div w:id="415521619">
          <w:marLeft w:val="0"/>
          <w:marRight w:val="0"/>
          <w:marTop w:val="0"/>
          <w:marBottom w:val="0"/>
          <w:divBdr>
            <w:top w:val="none" w:sz="0" w:space="0" w:color="auto"/>
            <w:left w:val="none" w:sz="0" w:space="0" w:color="auto"/>
            <w:bottom w:val="none" w:sz="0" w:space="0" w:color="auto"/>
            <w:right w:val="none" w:sz="0" w:space="0" w:color="auto"/>
          </w:divBdr>
          <w:divsChild>
            <w:div w:id="587274859">
              <w:marLeft w:val="0"/>
              <w:marRight w:val="0"/>
              <w:marTop w:val="0"/>
              <w:marBottom w:val="0"/>
              <w:divBdr>
                <w:top w:val="none" w:sz="0" w:space="0" w:color="auto"/>
                <w:left w:val="none" w:sz="0" w:space="0" w:color="auto"/>
                <w:bottom w:val="none" w:sz="0" w:space="0" w:color="auto"/>
                <w:right w:val="none" w:sz="0" w:space="0" w:color="auto"/>
              </w:divBdr>
            </w:div>
            <w:div w:id="1297226513">
              <w:marLeft w:val="0"/>
              <w:marRight w:val="0"/>
              <w:marTop w:val="0"/>
              <w:marBottom w:val="0"/>
              <w:divBdr>
                <w:top w:val="none" w:sz="0" w:space="0" w:color="auto"/>
                <w:left w:val="none" w:sz="0" w:space="0" w:color="auto"/>
                <w:bottom w:val="none" w:sz="0" w:space="0" w:color="auto"/>
                <w:right w:val="none" w:sz="0" w:space="0" w:color="auto"/>
              </w:divBdr>
            </w:div>
          </w:divsChild>
        </w:div>
        <w:div w:id="501287025">
          <w:marLeft w:val="0"/>
          <w:marRight w:val="0"/>
          <w:marTop w:val="0"/>
          <w:marBottom w:val="0"/>
          <w:divBdr>
            <w:top w:val="none" w:sz="0" w:space="0" w:color="auto"/>
            <w:left w:val="none" w:sz="0" w:space="0" w:color="auto"/>
            <w:bottom w:val="none" w:sz="0" w:space="0" w:color="auto"/>
            <w:right w:val="none" w:sz="0" w:space="0" w:color="auto"/>
          </w:divBdr>
        </w:div>
        <w:div w:id="650715619">
          <w:marLeft w:val="0"/>
          <w:marRight w:val="0"/>
          <w:marTop w:val="0"/>
          <w:marBottom w:val="0"/>
          <w:divBdr>
            <w:top w:val="none" w:sz="0" w:space="0" w:color="auto"/>
            <w:left w:val="none" w:sz="0" w:space="0" w:color="auto"/>
            <w:bottom w:val="none" w:sz="0" w:space="0" w:color="auto"/>
            <w:right w:val="none" w:sz="0" w:space="0" w:color="auto"/>
          </w:divBdr>
        </w:div>
        <w:div w:id="1406537016">
          <w:marLeft w:val="0"/>
          <w:marRight w:val="0"/>
          <w:marTop w:val="0"/>
          <w:marBottom w:val="0"/>
          <w:divBdr>
            <w:top w:val="none" w:sz="0" w:space="0" w:color="auto"/>
            <w:left w:val="none" w:sz="0" w:space="0" w:color="auto"/>
            <w:bottom w:val="none" w:sz="0" w:space="0" w:color="auto"/>
            <w:right w:val="none" w:sz="0" w:space="0" w:color="auto"/>
          </w:divBdr>
        </w:div>
        <w:div w:id="2137873353">
          <w:marLeft w:val="0"/>
          <w:marRight w:val="0"/>
          <w:marTop w:val="0"/>
          <w:marBottom w:val="0"/>
          <w:divBdr>
            <w:top w:val="none" w:sz="0" w:space="0" w:color="auto"/>
            <w:left w:val="none" w:sz="0" w:space="0" w:color="auto"/>
            <w:bottom w:val="none" w:sz="0" w:space="0" w:color="auto"/>
            <w:right w:val="none" w:sz="0" w:space="0" w:color="auto"/>
          </w:divBdr>
          <w:divsChild>
            <w:div w:id="930747185">
              <w:marLeft w:val="0"/>
              <w:marRight w:val="0"/>
              <w:marTop w:val="0"/>
              <w:marBottom w:val="0"/>
              <w:divBdr>
                <w:top w:val="none" w:sz="0" w:space="0" w:color="auto"/>
                <w:left w:val="none" w:sz="0" w:space="0" w:color="auto"/>
                <w:bottom w:val="none" w:sz="0" w:space="0" w:color="auto"/>
                <w:right w:val="none" w:sz="0" w:space="0" w:color="auto"/>
              </w:divBdr>
            </w:div>
            <w:div w:id="979460089">
              <w:marLeft w:val="0"/>
              <w:marRight w:val="0"/>
              <w:marTop w:val="0"/>
              <w:marBottom w:val="0"/>
              <w:divBdr>
                <w:top w:val="none" w:sz="0" w:space="0" w:color="auto"/>
                <w:left w:val="none" w:sz="0" w:space="0" w:color="auto"/>
                <w:bottom w:val="none" w:sz="0" w:space="0" w:color="auto"/>
                <w:right w:val="none" w:sz="0" w:space="0" w:color="auto"/>
              </w:divBdr>
            </w:div>
            <w:div w:id="1192379809">
              <w:marLeft w:val="0"/>
              <w:marRight w:val="0"/>
              <w:marTop w:val="0"/>
              <w:marBottom w:val="0"/>
              <w:divBdr>
                <w:top w:val="none" w:sz="0" w:space="0" w:color="auto"/>
                <w:left w:val="none" w:sz="0" w:space="0" w:color="auto"/>
                <w:bottom w:val="none" w:sz="0" w:space="0" w:color="auto"/>
                <w:right w:val="none" w:sz="0" w:space="0" w:color="auto"/>
              </w:divBdr>
            </w:div>
            <w:div w:id="1233857055">
              <w:marLeft w:val="0"/>
              <w:marRight w:val="0"/>
              <w:marTop w:val="0"/>
              <w:marBottom w:val="0"/>
              <w:divBdr>
                <w:top w:val="none" w:sz="0" w:space="0" w:color="auto"/>
                <w:left w:val="none" w:sz="0" w:space="0" w:color="auto"/>
                <w:bottom w:val="none" w:sz="0" w:space="0" w:color="auto"/>
                <w:right w:val="none" w:sz="0" w:space="0" w:color="auto"/>
              </w:divBdr>
            </w:div>
            <w:div w:id="15661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3884">
      <w:bodyDiv w:val="1"/>
      <w:marLeft w:val="0"/>
      <w:marRight w:val="0"/>
      <w:marTop w:val="0"/>
      <w:marBottom w:val="0"/>
      <w:divBdr>
        <w:top w:val="none" w:sz="0" w:space="0" w:color="auto"/>
        <w:left w:val="none" w:sz="0" w:space="0" w:color="auto"/>
        <w:bottom w:val="none" w:sz="0" w:space="0" w:color="auto"/>
        <w:right w:val="none" w:sz="0" w:space="0" w:color="auto"/>
      </w:divBdr>
      <w:divsChild>
        <w:div w:id="1038823915">
          <w:marLeft w:val="0"/>
          <w:marRight w:val="0"/>
          <w:marTop w:val="0"/>
          <w:marBottom w:val="0"/>
          <w:divBdr>
            <w:top w:val="none" w:sz="0" w:space="0" w:color="auto"/>
            <w:left w:val="none" w:sz="0" w:space="0" w:color="auto"/>
            <w:bottom w:val="none" w:sz="0" w:space="0" w:color="auto"/>
            <w:right w:val="none" w:sz="0" w:space="0" w:color="auto"/>
          </w:divBdr>
          <w:divsChild>
            <w:div w:id="826287879">
              <w:marLeft w:val="0"/>
              <w:marRight w:val="0"/>
              <w:marTop w:val="0"/>
              <w:marBottom w:val="0"/>
              <w:divBdr>
                <w:top w:val="none" w:sz="0" w:space="0" w:color="auto"/>
                <w:left w:val="none" w:sz="0" w:space="0" w:color="auto"/>
                <w:bottom w:val="none" w:sz="0" w:space="0" w:color="auto"/>
                <w:right w:val="none" w:sz="0" w:space="0" w:color="auto"/>
              </w:divBdr>
            </w:div>
          </w:divsChild>
        </w:div>
        <w:div w:id="1591694216">
          <w:marLeft w:val="0"/>
          <w:marRight w:val="0"/>
          <w:marTop w:val="0"/>
          <w:marBottom w:val="0"/>
          <w:divBdr>
            <w:top w:val="none" w:sz="0" w:space="0" w:color="auto"/>
            <w:left w:val="none" w:sz="0" w:space="0" w:color="auto"/>
            <w:bottom w:val="none" w:sz="0" w:space="0" w:color="auto"/>
            <w:right w:val="none" w:sz="0" w:space="0" w:color="auto"/>
          </w:divBdr>
          <w:divsChild>
            <w:div w:id="19973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3043">
      <w:bodyDiv w:val="1"/>
      <w:marLeft w:val="0"/>
      <w:marRight w:val="0"/>
      <w:marTop w:val="0"/>
      <w:marBottom w:val="0"/>
      <w:divBdr>
        <w:top w:val="none" w:sz="0" w:space="0" w:color="auto"/>
        <w:left w:val="none" w:sz="0" w:space="0" w:color="auto"/>
        <w:bottom w:val="none" w:sz="0" w:space="0" w:color="auto"/>
        <w:right w:val="none" w:sz="0" w:space="0" w:color="auto"/>
      </w:divBdr>
    </w:div>
    <w:div w:id="598951387">
      <w:bodyDiv w:val="1"/>
      <w:marLeft w:val="0"/>
      <w:marRight w:val="0"/>
      <w:marTop w:val="0"/>
      <w:marBottom w:val="0"/>
      <w:divBdr>
        <w:top w:val="none" w:sz="0" w:space="0" w:color="auto"/>
        <w:left w:val="none" w:sz="0" w:space="0" w:color="auto"/>
        <w:bottom w:val="none" w:sz="0" w:space="0" w:color="auto"/>
        <w:right w:val="none" w:sz="0" w:space="0" w:color="auto"/>
      </w:divBdr>
      <w:divsChild>
        <w:div w:id="294680403">
          <w:marLeft w:val="0"/>
          <w:marRight w:val="0"/>
          <w:marTop w:val="0"/>
          <w:marBottom w:val="0"/>
          <w:divBdr>
            <w:top w:val="none" w:sz="0" w:space="0" w:color="auto"/>
            <w:left w:val="none" w:sz="0" w:space="0" w:color="auto"/>
            <w:bottom w:val="none" w:sz="0" w:space="0" w:color="auto"/>
            <w:right w:val="none" w:sz="0" w:space="0" w:color="auto"/>
          </w:divBdr>
          <w:divsChild>
            <w:div w:id="1561406644">
              <w:marLeft w:val="0"/>
              <w:marRight w:val="0"/>
              <w:marTop w:val="0"/>
              <w:marBottom w:val="0"/>
              <w:divBdr>
                <w:top w:val="none" w:sz="0" w:space="0" w:color="auto"/>
                <w:left w:val="none" w:sz="0" w:space="0" w:color="auto"/>
                <w:bottom w:val="none" w:sz="0" w:space="0" w:color="auto"/>
                <w:right w:val="none" w:sz="0" w:space="0" w:color="auto"/>
              </w:divBdr>
            </w:div>
            <w:div w:id="2006277952">
              <w:marLeft w:val="0"/>
              <w:marRight w:val="0"/>
              <w:marTop w:val="0"/>
              <w:marBottom w:val="0"/>
              <w:divBdr>
                <w:top w:val="none" w:sz="0" w:space="0" w:color="auto"/>
                <w:left w:val="none" w:sz="0" w:space="0" w:color="auto"/>
                <w:bottom w:val="none" w:sz="0" w:space="0" w:color="auto"/>
                <w:right w:val="none" w:sz="0" w:space="0" w:color="auto"/>
              </w:divBdr>
            </w:div>
          </w:divsChild>
        </w:div>
        <w:div w:id="558513172">
          <w:marLeft w:val="0"/>
          <w:marRight w:val="0"/>
          <w:marTop w:val="0"/>
          <w:marBottom w:val="0"/>
          <w:divBdr>
            <w:top w:val="none" w:sz="0" w:space="0" w:color="auto"/>
            <w:left w:val="none" w:sz="0" w:space="0" w:color="auto"/>
            <w:bottom w:val="none" w:sz="0" w:space="0" w:color="auto"/>
            <w:right w:val="none" w:sz="0" w:space="0" w:color="auto"/>
          </w:divBdr>
        </w:div>
        <w:div w:id="987394446">
          <w:marLeft w:val="0"/>
          <w:marRight w:val="0"/>
          <w:marTop w:val="0"/>
          <w:marBottom w:val="0"/>
          <w:divBdr>
            <w:top w:val="none" w:sz="0" w:space="0" w:color="auto"/>
            <w:left w:val="none" w:sz="0" w:space="0" w:color="auto"/>
            <w:bottom w:val="none" w:sz="0" w:space="0" w:color="auto"/>
            <w:right w:val="none" w:sz="0" w:space="0" w:color="auto"/>
          </w:divBdr>
          <w:divsChild>
            <w:div w:id="421294534">
              <w:marLeft w:val="0"/>
              <w:marRight w:val="0"/>
              <w:marTop w:val="0"/>
              <w:marBottom w:val="0"/>
              <w:divBdr>
                <w:top w:val="none" w:sz="0" w:space="0" w:color="auto"/>
                <w:left w:val="none" w:sz="0" w:space="0" w:color="auto"/>
                <w:bottom w:val="none" w:sz="0" w:space="0" w:color="auto"/>
                <w:right w:val="none" w:sz="0" w:space="0" w:color="auto"/>
              </w:divBdr>
            </w:div>
            <w:div w:id="621503023">
              <w:marLeft w:val="0"/>
              <w:marRight w:val="0"/>
              <w:marTop w:val="0"/>
              <w:marBottom w:val="0"/>
              <w:divBdr>
                <w:top w:val="none" w:sz="0" w:space="0" w:color="auto"/>
                <w:left w:val="none" w:sz="0" w:space="0" w:color="auto"/>
                <w:bottom w:val="none" w:sz="0" w:space="0" w:color="auto"/>
                <w:right w:val="none" w:sz="0" w:space="0" w:color="auto"/>
              </w:divBdr>
            </w:div>
            <w:div w:id="888960803">
              <w:marLeft w:val="0"/>
              <w:marRight w:val="0"/>
              <w:marTop w:val="0"/>
              <w:marBottom w:val="0"/>
              <w:divBdr>
                <w:top w:val="none" w:sz="0" w:space="0" w:color="auto"/>
                <w:left w:val="none" w:sz="0" w:space="0" w:color="auto"/>
                <w:bottom w:val="none" w:sz="0" w:space="0" w:color="auto"/>
                <w:right w:val="none" w:sz="0" w:space="0" w:color="auto"/>
              </w:divBdr>
            </w:div>
            <w:div w:id="1638487067">
              <w:marLeft w:val="0"/>
              <w:marRight w:val="0"/>
              <w:marTop w:val="0"/>
              <w:marBottom w:val="0"/>
              <w:divBdr>
                <w:top w:val="none" w:sz="0" w:space="0" w:color="auto"/>
                <w:left w:val="none" w:sz="0" w:space="0" w:color="auto"/>
                <w:bottom w:val="none" w:sz="0" w:space="0" w:color="auto"/>
                <w:right w:val="none" w:sz="0" w:space="0" w:color="auto"/>
              </w:divBdr>
            </w:div>
            <w:div w:id="2057387057">
              <w:marLeft w:val="0"/>
              <w:marRight w:val="0"/>
              <w:marTop w:val="0"/>
              <w:marBottom w:val="0"/>
              <w:divBdr>
                <w:top w:val="none" w:sz="0" w:space="0" w:color="auto"/>
                <w:left w:val="none" w:sz="0" w:space="0" w:color="auto"/>
                <w:bottom w:val="none" w:sz="0" w:space="0" w:color="auto"/>
                <w:right w:val="none" w:sz="0" w:space="0" w:color="auto"/>
              </w:divBdr>
            </w:div>
          </w:divsChild>
        </w:div>
        <w:div w:id="1092357665">
          <w:marLeft w:val="0"/>
          <w:marRight w:val="0"/>
          <w:marTop w:val="0"/>
          <w:marBottom w:val="0"/>
          <w:divBdr>
            <w:top w:val="none" w:sz="0" w:space="0" w:color="auto"/>
            <w:left w:val="none" w:sz="0" w:space="0" w:color="auto"/>
            <w:bottom w:val="none" w:sz="0" w:space="0" w:color="auto"/>
            <w:right w:val="none" w:sz="0" w:space="0" w:color="auto"/>
          </w:divBdr>
          <w:divsChild>
            <w:div w:id="609357390">
              <w:marLeft w:val="0"/>
              <w:marRight w:val="0"/>
              <w:marTop w:val="0"/>
              <w:marBottom w:val="0"/>
              <w:divBdr>
                <w:top w:val="none" w:sz="0" w:space="0" w:color="auto"/>
                <w:left w:val="none" w:sz="0" w:space="0" w:color="auto"/>
                <w:bottom w:val="none" w:sz="0" w:space="0" w:color="auto"/>
                <w:right w:val="none" w:sz="0" w:space="0" w:color="auto"/>
              </w:divBdr>
            </w:div>
            <w:div w:id="1150058490">
              <w:marLeft w:val="0"/>
              <w:marRight w:val="0"/>
              <w:marTop w:val="0"/>
              <w:marBottom w:val="0"/>
              <w:divBdr>
                <w:top w:val="none" w:sz="0" w:space="0" w:color="auto"/>
                <w:left w:val="none" w:sz="0" w:space="0" w:color="auto"/>
                <w:bottom w:val="none" w:sz="0" w:space="0" w:color="auto"/>
                <w:right w:val="none" w:sz="0" w:space="0" w:color="auto"/>
              </w:divBdr>
            </w:div>
            <w:div w:id="1595674215">
              <w:marLeft w:val="0"/>
              <w:marRight w:val="0"/>
              <w:marTop w:val="0"/>
              <w:marBottom w:val="0"/>
              <w:divBdr>
                <w:top w:val="none" w:sz="0" w:space="0" w:color="auto"/>
                <w:left w:val="none" w:sz="0" w:space="0" w:color="auto"/>
                <w:bottom w:val="none" w:sz="0" w:space="0" w:color="auto"/>
                <w:right w:val="none" w:sz="0" w:space="0" w:color="auto"/>
              </w:divBdr>
            </w:div>
            <w:div w:id="1605189757">
              <w:marLeft w:val="0"/>
              <w:marRight w:val="0"/>
              <w:marTop w:val="0"/>
              <w:marBottom w:val="0"/>
              <w:divBdr>
                <w:top w:val="none" w:sz="0" w:space="0" w:color="auto"/>
                <w:left w:val="none" w:sz="0" w:space="0" w:color="auto"/>
                <w:bottom w:val="none" w:sz="0" w:space="0" w:color="auto"/>
                <w:right w:val="none" w:sz="0" w:space="0" w:color="auto"/>
              </w:divBdr>
            </w:div>
            <w:div w:id="2106804397">
              <w:marLeft w:val="0"/>
              <w:marRight w:val="0"/>
              <w:marTop w:val="0"/>
              <w:marBottom w:val="0"/>
              <w:divBdr>
                <w:top w:val="none" w:sz="0" w:space="0" w:color="auto"/>
                <w:left w:val="none" w:sz="0" w:space="0" w:color="auto"/>
                <w:bottom w:val="none" w:sz="0" w:space="0" w:color="auto"/>
                <w:right w:val="none" w:sz="0" w:space="0" w:color="auto"/>
              </w:divBdr>
            </w:div>
          </w:divsChild>
        </w:div>
        <w:div w:id="1647279237">
          <w:marLeft w:val="0"/>
          <w:marRight w:val="0"/>
          <w:marTop w:val="0"/>
          <w:marBottom w:val="0"/>
          <w:divBdr>
            <w:top w:val="none" w:sz="0" w:space="0" w:color="auto"/>
            <w:left w:val="none" w:sz="0" w:space="0" w:color="auto"/>
            <w:bottom w:val="none" w:sz="0" w:space="0" w:color="auto"/>
            <w:right w:val="none" w:sz="0" w:space="0" w:color="auto"/>
          </w:divBdr>
        </w:div>
      </w:divsChild>
    </w:div>
    <w:div w:id="635646482">
      <w:bodyDiv w:val="1"/>
      <w:marLeft w:val="0"/>
      <w:marRight w:val="0"/>
      <w:marTop w:val="0"/>
      <w:marBottom w:val="0"/>
      <w:divBdr>
        <w:top w:val="none" w:sz="0" w:space="0" w:color="auto"/>
        <w:left w:val="none" w:sz="0" w:space="0" w:color="auto"/>
        <w:bottom w:val="none" w:sz="0" w:space="0" w:color="auto"/>
        <w:right w:val="none" w:sz="0" w:space="0" w:color="auto"/>
      </w:divBdr>
    </w:div>
    <w:div w:id="681400444">
      <w:bodyDiv w:val="1"/>
      <w:marLeft w:val="0"/>
      <w:marRight w:val="0"/>
      <w:marTop w:val="0"/>
      <w:marBottom w:val="0"/>
      <w:divBdr>
        <w:top w:val="none" w:sz="0" w:space="0" w:color="auto"/>
        <w:left w:val="none" w:sz="0" w:space="0" w:color="auto"/>
        <w:bottom w:val="none" w:sz="0" w:space="0" w:color="auto"/>
        <w:right w:val="none" w:sz="0" w:space="0" w:color="auto"/>
      </w:divBdr>
    </w:div>
    <w:div w:id="732966859">
      <w:bodyDiv w:val="1"/>
      <w:marLeft w:val="0"/>
      <w:marRight w:val="0"/>
      <w:marTop w:val="0"/>
      <w:marBottom w:val="0"/>
      <w:divBdr>
        <w:top w:val="none" w:sz="0" w:space="0" w:color="auto"/>
        <w:left w:val="none" w:sz="0" w:space="0" w:color="auto"/>
        <w:bottom w:val="none" w:sz="0" w:space="0" w:color="auto"/>
        <w:right w:val="none" w:sz="0" w:space="0" w:color="auto"/>
      </w:divBdr>
      <w:divsChild>
        <w:div w:id="936138049">
          <w:marLeft w:val="0"/>
          <w:marRight w:val="0"/>
          <w:marTop w:val="0"/>
          <w:marBottom w:val="0"/>
          <w:divBdr>
            <w:top w:val="none" w:sz="0" w:space="0" w:color="auto"/>
            <w:left w:val="none" w:sz="0" w:space="0" w:color="auto"/>
            <w:bottom w:val="none" w:sz="0" w:space="0" w:color="auto"/>
            <w:right w:val="none" w:sz="0" w:space="0" w:color="auto"/>
          </w:divBdr>
        </w:div>
        <w:div w:id="1167674348">
          <w:marLeft w:val="0"/>
          <w:marRight w:val="0"/>
          <w:marTop w:val="0"/>
          <w:marBottom w:val="0"/>
          <w:divBdr>
            <w:top w:val="none" w:sz="0" w:space="0" w:color="auto"/>
            <w:left w:val="none" w:sz="0" w:space="0" w:color="auto"/>
            <w:bottom w:val="none" w:sz="0" w:space="0" w:color="auto"/>
            <w:right w:val="none" w:sz="0" w:space="0" w:color="auto"/>
          </w:divBdr>
        </w:div>
      </w:divsChild>
    </w:div>
    <w:div w:id="736980161">
      <w:bodyDiv w:val="1"/>
      <w:marLeft w:val="0"/>
      <w:marRight w:val="0"/>
      <w:marTop w:val="0"/>
      <w:marBottom w:val="0"/>
      <w:divBdr>
        <w:top w:val="none" w:sz="0" w:space="0" w:color="auto"/>
        <w:left w:val="none" w:sz="0" w:space="0" w:color="auto"/>
        <w:bottom w:val="none" w:sz="0" w:space="0" w:color="auto"/>
        <w:right w:val="none" w:sz="0" w:space="0" w:color="auto"/>
      </w:divBdr>
      <w:divsChild>
        <w:div w:id="17701990">
          <w:marLeft w:val="0"/>
          <w:marRight w:val="0"/>
          <w:marTop w:val="0"/>
          <w:marBottom w:val="0"/>
          <w:divBdr>
            <w:top w:val="none" w:sz="0" w:space="0" w:color="auto"/>
            <w:left w:val="none" w:sz="0" w:space="0" w:color="auto"/>
            <w:bottom w:val="none" w:sz="0" w:space="0" w:color="auto"/>
            <w:right w:val="none" w:sz="0" w:space="0" w:color="auto"/>
          </w:divBdr>
        </w:div>
        <w:div w:id="279993827">
          <w:marLeft w:val="0"/>
          <w:marRight w:val="0"/>
          <w:marTop w:val="0"/>
          <w:marBottom w:val="0"/>
          <w:divBdr>
            <w:top w:val="none" w:sz="0" w:space="0" w:color="auto"/>
            <w:left w:val="none" w:sz="0" w:space="0" w:color="auto"/>
            <w:bottom w:val="none" w:sz="0" w:space="0" w:color="auto"/>
            <w:right w:val="none" w:sz="0" w:space="0" w:color="auto"/>
          </w:divBdr>
          <w:divsChild>
            <w:div w:id="229657562">
              <w:marLeft w:val="0"/>
              <w:marRight w:val="0"/>
              <w:marTop w:val="0"/>
              <w:marBottom w:val="0"/>
              <w:divBdr>
                <w:top w:val="none" w:sz="0" w:space="0" w:color="auto"/>
                <w:left w:val="none" w:sz="0" w:space="0" w:color="auto"/>
                <w:bottom w:val="none" w:sz="0" w:space="0" w:color="auto"/>
                <w:right w:val="none" w:sz="0" w:space="0" w:color="auto"/>
              </w:divBdr>
            </w:div>
            <w:div w:id="847672437">
              <w:marLeft w:val="0"/>
              <w:marRight w:val="0"/>
              <w:marTop w:val="0"/>
              <w:marBottom w:val="0"/>
              <w:divBdr>
                <w:top w:val="none" w:sz="0" w:space="0" w:color="auto"/>
                <w:left w:val="none" w:sz="0" w:space="0" w:color="auto"/>
                <w:bottom w:val="none" w:sz="0" w:space="0" w:color="auto"/>
                <w:right w:val="none" w:sz="0" w:space="0" w:color="auto"/>
              </w:divBdr>
            </w:div>
            <w:div w:id="1308507947">
              <w:marLeft w:val="0"/>
              <w:marRight w:val="0"/>
              <w:marTop w:val="0"/>
              <w:marBottom w:val="0"/>
              <w:divBdr>
                <w:top w:val="none" w:sz="0" w:space="0" w:color="auto"/>
                <w:left w:val="none" w:sz="0" w:space="0" w:color="auto"/>
                <w:bottom w:val="none" w:sz="0" w:space="0" w:color="auto"/>
                <w:right w:val="none" w:sz="0" w:space="0" w:color="auto"/>
              </w:divBdr>
            </w:div>
            <w:div w:id="1693604725">
              <w:marLeft w:val="0"/>
              <w:marRight w:val="0"/>
              <w:marTop w:val="0"/>
              <w:marBottom w:val="0"/>
              <w:divBdr>
                <w:top w:val="none" w:sz="0" w:space="0" w:color="auto"/>
                <w:left w:val="none" w:sz="0" w:space="0" w:color="auto"/>
                <w:bottom w:val="none" w:sz="0" w:space="0" w:color="auto"/>
                <w:right w:val="none" w:sz="0" w:space="0" w:color="auto"/>
              </w:divBdr>
            </w:div>
            <w:div w:id="1836416538">
              <w:marLeft w:val="0"/>
              <w:marRight w:val="0"/>
              <w:marTop w:val="0"/>
              <w:marBottom w:val="0"/>
              <w:divBdr>
                <w:top w:val="none" w:sz="0" w:space="0" w:color="auto"/>
                <w:left w:val="none" w:sz="0" w:space="0" w:color="auto"/>
                <w:bottom w:val="none" w:sz="0" w:space="0" w:color="auto"/>
                <w:right w:val="none" w:sz="0" w:space="0" w:color="auto"/>
              </w:divBdr>
            </w:div>
          </w:divsChild>
        </w:div>
        <w:div w:id="373772693">
          <w:marLeft w:val="0"/>
          <w:marRight w:val="0"/>
          <w:marTop w:val="0"/>
          <w:marBottom w:val="0"/>
          <w:divBdr>
            <w:top w:val="none" w:sz="0" w:space="0" w:color="auto"/>
            <w:left w:val="none" w:sz="0" w:space="0" w:color="auto"/>
            <w:bottom w:val="none" w:sz="0" w:space="0" w:color="auto"/>
            <w:right w:val="none" w:sz="0" w:space="0" w:color="auto"/>
          </w:divBdr>
        </w:div>
        <w:div w:id="1579093604">
          <w:marLeft w:val="0"/>
          <w:marRight w:val="0"/>
          <w:marTop w:val="0"/>
          <w:marBottom w:val="0"/>
          <w:divBdr>
            <w:top w:val="none" w:sz="0" w:space="0" w:color="auto"/>
            <w:left w:val="none" w:sz="0" w:space="0" w:color="auto"/>
            <w:bottom w:val="none" w:sz="0" w:space="0" w:color="auto"/>
            <w:right w:val="none" w:sz="0" w:space="0" w:color="auto"/>
          </w:divBdr>
          <w:divsChild>
            <w:div w:id="294218333">
              <w:marLeft w:val="0"/>
              <w:marRight w:val="0"/>
              <w:marTop w:val="0"/>
              <w:marBottom w:val="0"/>
              <w:divBdr>
                <w:top w:val="none" w:sz="0" w:space="0" w:color="auto"/>
                <w:left w:val="none" w:sz="0" w:space="0" w:color="auto"/>
                <w:bottom w:val="none" w:sz="0" w:space="0" w:color="auto"/>
                <w:right w:val="none" w:sz="0" w:space="0" w:color="auto"/>
              </w:divBdr>
            </w:div>
            <w:div w:id="1528837703">
              <w:marLeft w:val="0"/>
              <w:marRight w:val="0"/>
              <w:marTop w:val="0"/>
              <w:marBottom w:val="0"/>
              <w:divBdr>
                <w:top w:val="none" w:sz="0" w:space="0" w:color="auto"/>
                <w:left w:val="none" w:sz="0" w:space="0" w:color="auto"/>
                <w:bottom w:val="none" w:sz="0" w:space="0" w:color="auto"/>
                <w:right w:val="none" w:sz="0" w:space="0" w:color="auto"/>
              </w:divBdr>
            </w:div>
          </w:divsChild>
        </w:div>
        <w:div w:id="1708679999">
          <w:marLeft w:val="0"/>
          <w:marRight w:val="0"/>
          <w:marTop w:val="0"/>
          <w:marBottom w:val="0"/>
          <w:divBdr>
            <w:top w:val="none" w:sz="0" w:space="0" w:color="auto"/>
            <w:left w:val="none" w:sz="0" w:space="0" w:color="auto"/>
            <w:bottom w:val="none" w:sz="0" w:space="0" w:color="auto"/>
            <w:right w:val="none" w:sz="0" w:space="0" w:color="auto"/>
          </w:divBdr>
          <w:divsChild>
            <w:div w:id="254750579">
              <w:marLeft w:val="0"/>
              <w:marRight w:val="0"/>
              <w:marTop w:val="0"/>
              <w:marBottom w:val="0"/>
              <w:divBdr>
                <w:top w:val="none" w:sz="0" w:space="0" w:color="auto"/>
                <w:left w:val="none" w:sz="0" w:space="0" w:color="auto"/>
                <w:bottom w:val="none" w:sz="0" w:space="0" w:color="auto"/>
                <w:right w:val="none" w:sz="0" w:space="0" w:color="auto"/>
              </w:divBdr>
            </w:div>
            <w:div w:id="561211437">
              <w:marLeft w:val="0"/>
              <w:marRight w:val="0"/>
              <w:marTop w:val="0"/>
              <w:marBottom w:val="0"/>
              <w:divBdr>
                <w:top w:val="none" w:sz="0" w:space="0" w:color="auto"/>
                <w:left w:val="none" w:sz="0" w:space="0" w:color="auto"/>
                <w:bottom w:val="none" w:sz="0" w:space="0" w:color="auto"/>
                <w:right w:val="none" w:sz="0" w:space="0" w:color="auto"/>
              </w:divBdr>
            </w:div>
            <w:div w:id="727531472">
              <w:marLeft w:val="0"/>
              <w:marRight w:val="0"/>
              <w:marTop w:val="0"/>
              <w:marBottom w:val="0"/>
              <w:divBdr>
                <w:top w:val="none" w:sz="0" w:space="0" w:color="auto"/>
                <w:left w:val="none" w:sz="0" w:space="0" w:color="auto"/>
                <w:bottom w:val="none" w:sz="0" w:space="0" w:color="auto"/>
                <w:right w:val="none" w:sz="0" w:space="0" w:color="auto"/>
              </w:divBdr>
            </w:div>
            <w:div w:id="783379982">
              <w:marLeft w:val="0"/>
              <w:marRight w:val="0"/>
              <w:marTop w:val="0"/>
              <w:marBottom w:val="0"/>
              <w:divBdr>
                <w:top w:val="none" w:sz="0" w:space="0" w:color="auto"/>
                <w:left w:val="none" w:sz="0" w:space="0" w:color="auto"/>
                <w:bottom w:val="none" w:sz="0" w:space="0" w:color="auto"/>
                <w:right w:val="none" w:sz="0" w:space="0" w:color="auto"/>
              </w:divBdr>
            </w:div>
            <w:div w:id="1332372274">
              <w:marLeft w:val="0"/>
              <w:marRight w:val="0"/>
              <w:marTop w:val="0"/>
              <w:marBottom w:val="0"/>
              <w:divBdr>
                <w:top w:val="none" w:sz="0" w:space="0" w:color="auto"/>
                <w:left w:val="none" w:sz="0" w:space="0" w:color="auto"/>
                <w:bottom w:val="none" w:sz="0" w:space="0" w:color="auto"/>
                <w:right w:val="none" w:sz="0" w:space="0" w:color="auto"/>
              </w:divBdr>
            </w:div>
          </w:divsChild>
        </w:div>
        <w:div w:id="1885679413">
          <w:marLeft w:val="0"/>
          <w:marRight w:val="0"/>
          <w:marTop w:val="0"/>
          <w:marBottom w:val="0"/>
          <w:divBdr>
            <w:top w:val="none" w:sz="0" w:space="0" w:color="auto"/>
            <w:left w:val="none" w:sz="0" w:space="0" w:color="auto"/>
            <w:bottom w:val="none" w:sz="0" w:space="0" w:color="auto"/>
            <w:right w:val="none" w:sz="0" w:space="0" w:color="auto"/>
          </w:divBdr>
        </w:div>
      </w:divsChild>
    </w:div>
    <w:div w:id="906184851">
      <w:bodyDiv w:val="1"/>
      <w:marLeft w:val="0"/>
      <w:marRight w:val="0"/>
      <w:marTop w:val="0"/>
      <w:marBottom w:val="0"/>
      <w:divBdr>
        <w:top w:val="none" w:sz="0" w:space="0" w:color="auto"/>
        <w:left w:val="none" w:sz="0" w:space="0" w:color="auto"/>
        <w:bottom w:val="none" w:sz="0" w:space="0" w:color="auto"/>
        <w:right w:val="none" w:sz="0" w:space="0" w:color="auto"/>
      </w:divBdr>
    </w:div>
    <w:div w:id="1332562669">
      <w:bodyDiv w:val="1"/>
      <w:marLeft w:val="0"/>
      <w:marRight w:val="0"/>
      <w:marTop w:val="0"/>
      <w:marBottom w:val="0"/>
      <w:divBdr>
        <w:top w:val="none" w:sz="0" w:space="0" w:color="auto"/>
        <w:left w:val="none" w:sz="0" w:space="0" w:color="auto"/>
        <w:bottom w:val="none" w:sz="0" w:space="0" w:color="auto"/>
        <w:right w:val="none" w:sz="0" w:space="0" w:color="auto"/>
      </w:divBdr>
      <w:divsChild>
        <w:div w:id="533422549">
          <w:marLeft w:val="0"/>
          <w:marRight w:val="0"/>
          <w:marTop w:val="0"/>
          <w:marBottom w:val="0"/>
          <w:divBdr>
            <w:top w:val="none" w:sz="0" w:space="0" w:color="auto"/>
            <w:left w:val="none" w:sz="0" w:space="0" w:color="auto"/>
            <w:bottom w:val="none" w:sz="0" w:space="0" w:color="auto"/>
            <w:right w:val="none" w:sz="0" w:space="0" w:color="auto"/>
          </w:divBdr>
        </w:div>
        <w:div w:id="961838089">
          <w:marLeft w:val="0"/>
          <w:marRight w:val="0"/>
          <w:marTop w:val="0"/>
          <w:marBottom w:val="0"/>
          <w:divBdr>
            <w:top w:val="none" w:sz="0" w:space="0" w:color="auto"/>
            <w:left w:val="none" w:sz="0" w:space="0" w:color="auto"/>
            <w:bottom w:val="none" w:sz="0" w:space="0" w:color="auto"/>
            <w:right w:val="none" w:sz="0" w:space="0" w:color="auto"/>
          </w:divBdr>
        </w:div>
      </w:divsChild>
    </w:div>
    <w:div w:id="1579169234">
      <w:bodyDiv w:val="1"/>
      <w:marLeft w:val="0"/>
      <w:marRight w:val="0"/>
      <w:marTop w:val="0"/>
      <w:marBottom w:val="0"/>
      <w:divBdr>
        <w:top w:val="none" w:sz="0" w:space="0" w:color="auto"/>
        <w:left w:val="none" w:sz="0" w:space="0" w:color="auto"/>
        <w:bottom w:val="none" w:sz="0" w:space="0" w:color="auto"/>
        <w:right w:val="none" w:sz="0" w:space="0" w:color="auto"/>
      </w:divBdr>
      <w:divsChild>
        <w:div w:id="446850274">
          <w:marLeft w:val="0"/>
          <w:marRight w:val="0"/>
          <w:marTop w:val="0"/>
          <w:marBottom w:val="0"/>
          <w:divBdr>
            <w:top w:val="none" w:sz="0" w:space="0" w:color="auto"/>
            <w:left w:val="none" w:sz="0" w:space="0" w:color="auto"/>
            <w:bottom w:val="none" w:sz="0" w:space="0" w:color="auto"/>
            <w:right w:val="none" w:sz="0" w:space="0" w:color="auto"/>
          </w:divBdr>
        </w:div>
        <w:div w:id="559826249">
          <w:marLeft w:val="0"/>
          <w:marRight w:val="0"/>
          <w:marTop w:val="0"/>
          <w:marBottom w:val="0"/>
          <w:divBdr>
            <w:top w:val="none" w:sz="0" w:space="0" w:color="auto"/>
            <w:left w:val="none" w:sz="0" w:space="0" w:color="auto"/>
            <w:bottom w:val="none" w:sz="0" w:space="0" w:color="auto"/>
            <w:right w:val="none" w:sz="0" w:space="0" w:color="auto"/>
          </w:divBdr>
        </w:div>
      </w:divsChild>
    </w:div>
    <w:div w:id="1722749710">
      <w:bodyDiv w:val="1"/>
      <w:marLeft w:val="0"/>
      <w:marRight w:val="0"/>
      <w:marTop w:val="0"/>
      <w:marBottom w:val="0"/>
      <w:divBdr>
        <w:top w:val="none" w:sz="0" w:space="0" w:color="auto"/>
        <w:left w:val="none" w:sz="0" w:space="0" w:color="auto"/>
        <w:bottom w:val="none" w:sz="0" w:space="0" w:color="auto"/>
        <w:right w:val="none" w:sz="0" w:space="0" w:color="auto"/>
      </w:divBdr>
      <w:divsChild>
        <w:div w:id="2899731">
          <w:marLeft w:val="0"/>
          <w:marRight w:val="0"/>
          <w:marTop w:val="0"/>
          <w:marBottom w:val="0"/>
          <w:divBdr>
            <w:top w:val="none" w:sz="0" w:space="0" w:color="auto"/>
            <w:left w:val="none" w:sz="0" w:space="0" w:color="auto"/>
            <w:bottom w:val="none" w:sz="0" w:space="0" w:color="auto"/>
            <w:right w:val="none" w:sz="0" w:space="0" w:color="auto"/>
          </w:divBdr>
        </w:div>
        <w:div w:id="86971346">
          <w:marLeft w:val="0"/>
          <w:marRight w:val="0"/>
          <w:marTop w:val="0"/>
          <w:marBottom w:val="0"/>
          <w:divBdr>
            <w:top w:val="none" w:sz="0" w:space="0" w:color="auto"/>
            <w:left w:val="none" w:sz="0" w:space="0" w:color="auto"/>
            <w:bottom w:val="none" w:sz="0" w:space="0" w:color="auto"/>
            <w:right w:val="none" w:sz="0" w:space="0" w:color="auto"/>
          </w:divBdr>
        </w:div>
        <w:div w:id="175926768">
          <w:marLeft w:val="0"/>
          <w:marRight w:val="0"/>
          <w:marTop w:val="0"/>
          <w:marBottom w:val="0"/>
          <w:divBdr>
            <w:top w:val="none" w:sz="0" w:space="0" w:color="auto"/>
            <w:left w:val="none" w:sz="0" w:space="0" w:color="auto"/>
            <w:bottom w:val="none" w:sz="0" w:space="0" w:color="auto"/>
            <w:right w:val="none" w:sz="0" w:space="0" w:color="auto"/>
          </w:divBdr>
        </w:div>
        <w:div w:id="253708120">
          <w:marLeft w:val="0"/>
          <w:marRight w:val="0"/>
          <w:marTop w:val="0"/>
          <w:marBottom w:val="0"/>
          <w:divBdr>
            <w:top w:val="none" w:sz="0" w:space="0" w:color="auto"/>
            <w:left w:val="none" w:sz="0" w:space="0" w:color="auto"/>
            <w:bottom w:val="none" w:sz="0" w:space="0" w:color="auto"/>
            <w:right w:val="none" w:sz="0" w:space="0" w:color="auto"/>
          </w:divBdr>
        </w:div>
        <w:div w:id="295644769">
          <w:marLeft w:val="0"/>
          <w:marRight w:val="0"/>
          <w:marTop w:val="0"/>
          <w:marBottom w:val="0"/>
          <w:divBdr>
            <w:top w:val="none" w:sz="0" w:space="0" w:color="auto"/>
            <w:left w:val="none" w:sz="0" w:space="0" w:color="auto"/>
            <w:bottom w:val="none" w:sz="0" w:space="0" w:color="auto"/>
            <w:right w:val="none" w:sz="0" w:space="0" w:color="auto"/>
          </w:divBdr>
        </w:div>
        <w:div w:id="542139162">
          <w:marLeft w:val="0"/>
          <w:marRight w:val="0"/>
          <w:marTop w:val="0"/>
          <w:marBottom w:val="0"/>
          <w:divBdr>
            <w:top w:val="none" w:sz="0" w:space="0" w:color="auto"/>
            <w:left w:val="none" w:sz="0" w:space="0" w:color="auto"/>
            <w:bottom w:val="none" w:sz="0" w:space="0" w:color="auto"/>
            <w:right w:val="none" w:sz="0" w:space="0" w:color="auto"/>
          </w:divBdr>
        </w:div>
        <w:div w:id="591814325">
          <w:marLeft w:val="0"/>
          <w:marRight w:val="0"/>
          <w:marTop w:val="0"/>
          <w:marBottom w:val="0"/>
          <w:divBdr>
            <w:top w:val="none" w:sz="0" w:space="0" w:color="auto"/>
            <w:left w:val="none" w:sz="0" w:space="0" w:color="auto"/>
            <w:bottom w:val="none" w:sz="0" w:space="0" w:color="auto"/>
            <w:right w:val="none" w:sz="0" w:space="0" w:color="auto"/>
          </w:divBdr>
        </w:div>
        <w:div w:id="593171459">
          <w:marLeft w:val="0"/>
          <w:marRight w:val="0"/>
          <w:marTop w:val="0"/>
          <w:marBottom w:val="0"/>
          <w:divBdr>
            <w:top w:val="none" w:sz="0" w:space="0" w:color="auto"/>
            <w:left w:val="none" w:sz="0" w:space="0" w:color="auto"/>
            <w:bottom w:val="none" w:sz="0" w:space="0" w:color="auto"/>
            <w:right w:val="none" w:sz="0" w:space="0" w:color="auto"/>
          </w:divBdr>
        </w:div>
        <w:div w:id="897712576">
          <w:marLeft w:val="0"/>
          <w:marRight w:val="0"/>
          <w:marTop w:val="0"/>
          <w:marBottom w:val="0"/>
          <w:divBdr>
            <w:top w:val="none" w:sz="0" w:space="0" w:color="auto"/>
            <w:left w:val="none" w:sz="0" w:space="0" w:color="auto"/>
            <w:bottom w:val="none" w:sz="0" w:space="0" w:color="auto"/>
            <w:right w:val="none" w:sz="0" w:space="0" w:color="auto"/>
          </w:divBdr>
        </w:div>
        <w:div w:id="1034427287">
          <w:marLeft w:val="0"/>
          <w:marRight w:val="0"/>
          <w:marTop w:val="0"/>
          <w:marBottom w:val="0"/>
          <w:divBdr>
            <w:top w:val="none" w:sz="0" w:space="0" w:color="auto"/>
            <w:left w:val="none" w:sz="0" w:space="0" w:color="auto"/>
            <w:bottom w:val="none" w:sz="0" w:space="0" w:color="auto"/>
            <w:right w:val="none" w:sz="0" w:space="0" w:color="auto"/>
          </w:divBdr>
        </w:div>
        <w:div w:id="1111582841">
          <w:marLeft w:val="0"/>
          <w:marRight w:val="0"/>
          <w:marTop w:val="0"/>
          <w:marBottom w:val="0"/>
          <w:divBdr>
            <w:top w:val="none" w:sz="0" w:space="0" w:color="auto"/>
            <w:left w:val="none" w:sz="0" w:space="0" w:color="auto"/>
            <w:bottom w:val="none" w:sz="0" w:space="0" w:color="auto"/>
            <w:right w:val="none" w:sz="0" w:space="0" w:color="auto"/>
          </w:divBdr>
        </w:div>
        <w:div w:id="1205286380">
          <w:marLeft w:val="0"/>
          <w:marRight w:val="0"/>
          <w:marTop w:val="0"/>
          <w:marBottom w:val="0"/>
          <w:divBdr>
            <w:top w:val="none" w:sz="0" w:space="0" w:color="auto"/>
            <w:left w:val="none" w:sz="0" w:space="0" w:color="auto"/>
            <w:bottom w:val="none" w:sz="0" w:space="0" w:color="auto"/>
            <w:right w:val="none" w:sz="0" w:space="0" w:color="auto"/>
          </w:divBdr>
        </w:div>
        <w:div w:id="1560361172">
          <w:marLeft w:val="0"/>
          <w:marRight w:val="0"/>
          <w:marTop w:val="0"/>
          <w:marBottom w:val="0"/>
          <w:divBdr>
            <w:top w:val="none" w:sz="0" w:space="0" w:color="auto"/>
            <w:left w:val="none" w:sz="0" w:space="0" w:color="auto"/>
            <w:bottom w:val="none" w:sz="0" w:space="0" w:color="auto"/>
            <w:right w:val="none" w:sz="0" w:space="0" w:color="auto"/>
          </w:divBdr>
        </w:div>
        <w:div w:id="1946574212">
          <w:marLeft w:val="0"/>
          <w:marRight w:val="0"/>
          <w:marTop w:val="0"/>
          <w:marBottom w:val="0"/>
          <w:divBdr>
            <w:top w:val="none" w:sz="0" w:space="0" w:color="auto"/>
            <w:left w:val="none" w:sz="0" w:space="0" w:color="auto"/>
            <w:bottom w:val="none" w:sz="0" w:space="0" w:color="auto"/>
            <w:right w:val="none" w:sz="0" w:space="0" w:color="auto"/>
          </w:divBdr>
        </w:div>
        <w:div w:id="2042897997">
          <w:marLeft w:val="0"/>
          <w:marRight w:val="0"/>
          <w:marTop w:val="0"/>
          <w:marBottom w:val="0"/>
          <w:divBdr>
            <w:top w:val="none" w:sz="0" w:space="0" w:color="auto"/>
            <w:left w:val="none" w:sz="0" w:space="0" w:color="auto"/>
            <w:bottom w:val="none" w:sz="0" w:space="0" w:color="auto"/>
            <w:right w:val="none" w:sz="0" w:space="0" w:color="auto"/>
          </w:divBdr>
        </w:div>
      </w:divsChild>
    </w:div>
    <w:div w:id="1816097902">
      <w:bodyDiv w:val="1"/>
      <w:marLeft w:val="0"/>
      <w:marRight w:val="0"/>
      <w:marTop w:val="0"/>
      <w:marBottom w:val="0"/>
      <w:divBdr>
        <w:top w:val="none" w:sz="0" w:space="0" w:color="auto"/>
        <w:left w:val="none" w:sz="0" w:space="0" w:color="auto"/>
        <w:bottom w:val="none" w:sz="0" w:space="0" w:color="auto"/>
        <w:right w:val="none" w:sz="0" w:space="0" w:color="auto"/>
      </w:divBdr>
    </w:div>
    <w:div w:id="1851024659">
      <w:bodyDiv w:val="1"/>
      <w:marLeft w:val="0"/>
      <w:marRight w:val="0"/>
      <w:marTop w:val="0"/>
      <w:marBottom w:val="0"/>
      <w:divBdr>
        <w:top w:val="none" w:sz="0" w:space="0" w:color="auto"/>
        <w:left w:val="none" w:sz="0" w:space="0" w:color="auto"/>
        <w:bottom w:val="none" w:sz="0" w:space="0" w:color="auto"/>
        <w:right w:val="none" w:sz="0" w:space="0" w:color="auto"/>
      </w:divBdr>
      <w:divsChild>
        <w:div w:id="869874250">
          <w:marLeft w:val="0"/>
          <w:marRight w:val="0"/>
          <w:marTop w:val="0"/>
          <w:marBottom w:val="0"/>
          <w:divBdr>
            <w:top w:val="none" w:sz="0" w:space="0" w:color="auto"/>
            <w:left w:val="none" w:sz="0" w:space="0" w:color="auto"/>
            <w:bottom w:val="none" w:sz="0" w:space="0" w:color="auto"/>
            <w:right w:val="none" w:sz="0" w:space="0" w:color="auto"/>
          </w:divBdr>
        </w:div>
        <w:div w:id="1396053336">
          <w:marLeft w:val="0"/>
          <w:marRight w:val="0"/>
          <w:marTop w:val="0"/>
          <w:marBottom w:val="0"/>
          <w:divBdr>
            <w:top w:val="none" w:sz="0" w:space="0" w:color="auto"/>
            <w:left w:val="none" w:sz="0" w:space="0" w:color="auto"/>
            <w:bottom w:val="none" w:sz="0" w:space="0" w:color="auto"/>
            <w:right w:val="none" w:sz="0" w:space="0" w:color="auto"/>
          </w:divBdr>
        </w:div>
      </w:divsChild>
    </w:div>
    <w:div w:id="1963414982">
      <w:bodyDiv w:val="1"/>
      <w:marLeft w:val="0"/>
      <w:marRight w:val="0"/>
      <w:marTop w:val="0"/>
      <w:marBottom w:val="0"/>
      <w:divBdr>
        <w:top w:val="none" w:sz="0" w:space="0" w:color="auto"/>
        <w:left w:val="none" w:sz="0" w:space="0" w:color="auto"/>
        <w:bottom w:val="none" w:sz="0" w:space="0" w:color="auto"/>
        <w:right w:val="none" w:sz="0" w:space="0" w:color="auto"/>
      </w:divBdr>
    </w:div>
    <w:div w:id="1964381095">
      <w:bodyDiv w:val="1"/>
      <w:marLeft w:val="0"/>
      <w:marRight w:val="0"/>
      <w:marTop w:val="0"/>
      <w:marBottom w:val="0"/>
      <w:divBdr>
        <w:top w:val="none" w:sz="0" w:space="0" w:color="auto"/>
        <w:left w:val="none" w:sz="0" w:space="0" w:color="auto"/>
        <w:bottom w:val="none" w:sz="0" w:space="0" w:color="auto"/>
        <w:right w:val="none" w:sz="0" w:space="0" w:color="auto"/>
      </w:divBdr>
      <w:divsChild>
        <w:div w:id="11803788">
          <w:marLeft w:val="0"/>
          <w:marRight w:val="0"/>
          <w:marTop w:val="0"/>
          <w:marBottom w:val="0"/>
          <w:divBdr>
            <w:top w:val="none" w:sz="0" w:space="0" w:color="auto"/>
            <w:left w:val="none" w:sz="0" w:space="0" w:color="auto"/>
            <w:bottom w:val="none" w:sz="0" w:space="0" w:color="auto"/>
            <w:right w:val="none" w:sz="0" w:space="0" w:color="auto"/>
          </w:divBdr>
          <w:divsChild>
            <w:div w:id="1414157748">
              <w:marLeft w:val="0"/>
              <w:marRight w:val="0"/>
              <w:marTop w:val="0"/>
              <w:marBottom w:val="0"/>
              <w:divBdr>
                <w:top w:val="none" w:sz="0" w:space="0" w:color="auto"/>
                <w:left w:val="none" w:sz="0" w:space="0" w:color="auto"/>
                <w:bottom w:val="none" w:sz="0" w:space="0" w:color="auto"/>
                <w:right w:val="none" w:sz="0" w:space="0" w:color="auto"/>
              </w:divBdr>
            </w:div>
          </w:divsChild>
        </w:div>
        <w:div w:id="295916416">
          <w:marLeft w:val="0"/>
          <w:marRight w:val="0"/>
          <w:marTop w:val="0"/>
          <w:marBottom w:val="0"/>
          <w:divBdr>
            <w:top w:val="none" w:sz="0" w:space="0" w:color="auto"/>
            <w:left w:val="none" w:sz="0" w:space="0" w:color="auto"/>
            <w:bottom w:val="none" w:sz="0" w:space="0" w:color="auto"/>
            <w:right w:val="none" w:sz="0" w:space="0" w:color="auto"/>
          </w:divBdr>
          <w:divsChild>
            <w:div w:id="667833844">
              <w:marLeft w:val="0"/>
              <w:marRight w:val="0"/>
              <w:marTop w:val="0"/>
              <w:marBottom w:val="0"/>
              <w:divBdr>
                <w:top w:val="none" w:sz="0" w:space="0" w:color="auto"/>
                <w:left w:val="none" w:sz="0" w:space="0" w:color="auto"/>
                <w:bottom w:val="none" w:sz="0" w:space="0" w:color="auto"/>
                <w:right w:val="none" w:sz="0" w:space="0" w:color="auto"/>
              </w:divBdr>
            </w:div>
          </w:divsChild>
        </w:div>
        <w:div w:id="356661155">
          <w:marLeft w:val="0"/>
          <w:marRight w:val="0"/>
          <w:marTop w:val="0"/>
          <w:marBottom w:val="0"/>
          <w:divBdr>
            <w:top w:val="none" w:sz="0" w:space="0" w:color="auto"/>
            <w:left w:val="none" w:sz="0" w:space="0" w:color="auto"/>
            <w:bottom w:val="none" w:sz="0" w:space="0" w:color="auto"/>
            <w:right w:val="none" w:sz="0" w:space="0" w:color="auto"/>
          </w:divBdr>
          <w:divsChild>
            <w:div w:id="239676940">
              <w:marLeft w:val="0"/>
              <w:marRight w:val="0"/>
              <w:marTop w:val="0"/>
              <w:marBottom w:val="0"/>
              <w:divBdr>
                <w:top w:val="none" w:sz="0" w:space="0" w:color="auto"/>
                <w:left w:val="none" w:sz="0" w:space="0" w:color="auto"/>
                <w:bottom w:val="none" w:sz="0" w:space="0" w:color="auto"/>
                <w:right w:val="none" w:sz="0" w:space="0" w:color="auto"/>
              </w:divBdr>
            </w:div>
          </w:divsChild>
        </w:div>
        <w:div w:id="434208763">
          <w:marLeft w:val="0"/>
          <w:marRight w:val="0"/>
          <w:marTop w:val="0"/>
          <w:marBottom w:val="0"/>
          <w:divBdr>
            <w:top w:val="none" w:sz="0" w:space="0" w:color="auto"/>
            <w:left w:val="none" w:sz="0" w:space="0" w:color="auto"/>
            <w:bottom w:val="none" w:sz="0" w:space="0" w:color="auto"/>
            <w:right w:val="none" w:sz="0" w:space="0" w:color="auto"/>
          </w:divBdr>
          <w:divsChild>
            <w:div w:id="1190413214">
              <w:marLeft w:val="0"/>
              <w:marRight w:val="0"/>
              <w:marTop w:val="0"/>
              <w:marBottom w:val="0"/>
              <w:divBdr>
                <w:top w:val="none" w:sz="0" w:space="0" w:color="auto"/>
                <w:left w:val="none" w:sz="0" w:space="0" w:color="auto"/>
                <w:bottom w:val="none" w:sz="0" w:space="0" w:color="auto"/>
                <w:right w:val="none" w:sz="0" w:space="0" w:color="auto"/>
              </w:divBdr>
            </w:div>
          </w:divsChild>
        </w:div>
        <w:div w:id="458689972">
          <w:marLeft w:val="0"/>
          <w:marRight w:val="0"/>
          <w:marTop w:val="0"/>
          <w:marBottom w:val="0"/>
          <w:divBdr>
            <w:top w:val="none" w:sz="0" w:space="0" w:color="auto"/>
            <w:left w:val="none" w:sz="0" w:space="0" w:color="auto"/>
            <w:bottom w:val="none" w:sz="0" w:space="0" w:color="auto"/>
            <w:right w:val="none" w:sz="0" w:space="0" w:color="auto"/>
          </w:divBdr>
          <w:divsChild>
            <w:div w:id="2091461165">
              <w:marLeft w:val="0"/>
              <w:marRight w:val="0"/>
              <w:marTop w:val="0"/>
              <w:marBottom w:val="0"/>
              <w:divBdr>
                <w:top w:val="none" w:sz="0" w:space="0" w:color="auto"/>
                <w:left w:val="none" w:sz="0" w:space="0" w:color="auto"/>
                <w:bottom w:val="none" w:sz="0" w:space="0" w:color="auto"/>
                <w:right w:val="none" w:sz="0" w:space="0" w:color="auto"/>
              </w:divBdr>
            </w:div>
          </w:divsChild>
        </w:div>
        <w:div w:id="744379186">
          <w:marLeft w:val="0"/>
          <w:marRight w:val="0"/>
          <w:marTop w:val="0"/>
          <w:marBottom w:val="0"/>
          <w:divBdr>
            <w:top w:val="none" w:sz="0" w:space="0" w:color="auto"/>
            <w:left w:val="none" w:sz="0" w:space="0" w:color="auto"/>
            <w:bottom w:val="none" w:sz="0" w:space="0" w:color="auto"/>
            <w:right w:val="none" w:sz="0" w:space="0" w:color="auto"/>
          </w:divBdr>
          <w:divsChild>
            <w:div w:id="1968779085">
              <w:marLeft w:val="0"/>
              <w:marRight w:val="0"/>
              <w:marTop w:val="0"/>
              <w:marBottom w:val="0"/>
              <w:divBdr>
                <w:top w:val="none" w:sz="0" w:space="0" w:color="auto"/>
                <w:left w:val="none" w:sz="0" w:space="0" w:color="auto"/>
                <w:bottom w:val="none" w:sz="0" w:space="0" w:color="auto"/>
                <w:right w:val="none" w:sz="0" w:space="0" w:color="auto"/>
              </w:divBdr>
            </w:div>
          </w:divsChild>
        </w:div>
        <w:div w:id="784928542">
          <w:marLeft w:val="0"/>
          <w:marRight w:val="0"/>
          <w:marTop w:val="0"/>
          <w:marBottom w:val="0"/>
          <w:divBdr>
            <w:top w:val="none" w:sz="0" w:space="0" w:color="auto"/>
            <w:left w:val="none" w:sz="0" w:space="0" w:color="auto"/>
            <w:bottom w:val="none" w:sz="0" w:space="0" w:color="auto"/>
            <w:right w:val="none" w:sz="0" w:space="0" w:color="auto"/>
          </w:divBdr>
          <w:divsChild>
            <w:div w:id="1001542206">
              <w:marLeft w:val="0"/>
              <w:marRight w:val="0"/>
              <w:marTop w:val="0"/>
              <w:marBottom w:val="0"/>
              <w:divBdr>
                <w:top w:val="none" w:sz="0" w:space="0" w:color="auto"/>
                <w:left w:val="none" w:sz="0" w:space="0" w:color="auto"/>
                <w:bottom w:val="none" w:sz="0" w:space="0" w:color="auto"/>
                <w:right w:val="none" w:sz="0" w:space="0" w:color="auto"/>
              </w:divBdr>
            </w:div>
          </w:divsChild>
        </w:div>
        <w:div w:id="819342495">
          <w:marLeft w:val="0"/>
          <w:marRight w:val="0"/>
          <w:marTop w:val="0"/>
          <w:marBottom w:val="0"/>
          <w:divBdr>
            <w:top w:val="none" w:sz="0" w:space="0" w:color="auto"/>
            <w:left w:val="none" w:sz="0" w:space="0" w:color="auto"/>
            <w:bottom w:val="none" w:sz="0" w:space="0" w:color="auto"/>
            <w:right w:val="none" w:sz="0" w:space="0" w:color="auto"/>
          </w:divBdr>
          <w:divsChild>
            <w:div w:id="139002274">
              <w:marLeft w:val="0"/>
              <w:marRight w:val="0"/>
              <w:marTop w:val="0"/>
              <w:marBottom w:val="0"/>
              <w:divBdr>
                <w:top w:val="none" w:sz="0" w:space="0" w:color="auto"/>
                <w:left w:val="none" w:sz="0" w:space="0" w:color="auto"/>
                <w:bottom w:val="none" w:sz="0" w:space="0" w:color="auto"/>
                <w:right w:val="none" w:sz="0" w:space="0" w:color="auto"/>
              </w:divBdr>
            </w:div>
            <w:div w:id="1366370187">
              <w:marLeft w:val="0"/>
              <w:marRight w:val="0"/>
              <w:marTop w:val="0"/>
              <w:marBottom w:val="0"/>
              <w:divBdr>
                <w:top w:val="none" w:sz="0" w:space="0" w:color="auto"/>
                <w:left w:val="none" w:sz="0" w:space="0" w:color="auto"/>
                <w:bottom w:val="none" w:sz="0" w:space="0" w:color="auto"/>
                <w:right w:val="none" w:sz="0" w:space="0" w:color="auto"/>
              </w:divBdr>
            </w:div>
          </w:divsChild>
        </w:div>
        <w:div w:id="976184326">
          <w:marLeft w:val="0"/>
          <w:marRight w:val="0"/>
          <w:marTop w:val="0"/>
          <w:marBottom w:val="0"/>
          <w:divBdr>
            <w:top w:val="none" w:sz="0" w:space="0" w:color="auto"/>
            <w:left w:val="none" w:sz="0" w:space="0" w:color="auto"/>
            <w:bottom w:val="none" w:sz="0" w:space="0" w:color="auto"/>
            <w:right w:val="none" w:sz="0" w:space="0" w:color="auto"/>
          </w:divBdr>
          <w:divsChild>
            <w:div w:id="911278645">
              <w:marLeft w:val="0"/>
              <w:marRight w:val="0"/>
              <w:marTop w:val="0"/>
              <w:marBottom w:val="0"/>
              <w:divBdr>
                <w:top w:val="none" w:sz="0" w:space="0" w:color="auto"/>
                <w:left w:val="none" w:sz="0" w:space="0" w:color="auto"/>
                <w:bottom w:val="none" w:sz="0" w:space="0" w:color="auto"/>
                <w:right w:val="none" w:sz="0" w:space="0" w:color="auto"/>
              </w:divBdr>
            </w:div>
          </w:divsChild>
        </w:div>
        <w:div w:id="1041631708">
          <w:marLeft w:val="0"/>
          <w:marRight w:val="0"/>
          <w:marTop w:val="0"/>
          <w:marBottom w:val="0"/>
          <w:divBdr>
            <w:top w:val="none" w:sz="0" w:space="0" w:color="auto"/>
            <w:left w:val="none" w:sz="0" w:space="0" w:color="auto"/>
            <w:bottom w:val="none" w:sz="0" w:space="0" w:color="auto"/>
            <w:right w:val="none" w:sz="0" w:space="0" w:color="auto"/>
          </w:divBdr>
          <w:divsChild>
            <w:div w:id="435639847">
              <w:marLeft w:val="0"/>
              <w:marRight w:val="0"/>
              <w:marTop w:val="0"/>
              <w:marBottom w:val="0"/>
              <w:divBdr>
                <w:top w:val="none" w:sz="0" w:space="0" w:color="auto"/>
                <w:left w:val="none" w:sz="0" w:space="0" w:color="auto"/>
                <w:bottom w:val="none" w:sz="0" w:space="0" w:color="auto"/>
                <w:right w:val="none" w:sz="0" w:space="0" w:color="auto"/>
              </w:divBdr>
            </w:div>
          </w:divsChild>
        </w:div>
        <w:div w:id="1072118035">
          <w:marLeft w:val="0"/>
          <w:marRight w:val="0"/>
          <w:marTop w:val="0"/>
          <w:marBottom w:val="0"/>
          <w:divBdr>
            <w:top w:val="none" w:sz="0" w:space="0" w:color="auto"/>
            <w:left w:val="none" w:sz="0" w:space="0" w:color="auto"/>
            <w:bottom w:val="none" w:sz="0" w:space="0" w:color="auto"/>
            <w:right w:val="none" w:sz="0" w:space="0" w:color="auto"/>
          </w:divBdr>
          <w:divsChild>
            <w:div w:id="1524858186">
              <w:marLeft w:val="0"/>
              <w:marRight w:val="0"/>
              <w:marTop w:val="0"/>
              <w:marBottom w:val="0"/>
              <w:divBdr>
                <w:top w:val="none" w:sz="0" w:space="0" w:color="auto"/>
                <w:left w:val="none" w:sz="0" w:space="0" w:color="auto"/>
                <w:bottom w:val="none" w:sz="0" w:space="0" w:color="auto"/>
                <w:right w:val="none" w:sz="0" w:space="0" w:color="auto"/>
              </w:divBdr>
            </w:div>
          </w:divsChild>
        </w:div>
        <w:div w:id="1163474879">
          <w:marLeft w:val="0"/>
          <w:marRight w:val="0"/>
          <w:marTop w:val="0"/>
          <w:marBottom w:val="0"/>
          <w:divBdr>
            <w:top w:val="none" w:sz="0" w:space="0" w:color="auto"/>
            <w:left w:val="none" w:sz="0" w:space="0" w:color="auto"/>
            <w:bottom w:val="none" w:sz="0" w:space="0" w:color="auto"/>
            <w:right w:val="none" w:sz="0" w:space="0" w:color="auto"/>
          </w:divBdr>
          <w:divsChild>
            <w:div w:id="718017873">
              <w:marLeft w:val="0"/>
              <w:marRight w:val="0"/>
              <w:marTop w:val="0"/>
              <w:marBottom w:val="0"/>
              <w:divBdr>
                <w:top w:val="none" w:sz="0" w:space="0" w:color="auto"/>
                <w:left w:val="none" w:sz="0" w:space="0" w:color="auto"/>
                <w:bottom w:val="none" w:sz="0" w:space="0" w:color="auto"/>
                <w:right w:val="none" w:sz="0" w:space="0" w:color="auto"/>
              </w:divBdr>
            </w:div>
          </w:divsChild>
        </w:div>
        <w:div w:id="1265916367">
          <w:marLeft w:val="0"/>
          <w:marRight w:val="0"/>
          <w:marTop w:val="0"/>
          <w:marBottom w:val="0"/>
          <w:divBdr>
            <w:top w:val="none" w:sz="0" w:space="0" w:color="auto"/>
            <w:left w:val="none" w:sz="0" w:space="0" w:color="auto"/>
            <w:bottom w:val="none" w:sz="0" w:space="0" w:color="auto"/>
            <w:right w:val="none" w:sz="0" w:space="0" w:color="auto"/>
          </w:divBdr>
          <w:divsChild>
            <w:div w:id="1075972986">
              <w:marLeft w:val="0"/>
              <w:marRight w:val="0"/>
              <w:marTop w:val="0"/>
              <w:marBottom w:val="0"/>
              <w:divBdr>
                <w:top w:val="none" w:sz="0" w:space="0" w:color="auto"/>
                <w:left w:val="none" w:sz="0" w:space="0" w:color="auto"/>
                <w:bottom w:val="none" w:sz="0" w:space="0" w:color="auto"/>
                <w:right w:val="none" w:sz="0" w:space="0" w:color="auto"/>
              </w:divBdr>
            </w:div>
          </w:divsChild>
        </w:div>
        <w:div w:id="1363048319">
          <w:marLeft w:val="0"/>
          <w:marRight w:val="0"/>
          <w:marTop w:val="0"/>
          <w:marBottom w:val="0"/>
          <w:divBdr>
            <w:top w:val="none" w:sz="0" w:space="0" w:color="auto"/>
            <w:left w:val="none" w:sz="0" w:space="0" w:color="auto"/>
            <w:bottom w:val="none" w:sz="0" w:space="0" w:color="auto"/>
            <w:right w:val="none" w:sz="0" w:space="0" w:color="auto"/>
          </w:divBdr>
          <w:divsChild>
            <w:div w:id="323052074">
              <w:marLeft w:val="0"/>
              <w:marRight w:val="0"/>
              <w:marTop w:val="0"/>
              <w:marBottom w:val="0"/>
              <w:divBdr>
                <w:top w:val="none" w:sz="0" w:space="0" w:color="auto"/>
                <w:left w:val="none" w:sz="0" w:space="0" w:color="auto"/>
                <w:bottom w:val="none" w:sz="0" w:space="0" w:color="auto"/>
                <w:right w:val="none" w:sz="0" w:space="0" w:color="auto"/>
              </w:divBdr>
            </w:div>
            <w:div w:id="2072194393">
              <w:marLeft w:val="0"/>
              <w:marRight w:val="0"/>
              <w:marTop w:val="0"/>
              <w:marBottom w:val="0"/>
              <w:divBdr>
                <w:top w:val="none" w:sz="0" w:space="0" w:color="auto"/>
                <w:left w:val="none" w:sz="0" w:space="0" w:color="auto"/>
                <w:bottom w:val="none" w:sz="0" w:space="0" w:color="auto"/>
                <w:right w:val="none" w:sz="0" w:space="0" w:color="auto"/>
              </w:divBdr>
            </w:div>
          </w:divsChild>
        </w:div>
        <w:div w:id="1412854858">
          <w:marLeft w:val="0"/>
          <w:marRight w:val="0"/>
          <w:marTop w:val="0"/>
          <w:marBottom w:val="0"/>
          <w:divBdr>
            <w:top w:val="none" w:sz="0" w:space="0" w:color="auto"/>
            <w:left w:val="none" w:sz="0" w:space="0" w:color="auto"/>
            <w:bottom w:val="none" w:sz="0" w:space="0" w:color="auto"/>
            <w:right w:val="none" w:sz="0" w:space="0" w:color="auto"/>
          </w:divBdr>
          <w:divsChild>
            <w:div w:id="148638279">
              <w:marLeft w:val="0"/>
              <w:marRight w:val="0"/>
              <w:marTop w:val="0"/>
              <w:marBottom w:val="0"/>
              <w:divBdr>
                <w:top w:val="none" w:sz="0" w:space="0" w:color="auto"/>
                <w:left w:val="none" w:sz="0" w:space="0" w:color="auto"/>
                <w:bottom w:val="none" w:sz="0" w:space="0" w:color="auto"/>
                <w:right w:val="none" w:sz="0" w:space="0" w:color="auto"/>
              </w:divBdr>
            </w:div>
          </w:divsChild>
        </w:div>
        <w:div w:id="1415053650">
          <w:marLeft w:val="0"/>
          <w:marRight w:val="0"/>
          <w:marTop w:val="0"/>
          <w:marBottom w:val="0"/>
          <w:divBdr>
            <w:top w:val="none" w:sz="0" w:space="0" w:color="auto"/>
            <w:left w:val="none" w:sz="0" w:space="0" w:color="auto"/>
            <w:bottom w:val="none" w:sz="0" w:space="0" w:color="auto"/>
            <w:right w:val="none" w:sz="0" w:space="0" w:color="auto"/>
          </w:divBdr>
          <w:divsChild>
            <w:div w:id="55209447">
              <w:marLeft w:val="0"/>
              <w:marRight w:val="0"/>
              <w:marTop w:val="0"/>
              <w:marBottom w:val="0"/>
              <w:divBdr>
                <w:top w:val="none" w:sz="0" w:space="0" w:color="auto"/>
                <w:left w:val="none" w:sz="0" w:space="0" w:color="auto"/>
                <w:bottom w:val="none" w:sz="0" w:space="0" w:color="auto"/>
                <w:right w:val="none" w:sz="0" w:space="0" w:color="auto"/>
              </w:divBdr>
            </w:div>
          </w:divsChild>
        </w:div>
        <w:div w:id="1431243260">
          <w:marLeft w:val="0"/>
          <w:marRight w:val="0"/>
          <w:marTop w:val="0"/>
          <w:marBottom w:val="0"/>
          <w:divBdr>
            <w:top w:val="none" w:sz="0" w:space="0" w:color="auto"/>
            <w:left w:val="none" w:sz="0" w:space="0" w:color="auto"/>
            <w:bottom w:val="none" w:sz="0" w:space="0" w:color="auto"/>
            <w:right w:val="none" w:sz="0" w:space="0" w:color="auto"/>
          </w:divBdr>
          <w:divsChild>
            <w:div w:id="1804151980">
              <w:marLeft w:val="0"/>
              <w:marRight w:val="0"/>
              <w:marTop w:val="0"/>
              <w:marBottom w:val="0"/>
              <w:divBdr>
                <w:top w:val="none" w:sz="0" w:space="0" w:color="auto"/>
                <w:left w:val="none" w:sz="0" w:space="0" w:color="auto"/>
                <w:bottom w:val="none" w:sz="0" w:space="0" w:color="auto"/>
                <w:right w:val="none" w:sz="0" w:space="0" w:color="auto"/>
              </w:divBdr>
            </w:div>
          </w:divsChild>
        </w:div>
        <w:div w:id="1495532064">
          <w:marLeft w:val="0"/>
          <w:marRight w:val="0"/>
          <w:marTop w:val="0"/>
          <w:marBottom w:val="0"/>
          <w:divBdr>
            <w:top w:val="none" w:sz="0" w:space="0" w:color="auto"/>
            <w:left w:val="none" w:sz="0" w:space="0" w:color="auto"/>
            <w:bottom w:val="none" w:sz="0" w:space="0" w:color="auto"/>
            <w:right w:val="none" w:sz="0" w:space="0" w:color="auto"/>
          </w:divBdr>
          <w:divsChild>
            <w:div w:id="2002074747">
              <w:marLeft w:val="0"/>
              <w:marRight w:val="0"/>
              <w:marTop w:val="0"/>
              <w:marBottom w:val="0"/>
              <w:divBdr>
                <w:top w:val="none" w:sz="0" w:space="0" w:color="auto"/>
                <w:left w:val="none" w:sz="0" w:space="0" w:color="auto"/>
                <w:bottom w:val="none" w:sz="0" w:space="0" w:color="auto"/>
                <w:right w:val="none" w:sz="0" w:space="0" w:color="auto"/>
              </w:divBdr>
            </w:div>
          </w:divsChild>
        </w:div>
        <w:div w:id="1525629465">
          <w:marLeft w:val="0"/>
          <w:marRight w:val="0"/>
          <w:marTop w:val="0"/>
          <w:marBottom w:val="0"/>
          <w:divBdr>
            <w:top w:val="none" w:sz="0" w:space="0" w:color="auto"/>
            <w:left w:val="none" w:sz="0" w:space="0" w:color="auto"/>
            <w:bottom w:val="none" w:sz="0" w:space="0" w:color="auto"/>
            <w:right w:val="none" w:sz="0" w:space="0" w:color="auto"/>
          </w:divBdr>
          <w:divsChild>
            <w:div w:id="2041397542">
              <w:marLeft w:val="0"/>
              <w:marRight w:val="0"/>
              <w:marTop w:val="0"/>
              <w:marBottom w:val="0"/>
              <w:divBdr>
                <w:top w:val="none" w:sz="0" w:space="0" w:color="auto"/>
                <w:left w:val="none" w:sz="0" w:space="0" w:color="auto"/>
                <w:bottom w:val="none" w:sz="0" w:space="0" w:color="auto"/>
                <w:right w:val="none" w:sz="0" w:space="0" w:color="auto"/>
              </w:divBdr>
            </w:div>
          </w:divsChild>
        </w:div>
        <w:div w:id="1553425363">
          <w:marLeft w:val="0"/>
          <w:marRight w:val="0"/>
          <w:marTop w:val="0"/>
          <w:marBottom w:val="0"/>
          <w:divBdr>
            <w:top w:val="none" w:sz="0" w:space="0" w:color="auto"/>
            <w:left w:val="none" w:sz="0" w:space="0" w:color="auto"/>
            <w:bottom w:val="none" w:sz="0" w:space="0" w:color="auto"/>
            <w:right w:val="none" w:sz="0" w:space="0" w:color="auto"/>
          </w:divBdr>
          <w:divsChild>
            <w:div w:id="51276706">
              <w:marLeft w:val="0"/>
              <w:marRight w:val="0"/>
              <w:marTop w:val="0"/>
              <w:marBottom w:val="0"/>
              <w:divBdr>
                <w:top w:val="none" w:sz="0" w:space="0" w:color="auto"/>
                <w:left w:val="none" w:sz="0" w:space="0" w:color="auto"/>
                <w:bottom w:val="none" w:sz="0" w:space="0" w:color="auto"/>
                <w:right w:val="none" w:sz="0" w:space="0" w:color="auto"/>
              </w:divBdr>
            </w:div>
          </w:divsChild>
        </w:div>
        <w:div w:id="1562791287">
          <w:marLeft w:val="0"/>
          <w:marRight w:val="0"/>
          <w:marTop w:val="0"/>
          <w:marBottom w:val="0"/>
          <w:divBdr>
            <w:top w:val="none" w:sz="0" w:space="0" w:color="auto"/>
            <w:left w:val="none" w:sz="0" w:space="0" w:color="auto"/>
            <w:bottom w:val="none" w:sz="0" w:space="0" w:color="auto"/>
            <w:right w:val="none" w:sz="0" w:space="0" w:color="auto"/>
          </w:divBdr>
          <w:divsChild>
            <w:div w:id="199366106">
              <w:marLeft w:val="0"/>
              <w:marRight w:val="0"/>
              <w:marTop w:val="0"/>
              <w:marBottom w:val="0"/>
              <w:divBdr>
                <w:top w:val="none" w:sz="0" w:space="0" w:color="auto"/>
                <w:left w:val="none" w:sz="0" w:space="0" w:color="auto"/>
                <w:bottom w:val="none" w:sz="0" w:space="0" w:color="auto"/>
                <w:right w:val="none" w:sz="0" w:space="0" w:color="auto"/>
              </w:divBdr>
            </w:div>
          </w:divsChild>
        </w:div>
        <w:div w:id="1566185551">
          <w:marLeft w:val="0"/>
          <w:marRight w:val="0"/>
          <w:marTop w:val="0"/>
          <w:marBottom w:val="0"/>
          <w:divBdr>
            <w:top w:val="none" w:sz="0" w:space="0" w:color="auto"/>
            <w:left w:val="none" w:sz="0" w:space="0" w:color="auto"/>
            <w:bottom w:val="none" w:sz="0" w:space="0" w:color="auto"/>
            <w:right w:val="none" w:sz="0" w:space="0" w:color="auto"/>
          </w:divBdr>
          <w:divsChild>
            <w:div w:id="1898126827">
              <w:marLeft w:val="0"/>
              <w:marRight w:val="0"/>
              <w:marTop w:val="0"/>
              <w:marBottom w:val="0"/>
              <w:divBdr>
                <w:top w:val="none" w:sz="0" w:space="0" w:color="auto"/>
                <w:left w:val="none" w:sz="0" w:space="0" w:color="auto"/>
                <w:bottom w:val="none" w:sz="0" w:space="0" w:color="auto"/>
                <w:right w:val="none" w:sz="0" w:space="0" w:color="auto"/>
              </w:divBdr>
            </w:div>
          </w:divsChild>
        </w:div>
        <w:div w:id="1590966791">
          <w:marLeft w:val="0"/>
          <w:marRight w:val="0"/>
          <w:marTop w:val="0"/>
          <w:marBottom w:val="0"/>
          <w:divBdr>
            <w:top w:val="none" w:sz="0" w:space="0" w:color="auto"/>
            <w:left w:val="none" w:sz="0" w:space="0" w:color="auto"/>
            <w:bottom w:val="none" w:sz="0" w:space="0" w:color="auto"/>
            <w:right w:val="none" w:sz="0" w:space="0" w:color="auto"/>
          </w:divBdr>
          <w:divsChild>
            <w:div w:id="186405202">
              <w:marLeft w:val="0"/>
              <w:marRight w:val="0"/>
              <w:marTop w:val="0"/>
              <w:marBottom w:val="0"/>
              <w:divBdr>
                <w:top w:val="none" w:sz="0" w:space="0" w:color="auto"/>
                <w:left w:val="none" w:sz="0" w:space="0" w:color="auto"/>
                <w:bottom w:val="none" w:sz="0" w:space="0" w:color="auto"/>
                <w:right w:val="none" w:sz="0" w:space="0" w:color="auto"/>
              </w:divBdr>
            </w:div>
          </w:divsChild>
        </w:div>
        <w:div w:id="1778139926">
          <w:marLeft w:val="0"/>
          <w:marRight w:val="0"/>
          <w:marTop w:val="0"/>
          <w:marBottom w:val="0"/>
          <w:divBdr>
            <w:top w:val="none" w:sz="0" w:space="0" w:color="auto"/>
            <w:left w:val="none" w:sz="0" w:space="0" w:color="auto"/>
            <w:bottom w:val="none" w:sz="0" w:space="0" w:color="auto"/>
            <w:right w:val="none" w:sz="0" w:space="0" w:color="auto"/>
          </w:divBdr>
          <w:divsChild>
            <w:div w:id="1819103704">
              <w:marLeft w:val="0"/>
              <w:marRight w:val="0"/>
              <w:marTop w:val="0"/>
              <w:marBottom w:val="0"/>
              <w:divBdr>
                <w:top w:val="none" w:sz="0" w:space="0" w:color="auto"/>
                <w:left w:val="none" w:sz="0" w:space="0" w:color="auto"/>
                <w:bottom w:val="none" w:sz="0" w:space="0" w:color="auto"/>
                <w:right w:val="none" w:sz="0" w:space="0" w:color="auto"/>
              </w:divBdr>
            </w:div>
          </w:divsChild>
        </w:div>
        <w:div w:id="1847476365">
          <w:marLeft w:val="0"/>
          <w:marRight w:val="0"/>
          <w:marTop w:val="0"/>
          <w:marBottom w:val="0"/>
          <w:divBdr>
            <w:top w:val="none" w:sz="0" w:space="0" w:color="auto"/>
            <w:left w:val="none" w:sz="0" w:space="0" w:color="auto"/>
            <w:bottom w:val="none" w:sz="0" w:space="0" w:color="auto"/>
            <w:right w:val="none" w:sz="0" w:space="0" w:color="auto"/>
          </w:divBdr>
          <w:divsChild>
            <w:div w:id="1156528438">
              <w:marLeft w:val="0"/>
              <w:marRight w:val="0"/>
              <w:marTop w:val="0"/>
              <w:marBottom w:val="0"/>
              <w:divBdr>
                <w:top w:val="none" w:sz="0" w:space="0" w:color="auto"/>
                <w:left w:val="none" w:sz="0" w:space="0" w:color="auto"/>
                <w:bottom w:val="none" w:sz="0" w:space="0" w:color="auto"/>
                <w:right w:val="none" w:sz="0" w:space="0" w:color="auto"/>
              </w:divBdr>
            </w:div>
          </w:divsChild>
        </w:div>
        <w:div w:id="1860117630">
          <w:marLeft w:val="0"/>
          <w:marRight w:val="0"/>
          <w:marTop w:val="0"/>
          <w:marBottom w:val="0"/>
          <w:divBdr>
            <w:top w:val="none" w:sz="0" w:space="0" w:color="auto"/>
            <w:left w:val="none" w:sz="0" w:space="0" w:color="auto"/>
            <w:bottom w:val="none" w:sz="0" w:space="0" w:color="auto"/>
            <w:right w:val="none" w:sz="0" w:space="0" w:color="auto"/>
          </w:divBdr>
          <w:divsChild>
            <w:div w:id="118495617">
              <w:marLeft w:val="0"/>
              <w:marRight w:val="0"/>
              <w:marTop w:val="0"/>
              <w:marBottom w:val="0"/>
              <w:divBdr>
                <w:top w:val="none" w:sz="0" w:space="0" w:color="auto"/>
                <w:left w:val="none" w:sz="0" w:space="0" w:color="auto"/>
                <w:bottom w:val="none" w:sz="0" w:space="0" w:color="auto"/>
                <w:right w:val="none" w:sz="0" w:space="0" w:color="auto"/>
              </w:divBdr>
            </w:div>
          </w:divsChild>
        </w:div>
        <w:div w:id="1885755542">
          <w:marLeft w:val="0"/>
          <w:marRight w:val="0"/>
          <w:marTop w:val="0"/>
          <w:marBottom w:val="0"/>
          <w:divBdr>
            <w:top w:val="none" w:sz="0" w:space="0" w:color="auto"/>
            <w:left w:val="none" w:sz="0" w:space="0" w:color="auto"/>
            <w:bottom w:val="none" w:sz="0" w:space="0" w:color="auto"/>
            <w:right w:val="none" w:sz="0" w:space="0" w:color="auto"/>
          </w:divBdr>
          <w:divsChild>
            <w:div w:id="965895325">
              <w:marLeft w:val="0"/>
              <w:marRight w:val="0"/>
              <w:marTop w:val="0"/>
              <w:marBottom w:val="0"/>
              <w:divBdr>
                <w:top w:val="none" w:sz="0" w:space="0" w:color="auto"/>
                <w:left w:val="none" w:sz="0" w:space="0" w:color="auto"/>
                <w:bottom w:val="none" w:sz="0" w:space="0" w:color="auto"/>
                <w:right w:val="none" w:sz="0" w:space="0" w:color="auto"/>
              </w:divBdr>
            </w:div>
          </w:divsChild>
        </w:div>
        <w:div w:id="2037269053">
          <w:marLeft w:val="0"/>
          <w:marRight w:val="0"/>
          <w:marTop w:val="0"/>
          <w:marBottom w:val="0"/>
          <w:divBdr>
            <w:top w:val="none" w:sz="0" w:space="0" w:color="auto"/>
            <w:left w:val="none" w:sz="0" w:space="0" w:color="auto"/>
            <w:bottom w:val="none" w:sz="0" w:space="0" w:color="auto"/>
            <w:right w:val="none" w:sz="0" w:space="0" w:color="auto"/>
          </w:divBdr>
          <w:divsChild>
            <w:div w:id="783302877">
              <w:marLeft w:val="0"/>
              <w:marRight w:val="0"/>
              <w:marTop w:val="0"/>
              <w:marBottom w:val="0"/>
              <w:divBdr>
                <w:top w:val="none" w:sz="0" w:space="0" w:color="auto"/>
                <w:left w:val="none" w:sz="0" w:space="0" w:color="auto"/>
                <w:bottom w:val="none" w:sz="0" w:space="0" w:color="auto"/>
                <w:right w:val="none" w:sz="0" w:space="0" w:color="auto"/>
              </w:divBdr>
            </w:div>
          </w:divsChild>
        </w:div>
        <w:div w:id="2072146739">
          <w:marLeft w:val="0"/>
          <w:marRight w:val="0"/>
          <w:marTop w:val="0"/>
          <w:marBottom w:val="0"/>
          <w:divBdr>
            <w:top w:val="none" w:sz="0" w:space="0" w:color="auto"/>
            <w:left w:val="none" w:sz="0" w:space="0" w:color="auto"/>
            <w:bottom w:val="none" w:sz="0" w:space="0" w:color="auto"/>
            <w:right w:val="none" w:sz="0" w:space="0" w:color="auto"/>
          </w:divBdr>
          <w:divsChild>
            <w:div w:id="410276850">
              <w:marLeft w:val="0"/>
              <w:marRight w:val="0"/>
              <w:marTop w:val="0"/>
              <w:marBottom w:val="0"/>
              <w:divBdr>
                <w:top w:val="none" w:sz="0" w:space="0" w:color="auto"/>
                <w:left w:val="none" w:sz="0" w:space="0" w:color="auto"/>
                <w:bottom w:val="none" w:sz="0" w:space="0" w:color="auto"/>
                <w:right w:val="none" w:sz="0" w:space="0" w:color="auto"/>
              </w:divBdr>
            </w:div>
          </w:divsChild>
        </w:div>
        <w:div w:id="2089422305">
          <w:marLeft w:val="0"/>
          <w:marRight w:val="0"/>
          <w:marTop w:val="0"/>
          <w:marBottom w:val="0"/>
          <w:divBdr>
            <w:top w:val="none" w:sz="0" w:space="0" w:color="auto"/>
            <w:left w:val="none" w:sz="0" w:space="0" w:color="auto"/>
            <w:bottom w:val="none" w:sz="0" w:space="0" w:color="auto"/>
            <w:right w:val="none" w:sz="0" w:space="0" w:color="auto"/>
          </w:divBdr>
          <w:divsChild>
            <w:div w:id="13371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33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B988BBE25844DA30DA9A703B63658" ma:contentTypeVersion="11" ma:contentTypeDescription="Create a new document." ma:contentTypeScope="" ma:versionID="db67740c78f0b0f81af07e12d2cda28e">
  <xsd:schema xmlns:xsd="http://www.w3.org/2001/XMLSchema" xmlns:xs="http://www.w3.org/2001/XMLSchema" xmlns:p="http://schemas.microsoft.com/office/2006/metadata/properties" xmlns:ns2="49a6b3f9-77ab-4603-a094-707ab26ce2f8" xmlns:ns3="607db1c0-888c-4e8a-81ed-2ddcf3f9aaff" targetNamespace="http://schemas.microsoft.com/office/2006/metadata/properties" ma:root="true" ma:fieldsID="97200875eb4a816ead46a17832c4a86b" ns2:_="" ns3:_="">
    <xsd:import namespace="49a6b3f9-77ab-4603-a094-707ab26ce2f8"/>
    <xsd:import namespace="607db1c0-888c-4e8a-81ed-2ddcf3f9aaff"/>
    <xsd:element name="properties">
      <xsd:complexType>
        <xsd:sequence>
          <xsd:element name="documentManagement">
            <xsd:complexType>
              <xsd:all>
                <xsd:element ref="ns2:MatterCode" minOccurs="0"/>
                <xsd:element ref="ns2:MatterName" minOccurs="0"/>
                <xsd:element ref="ns2:ClientName" minOccurs="0"/>
                <xsd:element ref="ns2:ClientCode" minOccurs="0"/>
                <xsd:element ref="ns2:MediaServiceKeyPoints" minOccurs="0"/>
                <xsd:element ref="ns3:MediaServiceMetadata" minOccurs="0"/>
                <xsd:element ref="ns3:MediaServiceFastMetadata" minOccurs="0"/>
                <xsd:element ref="ns3:MediaServiceAutoKeyPoints" minOccurs="0"/>
                <xsd:element ref="ns3:MediaServiceKeyPoints1"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6b3f9-77ab-4603-a094-707ab26ce2f8" elementFormDefault="qualified">
    <xsd:import namespace="http://schemas.microsoft.com/office/2006/documentManagement/types"/>
    <xsd:import namespace="http://schemas.microsoft.com/office/infopath/2007/PartnerControls"/>
    <xsd:element name="MatterCode" ma:index="8" nillable="true" ma:displayName="Matter Code" ma:internalName="MatterCode">
      <xsd:simpleType>
        <xsd:restriction base="dms:Text"/>
      </xsd:simpleType>
    </xsd:element>
    <xsd:element name="MatterName" ma:index="9" nillable="true" ma:displayName="Matter Name" ma:internalName="MatterName">
      <xsd:simpleType>
        <xsd:restriction base="dms:Text"/>
      </xsd:simpleType>
    </xsd:element>
    <xsd:element name="ClientName" ma:index="10" nillable="true" ma:displayName="Client Name" ma:internalName="ClientName">
      <xsd:simpleType>
        <xsd:restriction base="dms:Text"/>
      </xsd:simpleType>
    </xsd:element>
    <xsd:element name="ClientCode" ma:index="11" nillable="true" ma:displayName="Client Code" ma:internalName="ClientCode">
      <xsd:simpleType>
        <xsd:restriction base="dms:Text"/>
      </xsd:simpleType>
    </xsd:element>
    <xsd:element name="MediaServiceKeyPoints" ma:index="12" nillable="true" ma:displayName="KeyPoints" ma:internalName="MediaServiceKeyPoints">
      <xsd:simpleType>
        <xsd:restriction base="dms:Note">
          <xsd:maxLength value="255"/>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db1c0-888c-4e8a-81ed-2ddcf3f9aaf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1" ma:index="16" nillable="true" ma:displayName="KeyPoints" ma:description="" ma:internalName="MediaServiceKeyPoints0"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document xmlns:xsd="http://www.w3.org/2001/XMLSchema" xmlns:xsi="http://www.w3.org/2001/XMLSchema-instance" guid="0" synced="true" validated="true">
  <n-docbody>
    <standard.doc precedenttype="agreement">
      <prelim>
        <product.name>product.name0</product.name>
        <title>Invitation to tender (PCR 2015)</title>
        <author>
          <link href="http://uk.practicallaw.com/about/our-team/uk-public-sector" style="ACTLinkURL">
            <ital>Practical Law Public Sector</ital>
          </link>
        </author>
        <resource.type>Standard documents</resource.type>
        <juris>juris0</juris>
        <juris>juris1</juris>
      </prelim>
      <abstract>
        <para>
          <paratext>
            A standard invitation to tender (ITT) document that can be used by a contracting authority purchasing services in accordance with the Public Contracts Regulations 2015 (
            <ital>SI 2015/102</ital>
            ).
          </paratext>
        </para>
        <para>
          <paratext>
            The second part of the ITT, the questions for tenderers, is contained in 
            <link href="4-599-9626" style="ACTLinkPLCtoPLC">
              <ital>Standard document, Invitation to tender (PCR 2015): questions for tenderers</ital>
            </link>
            .
          </paratext>
        </para>
        <para>
          <paratext>
            <bold>Note:</bold>
             The Cabinet Office issued procurement guidance in response to the outbreak of the 2019 novel coronavirus disease (COVID-19). The guidance is addressed in 
            <link href="w-024-5498" style="ACTLinkPLCtoPLC">
              <ital>Legal update, Cabinet Office publishes PPN 01/20: Responding to COVID-19</ital>
            </link>
            , 
            <link href="w-024-6246" style="ACTLinkPLCtoPLC">
              <ital>Legal update, Cabinet Office publishes PPN 02/20: Supplier relief due to COVID-19</ital>
            </link>
            , 
            <link href="w-025-1043" style="ACTLinkPLCtoPLC">
              <ital>Legal update, COVID-19: PPN 03/20 published on use of procurement cards (Cabinet Office)</ital>
            </link>
             and 
            <link href="w-025-9717" style="ACTLinkPLCtoPLC">
              <ital>Legal update, Cabinet Office publishes PPN 04/20: Recovery and transition from COVID-19</ital>
            </link>
            . The EC has also published guidance on using the public procurement framework related to the COVID-19 crisis, which is addressed in 
            <link href="w-024-7779" style="ACTLinkPLCtoPLC">
              <ital>Legal update, COVID-19: EC publishes guidance on purchasing COVID-19-related supplies and services using EU public procurement framework </ital>
            </link>
            . See also 
            <link href="w-025-1063" style="ACTLinkPLCtoPLC">
              <ital>Legal update, COVID-19: guidance on supporting vital service provision in PFI/PF2 contracts published (Infrastructure and Projects Authority)</ital>
            </link>
             The contents of this document are potentially affected by this guidance and should be read in conjunction with it.
          </paratext>
        </para>
        <para>
          <paratext/>
        </para>
      </abstract>
      <toc.identifier hasToc="true"/>
      <body>
        <cover.sheet>
          <head align="left" preservecase="true">
            <headtext>Invitation to tender</headtext>
          </head>
        </cover.sheet>
        <operative xrefname="paragraph">
          <drafting.note id="a616979" jurisdiction="">
            <head align="left" preservecase="true">
              <headtext>General document notes</headtext>
            </head>
            <division id="a000002" level="1">
              <para>
                <paratext>
                  This invitation to tender (ITT) is intended for use by public sector bodies for procurements which are regulated by the 
                  <link href="4-600-4052" style="ACTLinkPLCtoPLC">
                    <ital>Public Contracts Regulations 2015 (SI 2015/102)</ital>
                  </link>
                   (PCR 2015). Specifically, this ITT assumes the 
                  <link href="8-385-1376" style="ACTLinkPLCtoPLC">
                    <bold>
                      <ital>restricted procedure</ital>
                    </bold>
                  </link>
                   is being adopted to purchase services.
                </paratext>
              </para>
              <para>
                <paratext>However, the ITT can be adapted for use in:</paratext>
              </para>
              <list type="bulleted">
                <list.item>
                  <para>
                    <paratext>
                      A competitive procedure with negotiation, where the Tenderers are invited to submit an initial tender, and may then carry out negotiations on that and any subsequent tenders until Tenderers are invited to submit a final tender. For more information, see 
                      <link anchor="a360313" href="4-599-9645" style="ACTLinkPLCtoPLC">
                        <ital>Practice note, New and revised public procurement procedures (PCR 2015): Competitive procedure with negotiation</ital>
                      </link>
                      .
                    </paratext>
                  </para>
                </list.item>
                <list.item>
                  <para>
                    <paratext>
                      An open procedure, for example, by including the selection criteria specified in the 
                      <link href="2-385-1379" style="ACTLinkPLCtoPLC">
                        <bold>
                          <ital>selection questionnaire</ital>
                        </bold>
                      </link>
                       (SQ) or for the purchase of goods. For more information, see 
                      <ital> </ital>
                      <link href="7-579-9145" style="ACTLinkPLCtoPLC">
                        <ital>Practice note, Selection criteria and standard selection questionnaires (SQs)</ital>
                      </link>
                      .
                    </paratext>
                  </para>
                </list.item>
              </list>
              <para>
                <paratext>The ITT includes a number of sections that can be deleted if they are not relevant. The drafting notes assist users in identifying these sections.</paratext>
              </para>
              <para>
                <paratext>
                  The ITT can be adapted for use for below threshold or procurements under 
                  <link href="8-601-2385" style="ACTLinkPLCtoPLC">
                    <ital>Schedule 3</ital>
                  </link>
                   to the PCR 2015. Further amendments may be made (for example, to shorten the document). However, authorities should ensure they comply with obligations applicable to such contracts when adapting this document, see 
                  <link href="7-600-9425" style="ACTLinkPLCtoPLC">
                    <ital>Practice notes, Light touch public procurement regime (PCR 2015)</ital>
                  </link>
                  , 
                  <link href="5-601-8505" style="ACTLinkPLCtoPLC">
                    <ital>Additional requirements for below and above threshold contracts (Part 4, PCR 2015)</ital>
                  </link>
                   and 
                  <link href="2-386-8761" style="ACTLinkPLCtoPLC">
                    <ital>Evaluation of tenders</ital>
                  </link>
                  .
                </paratext>
              </para>
              <division id="a768535" level="2">
                <head align="left" preservecase="true">
                  <headtext>Brexit</headtext>
                </head>
                <para>
                  <paratext>
                    The UK left the EU on 31 January 2020 and the Brexit transition period ended on 31 December 2020. The post-transition procurement position is set out in 
                    <link href="https://uk.practicallaw.thomsonreuters.com/w-019-5170?originationContext=document&amp;amp;transitionType=DocumentItem&amp;amp;contextData=(sc.Default)" style="ACTLinkURL">
                      <ital>Practice note, Brexit: implications for public procurement law</ital>
                    </link>
                    .
                  </paratext>
                </para>
              </division>
            </division>
          </drafting.note>
          <clause id="a000003">
            <para>
              <paratext>
                <table frame="all" pgwide="1">
                  <tgroup cols="1">
                    <colspec colname="1" colnum="1" colwidth="100"/>
                    <tbody>
                      <row>
                        <entry valign="top">
                          <para align="center">
                            <paratext>NAME OF AUTHORITY:</paratext>
                          </para>
                        </entry>
                      </row>
                      <row>
                        <entry valign="top">
                          <para align="center">
                            <paratext>TENDER FOR: [NAME OF SERVICE]</paratext>
                          </para>
                        </entry>
                      </row>
                      <row>
                        <entry valign="top">
                          <para align="center">
                            <paratext>CONTRACT NOTICE REFERENCE NUMBER</paratext>
                          </para>
                        </entry>
                      </row>
                      <row>
                        <entry valign="top">
                          <para align="center">
                            <paratext>
                              TENDER RETURN DATE AND TIME (
                              <bold>DEADLINE</bold>
                              ): [DATE AND TIME]
                            </paratext>
                          </para>
                        </entry>
                      </row>
                    </tbody>
                  </tgroup>
                </table>
              </paratext>
            </para>
          </clause>
          <clause id="a1033551">
            <identifier>1.</identifier>
            <head align="left" preservecase="true">
              <headtext>Introduction and background</headtext>
            </head>
            <subclause1 id="a770563">
              <identifier>1.1</identifier>
              <para>
                <paratext>
                  <bold>Contents of the ITT</bold>
                </paratext>
              </para>
              <para>
                <paratext>
                  This invitation to tender (
                  <defn.term>ITT</defn.term>
                  ) comprises:
                </paratext>
              </para>
              <list type="bulleted">
                <list.item>
                  <para>
                    <paratext>Tender completion requirements, evaluation model, specification and schedules.</paratext>
                  </para>
                </list.item>
                <list.item>
                  <para>
                    <paratext>
                      [Draft contract (
                      <bold>Contract</bold>
                      ) and schedules.]
                    </paratext>
                  </para>
                </list.item>
                <list.item>
                  <para>
                    <paratext>[Technical and commercial questions.]</paratext>
                  </para>
                </list.item>
              </list>
            </subclause1>
            <subclause1 id="a293949">
              <identifier>1.2</identifier>
              <para>
                <paratext>
                  <bold>Introduction to the Authority</bold>
                </paratext>
              </para>
              <para>
                <paratext>
                  The Authority is conducting the procurement using the restricted procedure in accordance with the requirements of the Public Contracts Regulations 2015 (
                  <ital>SI 2015/102</ital>
                  ) (PCR 2015) for the purpose of procuring the services described in the Specification (
                  <defn.term>Services</defn.term>
                  ).
                </paratext>
              </para>
              <para>
                <paratext>
                  Interested parties completed the selection questionnaire (
                  <defn.term>SQ</defn.term>
                  ), which sought responses in relation to their technical capacity or professional ability, and their economic and financial standing. The Authority evaluated the SQ responses and selected the [NUMBER] highest ranking qualified candidates. This ITT should be completed by those suppliers (
                  <defn.term>Tenderers</defn.term>
                  ).
                </paratext>
              </para>
              <para>
                <paratext>
                  This ITT contains further information about the procurement process, the Services, and assessment questions for Tenderers to complete. Each Tenderer's response (
                  <defn.term>Tender</defn.term>
                  ) should be sufficiently detailed to allow the Authority to make an informed selection of the most appropriate solution.
                </paratext>
              </para>
              <para>
                <paratext>[DESCRIBE THE BACKGROUND TO THE AUTHORITY, AND ITS ACTIVITIES AND ORGANISATION. EXPLAIN THE AUTHORITY'S VISION, VALUES AND STRATEGIC OBJECTIVES]</paratext>
              </para>
              <drafting.note id="a453832" jurisdiction="">
                <head align="left" preservecase="true">
                  <headtext>Selling the Authority</headtext>
                </head>
                <division id="a000004" level="1">
                  <para>
                    <paratext>This section of the ITT is an opportunity for the Authority to sell itself to the supplier market. It should show that it has an understanding of the market and its drivers and, if there is restricted capacity in the market or other supply block, the Authority should tailor its description of the Services to appeal to the market.</paratext>
                  </para>
                  <para>
                    <paratext>
                      For information on consulting the market, see 
                      <link href="5-519-8003" style="ACTLinkPLCtoPLC">
                        <ital>Standard document, Public procurement: market consultation: questions for the supplier market</ital>
                      </link>
                      .
                    </paratext>
                  </para>
                </division>
              </drafting.note>
            </subclause1>
            <subclause1 id="a240542">
              <identifier>1.3</identifier>
              <para>
                <paratext>
                  <bold>Scope of the Project</bold>
                </paratext>
              </para>
              <para>
                <paratext>[DETAILS OF SERVICE OBJECTIVES OR OUTCOMES]</paratext>
              </para>
              <drafting.note id="a867808" jurisdiction="">
                <head align="left" preservecase="true">
                  <headtext>Providing for future changes</headtext>
                </head>
                <division id="a000005" level="1">
                  <para>
                    <paratext>The Authority should consider describing both its determined requirements, and those requirements which may become necessary during the life of the contract and which it may wish to include in the contract at a future date.</paratext>
                  </para>
                  <para>
                    <paratext>Regulation 72 of the PCR 2015 permits public contracts to be varied on certain grounds, including where the changes were provided for in the initial procurement documents in clear, precise and unequivocal review clauses, which may include price revision clauses or options, provided such clauses:</paratext>
                  </para>
                  <list type="bulleted">
                    <list.item>
                      <para>
                        <paratext>State the scope and nature of possible modifications or options as well as the conditions under which they may be used.</paratext>
                      </para>
                    </list.item>
                    <list.item>
                      <para>
                        <paratext>Do not provide for modifications or options that would alter the overall nature of the contract or the framework agreement.</paratext>
                      </para>
                    </list.item>
                  </list>
                  <para>
                    <paratext>
                      For more information, see 
                      <link href="1-516-8852#a649361" style="ACTLinkPLCtoPLC">
                        <ital>Practice note, Varying public contracts: Variations permitted by the Public Contracts Regulations 2015</ital>
                      </link>
                      .
                    </paratext>
                  </para>
                </division>
              </drafting.note>
              <para>
                <paratext>[DETAILS OF CURRENT ARRANGEMENTS]</paratext>
              </para>
              <drafting.note id="a884012" jurisdiction="">
                <head align="left" preservecase="true">
                  <headtext>Providing details of existing service or current arrangements</headtext>
                </head>
                <division id="a000006" level="1">
                  <para>
                    <paratext>It can be difficult to determine how much information to give about the existing service, particularly if the service is already outsourced and the information the Authority wants to provide may be commercially sensitive to the incumbent supplier.</paratext>
                  </para>
                  <para>
                    <paratext>
                      <internal.reference refid="a165427">Schedule 3</internal.reference>
                       assumes that the authority is able to provide some detail of the current service levels.
                    </paratext>
                  </para>
                  <para>
                    <paratext>
                      The Authority may take the view that it is entitled to disclose any information that it would be obliged to disclose if it received a request for the same under the 
                      <link href="4-505-6037" style="ACTLinkPLCtoPLC">
                        <ital>Freedom of Information Act 2000</ital>
                      </link>
                       (FOIA) (see 
                      <link href="0-200-9452" style="ACTLinkPLCtoPLC">
                        <ital>Practice note, Freedom of information</ital>
                      </link>
                      ). However, it should check whether any disclosure would breach any confidentiality obligations it has with its existing supplier and, if it is in any doubt, discuss its intentions with its existing supplier. If the Authority receives a freedom of information (FOI) request relating to the contract, it could find itself in the unenviable position of breaching the contract or FOIA. For more information see 
                      <link href="w-011-6127" style="ACTLinkPLCtoPLC">
                        <ital>Practice note, The application of FOIA exemptions and EIR exceptions to public procurement and public contracts information</ital>
                      </link>
                      .
                    </paratext>
                  </para>
                  <para>
                    <paratext>
                      For a standard clause covering disclosures of supplier information, see 
                      <link href="4-501-5075" style="ACTLinkPLCtoPLC">
                        <ital>Standard clause, Public sector boilerplate: Freedom of information</ital>
                      </link>
                      .
                    </paratext>
                  </para>
                </division>
              </drafting.note>
            </subclause1>
            <subclause1 id="a948100">
              <identifier>1.4</identifier>
              <para>
                <paratext>
                  <bold>Value of the contract</bold>
                </paratext>
              </para>
              <para>
                <paratext>The current service handles work to a value of £[AMOUNT] in [TIME FRAME].</paratext>
              </para>
              <para>
                <paratext>The anticipated value of the Services is approximately [DETAILS OF FORECAST SPEND].</paratext>
              </para>
              <para>
                <paratext>
                  [DETAILS OF ANY ANTICIPATED SAVINGS AND ANY THIRD PARTY USE OF THE AGREEMENT WHICH MAY HAVE AN IMPACT ON SPEND (see 
                  <internal.reference refid="a283267">paragraph 1.7</internal.reference>
                  ).]
                </paratext>
              </para>
              <para>
                <paratext>Details of current expenditure or potential future uptake are given in good faith as a guide to past purchasing and current planning to assist you in submitting your Tender. They should not be interpreted as an undertaking to purchase any goods or services to any particular value and do not form part of the Contract.</paratext>
              </para>
              <drafting.note id="a1026915" jurisdiction="">
                <head align="left" preservecase="true">
                  <headtext>Specifying a contract value and pricing evaluation</headtext>
                </head>
                <division id="a000007" level="1">
                  <para>
                    <paratext>Contracting authorities may be nervous of specifying a contract value for fear of attracting bids which are above, at or just below that value. However, this figure must be disclosed if bids are to be evaluated against it. There are two common methods of evaluating price, though these two basic models have many variants:</paratext>
                  </para>
                  <list type="bulleted">
                    <list.item>
                      <para>
                        <paratext>The authority sets a benchmark price, with all bids scored on a comparative basis against that price.</paratext>
                      </para>
                    </list.item>
                    <list.item>
                      <para>
                        <paratext>No benchmark is set and the lowest bid price scores the maximum marks available for the pricing element. All other prices are awarded scores depending on what percentage the lowest price is of their price.</paratext>
                      </para>
                    </list.item>
                  </list>
                  <para>
                    <paratext>
                      Where the Authority has a fixed budget, it may want to state that bids exceeding a specified limit will be deemed non-compliant and will be rejected. Otherwise it must rely on the award criteria to ensure it does not end up with a technically superior but unaffordable solution. For more information, see 
                      <link href="2-386-8761" style="ACTLinkPLCtoPLC">
                        <ital>Practice note, Evaluation of tenders</ital>
                      </link>
                      .
                    </paratext>
                  </para>
                  <para>
                    <paratext>The risk of encouraging bids which come in close to the specific value can be somewhat mitigated by:</paratext>
                  </para>
                  <list type="bulleted">
                    <list.item>
                      <para>
                        <paratext>Weighting the award criteria more on price than on the technical solution.</paratext>
                      </para>
                    </list.item>
                    <list.item>
                      <para>
                        <paratext>Including Evaluation Criteria on efficiencies and cost reduction.</paratext>
                      </para>
                    </list.item>
                  </list>
                  <para>
                    <paratext>
                      These criteria could either form part of the technical or the price evaluation, depending upon how they are phrased. The contract terms could also encourage efficiencies by operating a gain-share mechanism through which savings will be shared between the parties (see 
                      <link href="0-202-4551#a326019" style="ACTLinkPLCtoPLC">
                        <ital>Standard documents, Outsourcing agreement: long form: 15. Service improvement and technology refresh</ital>
                      </link>
                       and 
                      <link anchor="a675283" href="2-501-1525" style="ACTLinkPLCtoPLC">
                        <ital>Standard document, Services agreement for use by public sector bodies: 18. Change control, benchmarking and continuous improvement</ital>
                      </link>
                      ).
                    </paratext>
                  </para>
                  <para>
                    <paratext>
                      If the Authority proposes to use a life cycle costing approach to assessing value for money, it must provide details of its approach in the procurement documents (see 
                      <link href="2-386-8761" style="ACTLinkPLCtoPLC">
                        <ital>Practice note, Evaluation of tenders</ital>
                      </link>
                      ).
                    </paratext>
                  </para>
                  <para>
                    <paratext>If the Authority is permitting any third party organisations to use the contract (whether by procuring on their behalf or under a framework arrangement), the Authority must ensure the contract scope and value specified in the ITT and the contract notice reflects that potential spend.</paratext>
                  </para>
                </division>
              </drafting.note>
            </subclause1>
            <subclause1 id="a296540">
              <identifier>1.5</identifier>
              <para>
                <paratext>
                  <bold>Contract term</bold>
                </paratext>
              </para>
              <para>
                <paratext>
                  The Authority proposes to enter into one [or more] Contract(s) for a maximum period of [NUMBER] [months 
                  <bold>OR</bold>
                   years] with the successful Tenderer (
                  <defn.term>Service Provider</defn.term>
                  ).
                </paratext>
              </para>
              <para>
                <paratext>The anticipated service commencement date is [DATE].</paratext>
              </para>
              <drafting.note id="a1022790" jurisdiction="">
                <head align="left" preservecase="true">
                  <headtext>Contract term</headtext>
                </head>
                <division id="a000008" level="1">
                  <para>
                    <paratext>The appropriate duration of the Contract is a key issue. It is important to ensure it is relevant to the particular service to ensure maximum value for money. If the contract term will allow for extensions, be aware that Tenderers are likely to propose cost models which are more favourable to the Authority during the extension period and, therefore, encourage them to extend. In this way, savings may only be made in the latter years of the contract.</paratext>
                  </para>
                </division>
              </drafting.note>
              <subclause2 condition="optional" id="a566462">
                <identifier>(a)</identifier>
                <para>
                  <paratext>
                    [The Services have been divided into the following work packages (
                    <defn.term>Lots</defn.term>
                    ):
                  </paratext>
                </para>
                <subclause3 id="a380834">
                  <identifier>(i)</identifier>
                  <para>
                    <paratext>[DETAILS OF ANY LOTS]</paratext>
                  </para>
                </subclause3>
              </subclause2>
              <subclause2 condition="optional" id="a475141">
                <identifier>(b)</identifier>
                <para>
                  <paratext>The Authority would prefer to award all the Lots to a single Tenderer. However, separate contracts for each or any combination of the Lots will be awarded to separate Tenderers if it is more economically advantageous to do so.</paratext>
                </para>
                <para>
                  <paratext>[Tenderers are invited to bid for [all or any of] the following Lots:</paratext>
                </para>
                <para>
                  <paratext>[DETAILS OF ANY LOTS AND ANY RESTRICTIONS ON THE NUMBER OF LOTS THAT A SINGLE TENDERER CAN WIN]]</paratext>
                </para>
                <para>
                  <paratext>[Tenderers are asked to specify any financial benefit accruing to the Authority if the Tenderer is successful in its bid for more than one Lot.</paratext>
                </para>
                <drafting.note id="a247178" jurisdiction="">
                  <head align="left" preservecase="true">
                    <headtext>Dividing the Contract into Lots</headtext>
                  </head>
                  <division id="a000009" level="1">
                    <para>
                      <paratext>
                        The Authority may decide to divide the scope of the Contract into different Lots (for example, based on value or geographical area) (
                        <ital>regulation 46(1), PCR 2015</ital>
                        ). This approach is common where either:
                      </paratext>
                    </para>
                    <list type="bulleted">
                      <list.item>
                        <para>
                          <paratext>The subject of the Contract does not lend itself to economies of scale.</paratext>
                        </para>
                      </list.item>
                      <list.item>
                        <para>
                          <paratext>The optimum conditions for such economies of scale are already met in the Lots.</paratext>
                        </para>
                      </list.item>
                      <list.item>
                        <para>
                          <paratext>A single provider is unlikely to be able to absorb the volumes to be purchased under the Contract.</paratext>
                        </para>
                      </list.item>
                      <list.item>
                        <para>
                          <paratext>The authority requires more than one provider for reasons of service continuity or choice.</paratext>
                        </para>
                      </list.item>
                    </list>
                    <para>
                      <paratext>
                        If the Authority decides not to subdivide into lots, it must set out the main reasons for its decision in the procurement documents or in its procurement report (
                        <link href="7-601-8806" style="ACTLinkPLCtoPLC">
                          <ital>regulation 46(2)</ital>
                        </link>
                        <ital>, PCR 2015</ital>
                        ).
                      </paratext>
                    </para>
                    <para>
                      <paratext>
                        Although dividing the Services in this way means the Authority could end up managing a number of different Contracts and (at worst) receiving a disjointed service, it may also permit smaller businesses to enter the market and provide the Authority with a contingency should one of the Contracts fail. All these considerations will contribute to an assessment of the model that represents best value for money to the Authority. For more information on best value in the local government context, see 
                        <link href="9-383-9732" style="ACTLinkPLCtoPLC">
                          <ital>Practice note, Best value: considerations in outsourcing</ital>
                        </link>
                        .
                      </paratext>
                    </para>
                    <para>
                      <paratext>If the Authority divides the Contract into Lots, it must set out:</paratext>
                    </para>
                    <list type="bulleted">
                      <list.item>
                        <para>
                          <paratext>Whether tenders may be submitted for one, several or all lots.</paratext>
                        </para>
                      </list.item>
                      <list.item>
                        <para>
                          <paratext>The maximum number of lots each Tenderer can win, if any limits apply.</paratext>
                        </para>
                      </list.item>
                    </list>
                    <para>
                      <paratext>The Authority is best advised not to limit the number of lots that can be tendered for as it risks receiving multiple bids for one or more lots and few or no bids for less attractive lots. Instead, if it makes sense to have a diversity of suppliers, it should limit the number that can be won.</paratext>
                    </para>
                    <para>
                      <paratext>
                        If the Authority wishes to limit the number of Lots a single Tenderer can win, it must clearly set out how Lots will be allocated in the event that a Tenderer is the highest scorer for more Lots than it is permitted to win. These rules must be objective and non-discriminatory (
                        <link href="7-601-8806" style="ACTLinkPLCtoPLC">
                          <ital>regulation 46(5)</ital>
                        </link>
                        <ital>, PCR 2015</ital>
                        ).
                      </paratext>
                    </para>
                    <para>
                      <paratext>Where the Authority permits bidders to bid for a combination of Lots, it must make this clear, and should consider its approach to evaluation carefully, particularly if it wants to enable Tenderers to score marks for any additional benefits they can offer the Authority, if the Tenderer were to win more than one lot. Unless these issues are included in the Evaluation Criteria, which are disclosed to all Tenderers, the Authority must not consider them at the evaluation stage.</paratext>
                    </para>
                  </division>
                </drafting.note>
              </subclause2>
            </subclause1>
            <subclause1 id="a862650">
              <identifier>1.6</identifier>
              <para>
                <paratext>
                  <bold>Purpose and scope of this ITT</bold>
                </paratext>
              </para>
              <para>
                <paratext>This ITT:</paratext>
              </para>
              <list type="bulleted">
                <list.item>
                  <para>
                    <paratext>Asks Tenderers to submit their Tenders in accordance with the instructions set out in the remainder of this ITT.</paratext>
                  </para>
                </list.item>
                <list.item>
                  <para>
                    <paratext>Sets out the overall timetable and process for the procurement of Tenders.</paratext>
                  </para>
                </list.item>
                <list.item>
                  <para>
                    <paratext>Provides Tenderers with sufficient information to enable them to submit a compliant Tender (including providing templates where relevant).</paratext>
                  </para>
                </list.item>
                <list.item>
                  <para>
                    <paratext>Sets out the Award Criteria and the Tender Evaluation Model that will be used to evaluate the Tenders.</paratext>
                  </para>
                </list.item>
                <list.item>
                  <para>
                    <paratext>Explains the administrative arrangements for the receipt of Tenders.</paratext>
                  </para>
                </list.item>
              </list>
            </subclause1>
            <subclause1 condition="optional" id="a283267">
              <identifier>1.7</identifier>
              <para>
                <paratext>
                  <bold>Use of Contract by third parties</bold>
                </paratext>
              </para>
              <para>
                <paratext>[The Authority is carrying out the procurement on behalf of itself as principal and any other person(s) or body referred to in the contract notice. Such bodies shall access the Contract through the Authority and shall have no direct contractual relationship with the Service Provider.]</paratext>
              </para>
              <para>
                <paratext>[The following authorities have expressed an interest in purchasing through the Contract:</paratext>
              </para>
              <list type="bulleted">
                <list.item>
                  <para>
                    <paratext>[DETAILS].]</paratext>
                  </para>
                </list.item>
              </list>
              <para>
                <paratext>[Other public sector bodies and local authorities within the geographical boundaries of [INSERT BOUNDARY DETAILS IF APPLICABLE] may join the Contract at a later date.]</paratext>
              </para>
              <drafting.note id="a208367" jurisdiction="">
                <head align="left" preservecase="true">
                  <headtext>Use of contract by third parties</headtext>
                </head>
                <division id="a000010" level="1">
                  <para>
                    <paratext>This wording envisages other public bodies buying through the Authority, as an addition to the Authority's Contract. This allows the Authority to:</paratext>
                  </para>
                  <list type="bulleted">
                    <list.item>
                      <para>
                        <paratext>Monitor the other authorities' level of spend.</paratext>
                      </para>
                    </list.item>
                    <list.item>
                      <para>
                        <paratext>Manage performance issues centrally.</paratext>
                      </para>
                    </list.item>
                    <list.item>
                      <para>
                        <paratext>Agree any variations centrally.</paratext>
                      </para>
                    </list.item>
                    <list.item>
                      <para>
                        <paratext>If appropriate, recover a management fee from the other authorities.</paratext>
                      </para>
                    </list.item>
                  </list>
                  <para>
                    <paratext>
                      An alternative option is for the Authority to set up the procurement so that other contracting authorities can buy direct from the Service Provider without any further involvement from the Authority (see 
                      <link href="9-506-9971" style="ACTLinkPLCtoPLC">
                        <ital>Practice note, Collaborative procurement: taking advantage of another authority's contract</ital>
                      </link>
                       and 
                      <link href="4-384-9601" style="ACTLinkPLCtoPLC">
                        <ital>Practice note, Framework agreements let under the public procurement regime</ital>
                      </link>
                      ).
                    </paratext>
                  </para>
                  <para>
                    <paratext>In either scenario, the Authority should ensure that the contract notice and specification are sufficiently wide to encompass the other contracting authorities' requirements and that the contract notice takes account of the other contracting authorities' potential spend.</paratext>
                  </para>
                </division>
              </drafting.note>
            </subclause1>
            <subclause1 id="a817202">
              <identifier>1.8</identifier>
              <para>
                <paratext>
                  <bold>Clarifications about the Services or ITT</bold>
                </paratext>
              </para>
              <para>
                <paratext>Any clarifications relating to this ITT must be submitted through the e-tendering portal.</paratext>
              </para>
              <para>
                <paratext>
                  The Authority will respond to all reasonable clarifications as soon as possible through publishing the Tenderers' questions and the Authority's response to them on the e-tendering portal (
                  <defn.term>Clarifications Log</defn.term>
                  ). If a Tenderer wishes the Authority to treat a clarification as confidential and not issue the response to all Tenderers, it must state this when submitting the clarification. If, in the opinion of the Authority, the clarification is not confidential, the Authority will inform the Tenderer and it will have an opportunity to withdraw it. If the clarification is not withdrawn, the response will be issued to all Tenderers.
                </paratext>
              </para>
              <para>
                <paratext>
                  The deadline for receipt of clarifications relating to the Services or this ITT is set out in 
                  <internal.reference refid="a257729">paragraph 2</internal.reference>
                  .
                </paratext>
              </para>
              <para>
                <paratext>Tenderers are advised not to rely on communications from the Authority in respect of the Services or ITT unless they are made in accordance with these instructions.</paratext>
              </para>
              <drafting.note id="a203297" jurisdiction="">
                <head align="left" preservecase="true">
                  <headtext>E-tendering portals</headtext>
                </head>
                <division id="a000011" level="1">
                  <para>
                    <paratext>
                      This wording assumes the Authority is using an e-tendering tool. However, the precise wording should be checked for conformity with the specific e-tendering product being used before it is uploaded. For more information see 
                      <link href="2-545-6625" style="ACTLinkPLCtoPLC">
                        <ital>Practice note, Electronic procurement</ital>
                      </link>
                      .
                    </paratext>
                  </para>
                </division>
              </drafting.note>
            </subclause1>
            <subclause1 id="a229730">
              <identifier>1.9</identifier>
              <para>
                <paratext>
                  <bold>Clarifications about the contents of the Tender</bold>
                </paratext>
              </para>
              <para>
                <paratext>The Authority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the Tender non-compliant.</paratext>
              </para>
              <drafting.note id="a929709" jurisdiction="">
                <head align="left" preservecase="true">
                  <headtext>Clarifications about the contents of tenders</headtext>
                </head>
                <division id="a000012" level="1">
                  <para>
                    <paratext>
                      For information on clarifying tenders, see 
                      <link href="2-386-8761#a600050" style="ACTLinkPLCtoPLC">
                        <ital>Practice note, Evaluation of tenders: Clarification if bid is unclear</ital>
                      </link>
                      <ital> </ital>
                      .
                    </paratext>
                  </para>
                </division>
              </drafting.note>
            </subclause1>
          </clause>
          <clause id="a257729">
            <identifier>2.</identifier>
            <head align="left" preservecase="true">
              <headtext>Tender Timetable</headtext>
            </head>
            <subclause1 id="a301295">
              <identifier>2.1</identifier>
              <para>
                <paratext>
                  <bold>Key dates</bold>
                </paratext>
              </para>
              <para>
                <paratext>This procurement will follow a clear, structured and transparent process to ensure a fair and level playing field is maintained at all times, and that all Tenderers are treated equally.</paratext>
              </para>
              <para>
                <paratext>
                  The key dates for this procurement (
                  <defn.term>Timetable</defn.term>
                  ) are currently anticipated to be as follows:
                </paratext>
              </para>
              <para>
                <paratext>
                  <table frame="all" pgwide="1">
                    <tgroup cols="2">
                      <colspec colname="1" colnum="1" colwidth="50"/>
                      <colspec colname="2" colnum="2" colwidth="50"/>
                      <tbody>
                        <row>
                          <entry valign="top">
                            <para align="left">
                              <paratext>
                                <bold>Event</bold>
                              </paratext>
                            </para>
                          </entry>
                          <entry valign="top">
                            <para align="left">
                              <paratext>
                                <bold>Date</bold>
                              </paratext>
                            </para>
                          </entry>
                        </row>
                        <row>
                          <entry valign="top">
                            <para align="left">
                              <paratext>Notification of outcome of SQ evaluation and identification of bidders invited to tender (Tenderers)</paratext>
                            </para>
                          </entry>
                          <entry valign="top">
                            <para align="left">
                              <paratext>[DATE]</paratext>
                            </para>
                          </entry>
                        </row>
                        <row>
                          <entry valign="top">
                            <para align="left">
                              <paratext>[Notification of attendance at Tenderers' workshop]</paratext>
                            </para>
                          </entry>
                          <entry valign="top">
                            <para align="left">
                              <paratext>[DATE]</paratext>
                            </para>
                          </entry>
                        </row>
                        <row>
                          <entry valign="top">
                            <para align="left">
                              <paratext>[Tenderers' workshop]</paratext>
                            </para>
                          </entry>
                          <entry valign="top">
                            <para align="left">
                              <paratext>[DATE], [TIME], [VENUE]</paratext>
                            </para>
                          </entry>
                        </row>
                        <row>
                          <entry valign="top">
                            <para align="left">
                              <paratext>Deadline for receipt of clarifications</paratext>
                            </para>
                          </entry>
                          <entry valign="top">
                            <para align="left">
                              <paratext>[DATE]</paratext>
                            </para>
                          </entry>
                        </row>
                        <row>
                          <entry valign="top">
                            <para align="left">
                              <paratext>Target date for responses to clarifications</paratext>
                            </para>
                          </entry>
                          <entry valign="top">
                            <para align="left">
                              <paratext>[DATE]</paratext>
                            </para>
                          </entry>
                        </row>
                        <row>
                          <entry valign="top">
                            <para align="left">
                              <paratext>[Notification of Reference Site Visits and Presentations]</paratext>
                            </para>
                          </entry>
                          <entry valign="top">
                            <para align="left">
                              <paratext>[DATE]</paratext>
                            </para>
                          </entry>
                        </row>
                        <row>
                          <entry valign="top">
                            <para align="left">
                              <paratext>Deadline for receipt of Tenders</paratext>
                            </para>
                          </entry>
                          <entry valign="top">
                            <para align="left">
                              <paratext>[DATE] [TIME]</paratext>
                            </para>
                          </entry>
                        </row>
                        <row>
                          <entry valign="top">
                            <para align="left">
                              <paratext>[Reference site visits]</paratext>
                            </para>
                          </entry>
                          <entry valign="top">
                            <para align="left">
                              <paratext>[DATE]</paratext>
                            </para>
                          </entry>
                        </row>
                        <row>
                          <entry valign="top">
                            <para align="left">
                              <paratext>[Presentations]</paratext>
                            </para>
                          </entry>
                          <entry valign="top">
                            <para align="left">
                              <paratext>[VENUE] [DATE]</paratext>
                            </para>
                          </entry>
                        </row>
                        <row>
                          <entry valign="top">
                            <para align="left">
                              <paratext>Evaluation of Tenders</paratext>
                            </para>
                          </entry>
                          <entry valign="top">
                            <para align="left">
                              <paratext>[DATE]</paratext>
                            </para>
                          </entry>
                        </row>
                        <row>
                          <entry valign="top">
                            <para align="left">
                              <paratext>Notification of contract award decision</paratext>
                            </para>
                          </entry>
                          <entry valign="top">
                            <para align="left">
                              <paratext>[DATE]</paratext>
                            </para>
                          </entry>
                        </row>
                        <row>
                          <entry valign="top">
                            <para align="left">
                              <paratext>"Standstill" period</paratext>
                            </para>
                          </entry>
                          <entry valign="top">
                            <para align="left">
                              <paratext>From [DATE] to [DATE]</paratext>
                            </para>
                          </entry>
                        </row>
                        <row>
                          <entry valign="top">
                            <para align="left">
                              <paratext>Confirm contract award</paratext>
                            </para>
                          </entry>
                          <entry valign="top">
                            <para align="left">
                              <paratext>[DATE]</paratext>
                            </para>
                          </entry>
                        </row>
                        <row>
                          <entry valign="top">
                            <para align="left">
                              <paratext>Contract start and start of mobilisation period</paratext>
                            </para>
                          </entry>
                          <entry valign="top">
                            <para align="left">
                              <paratext>[DATE]</paratext>
                            </para>
                          </entry>
                        </row>
                        <row>
                          <entry valign="top">
                            <para align="left">
                              <paratext>Target service commencement date</paratext>
                            </para>
                          </entry>
                          <entry valign="top">
                            <para align="left">
                              <paratext>[DATE]</paratext>
                            </para>
                          </entry>
                        </row>
                      </tbody>
                    </tgroup>
                  </table>
                </paratext>
              </para>
              <para>
                <paratext>Any changes to the procurement Timetable shall be notified to all Tenderers as soon as practicable.</paratext>
              </para>
            </subclause1>
            <subclause1 condition="optional" id="a490968">
              <identifier>2.2</identifier>
              <para>
                <paratext>
                  <bold>Tenderers' workshop</bold>
                </paratext>
              </para>
              <para>
                <paratext>A workshop for Tenderers will be held as detailed in the Timetable. All Tenderers are recommended to attend. Please confirm who will be representing your organisation (name and status) by the above stated date in order for the Authority to make the appropriate arrangements.</paratext>
              </para>
              <para>
                <paratext>Please send any questions to the address for the Clarifications Log three days before the workshop to ensure they can be answered at the workshop.</paratext>
              </para>
              <para>
                <paratext>
                  [The following [officers 
                  <bold>OR</bold>
                   representatives] from the following departments will attend the workshop: [DETAILS, NAMES AND POSITIONS] 
                  <bold>OR</bold>
                   Further details of the Tenderers' workshop shall be provided on confirmation of attendance].
                </paratext>
              </para>
              <drafting.note id="a390791" jurisdiction="">
                <head align="left" preservecase="true">
                  <headtext>Tenderers' workshop</headtext>
                </head>
                <division id="a000013" level="1">
                  <para>
                    <paratext>To allow Tenderers to put forward initial questions on the ITT, authorities may hold a bidders' conference or a supplier open day to which all Tenderers are invited. This has the advantage for the Authority of clarifying initial matters raised by Tenderers in front of all suppliers at the same time. This will need to be carefully orchestrated and will inevitably mean that Tenderers will find out which other Tenderers have been shortlisted and are interested in responding. The Authority should circulate the questions and answers raised at the Tenderers' workshop to all of the Tenderers after the event (particularly where a Tenderer may end up not being able to attend the workshop for whatever reason).</paratext>
                  </para>
                </division>
              </drafting.note>
            </subclause1>
            <subclause1 id="a461832">
              <identifier>2.3</identifier>
              <para>
                <paratext>
                  <bold>Deadline for receipt of Tenders</bold>
                </paratext>
              </para>
              <para>
                <paratext>
                  Responses to this ITT must arrive at the address and in the manner prescribed under 
                  <internal.reference refid="a71839">paragraph 3.1</internal.reference>
                   no later than the Deadline.
                </paratext>
              </para>
              <para>
                <paratext>Any Tender received after the Deadline shall not be opened or considered. The Authority may, however, in its own absolute discretion extend the Deadline and in such circumstances the Authority will notify all Tenderers of any change.</paratext>
              </para>
              <drafting.note id="a573497" jurisdiction="">
                <head align="left" preservecase="true">
                  <headtext>Extending the Deadline</headtext>
                </head>
                <division id="a000014" level="1">
                  <para>
                    <paratext>The Authority is obliged to extend the Deadline where:</paratext>
                  </para>
                  <list type="bulleted">
                    <list.item>
                      <para>
                        <paratext>Additional information, for whatever reason, although requested by the Tenderer in good time, was not supplied at least six days before the Deadline (or four days in the case of an accelerated procedure).</paratext>
                      </para>
                    </list.item>
                    <list.item>
                      <para>
                        <paratext>Significant changes are made to the procurement documents.</paratext>
                      </para>
                    </list.item>
                  </list>
                  <para>
                    <paratext>The length of the extension must be proportionate to the importance of the information or change.</paratext>
                  </para>
                  <para>
                    <paratext>There is no requirement to extend the Deadline when the information was not requested in good time or is insignificant in terms of its impact on Tenderers' ability to prepare a responsive Tender.</paratext>
                  </para>
                  <para>
                    <paratext>
                      (
                      <link href="7-601-8825" style="ACTLinkPLCtoPLC">
                        <ital>Regulation 47</ital>
                      </link>
                      <ital>, PCR 2015</ital>
                      .)
                    </paratext>
                  </para>
                </division>
              </drafting.note>
              <drafting.note id="a731642" jurisdiction="">
                <head align="left" preservecase="true">
                  <headtext>Late tenders</headtext>
                </head>
                <division id="a000015" level="1">
                  <para>
                    <paratext>The Authority should also make it clear when or if any discretion will be exercised in allowing late Tenders.</paratext>
                  </para>
                  <para>
                    <paratext>
                      <bold>Alternative drafting for Authority's discretion to accept late tenders</bold>
                    </paratext>
                  </para>
                  <display.quote>
                    <para>
                      <paratext>"Any Tender received after the Deadline shall not be opened or considered unless, in the opinion of the Authority, taking into account relevant evidence, the failure to meet the deadline was due to circumstances beyond the control of the Tenderer."</paratext>
                    </para>
                  </display.quote>
                  <para>
                    <paratext>Where there is a systemic failure (such as a failure of any electronic tendering system or strike action), the Authority should consider extending the deadline before it expires, rather than permitting late Tenders.</paratext>
                  </para>
                  <para>
                    <paratext>However, if the Authority permits a late Tender, it risks opening itself up to challenge from other Tenderers who were unable to complete a Tender on time aswell as those that did.</paratext>
                  </para>
                </division>
              </drafting.note>
              <drafting.note id="a681461" jurisdiction="">
                <head align="left" preservecase="true">
                  <headtext>Electronic tendering systems</headtext>
                </head>
                <division id="a000016" level="1">
                  <para>
                    <paratext>It is important that the ITT provides clear instructions on the method and timing of Tender submission. Suppliers may be unfamiliar with electronic tendering systems and may need additional support with, for example, uploading documents. It is wise to advise all Tenderers to leave enough time to submit their Tenders.</paratext>
                  </para>
                </division>
              </drafting.note>
            </subclause1>
            <subclause1 id="a74933">
              <identifier>2.4</identifier>
              <para>
                <paratext>
                  <bold>References</bold>
                </paratext>
              </para>
              <para>
                <paratext>Tenderers are requested to supply [NUMBER] references. References will be used to verify the technical proposals put forward in the Tender and will not be scored.</paratext>
              </para>
              <para>
                <paratext>[The Authority reserves the right to seek references from any of the Tenderer's customers, including the Authority, whether or not the Tenderer has listed such customers as referees.]</paratext>
              </para>
              <drafting.note id="a824582" jurisdiction="">
                <head align="left" preservecase="true">
                  <headtext>References</headtext>
                </head>
                <division id="a000017" level="1">
                  <para>
                    <paratext>References verifying a bidder's past experience (a selection, rather than an Award Criteria) should be obtained at the SQ stage.</paratext>
                  </para>
                  <para>
                    <paratext>
                      However, references may be relevant at award stage to support the Tenderers' written submissions (that is, evidence that their solutions are deliverable). For more information, see 
                      <internal.reference refid="a918282">Drafting note, Presentations</internal.reference>
                      <ital>.</ital>
                    </paratext>
                  </para>
                  <para>
                    <paratext>
                      For more information on the distinction between selection and award criteria, see 
                      <link href="7-579-9145" style="ACTLinkPLCtoPLC">
                        <ital>Practice note, Selection criteria and standard selection questionnaires (SQs)</ital>
                      </link>
                       and 
                      <link href="2-386-8761" style="ACTLinkPLCtoPLC">
                        <ital>Practice note, Evaluation of tenders</ital>
                      </link>
                      .
                    </paratext>
                  </para>
                </division>
              </drafting.note>
            </subclause1>
            <subclause1 condition="optional" id="a807636">
              <identifier>2.5</identifier>
              <para>
                <paratext>
                  <bold>Reference site visits</bold>
                </paratext>
              </para>
              <para>
                <paratext>
                  All Tenderers are asked to make available [NUMBER] reference site[s] [as identified in your response to the SQ]. The reference site visits will be required to [score the Evaluation Criteria as 
                  <bold>OR</bold>
                   moderate the scores obtained from your written submissions on the Evaluation Criteria] identified in the Tender Evaluation Model.
                </paratext>
              </para>
              <para>
                <paratext>Reference site visits are planned to take place on the dates set out in the Timetable. You should keep these dates free in case you are asked to make a reference site available.</paratext>
              </para>
              <para>
                <paratext>
                  [The Authority reserves the right to visit the sites of the top [NUMBER] scoring Tenderers or more, although, where the scores which are being [evaluated 
                  <bold>OR</bold>
                   moderated] by the visits are close enough that the [evaluation 
                  <bold>OR</bold>
                   moderation] could make a difference to the contract award, the authority will visit all relevant Tenderers' sites.]
                </paratext>
              </para>
              <drafting.note id="a843113" jurisdiction="">
                <head align="left" preservecase="true">
                  <headtext>Presentations and reference site visits: a two-stage evaluation process</headtext>
                </head>
                <division id="a000018" level="1">
                  <para>
                    <paratext>Reference site visits can be used to score specific criteria (provided this is not an assessment of the Tenderers' past experience) or to moderate written scores.</paratext>
                  </para>
                  <para>
                    <paratext>
                      The Authority may want to visit reference sites or hear presentations from only those Tenderers who stand a chance of winning the work, following evaluation of their written submissions. However, the open and restricted procedures do not envisage a split tender process in which only the top scorers proceed to a second-stage evaluation. (The competitive procedure with negotiation, the 
                      <link href="0-385-1375" style="ACTLinkPLCtoPLC">
                        <bold>
                          <ital>competitive dialogue procedure</ital>
                        </bold>
                      </link>
                       or the innovation partnership allow for iterative processes (see 
                      <link href="9-385-0442" style="ACTLinkPLCtoPLC">
                        <ital>Practice note, Competitive dialogue procedure</ital>
                      </link>
                      . It is also open to the Authority to adopt or adapt one of those processes for procurements for Schedule 3 contracts.) The law in this area is, therefore, open to interpretation, but three possibilities emerge:
                    </paratext>
                  </para>
                  <list type="bulleted">
                    <list.item>
                      <para>
                        <paratext>The Authority visits reference sites or hears presentations from all Tenderers.</paratext>
                      </para>
                    </list.item>
                    <list.item>
                      <para>
                        <paratext>The Authority invites only the top scorers who are way ahead of their competitors to proceed. The risk of challenge is likely to be low if the Authority rejects only those Tenderers who are so far behind their competitors that even if they scored maximum available marks for this part of the process, they could not win.</paratext>
                      </para>
                    </list.item>
                    <list.item>
                      <para>
                        <paratext>Alternatively, the Authority may want to impose a cut-off, for example, that it reserves the right to take only the top three to five scoring Tenderers through (irrespective of how close their scores are) to a second round of assessment. This is a riskier approach and is not recommended.</paratext>
                      </para>
                    </list.item>
                  </list>
                  <para>
                    <paratext>Presentations and reference site visits are not, in themselves, Evaluation Criteria. They can be used to evaluate technical criteria and these should be specified. Alternatively, they can also be used to moderate the written submissions and attract no separate marks. The Authority must specify how the presentations or reference site visits are being used and which of the Evaluation Criteria will be scored or moderated in this way.</paratext>
                  </para>
                  <para>
                    <paratext>If the Authority chooses to only visit reference sites or hear presentations from the top-scoring Tenderers, it must ensure that:</paratext>
                  </para>
                  <list type="bulleted">
                    <list.item>
                      <para>
                        <paratext>If the reference site visits or presentations attract specific marks, all those Tenderers who could have a chance of winning the work are invited (taking into account that the lowest-scoring Tenderers following evaluation of the written submission may score highly and the highest-scoring Tenderers, poorly).</paratext>
                      </para>
                    </list.item>
                    <list.item>
                      <para>
                        <paratext>If the reference site visits or presentations are used to moderate specific marks, all those Tenderers who could have a chance of winning the work are invited (taking into account that the scores of the lowest-scoring Tenderers could be moderated upwards and the highest scoring Tenderers' scores could be moderated downwards). This exercise is further complicated if a large number of criteria are capable of moderation.</paratext>
                      </para>
                    </list.item>
                  </list>
                  <para>
                    <paratext>If the presentations or reference site visits attract their own marks, the marks from the written submission can be added to those allocated for the reference site visits or presentation to provide the overall score.</paratext>
                  </para>
                  <para>
                    <paratext>The position is different for procurements which:</paratext>
                  </para>
                  <list type="bulleted">
                    <list.item>
                      <para>
                        <paratext>Use iterative stages, such as the competitive dialogue and competitive negotiated procedures.</paratext>
                      </para>
                    </list.item>
                    <list.item>
                      <para>
                        <paratext>Fall outside the PCR 2015.</paratext>
                      </para>
                    </list.item>
                    <list.item>
                      <para>
                        <paratext>Fall within Schedule 3 for which no set procedures are prescribed. Therefore, a split tender process (third bullet point above) is probably permitted, provided it is fair, transparent and non-discriminatory.</paratext>
                      </para>
                    </list.item>
                  </list>
                </division>
              </drafting.note>
            </subclause1>
            <subclause1 condition="optional" id="a669230">
              <identifier>2.6</identifier>
              <para>
                <paratext>
                  <bold>Software or product demonstration</bold>
                </paratext>
              </para>
              <para>
                <paratext>
                  You will need to include a demonstration of the [software] solution proposed for the Contract [as part of the reference site visit (see 
                  <internal.reference refid="a1029112">paragraph 4</internal.reference>
                   for more information)].
                </paratext>
              </para>
              <drafting.note id="a1026524" jurisdiction="">
                <head align="left" preservecase="true">
                  <headtext>Software or product demonstration</headtext>
                </head>
                <division id="a000019" level="1">
                  <para>
                    <paratext>The above wording can be used where the Tenderers must carry out a demonstration of software or other product, rather than provide access to a reference site:</paratext>
                  </para>
                </division>
              </drafting.note>
            </subclause1>
            <subclause1 condition="optional" id="a884067">
              <identifier>2.7</identifier>
              <para>
                <paratext>
                  <bold>Presentations</bold>
                </paratext>
              </para>
              <para>
                <paratext>
                  A maximum of the [top three scoring 
                  <bold>OR</bold>
                   [NUMBER]] Tenderers will be invited to deliver a presentation to representatives of the Authority [and other organisations as appropriate] in support of their Tenders, as set out in the Timetable. You should keep this date free in case you are asked to attend.
                </paratext>
              </para>
              <para>
                <paratext>
                  The presentations will be used to [evaluate the Evaluation Criteria 
                  <bold>OR</bold>
                   moderate the written submissions for the Evaluation Criteria] specified in the Tender Evaluation Model.
                </paratext>
              </para>
              <para>
                <paratext>
                  [The panel will consist of the following [officers 
                  <bold>OR</bold>
                   representatives] from the following departments: [DETAILS, NAMES OR POSITIONS].
                </paratext>
              </para>
              <para>
                <paratext>
                  <bold>OR</bold>
                </paratext>
              </para>
              <para>
                <paratext>The names and positions of those attending from the Authority will be notified to all Tenderers in advance of the presentation.]</paratext>
              </para>
              <para>
                <paratext>[Topics for discussion for the presentation will be issued no later than [NUMBER] days before the presentation.]</paratext>
              </para>
              <drafting.note id="a918282" jurisdiction="">
                <head align="left" preservecase="true">
                  <headtext>Presentations</headtext>
                </head>
                <division id="a000020" level="1">
                  <para>
                    <paratext>
                      For information on the presentations and evaluation, see 
                      <internal.reference refid="a843113">Drafting note, Presentations and reference site visits: a two-stage evaluation process</internal.reference>
                      .
                    </paratext>
                  </para>
                  <para>
                    <paratext>The Authority must notify Tenderers of the criteria that will be evaluated or moderated at the presentation. However, they are not required to issue specific questions before the presentation.</paratext>
                  </para>
                </division>
              </drafting.note>
            </subclause1>
            <subclause1 id="a104834">
              <identifier>2.8</identifier>
              <para>
                <paratext>
                  <bold>Contract award</bold>
                </paratext>
              </para>
              <para>
                <paratext>The Authority may award Contract(s) on the basis of a [Tender] OR [Reference Bid or a Variant Bid] submitted in accordance with the instructions below.</paratext>
              </para>
              <para>
                <paratext>Contract award is subject to the formal approval process of the Authority. Until all necessary approvals are obtained and the standstill period completed, no Contract(s) will be entered into.</paratext>
              </para>
              <para>
                <paratext>Once the Authority has reached a decision in respect of a contract award, it will notify all bidders of that decision and provide for a standstill period in accordance with the PCR 2015 before entering into any Contract(s).</paratext>
              </para>
              <drafting.note id="a609294" jurisdiction="">
                <head align="left" preservecase="true">
                  <headtext>Standstill period</headtext>
                </head>
                <division id="a000021" level="1">
                  <para>
                    <paratext>The standstill period ends at midnight at the end of the tenth day after the date on which the Authority sends the award decision letter (by fax or electronically).</paratext>
                  </para>
                  <para>
                    <paratext>Where the standstill letter is sent by means other than fax or email, the standstill period ends at whichever of the following occurs first:</paratext>
                  </para>
                  <list type="bulleted">
                    <list.item>
                      <para>
                        <paratext>Midnight at the end of the 15th day after the relevant sending date.</paratext>
                      </para>
                    </list.item>
                    <list.item>
                      <para>
                        <paratext>Midnight at the end of the 10th day after the date on which the last of the economic operators to receive such a notice receives it.</paratext>
                      </para>
                    </list.item>
                  </list>
                  <para>
                    <paratext>
                      (
                      <link href="5-601-8845" style="ACTLinkPLCtoPLC">
                        <ital>regulation 87</ital>
                      </link>
                      <ital>, PCR 2015</ital>
                      ).
                    </paratext>
                  </para>
                  <para>
                    <paratext>
                      For more information on the standstill period, see 
                      <link href="0-500-9991" style="ACTLinkPLCtoPLC">
                        <ital>Practice note, Remedies in public procurement law</ital>
                      </link>
                      .
                    </paratext>
                  </para>
                  <para>
                    <paratext>
                      For standard letters and drafting notes, see 
                      <link href="5-384-2185" style="ACTLinkPLCtoPLC">
                        <ital>Practice note, Procurement correspondence</ital>
                      </link>
                      .
                    </paratext>
                  </para>
                </division>
              </drafting.note>
            </subclause1>
            <subclause1 id="a306172">
              <identifier>2.9</identifier>
              <para>
                <paratext>
                  <bold>Debrief</bold>
                </paratext>
              </para>
              <para>
                <paratext>The contract award notification will be sent to each Tenderer. The Authority will inform all unsuccessful Tenderers of the identity and relative advantages and characteristics of the successful Tender as compared with the addressee's Tender.</paratext>
              </para>
              <drafting.note id="a1044214" jurisdiction="">
                <head align="left" preservecase="true">
                  <headtext>Debriefing requirements</headtext>
                </head>
                <division id="a000022" level="1">
                  <para>
                    <paratext>
                      For more information, see 
                      <link href="0-500-9991" style="ACTLinkPLCtoPLC">
                        <ital>Practice note, Remedies in public procurement law</ital>
                      </link>
                       and 
                      <link href="7-616-7165" style="ACTLinkPLCtoPLC">
                        <ital>Standard document, Letter informing unsuccessful supplier of outcome of procurement with debrief (PCR 2015)</ital>
                      </link>
                    </paratext>
                  </para>
                </division>
              </drafting.note>
            </subclause1>
          </clause>
          <clause id="a268968">
            <identifier>3.</identifier>
            <head align="left" preservecase="true">
              <headtext>Tender completion information</headtext>
            </head>
            <subclause1 id="a71839">
              <identifier>3.1</identifier>
              <para>
                <paratext>
                  <bold>Formalities</bold>
                </paratext>
              </para>
              <para>
                <paratext>[All documents comprising the Tender must be completed and uploaded to the e-tendering portal by [DATE] [TIME] [Deadline.]</paratext>
              </para>
              <para>
                <paratext>[INSERT ANY REQUIREMENTS SPECIFIC TO AUTHORITY'S E-TENDERING TOOL.]</paratext>
              </para>
              <para>
                <paratext>[The following requirements must be adhered to when submitting Tenders:</paratext>
              </para>
              <list type="bulleted">
                <list.item>
                  <para>
                    <paratext>The pages of the Tender documents must be numbered sequentially as "Page [x] of [xx]" and include the date and title of the document on each page of the main body.</paratext>
                  </para>
                </list.item>
                <list.item>
                  <para>
                    <paratext>Any additional pre-existing material which is necessary to support the Tender should be included as schedules with cross-references to this material in the main body of the Tender. Cross-references to this ITT should also be included in the Tender whenever this is relevant.</paratext>
                  </para>
                </list.item>
                <list.item>
                  <para>
                    <paratext>Where documents are embedded within other documents, Tenderers must upload separate copies of the embedded documents.</paratext>
                  </para>
                </list.item>
                <list.item>
                  <para>
                    <paratext>The Tender must be in English and drafted in accordance with the drafting guidance set out in this ITT.</paratext>
                  </para>
                </list.item>
                <list.item>
                  <para>
                    <paratext>Each Tender [(whether a Reference Bid or a Variant Bid)] must be uniquely named or referenced.</paratext>
                  </para>
                </list.item>
                <list.item>
                  <para>
                    <paratext>A table of contents must be provided.</paratext>
                  </para>
                </list.item>
                <list.item>
                  <para>
                    <paratext>The Tender must be fully cross-referenced.</paratext>
                  </para>
                </list.item>
                <list.item>
                  <para>
                    <paratext>A list of supporting material must be supplied.</paratext>
                  </para>
                </list.item>
                <list.item>
                  <para>
                    <paratext>Tenderers should use [FONT TYPE AND SIZE].</paratext>
                  </para>
                </list.item>
                <list.item>
                  <para>
                    <paratext>Line spacing must be [SPACING SIZE] or more.</paratext>
                  </para>
                </list.item>
              </list>
              <para>
                <paratext>The Tender must be clear, concise and complete. The Authority reserves the right to mark a Tenderer down or exclude them from the procurement if its Tender contains any ambiguities, caveats or lacks clarity. Tenderers should submit only such information as is necessary to respond effectively to this ITT. Tenders will be evaluated on the basis of information submitted by the Deadline.</paratext>
              </para>
              <para>
                <paratext>
                  [The Tenderer must upload a duly executed Form of Tender (
                  <internal.reference refid="a893025">Schedule 11</internal.reference>
                  ).] 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Contract. 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 In the case of a sole trader, they should sign and give their name in full together with the name under which they are trading.
                </paratext>
              </para>
            </subclause1>
            <subclause1 condition="optional" id="a210696">
              <identifier>3.2</identifier>
              <para>
                <paratext>
                  <bold>Executive summary</bold>
                </paratext>
              </para>
              <para>
                <paratext>Each Tenderer must also provide an executive summary of its Tender. Each Tenderer must include in its executive summary:</paratext>
              </para>
              <list type="bulleted">
                <list.item>
                  <para>
                    <paratext>An outline of the way in which the Authority's requirements are to be met by its proposal.</paratext>
                  </para>
                </list.item>
                <list.item>
                  <para>
                    <paratext>A summary of all the services offered by the Tenderer in response to the ITT.</paratext>
                  </para>
                </list.item>
                <list.item>
                  <para>
                    <paratext>An overview of the Tenderer's overall costs and proposals in relation to pricing.</paratext>
                  </para>
                </list.item>
                <list.item>
                  <para>
                    <paratext>A clear statement of whether it is a consortium or a group of companies with one supplier.</paratext>
                  </para>
                </list.item>
                <list.item>
                  <para>
                    <paratext>A clear statement of its commitment to meet the Authority's requirements and the pricing, payment and performance model.</paratext>
                  </para>
                </list.item>
                <list.item>
                  <para>
                    <paratext>Confirmation that the Tender(s) will remain open for a period of [NUMBER] days.</paratext>
                  </para>
                </list.item>
                <list.item>
                  <para>
                    <paratext>Written confirmation of no adverse change since the SQ stage in its financial standing and any other information provided at that stage.</paratext>
                  </para>
                </list.item>
                <list.item>
                  <para>
                    <paratext>Notification of any change in control, composition or membership (if any) that has taken place after its submission of its expression of interest.</paratext>
                  </para>
                </list.item>
                <list.item>
                  <para>
                    <paratext>[Any other requirements of the Authority (for example, certificates of non-collusion, non-canvassing and so on).]</paratext>
                  </para>
                </list.item>
              </list>
              <para>
                <paratext>If changes subsequently occur in relation to the statements set out in the executive summary, the applicable Tenderer must promptly notify the Authority of them. The Authority reserves the right to disqualify any Tenderer that fails to duly notify the Authority. Tenderers are also reminded of the eligibility requirements that apply to the procurement process at all times. In particular, these include the provisions set out in regulation 57 of the PCR 2015 and the minimum standards set out in the SQ. Any change in the eligibility of a Tenderer must be notified immediately to the Authority in writing and may result in that Tenderer being disqualified from any further participation in the procurement process.</paratext>
              </para>
              <drafting.note id="a338216" jurisdiction="">
                <head align="left" preservecase="true">
                  <headtext>Executive summary</headtext>
                </head>
                <division id="a000023" level="1">
                  <para>
                    <paratext>Executive summaries of the Tender or covering letters may not be required in every case.</paratext>
                  </para>
                </division>
              </drafting.note>
            </subclause1>
            <subclause1 id="a794123">
              <identifier>3.3</identifier>
              <para>
                <paratext>
                  <bold>Submission of Tenders</bold>
                </paratext>
              </para>
              <para>
                <paratext>Each Tenderer:</paratext>
              </para>
              <list type="bulleted">
                <list.item>
                  <para>
                    <paratext>Must submit one Tender [in respect of each Lot that the Tenderer has been invited to respond to by the Authority and for which it wishes to make a bid].</paratext>
                  </para>
                </list.item>
                <list.item>
                  <para>
                    <paratext>[May submit one or more Tenders in respect of one or more combinations of Lots showing any financial benefits accruing to the Authority if the Tenderer were to win more than one Lot.]</paratext>
                  </para>
                </list.item>
                <list.item>
                  <para>
                    <paratext>[May submit Variant Bids, subject to the conditions set out below.]</paratext>
                  </para>
                </list.item>
              </list>
              <para>
                <paratext>
                  [The 
                  <bold>OR</bold>
                   Each] Tender must meet the Authority's minimum requirements, operate as a standalone bid and not be dependent on any other bid or any other factors external to the Tender itself. That is, [the 
                  <bold>OR</bold>
                   each] Tender must be capable of being accepted by the Authority in its own right.
                </paratext>
              </para>
            </subclause1>
            <subclause1 condition="optional" id="a545202">
              <identifier>3.4</identifier>
              <para>
                <paratext>
                  <bold>Variant Bids</bold>
                </paratext>
              </para>
              <para>
                <paratext>
                  Tenderers are permitted to submit [[NUMBER] 
                  <bold>OR</bold>
                   any number of] Variant Bids (
                  <bold>Variant Bids</bold>
                  ) to the Authority (subject to the requirements of a Variant Bid set out in this paragraph).
                </paratext>
              </para>
              <para>
                <paratext>A Variant Bid must meet the minimum requirements applicable to a Reference Bid, except for any changes made in respect of the following options (a Tenderer may choose to include any or all of these variant options in a Variant Bid):</paratext>
              </para>
              <list type="bulleted">
                <list.item>
                  <para>
                    <paratext>[SET OUT OPTIONS (FOR EXAMPLE, SERVICE LEVEL OPTION, PAYMENT MECHANISM OPTION OR ADDITIONAL SERVICE COMPONENT OPTION).]</paratext>
                  </para>
                </list.item>
              </list>
              <para>
                <paratext>A Variant Bid will only be considered once the Authority has determined that the Tenderer has submitted a compliant Reference Bid [in respect of each of the relevant Lots covered by the Variant Bid].</paratext>
              </para>
              <para>
                <paratext>A Variant Bid must not be used for the purposes of imposing the Tenderer's own conditions of service provision.</paratext>
              </para>
              <para>
                <paratext>If a Tenderer is in any doubt about the acceptability of any proposed Variant Bid, it may request clarification from the Authority before formal submission.</paratext>
              </para>
              <para>
                <paratext>Tenderers must:</paratext>
              </para>
              <list type="bulleted">
                <list.item>
                  <para>
                    <paratext>State which of the variants or which combination of the variants above applies to the Variant Bid.</paratext>
                  </para>
                </list.item>
                <list.item>
                  <para>
                    <paratext>Provide any information requested regarding the particular type(s) of Variant Bid.</paratext>
                  </para>
                </list.item>
                <list.item>
                  <para>
                    <paratext>Provide a summary of the costing and solution differences.</paratext>
                  </para>
                </list.item>
                <list.item>
                  <para>
                    <paratext>Detail the benefits to the Authority of those differences against the relevant Reference Bid(s).</paratext>
                  </para>
                </list.item>
              </list>
              <drafting.note id="a804149" jurisdiction="">
                <head align="left" preservecase="true">
                  <headtext>Variant Bids</headtext>
                </head>
                <division id="a000024" level="1">
                  <para>
                    <paratext>Contracting authorities should exercise caution when permitting Variant Bids, as they can be problematic to evaluate. However, they are a useful means of permitting Tenderers to propose innovative solutions for service delivery (assuming the Authority's own pre-procurement market research did not identify these options). For example:</paratext>
                  </para>
                  <list type="bulleted">
                    <list.item>
                      <para>
                        <paratext>Where the Services are split into Lots, unless such an option is already included in the ITT, a Variant Bid may be used to propose an alternative pricing mechanism enabling the Authority to benefit from economies of scale if the Tenderer were to be awarded more than one Lot.</paratext>
                      </para>
                    </list.item>
                    <list.item>
                      <para>
                        <paratext>Where the Specification is input based, but where the Evaluation Criteria focus on the outcome for the Authority.</paratext>
                      </para>
                    </list.item>
                    <list.item>
                      <para>
                        <paratext>To introduce amendments to the Contract terms. However, this is difficult to evaluate and is not recommended for procurements using the restricted procedure. It is usually easier to deal with questions about the Contract terms under the Clarifications process.</paratext>
                      </para>
                    </list.item>
                  </list>
                  <para>
                    <paratext>If the Authority decides to permit Variant Bids, to ensure it achieves the best outcome, it must:</paratext>
                  </para>
                  <list type="bulleted">
                    <list.item>
                      <para>
                        <paratext>
                          Specify the minimum requirements to be met by the Variants and any specific requirements for their presentation (
                          <ital>regulation 45(4), PCR 2015</ital>
                          ), for example, which elements of the requirements (Specification) must be met in full and which may be varied.
                        </paratext>
                      </para>
                    </list.item>
                    <list.item>
                      <para>
                        <paratext>
                          Ensure its Evaluation Criteria allows for Variant Bids to be considered fairly alongside Reference Bids (see 
                          <link href="5-385-1368" style="ACTLinkPLCtoPLC">
                            <ital>Reference Bids</ital>
                          </link>
                          ) (
                          <link href="3-601-8865" style="ACTLinkPLCtoPLC">
                            <ital>regulation 45(5)</ital>
                          </link>
                          <ital>, PCR 2015</ital>
                          ).
                        </paratext>
                      </para>
                    </list.item>
                  </list>
                </division>
              </drafting.note>
            </subclause1>
            <subclause1 id="a462343">
              <identifier>3.5</identifier>
              <para>
                <paratext>
                  <bold>Contract terms</bold>
                </paratext>
              </para>
              <para>
                <paratext>
                  The draft Contract that the Authority proposes to use is attached at 
                  <internal.reference refid="a468549">Schedule 1</internal.reference>
                  . By submitting a Tender, Tenderers are agreeing to be bound by the terms of this ITT and the Contract without further negotiation or amendment.
                </paratext>
              </para>
              <para>
                <paratext>
                  If the terms of the Contract render the proposals in the Tenderer's Tender unworkable, the Tenderer should submit a clarification in accordance with 
                  <internal.reference refid="a817202">paragraph 1.8</internal.reference>
                   and the Authority will consider whether any amendment to the Contract is required. Any amendments shall be published through the Clarifications Log and shall apply to all Tenderers. Where both the amendment and the original drafting are acceptable and workable to the Authority, the Authority shall publish the amendment as an alternative to the original drafting. Tenderers should indicate if they prefer the amendment; otherwise the original drafting shall apply. Any amendments which are proposed, but not approved by the Authority through this process, will not be acceptable and may be construed as a rejection of the terms leading to the disqualification of the Tender.
                </paratext>
              </para>
              <drafting.note id="a466392" jurisdiction="">
                <head align="left" preservecase="true">
                  <headtext>Evaluating the response to the Contract terms</headtext>
                </head>
                <division id="a000025" level="1">
                  <para>
                    <paratext>This ITT assumes that the Contract terms are non-negotiable. However, some contracting authorities permit the Tenderers to mark-up the draft contract and score its commercial acceptability or risk allocation as part of the evaluation.</paratext>
                  </para>
                  <para>
                    <paratext>However, this presents problems where the open or restricted procedure is being used, during which the parties cannot negotiate. The above approach may, therefore, result in a bidder submitting amendments to the terms which are unacceptable to the Authority. Unless the Authority allows itself the discretion to reject such a bid as non-compliant, it may be obliged to award the contract to that Tenderer, if their Tender otherwise represents best value for money. Alternatively, if the Authority allows for bids to be rejected as non-compliant on the basis of the mark up to the contract terms, this may have the effect of rejecting a good Tenderer who failed to understand the process and used the mark-up as a first attempt to engage in a negotiation.</paratext>
                  </para>
                  <para>
                    <paratext>It is, therefore, simpler, especially for straightforward contracts, for the Authority to impose Contract terms which are reasonable and reflect industry norms. If there are any significant difficulties with the Tenderers accepting those terms, they can raise the issue through the clarification process.</paratext>
                  </para>
                  <para>
                    <paratext>
                      For more information, see 
                      <link href="2-386-8761" style="ACTLinkPLCtoPLC">
                        <ital>Practice note, Evaluation of tenders; Evaluation of terms and conditions</ital>
                      </link>
                      .
                    </paratext>
                  </para>
                </division>
              </drafting.note>
            </subclause1>
            <subclause1 id="a43840">
              <identifier>3.6</identifier>
              <para>
                <paratext>
                  <bold>Documents forming the contract</bold>
                </paratext>
              </para>
              <para>
                <paratext>The following documents shall form part of the Contract between the Authority and the Service Provider(s):</paratext>
              </para>
              <para>
                <paratext>[[LIST DOCUMENTS]</paratext>
              </para>
              <list type="bulleted">
                <list.item>
                  <para>
                    <paratext>Contract and its schedules.</paratext>
                  </para>
                </list.item>
                <list.item>
                  <para>
                    <paratext>Specification.</paratext>
                  </para>
                </list.item>
                <list.item>
                  <para>
                    <paratext>Schedules (such as service levels, site plans, asset lists, contracts list, list of transferring employees, relevant policies and so on).</paratext>
                  </para>
                </list.item>
                <list.item>
                  <para>
                    <paratext>A pricing model (as completed by the Service Provider).</paratext>
                  </para>
                </list.item>
                <list.item>
                  <para>
                    <paratext>
                      [Responses to requirements 
                      <bold>OR</bold>
                       method statement questions](as completed by the Service Provider).
                    </paratext>
                  </para>
                </list.item>
                <list.item>
                  <para>
                    <paratext>A list of commercially sensitive information (as completed by the successful Tenderer).]</paratext>
                  </para>
                </list.item>
              </list>
              <drafting.note id="a176542" jurisdiction="">
                <head align="left" preservecase="true">
                  <headtext>Documents forming the contract</headtext>
                </head>
                <division id="a000026" level="1">
                  <para>
                    <paratext>
                      Contracting authorities are obliged to publish all procurement documents, subject to limited exceptions, with the contract notice, see 
                      <link anchor="a407671" href="w-029-5992" style="ACTLinkPLCtoPLC">
                        <ital>Practice note, Advertising on the UK e-notification service: Find a Tender: General requirement to make procurement documents accessible</ital>
                      </link>
                      .
                    </paratext>
                  </para>
                  <para>
                    <paratext>
                      The ITT envisages that its Schedules shall be included as schedules to the eventual Contract, where relevant (see 
                      <link href="2-501-1525" style="ACTLinkPLCtoPLC">
                        <ital>Standard document, Services agreement for use by public sector bodies</ital>
                      </link>
                      ). The Authority may want to include the following information with the ITT:
                    </paratext>
                  </para>
                  <list type="bulleted">
                    <list.item>
                      <para>
                        <paratext>
                          <bold>Information about the current service.</bold>
                           This information enables the Tenderers to understand the existing service. Except where some of this information is included in the Specification for the new Contract, it should not form part of the final Contract (see 
                          <internal.reference refid="a884012">Drafting note, Providing details of existing service or current arrangements</internal.reference>
                          .)
                        </paratext>
                      </para>
                    </list.item>
                    <list.item>
                      <para>
                        <paratext>
                          <bold>Specification.</bold>
                           The specification constitutes a key part of the final Contract (see below).
                        </paratext>
                      </para>
                    </list.item>
                    <list.item>
                      <para>
                        <paratext>
                          <bold>Site plans.</bold>
                           For inclusion in the final Contract, if relevant.
                        </paratext>
                      </para>
                    </list.item>
                    <list.item>
                      <para>
                        <paratext>
                          <bold>Asset list.</bold>
                           For inclusion in the final Contract if any Authority or incumbent supplier assets are being transferred to or otherwise available for use by the Service Provider.
                        </paratext>
                      </para>
                    </list.item>
                    <list.item>
                      <para>
                        <paratext>
                          <bold>Contracts list.</bold>
                           For inclusion in the final Contract if any Authority or incumbent supplier contracts (for example, software licences) are being assigned or novated to the new supplier.
                        </paratext>
                      </para>
                    </list.item>
                    <list.item>
                      <para>
                        <paratext>
                          <bold>Applicable policies.</bold>
                           The Authority should include with the ITT any relevant policies that it requires the Service Provider to comply with (for example, on data security or health and safety). These policies will be incorporated into the final Contract.
                        </paratext>
                      </para>
                    </list.item>
                    <list.item>
                      <para>
                        <paratext>
                          <bold>Commercially sensitive information.</bold>
                           The Authority may give the Tenderers the opportunity to identify their commercially sensitive information. Although the Authority does not agree to keep the information confidential, it provides the Authority with guidance on when it should consult the Tenderer, before disclosing any of the information supplied by it under a FOI request. This list may form part of the final contract. It may not be convenient to list commercially sensitive information in contracts, as such lists may soon be out of date. It may be preferable for the parties to agree to consult if a FOI request is received for any information which could reasonably be viewed as commercially sensitive. For more information, see 
                          <link href="w-011-6127" style="ACTLinkPLCtoPLC">
                            <ital>Practice note, The application of FOIA exemptions and EIR exceptions to public procurement and public contracts information</ital>
                          </link>
                          .
                        </paratext>
                      </para>
                    </list.item>
                    <list.item>
                      <para>
                        <paratext>
                          <bold>Deed of guarantee.</bold>
                           If the Authority requires a guarantee, this will be included as a schedule to the final Contract. For more information, see 
                          <link href="3-203-0923" style="ACTLinkPLCtoPLC">
                            <ital>Standard document, Parent company guarantee (outsourcing)</ital>
                          </link>
                          .
                        </paratext>
                      </para>
                    </list.item>
                    <list.item>
                      <para>
                        <paratext>
                          <bold>Provisional list of employees who may transfer under TUPE</bold>
                           which should also be provided if the new service triggers a TUPE transfer under the 
                          <link href="2-505-5915" style="ACTLinkPLCtoPLC">
                            <ital>Transfer of Undertakings (Protection of Employment) Regulations 2006 (SI 2006/246)</ital>
                          </link>
                          . A final list will be included in the final Contract. However, the authority may not wish or be able to provide full details of the workforce at the date the contract notice is published. In that case, the authority should at least provide outline information. If the information is being withheld for reasons of confidentiality, the authority must inform Tenderers about access arrangements. (If the transferring employees are former public sector employees, the draft Contract should also include information about their current pension scheme and its conditions of participation, such as a draft admission agreement and, if necessary, a bond agreement.) This provisional list of transferring employees should be updated before the transfer date and the final list should be included in the Contract. For a template list, see 
                          <link href="4-386-2579" style="ACTLinkPLCtoPLC">
                            <ital>Standard document, TUPE: employee information spreadsheet on an outsourcing or re-tendering</ital>
                          </link>
                          .
                        </paratext>
                      </para>
                    </list.item>
                  </list>
                  <para>
                    <paratext>
                      For more information, see 
                      <link href="5-386-4771" style="ACTLinkPLCtoPLC">
                        <ital>Practice note, TUPE and tendering local authority service contracts</ital>
                      </link>
                      .
                    </paratext>
                  </para>
                  <division id="a242080" level="2">
                    <head align="left" preservecase="true">
                      <headtext>Specification</headtext>
                    </head>
                    <para>
                      <paratext>
                        In the Specification, the Authority should set out the detailed requirements for (each of) the Services. The more detail that can be included, the more comprehensive a response the Authority is likely to receive from each Tenderer and the easier it will be to compare Tenderers' responses on a like-for-like basis. There is often a balancing act between wanting to be provided with a comprehensive and detailed proposal on the one hand, without defining and pre-determining the solution on the other. For information on specifications, see 
                        <link href="5-542-5406" style="ACTLinkPLCtoPLC">
                          <ital>Practice note, Drafting specifications for services contracts (public sector)</ital>
                        </link>
                        .
                      </paratext>
                    </para>
                  </division>
                </division>
              </drafting.note>
            </subclause1>
            <subclause1 id="a336762">
              <identifier>3.7</identifier>
              <para>
                <paratext>
                  <bold>Consortia and subcontractors</bold>
                </paratext>
              </para>
              <para>
                <paratext>The Authority requires all Tenderers to identify whether any and, if so, which subcontracting or consortium arrangements apply in the case of their Tender, including the share (if any) of the Contract to be sub-contracted, the identity of the proposed sub-contractors, and which entity is proposed to be the Service Provider.</paratext>
              </para>
              <para>
                <paratext>For the purposes of this ITT, the following terms apply:</paratext>
              </para>
              <list type="bulleted">
                <list.item>
                  <para>
                    <paratext>
                      <bold>Consortium arrangement.</bold>
                       Where a number of economic operators come together to submit a bid for the Contract. The economic operators may already be part of an established consortium. Alternatively, the economic operators may constitute a temporary association which is intended to become a formalised structure (such as a special purpose vehicle (SPV) or a subcontracting arrangement) after the award of the Contract. Consortium structures may include a hub and spoke delivery model, a lead body model or an SPV.
                    </paratext>
                  </para>
                </list.item>
                <list.item>
                  <para>
                    <paratext>
                      <bold>Subcontracting arrangement.</bold>
                       Subcontracting could involve, for example, an economic operator bidding as a prime contractor and using a subcontractor or subcontractors to deliver some of the Services, or an economic operator bidding as a managing agent and using subcontractors to deliver all of the Services.
                    </paratext>
                  </para>
                </list.item>
              </list>
              <drafting.note id="a711900" jurisdiction="">
                <head align="left" preservecase="true">
                  <headtext>Consortia arrangements</headtext>
                </head>
                <division id="a000027" level="1">
                  <para>
                    <paratext>
                      This ITT envisages a wide range of consortium and sub-contracting arrangements which the Authority may wish to modify to meet its own requirements. For an examination of the procurement considerations for contracting authorities relating to consortia bidding and subcontracting see 
                      <link href="w-007-3927" style="ACTLinkPLCtoPLC">
                        <ital>Practice note, Consortia bidding and subcontracting in public procurement</ital>
                      </link>
                      .
                    </paratext>
                  </para>
                </division>
              </drafting.note>
            </subclause1>
            <subclause1 id="a671928">
              <identifier>3.8</identifier>
              <para>
                <paratext>
                  <bold>Warnings and disclaimers</bold>
                </paratext>
              </para>
              <para>
                <paratext>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Authority.</paratext>
              </para>
              <para>
                <paratext>If a Tenderer proposes to enter into a Contract with the Authority, it must rely on its own enquiries and on the terms and conditions set out in the Contract(s) (as and when finally executed), subject to the limitations and restrictions specified in it.</paratext>
              </para>
              <para>
                <paratext>Neither the issue of this ITT, nor any of the information presented in it, should be regarded as a commitment or representation on the part of the Authority (or any other person) to enter into a contractual arrangement.</paratext>
              </para>
            </subclause1>
            <subclause1 id="a400850">
              <identifier>3.9</identifier>
              <para>
                <paratext>
                  <bold>Confidentiality and Freedom of Information</bold>
                </paratext>
              </para>
              <para>
                <paratext>All information supplied by the Authority to Tenderers (including this ITT and all other documents relating to the procurement), whether in writing or orally, is supplied on condition that it (including the fact that the Tenderer has received this ITT) be kept confidential by the Tenderer; it must not be copied, reproduced, distributed or passed to any other person at any time (except to professional advisors, consortium members or subcontractors for the sole purpose of enabling the Tenderer to submit a Tender) unless the information is already in the public domain.</paratext>
              </para>
              <para>
                <paratext>
                  As a public body, the Authority is subject to the provisions of the Freedom of Information Act 2000 (FOIA) and Environmental Information Regulations 2004 (S
                  <ital>I 2004/3391</ital>
                  ) (EIR) in respect of information it holds (including third party information). Any member of the public or other interested party may make a request for information. The Authority is also subject to various public sector transparency policies and legal requirements, including the placing of contract award notices on the Contracts Finder database which identify the contract values and successful supplier and the provision of information to candidates and tenderers in regulations 50 and 55 respectively of the PCR 2015.
                </paratext>
              </para>
              <para>
                <paratext>Tenderers should therefore be aware that information provided in connection with this procurement, or in connection with any contract awarded, may be disclosed by the Authority, unless the Authority decides (in its absolute discretion) that one of the statutory exemptions under the FOIA or the EIR applies. Requests for information and application of any exemptions shall be considered on a case-by-case basis. By taking part in this procurement, Tenderers agree to such disclosure or publication by the Authority.</paratext>
              </para>
              <para>
                <paratext>
                  Tenderers may designate any information supplied as part of their tender response or otherwise in connection with the procurement as confidential or commercially sensitive by clearly identifying it as such to the Authority in the template provided at 
                  <internal.reference refid="a145332">Schedule 9</internal.reference>
                  . Blanket protective markings applied to the whole document will not be sufficient. While designating material as confidential or commercially sensitive or equivalent does not guarantee non-disclosure, the Authority will consider this as part of any disclosure decision.
                </paratext>
              </para>
              <drafting.note id="a479664" jurisdiction="">
                <head align="left" preservecase="true">
                  <headtext>Confidentiality and freedom of information</headtext>
                </head>
                <division id="a000028" level="1">
                  <para>
                    <paratext>
                      Under 
                      <link href="https://uk.practicallaw.thomsonreuters.com/6-601-9986?originationContext=document&amp;amp;transitionType=PLDocumentLink&amp;amp;contextData=(sc.Default)&amp;amp;ppcid=f91bd362e2c94db585aa40210ecab077" style="ACTLinkURL">
                        <ital>regulation 21</ital>
                      </link>
                       of the PCR 2015, a contracting authority must not disclose information forwarded to it by an economic operator which the economic operator has reasonably designated as confidential. Confidential information includes technical or trade secrets and the confidential aspects of tenders. The obligations under regulation 21 are subject to any disclosure obligations the public body has under the Freedom of Information Act 2000 and any other provision of Part 2 of the PCR 2015 relating to the advertising of awarded contracts and the provision of information to candidates and tenderers in regulations 50 and 55 respectively.
                    </paratext>
                  </para>
                  <para>
                    <paratext>
                      Tenderers should be made aware of the possibility that information submitted as part of their tender responses may need to be disclosed by virtue of the Authority's transparency and disclosure obligations (for example, under the 
                      <link href="4-505-6037" style="ACTLinkPLCtoPLC">
                        <ital>FOIA</ital>
                      </link>
                      , 
                      <link href="3-508-2782" style="ACTLinkPLCtoPLC">
                        <ital>EIR</ital>
                      </link>
                       or other policies). Any decision to disclose will ultimately lie with the Authority, but it is commonplace to give tenderers the option to designate certain information they submit as commercially sensitive for authorities to take into account when considering whether and what to disclose.
                    </paratext>
                  </para>
                  <para>
                    <paratext>
                      For more information about contracting authorities' disclosure obligations under 
                      <link href="4-505-6037" style="ACTLinkPLCtoPLC">
                        <ital>FOIA</ital>
                      </link>
                      <ital> </ital>
                      and 
                      <link href="3-508-2782" style="ACTLinkPLCtoPLC">
                        <ital>EIR</ital>
                      </link>
                      , see:
                    </paratext>
                  </para>
                  <list type="bulleted">
                    <list.item>
                      <para>
                        <paratext>
                          <link href="w-007-8162" style="ACTLinkPLCtoPLC">
                            <ital>Practice note, Freedom of information in public procurement and public sector contracts: overview</ital>
                          </link>
                          .
                        </paratext>
                      </para>
                    </list.item>
                    <list.item>
                      <para>
                        <paratext>
                          <link href="w-011-6127" style="ACTLinkPLCtoPLC">
                            <ital>Practice note, The application of FOIA exemptions and EIR exceptions to public procurement and public contracts information</ital>
                          </link>
                          <ital>.</ital>
                        </paratext>
                      </para>
                    </list.item>
                    <list.item>
                      <para>
                        <paratext>
                          <link href="w-026-4537" style="ACTLinkPLCtoPLC">
                            <ital>Freedom of Information Act 2000: section 40 exemption for personal data (UK GDPR and DPA 2018)</ital>
                          </link>
                          <ital>.</ital>
                        </paratext>
                      </para>
                    </list.item>
                    <list.item>
                      <para>
                        <paratext>
                          <link href="w-013-0384" style="ACTLinkPLCtoPLC">
                            <ital>Checklist, Handling freedom of information requests for procurement and public contracts information</ital>
                          </link>
                          .
                        </paratext>
                      </para>
                    </list.item>
                  </list>
                  <division id="a327144" level="2">
                    <head align="left" preservecase="true">
                      <headtext>Tender responses containing personal data</headtext>
                    </head>
                    <para>
                      <paratext>
                        Tender responses (or other documents forming part of the response) may contain 
                        <link href="8-200-3413" style="ACTLinkPLCtoPLC">
                          <ital>personal data</ital>
                        </link>
                         relating to a tenderer's employees or contractors, such as their name, address or date of birth. Contracting authorities must comply with applicable data protection legislation when processing such data.
                      </paratext>
                    </para>
                    <para>
                      <paratext>
                        Given the nature of procurement exercises (and the fact that the contracting authority determines how to process such information), our view is that the contracting authority would most likely be acting as a 
                        <link href="5-107-5723" style="ACTLinkPLCtoPLC">
                          <ital>controller</ital>
                        </link>
                         and would therefore need to process any personal data contained in the tender responses submitted in accordance with UK data protection laws.
                      </paratext>
                    </para>
                    <para>
                      <paratext>
                        Since the end of the 
                        <link href="w-023-9796" style="ACTLinkPLCtoPLC">
                          <ital>UK-EU transition period</ital>
                        </link>
                         (31 December 2020), the 
                        <link href="w-026-8528" style="ACTLinkPLCtoPLC">
                          <ital>UK GPDR</ital>
                        </link>
                         has applied to UK contracting authorities and (together with the 
                        <link href="w-014-9417" style="ACTLinkPLCtoPLC">
                          <ital>Data Protection Act 2018</ital>
                        </link>
                         (DPA 2018) forms the bedrock of the UK data protection regime. For more information see Practice notes:
                      </paratext>
                    </para>
                    <list type="bulleted">
                      <list.item>
                        <para>
                          <paratext>
                            <link href="w-022-0576" style="ACTLinkPLCtoPLC">
                              <ital>UK GDPR and DPA 2018: quick guide</ital>
                            </link>
                            .
                          </paratext>
                        </para>
                      </list.item>
                      <list.item>
                        <para>
                          <paratext>
                            <link href="w-013-3757" style="ACTLinkPLCtoPLC">
                              <ital>Overview of UK GDPR</ital>
                            </link>
                            <ital>.</ital>
                          </paratext>
                        </para>
                      </list.item>
                      <list.item>
                        <para>
                          <paratext>
                            <link href="w-014-5998" style="ACTLinkPLCtoPLC">
                              <ital> Data Protection Act 2018: overview</ital>
                            </link>
                            .
                          </paratext>
                        </para>
                      </list.item>
                    </list>
                    <para>
                      <paratext>Among other things, the UK GDPR requires controllers to:</paratext>
                    </para>
                    <list type="bulleted">
                      <list.item>
                        <para>
                          <paratext>
                            Process personal data lawfully (that is, relying on one of the legal grounds for processing). Processing in the context of a public procurement will most likely be justifiable in performance of a task carried out in the public interest, or in exercise of official authority. For more, see 
                            <link anchor="a903087" href="w-013-3757" style="ACTLinkPLCtoPLC">
                              <ital>Practice note, Overview of UK GDPR: Lawful processing</ital>
                            </link>
                            .
                          </paratext>
                        </para>
                      </list.item>
                      <list.item>
                        <para>
                          <paratext>
                            Notify individuals about how their personal data will be handled even if that data has not been collected directly from those individuals (as will usually be the case with tenders). Exemptions from this requirement are available, such as where providing the information would be impossible or involve disproportionate effort on the part of the contracting authority. For more information on this requirement and exceptions, see 
                            <link anchor="a760792" href="w-013-3757" style="ACTLinkPLCtoPLC">
                              <ital>Practice note, Overview of the UK GDPR: Fair processing: information notices</ital>
                            </link>
                            <ital> </ital>
                            and 
                            <link anchor="a397132" href="w-013-3757" style="ACTLinkPLCtoPLC">
                              <ital>Data collected by third parties</ital>
                            </link>
                            .
                          </paratext>
                        </para>
                      </list.item>
                    </list>
                    <para>
                      <paratext>
                        For further information on the two points above see 
                        <link anchor="a856964" href="w-011-6435" style="ACTLinkPLCtoPLC">
                          <ital>Practice note, UK GDPR and DPA 2018: implications for the public sector: First data protection principle: lawful, fair and transparent processing</ital>
                        </link>
                        .
                      </paratext>
                    </para>
                    <para>
                      <paratext>
                        Authorities will need to review how best to comply with the information requirements, insofar as relevant to their public procurement exercises. Options to consider include displaying a separate privacy notice for public procurement exercises on their website or procurement portal or including the required information within their general privacy policy. It would be unusual for an ITT to deal with data protection issues, but some authorities may want to include a link to the relevant privacy policy or notice. For sample privacy notices (which are for use by companies rather than public authorities), see 
                        <link href="w-013-3605" style="ACTLinkPLCtoPLC">
                          <ital>Standard documents, Website privacy policy (UK) </ital>
                        </link>
                        and 
                        <link href="w-014-8428" style="ACTLinkPLCtoPLC">
                          <ital>Short form privacy notice (UK)</ital>
                        </link>
                      </paratext>
                    </para>
                    <para>
                      <paratext>
                        For further information on the implications of the UK data protection regime for contracting authorities (including data security and dealing with data subject access requests), see 
                        <link href="w-011-6435" style="ACTLinkPLCtoPLC">
                          <ital>Practice notes, UK GDPR and DPA 2018: implications for the public sector</ital>
                        </link>
                         and 
                        <link href="w-017-0973" style="ACTLinkPLCtoPLC">
                          <ital>UK GDPR and DPA 2018 exemptions and conditions: public sector</ital>
                        </link>
                        .
                      </paratext>
                    </para>
                    <para>
                      <paratext>
                        For an overview of the UK data protection regime post-Brexit, see 
                        <link href="w-026-2740" style="ACTLinkPLCtoPLC">
                          <ital>Practice notes, Brexit post-transition period: data protection (UK)</ital>
                        </link>
                         and 
                        <link href="w-016-7309" style="ACTLinkPLCtoPLC">
                          <ital>Brexit: implications for data protection</ital>
                        </link>
                      </paratext>
                    </para>
                  </division>
                </division>
              </drafting.note>
            </subclause1>
            <subclause1 id="a749288">
              <identifier>3.10</identifier>
              <para>
                <paratext>
                  <bold>Publicity</bold>
                </paratext>
              </para>
              <para>
                <paratext>No publicity regarding the Services or the award of any Contract will be permitted unless and until the Authority has given prior express written consent to the relevant communication. For example, no statements may be made to the media regarding the nature of any Tender, its contents or any proposals relating to it without the prior written consent of the Authority.</paratext>
              </para>
            </subclause1>
            <subclause1 id="a699927">
              <identifier>3.11</identifier>
              <para>
                <paratext>
                  <bold>Tenderer conduct and conflicts of interest</bold>
                </paratext>
              </para>
              <para>
                <paratext>Any attempt by Tenderers or their advisors to influence the contract award process in any way may result in the Tenderer being disqualified. Specifically, Tenderers shall not directly or indirectly at any time:</paratext>
              </para>
              <list type="bulleted">
                <list.item>
                  <para>
                    <paratext>Devise or amend the content of their Tender in accordance with any agreement or arrangement with any other person, other than in good faith with a person who is a proposed partner, supplier, consortium member or provider of finance.</paratext>
                  </para>
                </list.item>
                <list.item>
                  <para>
                    <paratext>Enter into any agreement or arrangement with any other person as to the form or content of any other Tender, or offer to pay any sum of money or valuable consideration to any person to effect changes to the form or content of any other Tender.</paratext>
                  </para>
                </list.item>
                <list.item>
                  <para>
                    <paratext>Enter into any agreement or arrangement with any other person that has the effect of prohibiting or excluding that person from submitting a Tender.</paratext>
                  </para>
                </list.item>
                <list.item>
                  <para>
                    <paratext>Canvass the Authority or any employees or agents of the Authority in relation to this procurement.</paratext>
                  </para>
                </list.item>
                <list.item>
                  <para>
                    <paratext>Offer, promise or give any person working for or engaged by the Authority a financial or other advantage as an inducement or reward for any improper performance of a function or activity relating to this procurement.</paratext>
                  </para>
                </list.item>
                <list.item>
                  <para>
                    <paratext>Attempt to obtain information from any of the employees or agents of the Authority or their advisors concerning another Tenderer or Tender.</paratext>
                  </para>
                </list.item>
              </list>
              <para>
                <paratext>Tenderers are responsible for ensuring that no direct or indirect conflicts of interest exist (whether personal, financial or otherwise) between the Tenderer, its employees and advisors, and the Authority, its employees and advisors. Tenderers must prevent, identify and remedy any conflicts of interest within their group structures and within Consortium or Subcontracting arrangements which may result in any distortion of competition. Any Tenderer who fails to comply with these requirements may be disqualified from the procurement at the discretion of the Authority.</paratext>
              </para>
            </subclause1>
            <subclause1 id="a582432">
              <identifier>3.12</identifier>
              <para>
                <paratext>
                  <bold>Authority's rights</bold>
                </paratext>
              </para>
              <para>
                <paratext>The Authority reserves the right to:</paratext>
              </para>
              <list type="bulleted">
                <list.item>
                  <para>
                    <paratext>Waive or change the requirements of this ITT from time to time without prior (or any) notice being given by the Authority.</paratext>
                  </para>
                </list.item>
                <list.item>
                  <para>
                    <paratext>Seek clarification in respect of any part of a Tenderer's submission.</paratext>
                  </para>
                </list.item>
                <list.item>
                  <para>
                    <paratext>Request Tenderers to submit, supplement, clarify or complete relevant information or documentation where it appears to be incomplete, erroneous or missing.</paratext>
                  </para>
                </list.item>
                <list.item>
                  <para>
                    <paratext>Disqualify any Tenderer that does not submit a compliant Tender in accordance with the instructions in this ITT.</paratext>
                  </para>
                </list.item>
                <list.item>
                  <para>
                    <paratext>Disqualify any Tenderer that is guilty of serious misrepresentation or of negligently providing misleading information in relation to its Tender, expression of interest, the SQ or the tender process.</paratext>
                  </para>
                </list.item>
                <list.item>
                  <para>
                    <paratext>Reject a Tender that is abnormally low.</paratext>
                  </para>
                </list.item>
                <list.item>
                  <para>
                    <paratext>Not award a contract to the Tenderer submitting the most economically advantageous Tender where it has established that the Tender does not comply with applicable obligations in the fields of environmental, social and labour law established by national law, collective agreements or by the international environmental, social and labour law provisions listed in Annex X to Directive 2014/24 as amended from time to time.</paratext>
                  </para>
                </list.item>
                <list.item>
                  <para>
                    <paratext>Withdraw this ITT at any time, or to re-invite Tenders on the same or any alternative basis.</paratext>
                  </para>
                </list.item>
                <list.item>
                  <para>
                    <paratext>Choose not to award any Contract [or Lot] as a result of the current procurement process or to abandon that process.</paratext>
                  </para>
                </list.item>
                <list.item>
                  <para>
                    <paratext>Make whatever changes it sees fit to the Timetable, structure or content of the procurement process, depending on approvals processes or for any other reason.</paratext>
                  </para>
                </list.item>
              </list>
            </subclause1>
            <subclause1 id="a934916">
              <identifier>3.13</identifier>
              <para>
                <paratext>
                  <bold>Bid costs</bold>
                </paratext>
              </para>
              <para>
                <paratext>The Authority will not be liable for any bid costs, expenditure, work or effort incurred by a Tenderer in proceeding with or participating in this procurement, including if the procurement process is terminated or amended by the Authority.</paratext>
              </para>
            </subclause1>
            <subclause1 id="a877464">
              <identifier>3.14</identifier>
              <para>
                <paratext>
                  <bold>Guarantees</bold>
                </paratext>
              </para>
              <para>
                <paratext>
                  Recipients of this ITT will note that 
                  <internal.reference refid="a138696">Schedule 10</internal.reference>
                   is a form of deed of guarantee. The Authority may have qualified the Tenderer on the assumption that, where the Tenderer is an operating company, it will be guaranteed by the parent company. As a result, the Authority may require each Tenderer to confirm the identity of the guarantor of its obligations under any Contract(s). This guarantor should be the ultimate parent company of the Tenderer, except in exceptional circumstances. In the case of consortia, the Authority will require confirmation that the consortium will provide either a parent company guarantee from the lead consortium member or its parent or an equivalent level of security.
                </paratext>
              </para>
            </subclause1>
          </clause>
          <clause id="a1029112">
            <identifier>4.</identifier>
            <head align="left" preservecase="true">
              <headtext>Tender evaluation model</headtext>
            </head>
            <subclause1 id="a338872">
              <identifier>4.1</identifier>
              <para>
                <paratext>
                  <bold>Award Criteria and Evaluation Criteria</bold>
                </paratext>
              </para>
              <para>
                <paratext>
                  Any Contract(s) awarded as a result of this procurement will be awarded on the basis of the offer that is the most economically advantageous to the Authority. The Award Criteria (
                  <bold>Award Criteria</bold>
                  ) are:
                </paratext>
              </para>
              <list type="bulleted">
                <list.item>
                  <para>
                    <paratext>[PERCENTAGE]% technical or quality.</paratext>
                  </para>
                </list.item>
                <list.item>
                  <para>
                    <paratext>[PERCENTAGE]% cost.</paratext>
                  </para>
                </list.item>
              </list>
              <para>
                <paratext>
                  Scores are arrived at following the application of the Evaluation Criteria (
                  <bold>Evaluation Criteria</bold>
                  ) set out below to the Tenderer's Tender.
                </paratext>
              </para>
              <para>
                <paratext>Tenderers are required to submit a Tender strictly in accordance with the requirements set out in this ITT, to ensure the Authority has the correct information to make the evaluation. Evasive, unclear or hedged Tenders may be discounted in evaluation and may, at the Authority's discretion, be taken as a rejection by the Tenderer of the terms set out in this ITT.</paratext>
              </para>
              <para>
                <paratext>The Tender Evaluation Model showing the Evaluation Criteria and the maximum scores attributable to them is set out below.</paratext>
              </para>
              <para>
                <paratext>
                  [Where specified, a minimum pass mark (
                  <defn.term>Threshold</defn.term>
                  ) applies to the Evaluation Criteria. The Authority shall reject any Tender which does not meet the relevant Threshold in respect of one or more criteria.]
                </paratext>
              </para>
              <para>
                <paratext>
                  <table frame="all" pgwide="1">
                    <tgroup cols="6">
                      <colspec colname="1" colnum="1" colwidth="17"/>
                      <colspec colname="2" colnum="2" colwidth="17"/>
                      <colspec colname="3" colnum="3" colwidth="14"/>
                      <colspec colname="4" colnum="4" colwidth="17"/>
                      <colspec colname="5" colnum="5" colwidth="16"/>
                      <colspec colname="6" colnum="6" colwidth="16"/>
                      <tbody>
                        <row>
                          <entry valign="top">
                            <para align="left">
                              <paratext>
                                <bold>Evaluation Criteria: Commercial</bold>
                              </paratext>
                            </para>
                          </entry>
                          <entry valign="top">
                            <para align="left">
                              <paratext>
                                <bold>Threshold [PERCENTAGE]%</bold>
                              </paratext>
                            </para>
                          </entry>
                          <entry valign="top">
                            <para align="left">
                              <paratext>
                                <bold>Weighting [MULTIPLIER]</bold>
                              </paratext>
                            </para>
                          </entry>
                          <entry valign="top">
                            <para align="left">
                              <paratext>
                                <bold>[PERCENTAGE]%</bold>
                              </paratext>
                            </para>
                          </entry>
                          <entry valign="top">
                            <para align="left">
                              <paratext>
                                <bold>Means of evaluation</bold>
                              </paratext>
                            </para>
                          </entry>
                          <entry valign="top">
                            <para align="left">
                              <paratext>
                                <bold>Means of moderation</bold>
                              </paratext>
                            </para>
                          </entry>
                        </row>
                        <row>
                          <entry valign="top">
                            <para align="left">
                              <paratext>[Price-comparison of total cost]</paratext>
                            </para>
                          </entry>
                          <entry valign="top">
                            <para>
                              <paratext space="default"> </paratext>
                            </para>
                          </entry>
                          <entry valign="top">
                            <para>
                              <paratext space="default"> </paratext>
                            </para>
                          </entry>
                          <entry valign="top">
                            <para>
                              <paratext space="default"> </paratext>
                            </para>
                          </entry>
                          <entry valign="top">
                            <para align="left">
                              <paratext>[FOR EXAMPLE, COMPLETED PRICE BREAKDOWN]</paratext>
                            </para>
                          </entry>
                          <entry valign="top">
                            <para align="left">
                              <paratext>Not applicable</paratext>
                            </para>
                          </entry>
                        </row>
                        <row>
                          <entry valign="top">
                            <para align="left">
                              <paratext>[Profit sharing or gain share arrangements]</paratext>
                            </para>
                          </entry>
                          <entry valign="top">
                            <para>
                              <paratext space="default"> </paratext>
                            </para>
                          </entry>
                          <entry valign="top">
                            <para>
                              <paratext space="default"> </paratext>
                            </para>
                          </entry>
                          <entry valign="top">
                            <para>
                              <paratext space="default"> </paratext>
                            </para>
                          </entry>
                          <entry valign="top">
                            <para align="left">
                              <paratext>[FOR EXAMPLE, WRITTEN SUBMISSIONS]</paratext>
                            </para>
                          </entry>
                          <entry valign="top">
                            <para align="left">
                              <paratext>Not applicable</paratext>
                            </para>
                          </entry>
                        </row>
                        <row>
                          <entry valign="top">
                            <para align="left">
                              <paratext>[OTHER EVALUATION CRITERIA]</paratext>
                            </para>
                          </entry>
                          <entry valign="top">
                            <para>
                              <paratext space="default"> </paratext>
                            </para>
                          </entry>
                          <entry valign="top">
                            <para>
                              <paratext space="default"> </paratext>
                            </para>
                          </entry>
                          <entry valign="top">
                            <para>
                              <paratext space="default"> </paratext>
                            </para>
                          </entry>
                          <entry valign="top">
                            <para align="left">
                              <paratext>[DETAIL]</paratext>
                            </para>
                          </entry>
                          <entry valign="top">
                            <para align="left">
                              <paratext>Not applicable</paratext>
                            </para>
                          </entry>
                        </row>
                        <row>
                          <entry valign="top">
                            <para align="left">
                              <paratext>
                                <bold>Evaluation Criteria: Technical</bold>
                              </paratext>
                            </para>
                          </entry>
                          <entry valign="top">
                            <para>
                              <paratext space="default"> </paratext>
                            </para>
                          </entry>
                          <entry valign="top">
                            <para>
                              <paratext space="default"> </paratext>
                            </para>
                          </entry>
                          <entry valign="top">
                            <para>
                              <paratext space="default"> </paratext>
                            </para>
                          </entry>
                          <entry valign="top">
                            <para>
                              <paratext space="default"> </paratext>
                            </para>
                          </entry>
                          <entry valign="top">
                            <para>
                              <paratext space="default"> </paratext>
                            </para>
                          </entry>
                        </row>
                        <row>
                          <entry valign="top">
                            <para align="left">
                              <paratext>[REQUIREMENTS BY CATEGORY]</paratext>
                            </para>
                          </entry>
                          <entry valign="top">
                            <para>
                              <paratext space="default"> </paratext>
                            </para>
                          </entry>
                          <entry valign="top">
                            <para>
                              <paratext space="default"> </paratext>
                            </para>
                          </entry>
                          <entry valign="top">
                            <para>
                              <paratext space="default"> </paratext>
                            </para>
                          </entry>
                          <entry valign="top">
                            <para align="left">
                              <paratext>[FOR EXAMPLE, WRITTEN SUBMISSIONS OR PRESENTATION]</paratext>
                            </para>
                          </entry>
                          <entry valign="top">
                            <para align="left">
                              <paratext>[FOR EXAMPLE, REFERENCE SITE VISIT OR PRESENTATION]</paratext>
                            </para>
                          </entry>
                        </row>
                        <row>
                          <entry valign="top">
                            <para align="left">
                              <paratext>[REQUIREMENTS BY CATEGORY]</paratext>
                            </para>
                          </entry>
                          <entry valign="top">
                            <para>
                              <paratext space="default"> </paratext>
                            </para>
                          </entry>
                          <entry valign="top">
                            <para>
                              <paratext space="default"> </paratext>
                            </para>
                          </entry>
                          <entry valign="top">
                            <para>
                              <paratext space="default"> </paratext>
                            </para>
                          </entry>
                          <entry valign="top">
                            <para align="left">
                              <paratext>[FOR EXAMPLE, WRITTEN SUBMISSIONS OR PRESENTATION]</paratext>
                            </para>
                          </entry>
                          <entry valign="top">
                            <para align="left">
                              <paratext>[FOR EXAMPLE, REFERENCE SITE VISIT OR PRESENTATION]</paratext>
                            </para>
                          </entry>
                        </row>
                        <row>
                          <entry valign="top">
                            <para align="left">
                              <paratext>[REQUIREMENTS BY CATEGORY]</paratext>
                            </para>
                          </entry>
                          <entry valign="top">
                            <para>
                              <paratext space="default"> </paratext>
                            </para>
                          </entry>
                          <entry valign="top">
                            <para>
                              <paratext space="default"> </paratext>
                            </para>
                          </entry>
                          <entry valign="top">
                            <para>
                              <paratext space="default"> </paratext>
                            </para>
                          </entry>
                          <entry valign="top">
                            <para align="left">
                              <paratext>[FOR EXAMPLE, WRITTEN SUBMISSIONS OR PRESENTATION]</paratext>
                            </para>
                          </entry>
                          <entry valign="top">
                            <para align="left">
                              <paratext>[FOR EXAMPLE, REFERENCE SITE VISIT OR PRESENTATION]</paratext>
                            </para>
                          </entry>
                        </row>
                        <row>
                          <entry valign="top">
                            <para align="left">
                              <paratext>[Staff transfer]</paratext>
                            </para>
                          </entry>
                          <entry valign="top">
                            <para>
                              <paratext space="default"> </paratext>
                            </para>
                          </entry>
                          <entry valign="top">
                            <para>
                              <paratext space="default"> </paratext>
                            </para>
                          </entry>
                          <entry valign="top">
                            <para>
                              <paratext space="default"> </paratext>
                            </para>
                          </entry>
                          <entry valign="top">
                            <para align="left">
                              <paratext>[FOR EXAMPLE, WRITTEN SUBMISSIONS OR PRESENTATION]</paratext>
                            </para>
                          </entry>
                          <entry valign="top">
                            <para align="left">
                              <paratext>[FOR EXAMPLE, REFERENCE SITE VISIT OR PRESENTATION]</paratext>
                            </para>
                          </entry>
                        </row>
                        <row>
                          <entry valign="top">
                            <para align="left">
                              <paratext>[OTHER EVALUATION CRITERIA]</paratext>
                            </para>
                          </entry>
                          <entry valign="top">
                            <para>
                              <paratext space="default"> </paratext>
                            </para>
                          </entry>
                          <entry valign="top">
                            <para>
                              <paratext space="default"> </paratext>
                            </para>
                          </entry>
                          <entry valign="top">
                            <para>
                              <paratext space="default"> </paratext>
                            </para>
                          </entry>
                          <entry valign="top">
                            <para>
                              <paratext space="default"> </paratext>
                            </para>
                          </entry>
                          <entry valign="top">
                            <para>
                              <paratext space="default"> </paratext>
                            </para>
                          </entry>
                        </row>
                      </tbody>
                    </tgroup>
                  </table>
                </paratext>
              </para>
              <drafting.note id="a610720" jurisdiction="">
                <head align="left" preservecase="true">
                  <headtext>Evaluation Criteria</headtext>
                </head>
                <division id="a000029" level="1">
                  <para>
                    <paratext>
                      The Evaluation Criteria depend on the nature of the Services being procured. Some generic example questions, grouped under broad headings, are included in the drafting notes to 
                      <link href="4-599-9626" style="ACTLinkPLCtoPLC">
                        <ital>Standard document, Invitation to tender (PCR 2015): questions for tenderers</ital>
                      </link>
                      .
                    </paratext>
                  </para>
                  <para>
                    <paratext>If you are using references, presentations or reference site visits to evaluate criteria or to moderate scores, these should be clearly identified in the Tender Evaluation Model.</paratext>
                  </para>
                  <para>
                    <paratext>If you are applying a Threshold to any of the Evaluation Criteria, you should ensure it is not set too high for risk of being forced to discount an otherwise robust Tender.</paratext>
                  </para>
                  <para>
                    <paratext>
                      For information on evaluating Tenders (including what matters may be assessed and example scoring models), see 
                      <link href="2-386-8761" style="ACTLinkPLCtoPLC">
                        <ital>Practice note, Evaluation of tenders</ital>
                      </link>
                      .
                    </paratext>
                  </para>
                  <para>
                    <paratext>
                      If you are permitting Variant Bids, you must specify the basis on which they will be evaluated. For more information, see 
                      <internal.reference refid="a804149">Drafting note, Variant Bids</internal.reference>
                      .
                    </paratext>
                  </para>
                </division>
              </drafting.note>
            </subclause1>
            <subclause1 condition="optional" id="a574972">
              <identifier>4.2</identifier>
              <para>
                <paratext>
                  <bold>Evaluation of Variant Bids or Lots</bold>
                </paratext>
              </para>
              <para>
                <paratext>Variant Bids submitted by Tenderers will be evaluated against the same Evaluation Criteria and will use the same evaluation methodology as the Reference Bids.</paratext>
              </para>
              <para>
                <paratext>[ANY RELEVANT INFORMATION ABOUT THE EVALUATION OF LOTS]</paratext>
              </para>
              <drafting.note id="a677854" jurisdiction="">
                <head align="left" preservecase="true">
                  <headtext>Scoring lots</headtext>
                </head>
                <division id="a000030" level="1">
                  <para>
                    <paratext>Unless the same Service Provider wins all Lots, the Authority may want the ability to score Tenders based on their proposals for a joined-up service. If so, the Authority should include Evaluation Criteria which enables it to assess the Service Providers' commitment and ability to work in partnership across the Lots. However, if this issue is crucial to the Authority, splitting the contract into Lots in this way may be inappropriate.</paratext>
                  </para>
                </division>
              </drafting.note>
            </subclause1>
            <subclause1 id="a322035">
              <identifier>4.3</identifier>
              <para>
                <paratext>
                  <bold>Evaluation process</bold>
                </paratext>
              </para>
              <para>
                <paratext>
                  <bold>Technical or quality evaluation</bold>
                </paratext>
              </para>
              <para>
                <paratext>The technical evaluation will be scored in accordance with the table below.</paratext>
              </para>
              <para>
                <paratext>
                  <bold>Scoring matrix for the technical and quality criteria</bold>
                </paratext>
              </para>
              <para>
                <paratext>
                  <table frame="all" pgwide="1">
                    <tgroup cols="2">
                      <colspec colname="1" colnum="1" colwidth="14"/>
                      <colspec colname="2" colnum="2" colwidth="85"/>
                      <tbody>
                        <row>
                          <entry valign="top">
                            <para align="left">
                              <paratext>0</paratext>
                            </para>
                          </entry>
                          <entry valign="top">
                            <para align="left">
                              <paratext>Completely fails to meet required standard or does not provide a proposal.</paratext>
                            </para>
                          </entry>
                        </row>
                        <row>
                          <entry valign="top">
                            <para align="left">
                              <paratext>1</paratext>
                            </para>
                          </entry>
                          <entry valign="top">
                            <para align="left">
                              <paratext>Proposal significantly fails to meet the standards required, contains significant shortcomings or is inconsistent with other proposals.</paratext>
                            </para>
                          </entry>
                        </row>
                        <row>
                          <entry valign="top">
                            <para align="left">
                              <paratext>2</paratext>
                            </para>
                          </entry>
                          <entry valign="top">
                            <para align="left">
                              <paratext>Proposal falls short of achieving expected standard in a number of identifiable respects.</paratext>
                            </para>
                          </entry>
                        </row>
                        <row>
                          <entry valign="top">
                            <para align="left">
                              <paratext>3</paratext>
                            </para>
                          </entry>
                          <entry valign="top">
                            <para align="left">
                              <paratext>Proposal meets the required standard in most material respects but is lacking or inconsistent in others.</paratext>
                            </para>
                          </entry>
                        </row>
                        <row>
                          <entry valign="top">
                            <para align="left">
                              <paratext>4</paratext>
                            </para>
                          </entry>
                          <entry valign="top">
                            <para align="left">
                              <paratext>Proposal meets the required standard in all material respects.</paratext>
                            </para>
                          </entry>
                        </row>
                        <row>
                          <entry valign="top">
                            <para align="left">
                              <paratext>5</paratext>
                            </para>
                          </entry>
                          <entry valign="top">
                            <para align="left">
                              <paratext>Proposal meets the required standard in all material respects and exceeds some or all of the major requirements.</paratext>
                            </para>
                          </entry>
                        </row>
                      </tbody>
                    </tgroup>
                  </table>
                </paratext>
              </para>
              <drafting.note id="a831821" jurisdiction="">
                <head align="left" preservecase="true">
                  <headtext>Scoring matrix for the technical and quality criteria</headtext>
                </head>
                <division id="a000031" level="1">
                  <para>
                    <paratext>The scoring matrix envisages that 20% of the available marks are awarded to proposals that offer more than the Authority requires. This may or may not be appropriate, depending on the service. If the Authority uses this model, it should provide information to the Tenderers on which additions or enhancements it would consider represent added value beyond its stated requirements. If it does not, the Tender may include additional services, which are charged for, but which do not provide a real benefit to the Authority. If no additions or enhancements are required, an alternative scoring system can be used, under which top marks are awarded for responses which meet the Authority's requirements in full, but do not exceed them.</paratext>
                  </para>
                  <para>
                    <paratext>If the Authority considers that a 0-5 scoring matrix is too restrictive, it could use a 0-10 scoring matrix with a range of marks for each description to provide more flexibility for evaluators.</paratext>
                  </para>
                  <para>
                    <paratext>
                      For an alternative scoring matrix and a worked example of scoring pricing, see 
                      <link href="2-386-8761#a335366" style="ACTLinkPLCtoPLC">
                        <ital>Practice note, Evaluation of tenders: Use of a scoring model to evaluate the financial element</ital>
                      </link>
                      .
                    </paratext>
                  </para>
                </division>
              </drafting.note>
              <para>
                <paratext>
                  <bold>Pricing evaluation</bold>
                </paratext>
              </para>
              <para>
                <paratext>Bid prices will be scored:</paratext>
              </para>
              <para>
                <paratext>[On a comparative basis with the lowest bid receiving 100% of the available marks ([PERCENTAGE]% following weighting). All other bids will be compared [against that lowest bid]</paratext>
              </para>
              <para>
                <paratext>
                  <bold>OR</bold>
                </paratext>
              </para>
              <para>
                <paratext>Against the Authority's benchmark overall cost of £[AMOUNT] with the benchmark figure scoring 0%. Any bid which exceeds the Authority's benchmark shall be treated as non-compliant and rejected].</paratext>
              </para>
              <para>
                <paratext>[INSERT WORKED EXAMPLE OF FORMULA]</paratext>
              </para>
              <drafting.note id="a972297" jurisdiction="">
                <head align="left" preservecase="true">
                  <headtext>Specifying a contract value and pricing evaluation</headtext>
                </head>
                <division id="a000032" level="1">
                  <para>
                    <paratext>Contracting authorities may be nervous of specifying a contract value for fear of attracting bids which are above, at or just below that value. However, this figure must be disclosed if bids are to be evaluated against it.</paratext>
                  </para>
                  <para>
                    <paratext>There are two common methods of evaluating price, though these two basic models have many variants:</paratext>
                  </para>
                  <list type="bulleted">
                    <list.item>
                      <para>
                        <paratext>The Authority sets a benchmark price, usually a maximum or optimum price, with all bids scored on a comparative basis against that price.</paratext>
                      </para>
                    </list.item>
                    <list.item>
                      <para>
                        <paratext>No benchmark is set and the lowest bid price scores the maximum marks available for the price evaluation. All other prices are awarded scores depending on what percentage the lowest price is of their price.</paratext>
                      </para>
                    </list.item>
                  </list>
                  <para>
                    <paratext>The above wording will need to be amended to select the appropriate method or deleted and an alternative method inserted.</paratext>
                  </para>
                  <para>
                    <paratext>However, various issues and inconsistencies can arise through the use of formulae and it is therefore important to run dummy scores through the proposed model to eliminate any anomalies.</paratext>
                  </para>
                  <para>
                    <paratext>Where the Authority has a fixed budget, it may want to state that bids exceeding a specified limit will be deemed non-compliant and will be rejected. Otherwise it must rely on the Award Criteria to ensure it does not end up with a technically superior, but unaffordable solution.</paratext>
                  </para>
                  <para>
                    <paratext>
                      For more information and an alternative way of evaluating price, see 
                      <link href="2-386-8761" style="ACTLinkPLCtoPLC">
                        <ital>Practice note, Evaluation of tenders</ital>
                      </link>
                      .
                    </paratext>
                  </para>
                  <para>
                    <paratext>The risk of encouraging bids which come in close to the specific value can be somewhat mitigated by:</paratext>
                  </para>
                  <list type="bulleted">
                    <list.item>
                      <para>
                        <paratext>Weighting the Award Criteria more on price than on the technical solution.</paratext>
                      </para>
                    </list.item>
                    <list.item>
                      <para>
                        <paratext>Including Evaluation Criteria on efficiencies and cost reduction.</paratext>
                      </para>
                    </list.item>
                  </list>
                  <para>
                    <paratext>
                      These criteria could either form part of the technical or the price evaluation, depending how they are phrased. The contract terms could also encourage efficiencies by operating a gain-share mechanism through which savings will be shared between the parties (see 
                      <link href="0-202-4551#a326019" style="ACTLinkPLCtoPLC">
                        <ital>Standard documents, Outsourcing agreement: long form: Service improvement and technology refresh</ital>
                      </link>
                       and 
                      <link href="2-501-1525#a577926" style="ACTLinkPLCtoPLC">
                        <ital>Services agreement for use by public sector bodies: Change control, benchmarking and continuous improvement</ital>
                      </link>
                      ).
                    </paratext>
                  </para>
                  <para>
                    <paratext>If the Authority is permitting any third-party organisations to use the contract (whether by procuring on their behalf or under a framework arrangement), the Authority must ensure the contract value specified in the ITT and the contract notice reflects that potential spend.</paratext>
                  </para>
                </division>
              </drafting.note>
              <drafting.note id="a532966" jurisdiction="">
                <head align="left" preservecase="true">
                  <headtext>Life cycle costing</headtext>
                </head>
                <division id="a000033" level="1">
                  <para>
                    <paratext>
                      If the Authority proposes to use life cycle costing to assess value for money, its approach must be set out in the procurement documents. For information about life cycle costing, see 
                      <link href="2-386-8761" style="ACTLinkPLCtoPLC">
                        <ital>Practice note, Evaluation of tenders</ital>
                      </link>
                      .
                    </paratext>
                  </para>
                </division>
              </drafting.note>
            </subclause1>
          </clause>
          <clause id="a409596">
            <identifier>5.</identifier>
            <head align="left" preservecase="true">
              <headtext>TUPE</headtext>
            </head>
            <subclause1 id="a463002">
              <identifier>5.1</identifier>
              <para>
                <paratext>
                  <bold>Transferring employees</bold>
                </paratext>
              </para>
              <para>
                <paratext>
                  The Authority envisages that the employees working on the current service shall transfer to the Service Provider or its subcontractors, under the Transfer of Undertakings (Protection of Employment) Regulations 2006 (
                  <ital>SI 2006/246</ital>
                  ) (
                  <bold>TUPE</bold>
                  ) along with the Services. These employees are currently employed by:
                </paratext>
              </para>
              <list type="bulleted">
                <list.item>
                  <para>
                    <paratext>The Authority (Transferring Employees).</paratext>
                  </para>
                </list.item>
                <list.item>
                  <para>
                    <paratext>The incumbent supplier (Third Party Employees).</paratext>
                  </para>
                </list.item>
              </list>
              <para>
                <paratext>
                  Provisional lists of the [Transferring Employees] [and the] [Third-Party Employees] are contained in 
                  <internal.reference refid="a277553">Schedule 7</internal.reference>
                  .
                </paratext>
              </para>
              <para>
                <paratext>Tenderers' pricing models must include the costs associated with the TUPE transfer of these employees. [If the costs associated with a TUPE transfer (including pensions costs) are subsequently found to be lower than envisaged, the Service Provider shall make a corresponding reduction in the contract price.]</paratext>
              </para>
              <drafting.note id="a612167" jurisdiction="">
                <head align="left" preservecase="true">
                  <headtext>TUPE and pensions</headtext>
                </head>
                <division id="a000034" level="1">
                  <para>
                    <paratext>
                      The drafting envisages that employees will transfer from the Authority and the incumbent supplier, as reflected in 
                      <link href="2-501-1525" style="ACTLinkPLCtoPLC">
                        <ital>Standard document, Services agreement for use by public sector bodies</ital>
                      </link>
                      . This section and the relevant paragraphs can be amended to reflect the actual staff groups transferring. It is advisable to include a price variation provision in the Contract to reflect any inaccuracies in the 
                      <link href="2-505-5915" style="ACTLinkPLCtoPLC">
                        <ital>TUPE</ital>
                      </link>
                       information provided in the ITT and if, for any other reason, the costs associated with a TUPE transfer (including pensions costs) are subsequently found to be lower than envisaged. See also 
                      <link href="5-386-4771" style="ACTLinkPLCtoPLC">
                        <ital>Practice note, TUPE and tendering local authority services contracts</ital>
                      </link>
                      .
                    </paratext>
                  </para>
                </division>
              </drafting.note>
            </subclause1>
            <subclause1 id="a302783">
              <identifier>5.2</identifier>
              <para>
                <paratext>
                  <bold>Pension requirements</bold>
                </paratext>
              </para>
              <para>
                <paratext>[INSERT REQUIREMENTS IN RELATION TO PENSION PROVISION]</paratext>
              </para>
              <para>
                <paratext>Tenderers are required to include indicative costings of their proposed pension provisions.</paratext>
              </para>
              <drafting.note id="a707912" jurisdiction="">
                <head align="left" preservecase="true">
                  <headtext>Requirements for transferring public sector employees</headtext>
                </head>
                <division id="a000035" level="1">
                  <para>
                    <paratext>
                      For information about pensions liabilities see 
                      <link anchor="a274276" href="5-386-4771" style="ACTLinkPLCtoPLC">
                        <ital>Practice note, TUPE and tendering local authority services contracts: Pensions liabilities</ital>
                      </link>
                      . For information relating to legacy public sector pension schemes see 
                      <link anchor="a772727" href="8-205-6270" style="ACTLinkPLCtoPLC">
                        <ital>Practice note, Public-sector pension schemes: outsourcing: Fair Deal 2013</ital>
                      </link>
                      <ital> </ital>
                      ,  
                      <link anchor="a549087" href="8-205-6270" style="ACTLinkPLCtoPLC">
                        <ital>Practice note, Public-sector pension schemes: outsourcing: Treatment of LGPS in outsourcing transactions</ital>
                      </link>
                       and 
                      <link anchor="a235524" href="8-205-6270" style="ACTLinkPLCtoPLC">
                        <ital>Practice note, Public-sector pension schemes: outsourcing: Becoming an admitted body in the LGPS</ital>
                      </link>
                      . See also 
                      <link href="5-382-4153" style="ACTLinkPLCtoPLC">
                        <ital>Practice note, Managing pensions risk in local authority outsourcing transactions</ital>
                      </link>
                      .
                    </paratext>
                  </para>
                </division>
              </drafting.note>
            </subclause1>
          </clause>
          <clause id="a897680">
            <identifier>6.</identifier>
            <head align="left" preservecase="true">
              <headtext>Assessment questions for completion by tenderers</headtext>
            </head>
            <drafting.note id="a387026" jurisdiction="">
              <head align="left" preservecase="true">
                <headtext>Tenderer's submissions</headtext>
              </head>
              <division id="a000036" level="1">
                <para>
                  <paratext>
                    Example questions for Tenderers are contained in 
                    <link href="4-599-9626" style="ACTLinkPLCtoPLC">
                      <ital>Standard document, Invitation to tender (PCR 2015): questions for tenderers</ital>
                    </link>
                    . 
                    <bold>This document provides example drafting only and should not be used without appropriate tailoring to the Authority's specific requirements.</bold>
                  </paratext>
                </para>
              </division>
            </drafting.note>
            <drafting.note id="a949220" jurisdiction="">
              <head align="left" preservecase="true">
                <headtext>Schedules</headtext>
              </head>
              <division id="a000037" level="1">
                <para>
                  <paratext>
                    Many of the schedules to the ITT will form schedules to the contract. For information relating to the incorporation of these documents into the contract, see 
                    <internal.reference refid="a176542">Drafting note, Documents forming the contract</internal.reference>
                    .
                  </paratext>
                </para>
              </division>
            </drafting.note>
          </clause>
        </operative>
        <disclosure.schedule>
          <schedule id="a468549">
            <identifier>Schedule 1</identifier>
            <head align="left" preservecase="true">
              <headtext>Draft contract</headtext>
            </head>
            <drafting.note id="a784106" jurisdiction="">
              <head align="left" preservecase="true">
                <headtext>Draft contract</headtext>
              </head>
              <division id="a000038" level="1">
                <para>
                  <paratext>
                    See 
                    <link href="2-501-1525" style="ACTLinkPLCtoPLC">
                      <ital>Standard document, Services agreement for use by public sector bodies</ital>
                    </link>
                    .
                  </paratext>
                </para>
              </division>
            </drafting.note>
          </schedule>
          <schedule id="a385689">
            <identifier>Schedule 2</identifier>
            <head align="left" preservecase="true">
              <headtext>Specification</headtext>
            </head>
            <drafting.note id="a737336" jurisdiction="">
              <head align="left" preservecase="true">
                <headtext>Specification</headtext>
              </head>
              <division id="a000039" level="1">
                <para>
                  <paratext>
                    See 
                    <internal.reference refid="a242080">Drafting note, Specification</internal.reference>
                    .
                  </paratext>
                </para>
              </division>
            </drafting.note>
          </schedule>
          <schedule id="a165427">
            <identifier>Schedule 3</identifier>
            <head align="left" preservecase="true">
              <headtext>Information about the current service</headtext>
            </head>
          </schedule>
          <schedule id="a560636">
            <identifier>Schedule 4</identifier>
            <head align="left" preservecase="true">
              <headtext>Site plans</headtext>
            </head>
          </schedule>
          <schedule id="a188057">
            <identifier>Schedule 5</identifier>
            <head align="left" preservecase="true">
              <headtext>Asset list</headtext>
            </head>
          </schedule>
          <schedule id="a1010519">
            <identifier>Schedule 6</identifier>
            <head align="left" preservecase="true">
              <headtext>Contracts list</headtext>
            </head>
          </schedule>
          <schedule id="a277553">
            <identifier>Schedule 7</identifier>
            <head align="left" preservecase="true">
              <headtext>Provisional list of transferring employees</headtext>
            </head>
          </schedule>
          <schedule id="a476453">
            <identifier>Schedule 8</identifier>
            <head align="left" preservecase="true">
              <headtext>Applicable policies</headtext>
            </head>
          </schedule>
          <schedule id="a145332">
            <identifier>Schedule 9</identifier>
            <head align="left" preservecase="true">
              <headtext>Commercially sensitive information.</headtext>
            </head>
            <para>
              <paratext>
                <bold>Commercially sensitive information</bold>
              </paratext>
            </para>
            <para>
              <paratext>I declare that I wish the following information to be designated as commercially sensitive [and to be appended to the Contract at Schedule [NUMBER]].</paratext>
            </para>
            <clause id="a000040">
              <para>
                <paratext>
                  <table frame="all" pgwide="1">
                    <tgroup cols="1">
                      <colspec colname="1" colnum="1" colwidth="100"/>
                      <tbody>
                        <row>
                          <entry valign="top">
                            <para>
                              <paratext space="default"> </paratext>
                            </para>
                          </entry>
                        </row>
                      </tbody>
                    </tgroup>
                  </table>
                </paratext>
              </para>
            </clause>
            <para>
              <paratext>The reason(s) it is considered that this information should be exempt under FOIA is:</paratext>
            </para>
            <clause id="a000041">
              <para>
                <paratext>
                  <table frame="all" pgwide="1">
                    <tgroup cols="1">
                      <colspec colname="1" colnum="1" colwidth="100"/>
                      <tbody>
                        <row>
                          <entry valign="top">
                            <para>
                              <paratext space="default"> </paratext>
                            </para>
                          </entry>
                        </row>
                      </tbody>
                    </tgroup>
                  </table>
                </paratext>
              </para>
            </clause>
            <para>
              <paratext>
                The period of time for which it is considered this information should be exempt is [until award of Contract 
                <bold>OR</bold>
                 during the period of the Contract 
                <bold>OR</bold>
                 for a period of [NUMBER] years until [MONTH], [YEAR]].
              </paratext>
            </para>
            <clause id="a000042">
              <para>
                <paratext>
                  <table frame="all" pgwide="1">
                    <tgroup cols="1">
                      <colspec colname="1" colnum="1" colwidth="100"/>
                      <tbody>
                        <row>
                          <entry valign="top">
                            <para>
                              <paratext space="default"> </paratext>
                            </para>
                          </entry>
                        </row>
                      </tbody>
                    </tgroup>
                  </table>
                </paratext>
              </para>
              <para>
                <paratext>
                  <table frame="none" pgwide="1">
                    <tgroup cols="2">
                      <colspec colname="1" colnum="1" colwidth="30"/>
                      <colspec colname="2" colnum="2" colwidth="69"/>
                      <tbody>
                        <row>
                          <entry valign="top">
                            <para align="left">
                              <paratext>SIGNATURE:</paratext>
                            </para>
                          </entry>
                          <entry valign="top">
                            <para align="left">
                              <paratext>_________________________________________</paratext>
                            </para>
                          </entry>
                        </row>
                        <row>
                          <entry valign="top">
                            <para align="left">
                              <paratext>NAME (PRINT):</paratext>
                            </para>
                          </entry>
                          <entry valign="top">
                            <para align="left">
                              <paratext>_________________________________________</paratext>
                            </para>
                          </entry>
                        </row>
                        <row>
                          <entry valign="top">
                            <para align="left">
                              <paratext>POSITION:</paratext>
                            </para>
                          </entry>
                          <entry valign="top">
                            <para align="left">
                              <paratext>_________________________________________</paratext>
                            </para>
                          </entry>
                        </row>
                        <row>
                          <entry valign="top">
                            <para align="left">
                              <paratext>COMPANY:</paratext>
                            </para>
                          </entry>
                          <entry valign="top">
                            <para align="left">
                              <paratext>_________________________________________</paratext>
                            </para>
                          </entry>
                        </row>
                        <row>
                          <entry valign="top">
                            <para align="left">
                              <paratext>DATE:</paratext>
                            </para>
                          </entry>
                          <entry valign="top">
                            <para align="left">
                              <paratext>_________________________________________</paratext>
                            </para>
                          </entry>
                        </row>
                      </tbody>
                    </tgroup>
                  </table>
                </paratext>
              </para>
            </clause>
          </schedule>
          <schedule id="a138696">
            <identifier>Schedule 10</identifier>
            <head align="left" preservecase="true">
              <headtext>Deed of guarantee</headtext>
            </head>
          </schedule>
          <schedule id="a893025">
            <identifier>Schedule 11</identifier>
            <head align="left" preservecase="true">
              <headtext>Form of Tender</headtext>
            </head>
            <drafting.note id="a216456" jurisdiction="">
              <head align="left" preservecase="true">
                <headtext>Formalities: Electronic tendering system</headtext>
              </head>
              <division id="a000043" level="1">
                <para>
                  <paratext>The Authority may wish to exclude this document or incorporate it into the tendering portal or provide for Tenderers to indicate acceptance with a tick box or other device.</paratext>
                </para>
              </division>
            </drafting.note>
            <clause id="a000044">
              <para>
                <paratext>
                  <table frame="none" pgwide="1">
                    <tgroup cols="2">
                      <colspec colname="1" colnum="1" colwidth="30"/>
                      <colspec colname="2" colnum="2" colwidth="69"/>
                      <tbody>
                        <row>
                          <entry nameend="2" namest="1" valign="top">
                            <para align="center">
                              <paratext>
                                <bold>FORM OF TENDER: TENDER CERTIFICATE</bold>
                              </paratext>
                            </para>
                          </entry>
                        </row>
                        <row>
                          <entry nameend="2" namest="1" valign="top">
                            <para align="left">
                              <paratext>TO: [NAME OF AUTHORITY]</paratext>
                            </para>
                          </entry>
                        </row>
                        <row>
                          <entry nameend="2" namest="1" valign="top">
                            <para align="left">
                              <paratext>DATE: [DATE]</paratext>
                            </para>
                          </entry>
                        </row>
                        <row>
                          <entry nameend="2" namest="1" valign="top">
                            <para align="left">
                              <paratext>PROVISION OF: [TITLE OF CONTRACT]</paratext>
                            </para>
                          </entry>
                        </row>
                        <row>
                          <entry nameend="2" namest="1" valign="top">
                            <para align="left">
                              <paratext>REFERENCE NUMBER: [CONTRACT NOTICE REFERENCE NUMBER]</paratext>
                            </para>
                          </entry>
                        </row>
                        <row>
                          <entry nameend="2" namest="1" valign="top">
                            <para align="left">
                              <paratext>We [INSERT NAME[S]] the undersigned, having examined the ITT and all other schedules, do hereby offer to provide [NAME OF SERVICES] as specified in those documents and in accordance with the attached documentation to the Authority commencing [DATE] and continuing for the period specified in the Contract.</paratext>
                            </para>
                            <para align="left">
                              <paratext>If this offer is accepted, we will execute such documents in the form of the Contract within [NUMBER] days of being called on to do so.</paratext>
                            </para>
                            <para align="left">
                              <paratext>[We agree that before executing the Contract (and associated schedules) substantially in the form set out in the ITT, the formal acceptance of this Tender in writing by the Authority or such parts as may be specified, together with the contract documents attached hereto shall comprise a binding contract between the Authority and the [Tenderer]].</paratext>
                            </para>
                            <para align="left">
                              <paratext>
                                We further agree with the Authority in legally binding terms to comply with the provisions of confidentiality set out in 
                                <internal.reference refid="a400850">paragraph 3.9</internal.reference>
                                 of the ITT.
                              </paratext>
                            </para>
                            <para align="left">
                              <paratext>We further undertake and it shall be a condition of any Contract, that:</paratext>
                            </para>
                            <para align="left">
                              <paratext>
                                The amount or content of [my 
                                <bold>OR</bold>
                                 our] Tender has not been devised or calculated by agreement or arrangement with any person other than the Authority and that the content or amount of [my 
                                <bold>OR</bold>
                                 our] Tender has not been communicated to any person until after the closing date for the submission of Tenders and in any event not without the consent of the Authority.
                              </paratext>
                            </para>
                            <para align="left">
                              <paratex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paratext>
                            </para>
                            <para align="left">
                              <paratext>We have not offered, promised or given any person working for or engaged by the Authority a financial or other advantage as an inducement or reward for any improper performance of a function or activity relating to this procurement.</paratext>
                            </para>
                            <para align="left">
                              <paratext>We warrant that we have all requisite authority to sign this Tender and confirm that we have complied with all the requirements of the ITT.</paratext>
                            </para>
                          </entry>
                        </row>
                        <row>
                          <entry valign="top">
                            <para align="left">
                              <paratext>Signature</paratext>
                            </para>
                          </entry>
                          <entry valign="top">
                            <para align="left">
                              <paratext>_______________________________________________</paratext>
                            </para>
                          </entry>
                        </row>
                        <row>
                          <entry valign="top">
                            <para align="left">
                              <paratext>Name and status</paratext>
                            </para>
                          </entry>
                          <entry valign="top">
                            <para align="left">
                              <paratext>_______________________________________________</paratext>
                            </para>
                          </entry>
                        </row>
                        <row>
                          <entry valign="top">
                            <para align="left">
                              <paratext>Signature</paratext>
                            </para>
                          </entry>
                          <entry valign="top">
                            <para align="left">
                              <paratext>_______________________________________________</paratext>
                            </para>
                          </entry>
                        </row>
                        <row>
                          <entry valign="top">
                            <para align="left">
                              <paratext>Name and status</paratext>
                            </para>
                          </entry>
                          <entry valign="top">
                            <para align="left">
                              <paratext>_______________________________________________</paratext>
                            </para>
                          </entry>
                        </row>
                        <row>
                          <entry valign="top">
                            <para align="left">
                              <paratext>For and on behalf of</paratext>
                            </para>
                          </entry>
                          <entry valign="top">
                            <para align="left">
                              <paratext>[NAME OF COMPANY, PARTNERS OR CONSORTIUM]</paratext>
                            </para>
                          </entry>
                        </row>
                      </tbody>
                    </tgroup>
                  </table>
                </paratext>
              </para>
            </clause>
          </schedule>
        </disclosure.schedule>
      </body>
      <rev.history>
        <rev.item>
          <rev.title>Annual review</rev.title>
          <rev.date>20220620</rev.date>
          <rev.author>Practical Law Public Sector</rev.author>
          <rev.body>
            <division id="a000001" level="1">
              <para>
                <paratext>Annual review of this template completed</paratext>
              </para>
            </division>
          </rev.body>
        </rev.item>
      </rev.history>
    </standard.doc>
  </n-docbody>
</n-document>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49a6b3f9-77ab-4603-a094-707ab26ce2f8" xsi:nil="true"/>
    <MatterName xmlns="49a6b3f9-77ab-4603-a094-707ab26ce2f8">Contractual and Procurement Support</MatterName>
    <ClientCode xmlns="49a6b3f9-77ab-4603-a094-707ab26ce2f8">025556</ClientCode>
    <MatterCode xmlns="49a6b3f9-77ab-4603-a094-707ab26ce2f8">025556-001</MatterCode>
    <ClientName xmlns="49a6b3f9-77ab-4603-a094-707ab26ce2f8">London LGPS CIV GP Limited</ClientName>
  </documentManagement>
</p:properties>
</file>

<file path=customXml/item6.xml><?xml version="1.0" encoding="utf-8"?>
<cdm:cachedDataManifest xmlns:cdm="http://schemas.microsoft.com/2004/VisualStudio/Tools/Applications/CachedDataManifest.xsd" cdm:revision="1"/>
</file>

<file path=customXml/item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E29B7835-99EB-4FF3-9D59-16347412B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6b3f9-77ab-4603-a094-707ab26ce2f8"/>
    <ds:schemaRef ds:uri="607db1c0-888c-4e8a-81ed-2ddcf3f9a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B7E33-C700-4B03-94B3-A039FB6AB2FF}">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7C2D09EF-DEF7-4FC0-94E8-91E636CE36BD}">
  <ds:schemaRefs>
    <ds:schemaRef ds:uri="http://schemas.microsoft.com/sharepoint/v3/contenttype/forms"/>
  </ds:schemaRefs>
</ds:datastoreItem>
</file>

<file path=customXml/itemProps4.xml><?xml version="1.0" encoding="utf-8"?>
<ds:datastoreItem xmlns:ds="http://schemas.openxmlformats.org/officeDocument/2006/customXml" ds:itemID="{D605FE29-61AA-42CA-9202-E7A64BA38C35}">
  <ds:schemaRefs>
    <ds:schemaRef ds:uri="http://www.w3.org/2001/XMLSchema"/>
  </ds:schemaRefs>
</ds:datastoreItem>
</file>

<file path=customXml/itemProps5.xml><?xml version="1.0" encoding="utf-8"?>
<ds:datastoreItem xmlns:ds="http://schemas.openxmlformats.org/officeDocument/2006/customXml" ds:itemID="{5E924C78-A670-4C60-9F0B-1E3073FAB007}">
  <ds:schemaRefs>
    <ds:schemaRef ds:uri="607db1c0-888c-4e8a-81ed-2ddcf3f9aaff"/>
    <ds:schemaRef ds:uri="http://purl.org/dc/dcmitype/"/>
    <ds:schemaRef ds:uri="http://purl.org/dc/elements/1.1/"/>
    <ds:schemaRef ds:uri="http://schemas.microsoft.com/office/infopath/2007/PartnerControls"/>
    <ds:schemaRef ds:uri="49a6b3f9-77ab-4603-a094-707ab26ce2f8"/>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7.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4767</Words>
  <Characters>27174</Characters>
  <Application>Microsoft Office Word</Application>
  <DocSecurity>0</DocSecurity>
  <Lines>226</Lines>
  <Paragraphs>63</Paragraphs>
  <ScaleCrop>false</ScaleCrop>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 Kanan</dc:creator>
  <cp:keywords/>
  <cp:lastModifiedBy>Ian Inglis</cp:lastModifiedBy>
  <cp:revision>7</cp:revision>
  <cp:lastPrinted>1900-01-01T16:00:00Z</cp:lastPrinted>
  <dcterms:created xsi:type="dcterms:W3CDTF">2022-08-17T10:40:00Z</dcterms:created>
  <dcterms:modified xsi:type="dcterms:W3CDTF">2022-08-17T11:40:00Z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0x010100B28B988BBE25844DA30DA9A703B63658</vt:lpwstr>
  </property>
</Properties>
</file>