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56260" cy="463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Montserrat" w:cs="Montserrat" w:eastAsia="Montserrat" w:hAnsi="Montserrat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720"/>
        <w:rPr>
          <w:rFonts w:ascii="Montserrat" w:cs="Montserrat" w:eastAsia="Montserrat" w:hAnsi="Montserrat"/>
          <w:b w:val="1"/>
          <w:color w:val="7030a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7030a0"/>
          <w:rtl w:val="0"/>
        </w:rPr>
        <w:t xml:space="preserve">RM6308 - Furniture and Associated Services 2 FTS Customer List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6" w:line="242.99999999999997" w:lineRule="auto"/>
        <w:ind w:left="941" w:right="66" w:hanging="0.999999999999943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This Framework Agreement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RM6308 - Furniture and Associated Services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is for use by Contracting Authorities in the United Kingdom, British Overseas Territories, and Crown Dependencies that exist 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28/07/2023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and which fall into one or more of the following categories: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6" w:line="240" w:lineRule="auto"/>
        <w:ind w:left="10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Any of the following: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560" w:firstLine="0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a) Ministerial government departments;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b) Non-ministerial government departments;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c) Executive agencies of government;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2.99999999999997" w:lineRule="auto"/>
        <w:ind w:left="1560" w:right="-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d) Non-Departmental Public Bodies (NDPBs), including advisory NDPBs, executive NDPBs, and tribunal NDPBs;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e) Assembly Sponsored Public Bodies (ASPBs);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f) Police forces;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g) Fire and rescue services;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h) Ambulance services;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i) Maritime and coastguard agency services;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j) NHS bodies;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2.99999999999997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k) Educational bodies or establishments including state schools (nursery schools, primary schools, middle or high schools, secondary schools, special schools), academies, colleges, Pupil Referral Unit (PRU), further education colleges and universities;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l) Hospices;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m) National Parks;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n) Housing associations, including registered social landlords;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o) Third sector and charities;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5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p) Citizens advice bodies;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1560" w:right="3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q) Councils, including county councils, district councils, county borough councils, community councils, London borough councils, unitary councils, metropolitan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58" w:lineRule="auto"/>
        <w:ind w:left="2146" w:right="33" w:hanging="367.99999999999983"/>
        <w:rPr>
          <w:rFonts w:ascii="Calibri" w:cs="Calibri" w:eastAsia="Calibri" w:hAnsi="Calibri"/>
          <w:b w:val="1"/>
          <w:i w:val="1"/>
          <w:color w:val="7030a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20" w:w="11900" w:orient="portrait"/>
      <w:pgMar w:bottom="766" w:top="110" w:left="140" w:right="71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V1.0 15.03.23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Crown Copyright ©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27FA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 w:val="1"/>
    <w:rsid w:val="00F27FA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7FA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wK9ZaHRrgtjtr03IwGnL+QCAw==">CgMxLjAyCGguZ2pkZ3hzOAByITFKVWVGUFlMckt1WEh0T2oxckpreDdvMnFLeXFDVl9mTg==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2023-06-26T15:54:00Z</dcterms:created>
  <dc:creator>Mark Cunliffe</dc:creator>
</cp:coreProperties>
</file>