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3" w:rsidRPr="00F97CF2" w:rsidRDefault="000F35B5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t xml:space="preserve">Community </w:t>
      </w:r>
      <w:r w:rsidR="00AB14FA">
        <w:rPr>
          <w:rFonts w:ascii="Arial" w:eastAsia="Times New Roman" w:hAnsi="Arial" w:cs="Arial"/>
          <w:b/>
          <w:bCs/>
          <w:kern w:val="36"/>
          <w:lang w:eastAsia="en-GB"/>
        </w:rPr>
        <w:t xml:space="preserve">Audiology 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>Services for Oxfordshire</w:t>
      </w:r>
      <w:r>
        <w:rPr>
          <w:rFonts w:ascii="Arial" w:eastAsia="Times New Roman" w:hAnsi="Arial" w:cs="Arial"/>
          <w:b/>
          <w:bCs/>
          <w:kern w:val="36"/>
          <w:lang w:eastAsia="en-GB"/>
        </w:rPr>
        <w:t xml:space="preserve"> and Buckinghamshire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 xml:space="preserve"> CCG</w:t>
      </w:r>
      <w:r>
        <w:rPr>
          <w:rFonts w:ascii="Arial" w:eastAsia="Times New Roman" w:hAnsi="Arial" w:cs="Arial"/>
          <w:b/>
          <w:bCs/>
          <w:kern w:val="36"/>
          <w:lang w:eastAsia="en-GB"/>
        </w:rPr>
        <w:t>s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NHS </w:t>
      </w:r>
      <w:r w:rsidR="00AB14FA">
        <w:rPr>
          <w:rFonts w:ascii="Arial" w:eastAsia="Times New Roman" w:hAnsi="Arial" w:cs="Arial"/>
          <w:lang w:eastAsia="en-GB"/>
        </w:rPr>
        <w:t xml:space="preserve">South, Central and West </w:t>
      </w:r>
      <w:r w:rsidRPr="00F97CF2">
        <w:rPr>
          <w:rFonts w:ascii="Arial" w:eastAsia="Times New Roman" w:hAnsi="Arial" w:cs="Arial"/>
          <w:lang w:eastAsia="en-GB"/>
        </w:rPr>
        <w:t>COMMISSIONING SUPPORT UNIT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F7F7F" w:themeColor="text1" w:themeTint="80"/>
          <w:lang w:eastAsia="en-GB"/>
        </w:rPr>
      </w:pPr>
      <w:r w:rsidRPr="00F97CF2">
        <w:rPr>
          <w:rFonts w:ascii="Arial" w:eastAsia="Times New Roman" w:hAnsi="Arial" w:cs="Arial"/>
          <w:color w:val="7F7F7F" w:themeColor="text1" w:themeTint="80"/>
          <w:lang w:eastAsia="en-GB"/>
        </w:rPr>
        <w:t xml:space="preserve">Open early engagement - This means that a procurement idea is currently </w:t>
      </w:r>
      <w:proofErr w:type="gramStart"/>
      <w:r w:rsidRPr="00F97CF2">
        <w:rPr>
          <w:rFonts w:ascii="Arial" w:eastAsia="Times New Roman" w:hAnsi="Arial" w:cs="Arial"/>
          <w:color w:val="7F7F7F" w:themeColor="text1" w:themeTint="80"/>
          <w:lang w:eastAsia="en-GB"/>
        </w:rPr>
        <w:t>active,</w:t>
      </w:r>
      <w:proofErr w:type="gramEnd"/>
      <w:r w:rsidRPr="00F97CF2">
        <w:rPr>
          <w:rFonts w:ascii="Arial" w:eastAsia="Times New Roman" w:hAnsi="Arial" w:cs="Arial"/>
          <w:color w:val="7F7F7F" w:themeColor="text1" w:themeTint="80"/>
          <w:lang w:eastAsia="en-GB"/>
        </w:rPr>
        <w:t xml:space="preserve"> it is in the early stage of development and judging interest from potential suppliers.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>Contract summary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Industry</w:t>
      </w:r>
    </w:p>
    <w:p w:rsidR="007E7793" w:rsidRPr="00F97CF2" w:rsidRDefault="00AB14FA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Healthcare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Location of contract</w:t>
      </w:r>
    </w:p>
    <w:p w:rsidR="00AE4F30" w:rsidRDefault="00A221A9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Oxfordshire and Buckinghamshire 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Published date</w:t>
      </w:r>
      <w:r w:rsidR="00A221A9" w:rsidRPr="00F97CF2">
        <w:rPr>
          <w:rFonts w:ascii="Arial" w:eastAsia="Times New Roman" w:hAnsi="Arial" w:cs="Arial"/>
          <w:lang w:eastAsia="en-GB"/>
        </w:rPr>
        <w:t>:</w:t>
      </w:r>
      <w:r w:rsidR="00377E42">
        <w:rPr>
          <w:rFonts w:ascii="Arial" w:eastAsia="Times New Roman" w:hAnsi="Arial" w:cs="Arial"/>
          <w:lang w:eastAsia="en-GB"/>
        </w:rPr>
        <w:t xml:space="preserve"> 22/10/18</w:t>
      </w:r>
      <w:bookmarkStart w:id="0" w:name="_GoBack"/>
      <w:bookmarkEnd w:id="0"/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 xml:space="preserve">Description </w:t>
      </w:r>
    </w:p>
    <w:p w:rsidR="00A221A9" w:rsidRPr="00F97CF2" w:rsidRDefault="007E7793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following is a PIN notice only and is being placed to alert providers </w:t>
      </w:r>
      <w:r w:rsidR="000F35B5">
        <w:rPr>
          <w:rFonts w:ascii="Arial" w:eastAsia="Times New Roman" w:hAnsi="Arial" w:cs="Arial"/>
          <w:lang w:eastAsia="en-GB"/>
        </w:rPr>
        <w:t xml:space="preserve">to </w:t>
      </w:r>
      <w:r w:rsidRPr="00F97CF2">
        <w:rPr>
          <w:rFonts w:ascii="Arial" w:eastAsia="Times New Roman" w:hAnsi="Arial" w:cs="Arial"/>
          <w:lang w:eastAsia="en-GB"/>
        </w:rPr>
        <w:t xml:space="preserve">a potential </w:t>
      </w:r>
      <w:r w:rsidR="000F35B5">
        <w:rPr>
          <w:rFonts w:ascii="Arial" w:eastAsia="Times New Roman" w:hAnsi="Arial" w:cs="Arial"/>
          <w:lang w:eastAsia="en-GB"/>
        </w:rPr>
        <w:t>future</w:t>
      </w:r>
      <w:r w:rsidR="00AE4F30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procurement exercise</w:t>
      </w:r>
      <w:r w:rsidR="000F35B5">
        <w:rPr>
          <w:rFonts w:ascii="Arial" w:eastAsia="Times New Roman" w:hAnsi="Arial" w:cs="Arial"/>
          <w:lang w:eastAsia="en-GB"/>
        </w:rPr>
        <w:t xml:space="preserve"> for Community Audiology Services</w:t>
      </w:r>
      <w:r w:rsidRPr="00F97CF2">
        <w:rPr>
          <w:rFonts w:ascii="Arial" w:eastAsia="Times New Roman" w:hAnsi="Arial" w:cs="Arial"/>
          <w:lang w:eastAsia="en-GB"/>
        </w:rPr>
        <w:t xml:space="preserve">. Any values and timescales stated within this PIN notice are for guideline purposes only and should not be taken as a guarantee. </w:t>
      </w:r>
    </w:p>
    <w:p w:rsidR="00A221A9" w:rsidRPr="00F97CF2" w:rsidRDefault="00A221A9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F97CF2" w:rsidRDefault="007E7793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Oxfordshire</w:t>
      </w:r>
      <w:r w:rsidR="00A221A9" w:rsidRPr="00F97CF2">
        <w:rPr>
          <w:rFonts w:ascii="Arial" w:eastAsia="Times New Roman" w:hAnsi="Arial" w:cs="Arial"/>
          <w:lang w:eastAsia="en-GB"/>
        </w:rPr>
        <w:t xml:space="preserve"> and Buckinghamshire</w:t>
      </w:r>
      <w:r w:rsidRPr="00F97CF2">
        <w:rPr>
          <w:rFonts w:ascii="Arial" w:eastAsia="Times New Roman" w:hAnsi="Arial" w:cs="Arial"/>
          <w:lang w:eastAsia="en-GB"/>
        </w:rPr>
        <w:t xml:space="preserve"> Clinical Commissioning Group</w:t>
      </w:r>
      <w:r w:rsidR="00AB14FA">
        <w:rPr>
          <w:rFonts w:ascii="Arial" w:eastAsia="Times New Roman" w:hAnsi="Arial" w:cs="Arial"/>
          <w:lang w:eastAsia="en-GB"/>
        </w:rPr>
        <w:t>s</w:t>
      </w:r>
      <w:r w:rsidRPr="00F97CF2">
        <w:rPr>
          <w:rFonts w:ascii="Arial" w:eastAsia="Times New Roman" w:hAnsi="Arial" w:cs="Arial"/>
          <w:lang w:eastAsia="en-GB"/>
        </w:rPr>
        <w:t xml:space="preserve"> (“</w:t>
      </w:r>
      <w:r w:rsidR="00AB14FA">
        <w:rPr>
          <w:rFonts w:ascii="Arial" w:eastAsia="Times New Roman" w:hAnsi="Arial" w:cs="Arial"/>
          <w:lang w:eastAsia="en-GB"/>
        </w:rPr>
        <w:t xml:space="preserve">the </w:t>
      </w:r>
      <w:r w:rsidRPr="00F97CF2">
        <w:rPr>
          <w:rFonts w:ascii="Arial" w:eastAsia="Times New Roman" w:hAnsi="Arial" w:cs="Arial"/>
          <w:lang w:eastAsia="en-GB"/>
        </w:rPr>
        <w:t>CCG</w:t>
      </w:r>
      <w:r w:rsidR="00AB14FA">
        <w:rPr>
          <w:rFonts w:ascii="Arial" w:eastAsia="Times New Roman" w:hAnsi="Arial" w:cs="Arial"/>
          <w:lang w:eastAsia="en-GB"/>
        </w:rPr>
        <w:t>s</w:t>
      </w:r>
      <w:r w:rsidRPr="00F97CF2">
        <w:rPr>
          <w:rFonts w:ascii="Arial" w:eastAsia="Times New Roman" w:hAnsi="Arial" w:cs="Arial"/>
          <w:lang w:eastAsia="en-GB"/>
        </w:rPr>
        <w:t xml:space="preserve">”) </w:t>
      </w:r>
      <w:r w:rsidR="00AB14FA">
        <w:rPr>
          <w:rFonts w:ascii="Arial" w:eastAsia="Times New Roman" w:hAnsi="Arial" w:cs="Arial"/>
          <w:lang w:eastAsia="en-GB"/>
        </w:rPr>
        <w:t>are</w:t>
      </w:r>
      <w:r w:rsidRPr="00F97CF2">
        <w:rPr>
          <w:rFonts w:ascii="Arial" w:eastAsia="Times New Roman" w:hAnsi="Arial" w:cs="Arial"/>
          <w:lang w:eastAsia="en-GB"/>
        </w:rPr>
        <w:t xml:space="preserve"> considering </w:t>
      </w:r>
      <w:r w:rsidR="00AB14FA">
        <w:rPr>
          <w:rFonts w:ascii="Arial" w:eastAsia="Times New Roman" w:hAnsi="Arial" w:cs="Arial"/>
          <w:lang w:eastAsia="en-GB"/>
        </w:rPr>
        <w:t>their</w:t>
      </w:r>
      <w:r w:rsidRPr="00F97CF2">
        <w:rPr>
          <w:rFonts w:ascii="Arial" w:eastAsia="Times New Roman" w:hAnsi="Arial" w:cs="Arial"/>
          <w:lang w:eastAsia="en-GB"/>
        </w:rPr>
        <w:t xml:space="preserve"> options for commissioning </w:t>
      </w:r>
      <w:r w:rsidR="00A221A9" w:rsidRPr="00F97CF2">
        <w:rPr>
          <w:rFonts w:ascii="Arial" w:eastAsia="Times New Roman" w:hAnsi="Arial" w:cs="Arial"/>
          <w:lang w:eastAsia="en-GB"/>
        </w:rPr>
        <w:t>a</w:t>
      </w:r>
      <w:r w:rsidR="000F35B5">
        <w:rPr>
          <w:rFonts w:ascii="Arial" w:eastAsia="Times New Roman" w:hAnsi="Arial" w:cs="Arial"/>
          <w:lang w:eastAsia="en-GB"/>
        </w:rPr>
        <w:t>n age related</w:t>
      </w:r>
      <w:r w:rsidR="00A221A9" w:rsidRPr="00F97CF2">
        <w:rPr>
          <w:rFonts w:ascii="Arial" w:eastAsia="Times New Roman" w:hAnsi="Arial" w:cs="Arial"/>
          <w:lang w:eastAsia="en-GB"/>
        </w:rPr>
        <w:t xml:space="preserve"> </w:t>
      </w:r>
      <w:r w:rsidR="000F35B5">
        <w:rPr>
          <w:rFonts w:ascii="Arial" w:eastAsia="Times New Roman" w:hAnsi="Arial" w:cs="Arial"/>
          <w:lang w:eastAsia="en-GB"/>
        </w:rPr>
        <w:t>h</w:t>
      </w:r>
      <w:r w:rsidR="00A221A9" w:rsidRPr="00F97CF2">
        <w:rPr>
          <w:rFonts w:ascii="Arial" w:eastAsia="Times New Roman" w:hAnsi="Arial" w:cs="Arial"/>
          <w:lang w:eastAsia="en-GB"/>
        </w:rPr>
        <w:t>earing loss service for adults aged over 55 years.</w:t>
      </w:r>
      <w:r w:rsidRPr="00F97CF2">
        <w:rPr>
          <w:rFonts w:ascii="Arial" w:eastAsia="Times New Roman" w:hAnsi="Arial" w:cs="Arial"/>
          <w:lang w:eastAsia="en-GB"/>
        </w:rPr>
        <w:t xml:space="preserve"> </w:t>
      </w: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A221A9" w:rsidRPr="00F97CF2" w:rsidRDefault="00A221A9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aim is to provide a comprehensive service for adults experiencing hearing and communication </w:t>
      </w:r>
      <w:r w:rsidR="004062F7" w:rsidRPr="00F97CF2">
        <w:rPr>
          <w:rFonts w:ascii="Arial" w:eastAsia="Times New Roman" w:hAnsi="Arial" w:cs="Arial"/>
          <w:lang w:eastAsia="en-GB"/>
        </w:rPr>
        <w:t>difficulties where</w:t>
      </w:r>
      <w:r w:rsidRPr="00F97CF2">
        <w:rPr>
          <w:rFonts w:ascii="Arial" w:eastAsia="Times New Roman" w:hAnsi="Arial" w:cs="Arial"/>
          <w:lang w:eastAsia="en-GB"/>
        </w:rPr>
        <w:t xml:space="preserve"> they may bene</w:t>
      </w:r>
      <w:r w:rsidR="004062F7" w:rsidRPr="00F97CF2">
        <w:rPr>
          <w:rFonts w:ascii="Arial" w:eastAsia="Times New Roman" w:hAnsi="Arial" w:cs="Arial"/>
          <w:lang w:eastAsia="en-GB"/>
        </w:rPr>
        <w:t>fit</w:t>
      </w:r>
      <w:r w:rsidRPr="00F97CF2">
        <w:rPr>
          <w:rFonts w:ascii="Arial" w:eastAsia="Times New Roman" w:hAnsi="Arial" w:cs="Arial"/>
          <w:lang w:eastAsia="en-GB"/>
        </w:rPr>
        <w:t xml:space="preserve"> from hearing assessment and rehabilitation </w:t>
      </w:r>
      <w:r w:rsidR="004062F7" w:rsidRPr="00F97CF2">
        <w:rPr>
          <w:rFonts w:ascii="Arial" w:eastAsia="Times New Roman" w:hAnsi="Arial" w:cs="Arial"/>
          <w:lang w:eastAsia="en-GB"/>
        </w:rPr>
        <w:t>(</w:t>
      </w:r>
      <w:r w:rsidRPr="00F97CF2">
        <w:rPr>
          <w:rFonts w:ascii="Arial" w:eastAsia="Times New Roman" w:hAnsi="Arial" w:cs="Arial"/>
          <w:lang w:eastAsia="en-GB"/>
        </w:rPr>
        <w:t>including the option of trying hearing aids</w:t>
      </w:r>
      <w:r w:rsidR="004062F7" w:rsidRPr="00F97CF2">
        <w:rPr>
          <w:rFonts w:ascii="Arial" w:eastAsia="Times New Roman" w:hAnsi="Arial" w:cs="Arial"/>
          <w:lang w:eastAsia="en-GB"/>
        </w:rPr>
        <w:t>)</w:t>
      </w:r>
      <w:r w:rsidRPr="00F97CF2">
        <w:rPr>
          <w:rFonts w:ascii="Arial" w:eastAsia="Times New Roman" w:hAnsi="Arial" w:cs="Arial"/>
          <w:lang w:eastAsia="en-GB"/>
        </w:rPr>
        <w:t xml:space="preserve"> with aftercare and support</w:t>
      </w:r>
      <w:r w:rsidR="004062F7" w:rsidRPr="00F97CF2">
        <w:rPr>
          <w:rFonts w:ascii="Arial" w:eastAsia="Times New Roman" w:hAnsi="Arial" w:cs="Arial"/>
          <w:lang w:eastAsia="en-GB"/>
        </w:rPr>
        <w:t>. This will be</w:t>
      </w:r>
      <w:r w:rsidRPr="00F97CF2">
        <w:rPr>
          <w:rFonts w:ascii="Arial" w:eastAsia="Times New Roman" w:hAnsi="Arial" w:cs="Arial"/>
          <w:lang w:eastAsia="en-GB"/>
        </w:rPr>
        <w:t xml:space="preserve"> in line with the National Commissioning Framework, other national </w:t>
      </w:r>
      <w:r w:rsidR="004062F7" w:rsidRPr="00F97CF2">
        <w:rPr>
          <w:rFonts w:ascii="Arial" w:eastAsia="Times New Roman" w:hAnsi="Arial" w:cs="Arial"/>
          <w:lang w:eastAsia="en-GB"/>
        </w:rPr>
        <w:t>guidance</w:t>
      </w:r>
      <w:r w:rsidRPr="00F97CF2">
        <w:rPr>
          <w:rFonts w:ascii="Arial" w:eastAsia="Times New Roman" w:hAnsi="Arial" w:cs="Arial"/>
          <w:lang w:eastAsia="en-GB"/>
        </w:rPr>
        <w:t xml:space="preserve"> and local requirements. </w:t>
      </w: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 xml:space="preserve">The vision for people with </w:t>
      </w:r>
      <w:r w:rsidR="000F35B5">
        <w:rPr>
          <w:rFonts w:ascii="Arial" w:eastAsia="Times New Roman" w:hAnsi="Arial" w:cs="Arial"/>
          <w:bCs/>
        </w:rPr>
        <w:t xml:space="preserve">age related </w:t>
      </w:r>
      <w:r w:rsidRPr="004062F7">
        <w:rPr>
          <w:rFonts w:ascii="Arial" w:eastAsia="Times New Roman" w:hAnsi="Arial" w:cs="Arial"/>
          <w:bCs/>
        </w:rPr>
        <w:t>hearing problems is for them to receive high quality, eff</w:t>
      </w:r>
      <w:r w:rsidR="000F35B5">
        <w:rPr>
          <w:rFonts w:ascii="Arial" w:eastAsia="Times New Roman" w:hAnsi="Arial" w:cs="Arial"/>
          <w:bCs/>
        </w:rPr>
        <w:t>ective</w:t>
      </w:r>
      <w:r w:rsidRPr="004062F7">
        <w:rPr>
          <w:rFonts w:ascii="Arial" w:eastAsia="Times New Roman" w:hAnsi="Arial" w:cs="Arial"/>
          <w:bCs/>
        </w:rPr>
        <w:t xml:space="preserve"> services delivered closer to home, with short waiting times and high responsiveness to the needs of local communities, free at the point of access.</w:t>
      </w:r>
      <w:r w:rsidRPr="00F97CF2">
        <w:rPr>
          <w:rFonts w:ascii="Arial" w:eastAsia="Times New Roman" w:hAnsi="Arial" w:cs="Arial"/>
          <w:bCs/>
        </w:rPr>
        <w:t xml:space="preserve"> </w:t>
      </w:r>
      <w:r w:rsidRPr="004062F7">
        <w:rPr>
          <w:rFonts w:ascii="Arial" w:eastAsia="Times New Roman" w:hAnsi="Arial" w:cs="Arial"/>
          <w:bCs/>
        </w:rPr>
        <w:t>The service should include flexibility to provide later evening and/or weekend appointments outside of regular working hours (Mon-Fri, 9am-5pm).</w:t>
      </w: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The Adult Hearing Service will consist of:</w:t>
      </w: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</w:p>
    <w:p w:rsidR="004062F7" w:rsidRPr="00F97CF2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F97CF2">
        <w:rPr>
          <w:rFonts w:ascii="Arial" w:eastAsia="Times New Roman" w:hAnsi="Arial" w:cs="Arial"/>
          <w:bCs/>
          <w:lang w:eastAsia="ja-JP"/>
        </w:rPr>
        <w:t>Self-referral and GP referrals into the service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A pre-assessment questionnaire</w:t>
      </w:r>
      <w:r w:rsidRPr="00F97CF2">
        <w:rPr>
          <w:rFonts w:ascii="Arial" w:eastAsia="Times New Roman" w:hAnsi="Arial" w:cs="Arial"/>
          <w:bCs/>
          <w:lang w:eastAsia="ja-JP"/>
        </w:rPr>
        <w:t xml:space="preserve"> and triage </w:t>
      </w:r>
      <w:proofErr w:type="spellStart"/>
      <w:r w:rsidR="000F35B5">
        <w:rPr>
          <w:rFonts w:ascii="Arial" w:eastAsia="Times New Roman" w:hAnsi="Arial" w:cs="Arial"/>
          <w:bCs/>
          <w:lang w:eastAsia="ja-JP"/>
        </w:rPr>
        <w:t>to</w:t>
      </w:r>
      <w:r w:rsidRPr="004062F7">
        <w:rPr>
          <w:rFonts w:ascii="Arial" w:eastAsia="Times New Roman" w:hAnsi="Arial" w:cs="Arial"/>
          <w:bCs/>
          <w:lang w:eastAsia="ja-JP"/>
        </w:rPr>
        <w:t>be</w:t>
      </w:r>
      <w:proofErr w:type="spellEnd"/>
      <w:r w:rsidRPr="004062F7">
        <w:rPr>
          <w:rFonts w:ascii="Arial" w:eastAsia="Times New Roman" w:hAnsi="Arial" w:cs="Arial"/>
          <w:bCs/>
          <w:lang w:eastAsia="ja-JP"/>
        </w:rPr>
        <w:t xml:space="preserve"> undertaken to confirm suitability for the </w:t>
      </w:r>
      <w:r w:rsidRPr="00F97CF2">
        <w:rPr>
          <w:rFonts w:ascii="Arial" w:eastAsia="Times New Roman" w:hAnsi="Arial" w:cs="Arial"/>
          <w:bCs/>
          <w:lang w:eastAsia="ja-JP"/>
        </w:rPr>
        <w:t xml:space="preserve">Hearing loss service. 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Hearing needs assessment;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Advice on self-management of ear wax and ear wax removal where necessary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Development of a personalised care plan;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Provision and fitting of hearing aid(s), where clinically appropriate and agreed with the service user;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lastRenderedPageBreak/>
        <w:t>Appropriate hearing rehabilitation, for example service user information; hearing therapy;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Information on and signposting to any relevant communication/social support services;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Follow-up appointment to assess whether needs have been met;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Discharge from hearing assessment and fitting pathway;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Aftercare services for the duration of the patient pathway (where hearing needs remain unchanged), including advice, maintenance and repairs or replacements of hearing aids.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Battery, tips, domes, wax filters and tube replacement service.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 xml:space="preserve">Assessment of usage of hearing aid and appropriate action if the patient is not coping with them. 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 xml:space="preserve">Re-assessment of patient needs after three years with annual aftercare until hearing needs change. 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  <w:r w:rsidRPr="004062F7">
        <w:rPr>
          <w:rFonts w:ascii="Arial" w:eastAsia="Times New Roman" w:hAnsi="Arial" w:cs="Arial"/>
          <w:bCs/>
          <w:lang w:eastAsia="ja-JP"/>
        </w:rPr>
        <w:t>Provision for service user complaints and feedback to the Provider.</w:t>
      </w:r>
    </w:p>
    <w:p w:rsidR="004062F7" w:rsidRPr="00F97CF2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F97CF2" w:rsidRPr="004062F7" w:rsidRDefault="00AB14FA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Potential </w:t>
      </w:r>
      <w:r w:rsidR="00F97CF2" w:rsidRPr="00F97CF2">
        <w:rPr>
          <w:rFonts w:ascii="Arial" w:eastAsia="Times New Roman" w:hAnsi="Arial" w:cs="Arial"/>
          <w:bCs/>
        </w:rPr>
        <w:t>tariff</w:t>
      </w:r>
      <w:r>
        <w:rPr>
          <w:rFonts w:ascii="Arial" w:eastAsia="Times New Roman" w:hAnsi="Arial" w:cs="Arial"/>
          <w:bCs/>
        </w:rPr>
        <w:t>s</w:t>
      </w:r>
      <w:r w:rsidR="00F97CF2" w:rsidRPr="00F97CF2">
        <w:rPr>
          <w:rFonts w:ascii="Arial" w:eastAsia="Times New Roman" w:hAnsi="Arial" w:cs="Arial"/>
          <w:bCs/>
        </w:rPr>
        <w:t xml:space="preserve"> for </w:t>
      </w:r>
      <w:r>
        <w:rPr>
          <w:rFonts w:ascii="Arial" w:eastAsia="Times New Roman" w:hAnsi="Arial" w:cs="Arial"/>
          <w:bCs/>
        </w:rPr>
        <w:t xml:space="preserve">the </w:t>
      </w:r>
      <w:r w:rsidR="000F35B5">
        <w:rPr>
          <w:rFonts w:ascii="Arial" w:eastAsia="Times New Roman" w:hAnsi="Arial" w:cs="Arial"/>
          <w:bCs/>
        </w:rPr>
        <w:t>above</w:t>
      </w:r>
      <w:r w:rsidR="00697670">
        <w:rPr>
          <w:rFonts w:ascii="Arial" w:eastAsia="Times New Roman" w:hAnsi="Arial" w:cs="Arial"/>
          <w:bCs/>
        </w:rPr>
        <w:t xml:space="preserve"> </w:t>
      </w:r>
      <w:r w:rsidR="00F97CF2" w:rsidRPr="00F97CF2">
        <w:rPr>
          <w:rFonts w:ascii="Arial" w:eastAsia="Times New Roman" w:hAnsi="Arial" w:cs="Arial"/>
          <w:bCs/>
        </w:rPr>
        <w:t>activity type</w:t>
      </w:r>
      <w:r>
        <w:rPr>
          <w:rFonts w:ascii="Arial" w:eastAsia="Times New Roman" w:hAnsi="Arial" w:cs="Arial"/>
          <w:bCs/>
        </w:rPr>
        <w:t>s</w:t>
      </w:r>
      <w:r w:rsidR="00F97CF2" w:rsidRPr="00F97CF2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are</w:t>
      </w:r>
      <w:r w:rsidR="00697670">
        <w:rPr>
          <w:rFonts w:ascii="Arial" w:eastAsia="Times New Roman" w:hAnsi="Arial" w:cs="Arial"/>
          <w:bCs/>
        </w:rPr>
        <w:t xml:space="preserve"> listed below. </w:t>
      </w:r>
      <w:r w:rsidR="00F97CF2" w:rsidRPr="00F97CF2">
        <w:rPr>
          <w:rFonts w:ascii="Arial" w:eastAsia="Times New Roman" w:hAnsi="Arial" w:cs="Arial"/>
          <w:bCs/>
        </w:rPr>
        <w:t>Please note that these may be subject to change:</w:t>
      </w: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2773"/>
      </w:tblGrid>
      <w:tr w:rsidR="004062F7" w:rsidRPr="00F97CF2" w:rsidTr="00F97CF2"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2F7" w:rsidRPr="00F97CF2" w:rsidRDefault="004062F7" w:rsidP="000113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F97CF2">
              <w:rPr>
                <w:rFonts w:ascii="Arial" w:hAnsi="Arial" w:cs="Arial"/>
                <w:b/>
                <w:color w:val="000000" w:themeColor="text1"/>
              </w:rPr>
              <w:t>Activity Type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62F7" w:rsidRPr="00F97CF2" w:rsidRDefault="00AB14FA" w:rsidP="00AB14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="004062F7" w:rsidRPr="00F97CF2">
              <w:rPr>
                <w:rFonts w:ascii="Arial" w:hAnsi="Arial" w:cs="Arial"/>
                <w:color w:val="000000" w:themeColor="text1"/>
              </w:rPr>
              <w:t>ariff</w:t>
            </w:r>
          </w:p>
        </w:tc>
      </w:tr>
      <w:tr w:rsidR="004062F7" w:rsidRPr="00F97CF2" w:rsidTr="00F97CF2"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2F7" w:rsidRPr="00F97CF2" w:rsidRDefault="004062F7" w:rsidP="00011384">
            <w:pPr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>Assessment only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2F7" w:rsidRPr="00F97CF2" w:rsidRDefault="004062F7" w:rsidP="00F97C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>£53</w:t>
            </w:r>
          </w:p>
        </w:tc>
      </w:tr>
      <w:tr w:rsidR="004062F7" w:rsidRPr="00F97CF2" w:rsidTr="00F97CF2">
        <w:trPr>
          <w:trHeight w:val="413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2F7" w:rsidRPr="00F97CF2" w:rsidRDefault="004062F7" w:rsidP="00011384">
            <w:pPr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 xml:space="preserve">Binaural fitting (assessment, fitting, follow up and </w:t>
            </w:r>
            <w:r w:rsidR="00F97CF2" w:rsidRPr="00F97CF2">
              <w:rPr>
                <w:rFonts w:ascii="Arial" w:hAnsi="Arial" w:cs="Arial"/>
                <w:color w:val="000000" w:themeColor="text1"/>
              </w:rPr>
              <w:t xml:space="preserve">includes </w:t>
            </w:r>
            <w:r w:rsidRPr="00F97CF2">
              <w:rPr>
                <w:rFonts w:ascii="Arial" w:hAnsi="Arial" w:cs="Arial"/>
                <w:color w:val="000000" w:themeColor="text1"/>
              </w:rPr>
              <w:t>3 years aftercare)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2F7" w:rsidRPr="00F97CF2" w:rsidRDefault="004062F7" w:rsidP="00F97C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>£350</w:t>
            </w:r>
          </w:p>
        </w:tc>
      </w:tr>
      <w:tr w:rsidR="004062F7" w:rsidRPr="00F97CF2" w:rsidTr="00F97CF2"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2F7" w:rsidRPr="00F97CF2" w:rsidRDefault="004062F7" w:rsidP="00011384">
            <w:pPr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 xml:space="preserve">Monaural fitting (assessment, fitting, follow up and </w:t>
            </w:r>
            <w:r w:rsidR="00F97CF2" w:rsidRPr="00F97CF2">
              <w:rPr>
                <w:rFonts w:ascii="Arial" w:hAnsi="Arial" w:cs="Arial"/>
                <w:color w:val="000000" w:themeColor="text1"/>
              </w:rPr>
              <w:t xml:space="preserve">includes </w:t>
            </w:r>
            <w:r w:rsidRPr="00F97CF2">
              <w:rPr>
                <w:rFonts w:ascii="Arial" w:hAnsi="Arial" w:cs="Arial"/>
                <w:color w:val="000000" w:themeColor="text1"/>
              </w:rPr>
              <w:t>3 years aftercare)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62F7" w:rsidRPr="00F97CF2" w:rsidRDefault="004062F7" w:rsidP="00F97C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>£253</w:t>
            </w:r>
          </w:p>
        </w:tc>
      </w:tr>
      <w:tr w:rsidR="00F97CF2" w:rsidRPr="00F97CF2" w:rsidTr="00011384"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F2" w:rsidRPr="00F97CF2" w:rsidRDefault="00F97CF2" w:rsidP="00011384">
            <w:pPr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 xml:space="preserve">Aftercare after 3 years – charged annually.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7CF2" w:rsidRPr="00F97CF2" w:rsidRDefault="00F97CF2" w:rsidP="0001138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97CF2">
              <w:rPr>
                <w:rFonts w:ascii="Arial" w:hAnsi="Arial" w:cs="Arial"/>
                <w:color w:val="000000" w:themeColor="text1"/>
              </w:rPr>
              <w:t>£26</w:t>
            </w:r>
          </w:p>
        </w:tc>
      </w:tr>
    </w:tbl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7E7793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These services </w:t>
      </w:r>
      <w:r w:rsidR="00697670">
        <w:rPr>
          <w:rFonts w:ascii="Arial" w:eastAsia="Times New Roman" w:hAnsi="Arial" w:cs="Arial"/>
          <w:lang w:eastAsia="en-GB"/>
        </w:rPr>
        <w:t xml:space="preserve">could </w:t>
      </w:r>
      <w:r w:rsidRPr="00F97CF2">
        <w:rPr>
          <w:rFonts w:ascii="Arial" w:eastAsia="Times New Roman" w:hAnsi="Arial" w:cs="Arial"/>
          <w:lang w:eastAsia="en-GB"/>
        </w:rPr>
        <w:t xml:space="preserve">be delivered by multiple providers </w:t>
      </w:r>
      <w:r w:rsidR="00AB14FA">
        <w:rPr>
          <w:rFonts w:ascii="Arial" w:eastAsia="Times New Roman" w:hAnsi="Arial" w:cs="Arial"/>
          <w:lang w:eastAsia="en-GB"/>
        </w:rPr>
        <w:t xml:space="preserve">under a framework agreement or AQP, </w:t>
      </w:r>
      <w:r w:rsidR="00A221A9" w:rsidRPr="00F97CF2">
        <w:rPr>
          <w:rFonts w:ascii="Arial" w:eastAsia="Times New Roman" w:hAnsi="Arial" w:cs="Arial"/>
          <w:lang w:eastAsia="en-GB"/>
        </w:rPr>
        <w:t xml:space="preserve">and </w:t>
      </w:r>
      <w:r w:rsidRPr="00F97CF2">
        <w:rPr>
          <w:rFonts w:ascii="Arial" w:eastAsia="Times New Roman" w:hAnsi="Arial" w:cs="Arial"/>
          <w:lang w:eastAsia="en-GB"/>
        </w:rPr>
        <w:t xml:space="preserve">should be </w:t>
      </w:r>
      <w:r w:rsidR="000F35B5">
        <w:rPr>
          <w:rFonts w:ascii="Arial" w:eastAsia="Times New Roman" w:hAnsi="Arial" w:cs="Arial"/>
          <w:lang w:eastAsia="en-GB"/>
        </w:rPr>
        <w:t>available</w:t>
      </w:r>
      <w:r w:rsidR="00697670">
        <w:rPr>
          <w:rFonts w:ascii="Arial" w:eastAsia="Times New Roman" w:hAnsi="Arial" w:cs="Arial"/>
          <w:lang w:eastAsia="en-GB"/>
        </w:rPr>
        <w:t xml:space="preserve"> </w:t>
      </w:r>
      <w:r w:rsidR="00A221A9" w:rsidRPr="00F97CF2">
        <w:rPr>
          <w:rFonts w:ascii="Arial" w:eastAsia="Times New Roman" w:hAnsi="Arial" w:cs="Arial"/>
          <w:lang w:eastAsia="en-GB"/>
        </w:rPr>
        <w:t xml:space="preserve">to the whole of each county rather than part of it. </w:t>
      </w:r>
      <w:r w:rsidRPr="00F97CF2">
        <w:rPr>
          <w:rFonts w:ascii="Arial" w:eastAsia="Times New Roman" w:hAnsi="Arial" w:cs="Arial"/>
          <w:lang w:eastAsia="en-GB"/>
        </w:rPr>
        <w:t>Should you wish to express interest, please indicate</w:t>
      </w:r>
      <w:r w:rsidR="00A221A9" w:rsidRPr="00F97CF2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where your organisation is currently situated and/or where your organisation would int</w:t>
      </w:r>
      <w:r w:rsidR="00F97CF2" w:rsidRPr="00F97CF2">
        <w:rPr>
          <w:rFonts w:ascii="Arial" w:eastAsia="Times New Roman" w:hAnsi="Arial" w:cs="Arial"/>
          <w:lang w:eastAsia="en-GB"/>
        </w:rPr>
        <w:t>end to provide the service</w:t>
      </w:r>
      <w:r w:rsidR="00697670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697670">
        <w:rPr>
          <w:rFonts w:ascii="Arial" w:eastAsia="Times New Roman" w:hAnsi="Arial" w:cs="Arial"/>
          <w:lang w:eastAsia="en-GB"/>
        </w:rPr>
        <w:t>from.</w:t>
      </w:r>
      <w:proofErr w:type="gramEnd"/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If you would be interested in providing the service, please send an email to Mark Stanbrook</w:t>
      </w:r>
      <w:r w:rsidR="00697670">
        <w:rPr>
          <w:rFonts w:ascii="Arial" w:eastAsia="Times New Roman" w:hAnsi="Arial" w:cs="Arial"/>
          <w:lang w:eastAsia="en-GB"/>
        </w:rPr>
        <w:t>, Lead Senior Procurement Manager at</w:t>
      </w:r>
      <w:r w:rsidRPr="00F97CF2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697670" w:rsidRPr="004B6E8F">
          <w:rPr>
            <w:rStyle w:val="Hyperlink"/>
            <w:rFonts w:ascii="Arial" w:eastAsia="Times New Roman" w:hAnsi="Arial" w:cs="Arial"/>
            <w:lang w:eastAsia="en-GB"/>
          </w:rPr>
          <w:t>mstanbrook@nhs.net</w:t>
        </w:r>
      </w:hyperlink>
      <w:r w:rsidR="00697670">
        <w:rPr>
          <w:rFonts w:ascii="Arial" w:eastAsia="Times New Roman" w:hAnsi="Arial" w:cs="Arial"/>
          <w:lang w:eastAsia="en-GB"/>
        </w:rPr>
        <w:t xml:space="preserve"> including the above requested information</w:t>
      </w:r>
      <w:r w:rsidRPr="00F97CF2">
        <w:rPr>
          <w:rFonts w:ascii="Arial" w:eastAsia="Times New Roman" w:hAnsi="Arial" w:cs="Arial"/>
          <w:lang w:eastAsia="en-GB"/>
        </w:rPr>
        <w:t xml:space="preserve"> and further details will be sent accordingly. </w:t>
      </w:r>
      <w:r w:rsidR="00697670">
        <w:rPr>
          <w:rFonts w:ascii="Arial" w:eastAsia="Times New Roman" w:hAnsi="Arial" w:cs="Arial"/>
          <w:lang w:eastAsia="en-GB"/>
        </w:rPr>
        <w:t>The closing date for expressing interest will be 5pm on 12</w:t>
      </w:r>
      <w:r w:rsidR="00697670" w:rsidRPr="00697670">
        <w:rPr>
          <w:rFonts w:ascii="Arial" w:eastAsia="Times New Roman" w:hAnsi="Arial" w:cs="Arial"/>
          <w:vertAlign w:val="superscript"/>
          <w:lang w:eastAsia="en-GB"/>
        </w:rPr>
        <w:t>th</w:t>
      </w:r>
      <w:r w:rsidR="00697670">
        <w:rPr>
          <w:rFonts w:ascii="Arial" w:eastAsia="Times New Roman" w:hAnsi="Arial" w:cs="Arial"/>
          <w:lang w:eastAsia="en-GB"/>
        </w:rPr>
        <w:t xml:space="preserve"> November 2018.</w:t>
      </w:r>
    </w:p>
    <w:p w:rsidR="00383B0B" w:rsidRPr="00383B0B" w:rsidRDefault="00383B0B">
      <w:pPr>
        <w:rPr>
          <w:rFonts w:ascii="Arial" w:hAnsi="Arial" w:cs="Arial"/>
        </w:rPr>
      </w:pPr>
    </w:p>
    <w:sectPr w:rsidR="00383B0B" w:rsidRPr="0038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75" w:rsidRDefault="00E62275" w:rsidP="004062F7">
      <w:pPr>
        <w:spacing w:after="0" w:line="240" w:lineRule="auto"/>
      </w:pPr>
      <w:r>
        <w:separator/>
      </w:r>
    </w:p>
  </w:endnote>
  <w:endnote w:type="continuationSeparator" w:id="0">
    <w:p w:rsidR="00E62275" w:rsidRDefault="00E62275" w:rsidP="0040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75" w:rsidRDefault="00E62275" w:rsidP="004062F7">
      <w:pPr>
        <w:spacing w:after="0" w:line="240" w:lineRule="auto"/>
      </w:pPr>
      <w:r>
        <w:separator/>
      </w:r>
    </w:p>
  </w:footnote>
  <w:footnote w:type="continuationSeparator" w:id="0">
    <w:p w:rsidR="00E62275" w:rsidRDefault="00E62275" w:rsidP="0040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E00C2"/>
    <w:multiLevelType w:val="hybridMultilevel"/>
    <w:tmpl w:val="B4C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F35B5"/>
    <w:rsid w:val="00377E42"/>
    <w:rsid w:val="00383B0B"/>
    <w:rsid w:val="004062F7"/>
    <w:rsid w:val="00697670"/>
    <w:rsid w:val="007E7793"/>
    <w:rsid w:val="00A221A9"/>
    <w:rsid w:val="00AB14FA"/>
    <w:rsid w:val="00AE4F30"/>
    <w:rsid w:val="00B929CB"/>
    <w:rsid w:val="00E62275"/>
    <w:rsid w:val="00F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brook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Mark Stanbrook</cp:lastModifiedBy>
  <cp:revision>4</cp:revision>
  <dcterms:created xsi:type="dcterms:W3CDTF">2018-10-22T09:44:00Z</dcterms:created>
  <dcterms:modified xsi:type="dcterms:W3CDTF">2018-10-22T10:45:00Z</dcterms:modified>
</cp:coreProperties>
</file>