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4D4A0C">
        <w:rPr>
          <w:rFonts w:ascii="Arial" w:eastAsia="Times New Roman" w:hAnsi="Arial" w:cs="Times New Roman"/>
          <w:b/>
          <w:sz w:val="20"/>
          <w:szCs w:val="20"/>
        </w:rPr>
        <w:t>Service Specification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</w:p>
    <w:p w:rsid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 xml:space="preserve">Public Health and Culture specialist </w:t>
      </w:r>
      <w:r w:rsidR="0085109E">
        <w:rPr>
          <w:rFonts w:ascii="Arial" w:eastAsia="Times New Roman" w:hAnsi="Arial" w:cs="Times New Roman"/>
          <w:b/>
          <w:sz w:val="24"/>
          <w:szCs w:val="20"/>
        </w:rPr>
        <w:t>support</w:t>
      </w:r>
      <w:r>
        <w:rPr>
          <w:rFonts w:ascii="Arial" w:eastAsia="Times New Roman" w:hAnsi="Arial" w:cs="Times New Roman"/>
          <w:b/>
          <w:sz w:val="24"/>
          <w:szCs w:val="20"/>
        </w:rPr>
        <w:t xml:space="preserve"> 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ahoma"/>
          <w:szCs w:val="20"/>
          <w:lang w:val="en-US"/>
        </w:rPr>
      </w:pPr>
      <w:r w:rsidRPr="004D4A0C">
        <w:rPr>
          <w:rFonts w:ascii="Arial" w:eastAsia="Times New Roman" w:hAnsi="Arial" w:cs="Times New Roman"/>
          <w:b/>
          <w:sz w:val="20"/>
          <w:szCs w:val="20"/>
        </w:rPr>
        <w:t>Contract reference:</w:t>
      </w:r>
      <w:r w:rsidRPr="004D4A0C">
        <w:rPr>
          <w:rFonts w:ascii="Arial" w:eastAsia="Times New Roman" w:hAnsi="Arial" w:cs="Times New Roman"/>
          <w:b/>
          <w:sz w:val="20"/>
          <w:szCs w:val="20"/>
        </w:rPr>
        <w:tab/>
      </w:r>
      <w:r w:rsidR="002C1883" w:rsidRPr="002C1883">
        <w:rPr>
          <w:rFonts w:ascii="Arial" w:eastAsia="Times New Roman" w:hAnsi="Arial" w:cs="Tahoma"/>
          <w:sz w:val="20"/>
          <w:szCs w:val="20"/>
          <w:lang w:val="en-US"/>
        </w:rPr>
        <w:t>PH/2017/228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bookmarkStart w:id="0" w:name="_GoBack"/>
      <w:r w:rsidRPr="004D4A0C">
        <w:rPr>
          <w:rFonts w:ascii="Arial" w:eastAsia="Times New Roman" w:hAnsi="Arial" w:cs="Tahoma"/>
          <w:b/>
          <w:sz w:val="20"/>
          <w:szCs w:val="20"/>
          <w:lang w:val="en-US"/>
        </w:rPr>
        <w:t xml:space="preserve">Contract Period: </w:t>
      </w:r>
      <w:r w:rsidRPr="004D4A0C">
        <w:rPr>
          <w:rFonts w:ascii="Arial" w:eastAsia="Times New Roman" w:hAnsi="Arial" w:cs="Tahoma"/>
          <w:b/>
          <w:sz w:val="20"/>
          <w:szCs w:val="20"/>
          <w:lang w:val="en-US"/>
        </w:rPr>
        <w:tab/>
      </w:r>
      <w:r w:rsidRPr="004D4A0C">
        <w:rPr>
          <w:rFonts w:ascii="Arial" w:eastAsia="Times New Roman" w:hAnsi="Arial" w:cs="Tahoma"/>
          <w:sz w:val="20"/>
          <w:szCs w:val="20"/>
          <w:lang w:val="en-US"/>
        </w:rPr>
        <w:t xml:space="preserve">Up to </w:t>
      </w:r>
      <w:r w:rsidR="00612188">
        <w:rPr>
          <w:rFonts w:ascii="Arial" w:eastAsia="Times New Roman" w:hAnsi="Arial" w:cs="Tahoma"/>
          <w:sz w:val="20"/>
          <w:szCs w:val="20"/>
          <w:lang w:val="en-US"/>
        </w:rPr>
        <w:t xml:space="preserve">50 </w:t>
      </w:r>
      <w:r w:rsidRPr="004D4A0C">
        <w:rPr>
          <w:rFonts w:ascii="Arial" w:eastAsia="Times New Roman" w:hAnsi="Arial" w:cs="Tahoma"/>
          <w:sz w:val="20"/>
          <w:szCs w:val="20"/>
          <w:lang w:val="en-US"/>
        </w:rPr>
        <w:t xml:space="preserve">days </w:t>
      </w:r>
      <w:r w:rsidR="0026638D">
        <w:rPr>
          <w:rFonts w:ascii="Arial" w:eastAsia="Times New Roman" w:hAnsi="Arial" w:cs="Tahoma"/>
          <w:sz w:val="20"/>
          <w:szCs w:val="20"/>
          <w:lang w:val="en-US"/>
        </w:rPr>
        <w:t>support</w:t>
      </w:r>
      <w:r w:rsidR="0085109E">
        <w:rPr>
          <w:rFonts w:ascii="Arial" w:eastAsia="Times New Roman" w:hAnsi="Arial" w:cs="Tahoma"/>
          <w:sz w:val="20"/>
          <w:szCs w:val="20"/>
          <w:lang w:val="en-US"/>
        </w:rPr>
        <w:t xml:space="preserve"> with an immediate start </w:t>
      </w:r>
      <w:r w:rsidR="00612188">
        <w:rPr>
          <w:rFonts w:ascii="Arial" w:eastAsia="Times New Roman" w:hAnsi="Arial" w:cs="Tahoma"/>
          <w:sz w:val="20"/>
          <w:szCs w:val="20"/>
          <w:lang w:val="en-US"/>
        </w:rPr>
        <w:t xml:space="preserve">over 3 </w:t>
      </w:r>
      <w:r w:rsidR="0085109E">
        <w:rPr>
          <w:rFonts w:ascii="Arial" w:eastAsia="Times New Roman" w:hAnsi="Arial" w:cs="Tahoma"/>
          <w:sz w:val="20"/>
          <w:szCs w:val="20"/>
          <w:lang w:val="en-US"/>
        </w:rPr>
        <w:t>months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4D4A0C">
        <w:rPr>
          <w:rFonts w:ascii="Arial" w:eastAsia="Times New Roman" w:hAnsi="Arial" w:cs="Times New Roman"/>
          <w:sz w:val="20"/>
          <w:szCs w:val="20"/>
        </w:rPr>
        <w:t>__________________________________________________</w:t>
      </w:r>
      <w:r w:rsidR="0085109E">
        <w:rPr>
          <w:rFonts w:ascii="Arial" w:eastAsia="Times New Roman" w:hAnsi="Arial" w:cs="Times New Roman"/>
          <w:sz w:val="20"/>
          <w:szCs w:val="20"/>
        </w:rPr>
        <w:t>_______________________________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4D4A0C">
        <w:rPr>
          <w:rFonts w:ascii="Arial" w:eastAsia="Times New Roman" w:hAnsi="Arial" w:cs="Times New Roman"/>
          <w:b/>
          <w:sz w:val="20"/>
          <w:szCs w:val="20"/>
        </w:rPr>
        <w:t>Overview of service:</w:t>
      </w:r>
    </w:p>
    <w:p w:rsidR="0085109E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A</w:t>
      </w:r>
      <w:r w:rsidR="0085109E">
        <w:rPr>
          <w:rFonts w:ascii="Arial" w:eastAsia="Times New Roman" w:hAnsi="Arial" w:cs="Times New Roman"/>
          <w:sz w:val="20"/>
          <w:szCs w:val="20"/>
        </w:rPr>
        <w:t>n</w:t>
      </w:r>
      <w:r>
        <w:rPr>
          <w:rFonts w:ascii="Arial" w:eastAsia="Times New Roman" w:hAnsi="Arial" w:cs="Times New Roman"/>
          <w:sz w:val="20"/>
          <w:szCs w:val="20"/>
        </w:rPr>
        <w:t xml:space="preserve"> experienced </w:t>
      </w:r>
      <w:r w:rsidR="0085109E">
        <w:rPr>
          <w:rFonts w:ascii="Arial" w:eastAsia="Times New Roman" w:hAnsi="Arial" w:cs="Times New Roman"/>
          <w:sz w:val="20"/>
          <w:szCs w:val="20"/>
        </w:rPr>
        <w:t xml:space="preserve">and exceptional </w:t>
      </w:r>
      <w:r>
        <w:rPr>
          <w:rFonts w:ascii="Arial" w:eastAsia="Times New Roman" w:hAnsi="Arial" w:cs="Times New Roman"/>
          <w:sz w:val="20"/>
          <w:szCs w:val="20"/>
        </w:rPr>
        <w:t xml:space="preserve">individual is required to support Stoke-on-Trent City Council in </w:t>
      </w:r>
      <w:r w:rsidR="00612188">
        <w:rPr>
          <w:rFonts w:ascii="Arial" w:eastAsia="Times New Roman" w:hAnsi="Arial" w:cs="Times New Roman"/>
          <w:sz w:val="20"/>
          <w:szCs w:val="20"/>
        </w:rPr>
        <w:t xml:space="preserve">embedding culture within public health and contributing to </w:t>
      </w:r>
      <w:r w:rsidR="0085109E">
        <w:rPr>
          <w:rFonts w:ascii="Arial" w:eastAsia="Times New Roman" w:hAnsi="Arial" w:cs="Times New Roman"/>
          <w:sz w:val="20"/>
          <w:szCs w:val="20"/>
        </w:rPr>
        <w:t>delivering</w:t>
      </w:r>
      <w:r>
        <w:rPr>
          <w:rFonts w:ascii="Arial" w:eastAsia="Times New Roman" w:hAnsi="Arial" w:cs="Times New Roman"/>
          <w:sz w:val="20"/>
          <w:szCs w:val="20"/>
        </w:rPr>
        <w:t xml:space="preserve"> a successful bid for the 2021 </w:t>
      </w:r>
      <w:r w:rsidR="0085109E">
        <w:rPr>
          <w:rFonts w:ascii="Arial" w:eastAsia="Times New Roman" w:hAnsi="Arial" w:cs="Times New Roman"/>
          <w:sz w:val="20"/>
          <w:szCs w:val="20"/>
        </w:rPr>
        <w:t>U</w:t>
      </w:r>
      <w:r w:rsidR="0074101D">
        <w:rPr>
          <w:rFonts w:ascii="Arial" w:eastAsia="Times New Roman" w:hAnsi="Arial" w:cs="Times New Roman"/>
          <w:sz w:val="20"/>
          <w:szCs w:val="20"/>
        </w:rPr>
        <w:t>K City of Culture</w:t>
      </w:r>
      <w:r w:rsidR="00DC0A62">
        <w:rPr>
          <w:rFonts w:ascii="Arial" w:eastAsia="Times New Roman" w:hAnsi="Arial" w:cs="Times New Roman"/>
          <w:sz w:val="20"/>
          <w:szCs w:val="20"/>
        </w:rPr>
        <w:t>.</w:t>
      </w:r>
    </w:p>
    <w:p w:rsid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4D4A0C">
        <w:rPr>
          <w:rFonts w:ascii="Arial" w:eastAsia="Times New Roman" w:hAnsi="Arial" w:cs="Times New Roman"/>
          <w:b/>
          <w:sz w:val="20"/>
          <w:szCs w:val="20"/>
        </w:rPr>
        <w:t>In scope</w:t>
      </w:r>
    </w:p>
    <w:p w:rsidR="00DC0A62" w:rsidRDefault="0085109E" w:rsidP="008510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The successful individual will contribute to </w:t>
      </w:r>
      <w:r w:rsidR="00612188">
        <w:rPr>
          <w:rFonts w:ascii="Arial" w:eastAsia="Times New Roman" w:hAnsi="Arial" w:cs="Times New Roman"/>
          <w:sz w:val="20"/>
          <w:szCs w:val="20"/>
        </w:rPr>
        <w:t xml:space="preserve">embedding culture within our public health function and contribute towards the 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bidding process underway to bring the third UK City of Culture award to the City of Stoke-on-Trent in 2021. Following the award further support </w:t>
      </w:r>
      <w:r w:rsidR="00612188">
        <w:rPr>
          <w:rFonts w:ascii="Arial" w:eastAsia="Times New Roman" w:hAnsi="Arial" w:cs="Times New Roman"/>
          <w:sz w:val="20"/>
          <w:szCs w:val="20"/>
        </w:rPr>
        <w:t xml:space="preserve">may </w:t>
      </w:r>
      <w:r w:rsidR="00DC0A62">
        <w:rPr>
          <w:rFonts w:ascii="Arial" w:eastAsia="Times New Roman" w:hAnsi="Arial" w:cs="Times New Roman"/>
          <w:sz w:val="20"/>
          <w:szCs w:val="20"/>
        </w:rPr>
        <w:t>be required to implement the bid. This opportuni</w:t>
      </w:r>
      <w:r w:rsidR="00890C6F">
        <w:rPr>
          <w:rFonts w:ascii="Arial" w:eastAsia="Times New Roman" w:hAnsi="Arial" w:cs="Times New Roman"/>
          <w:sz w:val="20"/>
          <w:szCs w:val="20"/>
        </w:rPr>
        <w:t>ty has arisen to cover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 a period of </w:t>
      </w:r>
      <w:r w:rsidR="00DC0A62" w:rsidRPr="00DC0A62">
        <w:rPr>
          <w:rFonts w:ascii="Arial" w:eastAsia="Times New Roman" w:hAnsi="Arial" w:cs="Times New Roman"/>
          <w:sz w:val="20"/>
          <w:szCs w:val="20"/>
        </w:rPr>
        <w:t>maternity leave</w:t>
      </w:r>
      <w:r w:rsidR="00DC0A62">
        <w:rPr>
          <w:rFonts w:ascii="Arial" w:eastAsia="Times New Roman" w:hAnsi="Arial" w:cs="Times New Roman"/>
          <w:sz w:val="20"/>
          <w:szCs w:val="20"/>
        </w:rPr>
        <w:t>.</w:t>
      </w:r>
    </w:p>
    <w:p w:rsidR="00DC0A62" w:rsidRDefault="00DC0A62" w:rsidP="008510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DC0A62" w:rsidRDefault="00DC0A62" w:rsidP="008510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890C6F">
        <w:rPr>
          <w:rFonts w:ascii="Arial" w:eastAsia="Times New Roman" w:hAnsi="Arial" w:cs="Times New Roman"/>
          <w:b/>
          <w:sz w:val="20"/>
          <w:szCs w:val="20"/>
        </w:rPr>
        <w:t>Key tasks</w:t>
      </w:r>
      <w:r w:rsidR="00890C6F">
        <w:rPr>
          <w:rFonts w:ascii="Arial" w:eastAsia="Times New Roman" w:hAnsi="Arial" w:cs="Times New Roman"/>
          <w:b/>
          <w:sz w:val="20"/>
          <w:szCs w:val="20"/>
        </w:rPr>
        <w:t>:</w:t>
      </w:r>
    </w:p>
    <w:p w:rsidR="0085109E" w:rsidRPr="00F20F9C" w:rsidRDefault="00F20F9C" w:rsidP="0085109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F20F9C">
        <w:rPr>
          <w:rFonts w:ascii="Arial" w:eastAsia="Times New Roman" w:hAnsi="Arial" w:cs="Times New Roman"/>
          <w:sz w:val="20"/>
          <w:szCs w:val="20"/>
        </w:rPr>
        <w:t>Identify</w:t>
      </w:r>
      <w:r>
        <w:rPr>
          <w:rFonts w:ascii="Arial" w:eastAsia="Times New Roman" w:hAnsi="Arial" w:cs="Times New Roman"/>
          <w:sz w:val="20"/>
          <w:szCs w:val="20"/>
        </w:rPr>
        <w:t>ing</w:t>
      </w:r>
      <w:r w:rsidRPr="00F20F9C">
        <w:rPr>
          <w:rFonts w:ascii="Arial" w:eastAsia="Times New Roman" w:hAnsi="Arial" w:cs="Times New Roman"/>
          <w:sz w:val="20"/>
          <w:szCs w:val="20"/>
        </w:rPr>
        <w:t xml:space="preserve"> relevant </w:t>
      </w:r>
      <w:r w:rsidR="00DC0A62" w:rsidRPr="00F20F9C">
        <w:rPr>
          <w:rFonts w:ascii="Arial" w:eastAsia="Times New Roman" w:hAnsi="Arial" w:cs="Times New Roman"/>
          <w:sz w:val="20"/>
          <w:szCs w:val="20"/>
        </w:rPr>
        <w:t>cultural</w:t>
      </w:r>
      <w:r>
        <w:rPr>
          <w:rFonts w:ascii="Arial" w:eastAsia="Times New Roman" w:hAnsi="Arial" w:cs="Times New Roman"/>
          <w:sz w:val="20"/>
          <w:szCs w:val="20"/>
        </w:rPr>
        <w:t xml:space="preserve"> policy which include </w:t>
      </w:r>
      <w:r w:rsidRPr="00F20F9C">
        <w:rPr>
          <w:rFonts w:ascii="Arial" w:eastAsia="Times New Roman" w:hAnsi="Arial" w:cs="Times New Roman"/>
          <w:sz w:val="20"/>
          <w:szCs w:val="20"/>
        </w:rPr>
        <w:t>link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Pr="00F20F9C">
        <w:rPr>
          <w:rFonts w:ascii="Arial" w:eastAsia="Times New Roman" w:hAnsi="Arial" w:cs="Times New Roman"/>
          <w:sz w:val="20"/>
          <w:szCs w:val="20"/>
        </w:rPr>
        <w:t xml:space="preserve"> to public health</w:t>
      </w:r>
      <w:r w:rsidR="00890C6F">
        <w:rPr>
          <w:rFonts w:ascii="Arial" w:eastAsia="Times New Roman" w:hAnsi="Arial" w:cs="Times New Roman"/>
          <w:sz w:val="20"/>
          <w:szCs w:val="20"/>
        </w:rPr>
        <w:t>, including food and sport</w:t>
      </w:r>
    </w:p>
    <w:p w:rsidR="0085109E" w:rsidRDefault="00F20F9C" w:rsidP="0085109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Bring forward e</w:t>
      </w:r>
      <w:r w:rsidR="0085109E" w:rsidRPr="0085109E">
        <w:rPr>
          <w:rFonts w:ascii="Arial" w:eastAsia="Times New Roman" w:hAnsi="Arial" w:cs="Times New Roman"/>
          <w:sz w:val="20"/>
          <w:szCs w:val="20"/>
        </w:rPr>
        <w:t>vidence and data</w:t>
      </w:r>
      <w:r>
        <w:rPr>
          <w:rFonts w:ascii="Arial" w:eastAsia="Times New Roman" w:hAnsi="Arial" w:cs="Times New Roman"/>
          <w:sz w:val="20"/>
          <w:szCs w:val="20"/>
        </w:rPr>
        <w:t xml:space="preserve"> to support the UK City of Culture bidding process</w:t>
      </w:r>
    </w:p>
    <w:p w:rsidR="00E9057B" w:rsidRPr="00E9057B" w:rsidRDefault="00E9057B" w:rsidP="00E9057B">
      <w:pPr>
        <w:pStyle w:val="ListParagraph"/>
        <w:numPr>
          <w:ilvl w:val="0"/>
          <w:numId w:val="5"/>
        </w:numPr>
        <w:rPr>
          <w:rFonts w:ascii="Arial" w:eastAsia="Times New Roman" w:hAnsi="Arial" w:cs="Times New Roman"/>
          <w:sz w:val="20"/>
          <w:szCs w:val="20"/>
        </w:rPr>
      </w:pPr>
      <w:r w:rsidRPr="00E9057B">
        <w:rPr>
          <w:rFonts w:ascii="Arial" w:eastAsia="Times New Roman" w:hAnsi="Arial" w:cs="Times New Roman"/>
          <w:sz w:val="20"/>
          <w:szCs w:val="20"/>
        </w:rPr>
        <w:t>Performance data analysis</w:t>
      </w:r>
    </w:p>
    <w:p w:rsidR="0085109E" w:rsidRPr="0085109E" w:rsidRDefault="00F20F9C" w:rsidP="0085109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Develop new resources to be include within the Stoke-on-Trent Joint Strategic Needs Assessment</w:t>
      </w:r>
    </w:p>
    <w:p w:rsidR="0085109E" w:rsidRPr="0085109E" w:rsidRDefault="0085109E" w:rsidP="0085109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85109E">
        <w:rPr>
          <w:rFonts w:ascii="Arial" w:eastAsia="Times New Roman" w:hAnsi="Arial" w:cs="Times New Roman"/>
          <w:sz w:val="20"/>
          <w:szCs w:val="20"/>
        </w:rPr>
        <w:t>Contribute to</w:t>
      </w:r>
      <w:r w:rsidR="00F20F9C">
        <w:rPr>
          <w:rFonts w:ascii="Arial" w:eastAsia="Times New Roman" w:hAnsi="Arial" w:cs="Times New Roman"/>
          <w:sz w:val="20"/>
          <w:szCs w:val="20"/>
        </w:rPr>
        <w:t xml:space="preserve"> the Director of Public Health’s Annual Report</w:t>
      </w:r>
    </w:p>
    <w:p w:rsidR="00DC0A62" w:rsidRDefault="00DC0A62" w:rsidP="00DC0A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DC0A62" w:rsidRPr="00DC0A62" w:rsidRDefault="00DC0A62" w:rsidP="00DC0A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DC0A62">
        <w:rPr>
          <w:rFonts w:ascii="Arial" w:eastAsia="Times New Roman" w:hAnsi="Arial" w:cs="Times New Roman"/>
          <w:b/>
          <w:sz w:val="20"/>
          <w:szCs w:val="20"/>
        </w:rPr>
        <w:t>Knowledge, understanding and application</w:t>
      </w:r>
    </w:p>
    <w:p w:rsidR="00DC0A62" w:rsidRDefault="00DC0A62" w:rsidP="00DC0A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The successful </w:t>
      </w:r>
      <w:r w:rsidR="00F20F9C">
        <w:rPr>
          <w:rFonts w:ascii="Arial" w:eastAsia="Times New Roman" w:hAnsi="Arial" w:cs="Times New Roman"/>
          <w:sz w:val="20"/>
          <w:szCs w:val="20"/>
        </w:rPr>
        <w:t>individual must be able to demonstrate:</w:t>
      </w:r>
    </w:p>
    <w:p w:rsidR="00F20F9C" w:rsidRPr="00F20F9C" w:rsidRDefault="00F20F9C" w:rsidP="00F20F9C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A range of Public H</w:t>
      </w:r>
      <w:r w:rsidRPr="00F20F9C">
        <w:rPr>
          <w:rFonts w:ascii="Arial" w:eastAsia="Times New Roman" w:hAnsi="Arial" w:cs="Times New Roman"/>
          <w:sz w:val="20"/>
          <w:szCs w:val="20"/>
        </w:rPr>
        <w:t>ealth skills and experience</w:t>
      </w:r>
      <w:r>
        <w:rPr>
          <w:rFonts w:ascii="Arial" w:eastAsia="Times New Roman" w:hAnsi="Arial" w:cs="Times New Roman"/>
          <w:sz w:val="20"/>
          <w:szCs w:val="20"/>
        </w:rPr>
        <w:t xml:space="preserve"> gained over a minimum of five years</w:t>
      </w:r>
    </w:p>
    <w:p w:rsidR="00E9057B" w:rsidRPr="00E9057B" w:rsidRDefault="00F20F9C" w:rsidP="00E9057B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 w:rsidRPr="00E9057B">
        <w:rPr>
          <w:rFonts w:ascii="Arial" w:eastAsia="Times New Roman" w:hAnsi="Arial" w:cs="Times New Roman"/>
          <w:sz w:val="20"/>
          <w:szCs w:val="20"/>
        </w:rPr>
        <w:t>Knowledge and interest in cultural activities</w:t>
      </w:r>
      <w:r w:rsidR="00E9057B" w:rsidRPr="00E9057B">
        <w:t xml:space="preserve"> </w:t>
      </w:r>
    </w:p>
    <w:p w:rsidR="00E9057B" w:rsidRDefault="00E9057B" w:rsidP="00E9057B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 w:rsidRPr="00E9057B">
        <w:rPr>
          <w:rFonts w:ascii="Arial" w:eastAsia="Times New Roman" w:hAnsi="Arial" w:cs="Times New Roman"/>
          <w:sz w:val="20"/>
          <w:szCs w:val="20"/>
        </w:rPr>
        <w:t>Excellent report writing skills</w:t>
      </w:r>
    </w:p>
    <w:p w:rsidR="00E9057B" w:rsidRPr="00E9057B" w:rsidRDefault="00E9057B" w:rsidP="00E9057B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Proven a</w:t>
      </w:r>
      <w:r w:rsidR="006544E5">
        <w:rPr>
          <w:rFonts w:ascii="Arial" w:eastAsia="Times New Roman" w:hAnsi="Arial" w:cs="Times New Roman"/>
          <w:sz w:val="20"/>
          <w:szCs w:val="20"/>
        </w:rPr>
        <w:t xml:space="preserve">bility in supporting </w:t>
      </w:r>
      <w:r>
        <w:rPr>
          <w:rFonts w:ascii="Arial" w:eastAsia="Times New Roman" w:hAnsi="Arial" w:cs="Times New Roman"/>
          <w:sz w:val="20"/>
          <w:szCs w:val="20"/>
        </w:rPr>
        <w:t>bid</w:t>
      </w:r>
      <w:r w:rsidR="006544E5">
        <w:rPr>
          <w:rFonts w:ascii="Arial" w:eastAsia="Times New Roman" w:hAnsi="Arial" w:cs="Times New Roman"/>
          <w:sz w:val="20"/>
          <w:szCs w:val="20"/>
        </w:rPr>
        <w:t>s</w:t>
      </w:r>
    </w:p>
    <w:bookmarkEnd w:id="0"/>
    <w:p w:rsidR="0085109E" w:rsidRPr="00E9057B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E9057B">
        <w:rPr>
          <w:rFonts w:ascii="Arial" w:eastAsia="Times New Roman" w:hAnsi="Arial" w:cs="Times New Roman"/>
          <w:b/>
          <w:sz w:val="20"/>
          <w:szCs w:val="20"/>
        </w:rPr>
        <w:t>Duration of contract</w:t>
      </w:r>
    </w:p>
    <w:p w:rsidR="00890C6F" w:rsidRDefault="001A4ADD" w:rsidP="00E905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The contract will require an immediate start with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12188">
        <w:rPr>
          <w:rFonts w:ascii="Arial" w:eastAsia="Times New Roman" w:hAnsi="Arial" w:cs="Times New Roman"/>
          <w:sz w:val="20"/>
          <w:szCs w:val="20"/>
        </w:rPr>
        <w:t xml:space="preserve">up to 50 days </w:t>
      </w:r>
      <w:r>
        <w:rPr>
          <w:rFonts w:ascii="Arial" w:eastAsia="Times New Roman" w:hAnsi="Arial" w:cs="Times New Roman"/>
          <w:sz w:val="20"/>
          <w:szCs w:val="20"/>
        </w:rPr>
        <w:t xml:space="preserve">support provided 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during the </w:t>
      </w:r>
      <w:r w:rsidR="00F20F9C">
        <w:rPr>
          <w:rFonts w:ascii="Arial" w:eastAsia="Times New Roman" w:hAnsi="Arial" w:cs="Times New Roman"/>
          <w:sz w:val="20"/>
          <w:szCs w:val="20"/>
        </w:rPr>
        <w:t>bidding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 process</w:t>
      </w:r>
      <w:r w:rsidR="00E9057B">
        <w:rPr>
          <w:rFonts w:ascii="Arial" w:eastAsia="Times New Roman" w:hAnsi="Arial" w:cs="Times New Roman"/>
          <w:sz w:val="20"/>
          <w:szCs w:val="20"/>
        </w:rPr>
        <w:t>, estimated at two</w:t>
      </w:r>
      <w:r w:rsidR="0085109E" w:rsidRPr="0085109E">
        <w:rPr>
          <w:rFonts w:ascii="Arial" w:eastAsia="Times New Roman" w:hAnsi="Arial" w:cs="Times New Roman"/>
          <w:sz w:val="20"/>
          <w:szCs w:val="20"/>
        </w:rPr>
        <w:t xml:space="preserve"> days per week</w:t>
      </w:r>
      <w:r w:rsidR="00E9057B">
        <w:rPr>
          <w:rFonts w:ascii="Arial" w:eastAsia="Times New Roman" w:hAnsi="Arial" w:cs="Times New Roman"/>
          <w:sz w:val="20"/>
          <w:szCs w:val="20"/>
        </w:rPr>
        <w:t xml:space="preserve">.  </w:t>
      </w:r>
    </w:p>
    <w:p w:rsidR="00F20F9C" w:rsidRDefault="00F20F9C" w:rsidP="008510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85109E" w:rsidRP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85109E">
        <w:rPr>
          <w:rFonts w:ascii="Arial" w:eastAsia="Times New Roman" w:hAnsi="Arial" w:cs="Times New Roman"/>
          <w:b/>
          <w:sz w:val="20"/>
          <w:szCs w:val="20"/>
        </w:rPr>
        <w:t>Maximum value of contract</w:t>
      </w:r>
    </w:p>
    <w:p w:rsid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Up to £2</w:t>
      </w:r>
      <w:r w:rsidR="00612188">
        <w:rPr>
          <w:rFonts w:ascii="Arial" w:eastAsia="Times New Roman" w:hAnsi="Arial" w:cs="Times New Roman"/>
          <w:sz w:val="20"/>
          <w:szCs w:val="20"/>
        </w:rPr>
        <w:t>5</w:t>
      </w:r>
      <w:r>
        <w:rPr>
          <w:rFonts w:ascii="Arial" w:eastAsia="Times New Roman" w:hAnsi="Arial" w:cs="Times New Roman"/>
          <w:sz w:val="20"/>
          <w:szCs w:val="20"/>
        </w:rPr>
        <w:t>,000</w:t>
      </w:r>
      <w:r w:rsidR="00F20F9C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A4ADD">
        <w:rPr>
          <w:rFonts w:ascii="Arial" w:eastAsia="Times New Roman" w:hAnsi="Arial" w:cs="Times New Roman"/>
          <w:sz w:val="20"/>
          <w:szCs w:val="20"/>
        </w:rPr>
        <w:t xml:space="preserve">for </w:t>
      </w:r>
      <w:r w:rsidR="00612188">
        <w:rPr>
          <w:rFonts w:ascii="Arial" w:eastAsia="Times New Roman" w:hAnsi="Arial" w:cs="Times New Roman"/>
          <w:sz w:val="20"/>
          <w:szCs w:val="20"/>
        </w:rPr>
        <w:t xml:space="preserve">50 </w:t>
      </w:r>
      <w:r w:rsidR="001A4ADD">
        <w:rPr>
          <w:rFonts w:ascii="Arial" w:eastAsia="Times New Roman" w:hAnsi="Arial" w:cs="Times New Roman"/>
          <w:sz w:val="20"/>
          <w:szCs w:val="20"/>
        </w:rPr>
        <w:t xml:space="preserve">days support </w:t>
      </w:r>
      <w:r w:rsidR="00F20F9C">
        <w:rPr>
          <w:rFonts w:ascii="Arial" w:eastAsia="Times New Roman" w:hAnsi="Arial" w:cs="Times New Roman"/>
          <w:sz w:val="20"/>
          <w:szCs w:val="20"/>
        </w:rPr>
        <w:t>(excluding VAT)</w:t>
      </w:r>
    </w:p>
    <w:p w:rsid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85109E" w:rsidRP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85109E">
        <w:rPr>
          <w:rFonts w:ascii="Arial" w:eastAsia="Times New Roman" w:hAnsi="Arial" w:cs="Times New Roman"/>
          <w:b/>
          <w:sz w:val="20"/>
          <w:szCs w:val="20"/>
        </w:rPr>
        <w:t>Payment terms</w:t>
      </w:r>
    </w:p>
    <w:p w:rsidR="00E9057B" w:rsidRDefault="001A4ADD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An</w:t>
      </w:r>
      <w:r w:rsidR="0085109E">
        <w:rPr>
          <w:rFonts w:ascii="Arial" w:eastAsia="Times New Roman" w:hAnsi="Arial" w:cs="Times New Roman"/>
          <w:sz w:val="20"/>
          <w:szCs w:val="20"/>
        </w:rPr>
        <w:t xml:space="preserve"> invoice to be submitted to the City Council </w:t>
      </w:r>
      <w:r>
        <w:rPr>
          <w:rFonts w:ascii="Arial" w:eastAsia="Times New Roman" w:hAnsi="Arial" w:cs="Times New Roman"/>
          <w:sz w:val="20"/>
          <w:szCs w:val="20"/>
        </w:rPr>
        <w:t>one month</w:t>
      </w:r>
      <w:r w:rsidR="0085109E">
        <w:rPr>
          <w:rFonts w:ascii="Arial" w:eastAsia="Times New Roman" w:hAnsi="Arial" w:cs="Times New Roman"/>
          <w:sz w:val="20"/>
          <w:szCs w:val="20"/>
        </w:rPr>
        <w:t xml:space="preserve"> in arrears for the total number of days worked in the previous calendar month</w:t>
      </w:r>
    </w:p>
    <w:p w:rsidR="0026638D" w:rsidRDefault="0026638D" w:rsidP="0026638D">
      <w:pPr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26638D" w:rsidP="0026638D">
      <w:pPr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b/>
          <w:sz w:val="20"/>
          <w:szCs w:val="20"/>
        </w:rPr>
        <w:t>Implementation timetable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Tender closing date</w:t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>1</w:t>
      </w:r>
      <w:r w:rsidR="006544E5">
        <w:rPr>
          <w:rFonts w:ascii="Arial" w:eastAsia="Times New Roman" w:hAnsi="Arial" w:cs="Times New Roman"/>
          <w:sz w:val="20"/>
          <w:szCs w:val="20"/>
        </w:rPr>
        <w:t>6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February 2017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C1883">
        <w:rPr>
          <w:rFonts w:ascii="Arial" w:eastAsia="Times New Roman" w:hAnsi="Arial" w:cs="Times New Roman"/>
          <w:sz w:val="20"/>
          <w:szCs w:val="20"/>
        </w:rPr>
        <w:t>at 10am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Contract award date (planned)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  <w:t>22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February 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2017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Start date (planned)</w:t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>27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February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2017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Contract end date </w:t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>TBC</w:t>
      </w: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26638D" w:rsidRDefault="0026638D">
      <w:pPr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br w:type="page"/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26638D">
        <w:rPr>
          <w:rFonts w:ascii="Arial" w:eastAsia="Times New Roman" w:hAnsi="Arial" w:cs="Times New Roman"/>
          <w:b/>
          <w:sz w:val="20"/>
          <w:szCs w:val="20"/>
        </w:rPr>
        <w:lastRenderedPageBreak/>
        <w:t>Submissions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All interested individuals wishing to apply for this contract must send a submission to </w:t>
      </w:r>
      <w:hyperlink r:id="rId8" w:history="1">
        <w:r w:rsidR="0074526E" w:rsidRPr="00491C44">
          <w:rPr>
            <w:rStyle w:val="Hyperlink"/>
            <w:rFonts w:ascii="Arial" w:eastAsia="Times New Roman" w:hAnsi="Arial" w:cs="Times New Roman"/>
            <w:sz w:val="20"/>
            <w:szCs w:val="20"/>
          </w:rPr>
          <w:t>louise.eltringham@stoke.gov.uk</w:t>
        </w:r>
      </w:hyperlink>
      <w:r w:rsidR="0074526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by </w:t>
      </w:r>
      <w:r>
        <w:rPr>
          <w:rFonts w:ascii="Arial" w:eastAsia="Times New Roman" w:hAnsi="Arial" w:cs="Times New Roman"/>
          <w:sz w:val="20"/>
          <w:szCs w:val="20"/>
        </w:rPr>
        <w:t>10:00 1</w:t>
      </w:r>
      <w:r w:rsidR="006544E5">
        <w:rPr>
          <w:rFonts w:ascii="Arial" w:eastAsia="Times New Roman" w:hAnsi="Arial" w:cs="Times New Roman"/>
          <w:sz w:val="20"/>
          <w:szCs w:val="20"/>
        </w:rPr>
        <w:t>6</w:t>
      </w:r>
      <w:r w:rsidRPr="0026638D">
        <w:rPr>
          <w:rFonts w:ascii="Arial" w:eastAsia="Times New Roman" w:hAnsi="Arial" w:cs="Times New Roman"/>
          <w:sz w:val="20"/>
          <w:szCs w:val="20"/>
          <w:vertAlign w:val="superscript"/>
        </w:rPr>
        <w:t>th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February 2017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which meets the requirements set out </w:t>
      </w:r>
      <w:r w:rsidR="001A4ADD">
        <w:rPr>
          <w:rFonts w:ascii="Arial" w:eastAsia="Times New Roman" w:hAnsi="Arial" w:cs="Times New Roman"/>
          <w:sz w:val="20"/>
          <w:szCs w:val="20"/>
        </w:rPr>
        <w:t>below</w:t>
      </w:r>
      <w:r w:rsidRPr="0026638D">
        <w:rPr>
          <w:rFonts w:ascii="Arial" w:eastAsia="Times New Roman" w:hAnsi="Arial" w:cs="Times New Roman"/>
          <w:sz w:val="20"/>
          <w:szCs w:val="20"/>
        </w:rPr>
        <w:t>. If you have any questions about the content</w:t>
      </w:r>
      <w:r w:rsidR="001A4ADD">
        <w:rPr>
          <w:rFonts w:ascii="Arial" w:eastAsia="Times New Roman" w:hAnsi="Arial" w:cs="Times New Roman"/>
          <w:sz w:val="20"/>
          <w:szCs w:val="20"/>
        </w:rPr>
        <w:t xml:space="preserve"> of this service specification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or the requirements of the submission section email </w:t>
      </w:r>
      <w:hyperlink r:id="rId9" w:history="1">
        <w:r w:rsidR="0074526E" w:rsidRPr="00491C44">
          <w:rPr>
            <w:rStyle w:val="Hyperlink"/>
            <w:rFonts w:ascii="Arial" w:eastAsia="Times New Roman" w:hAnsi="Arial" w:cs="Times New Roman"/>
            <w:sz w:val="20"/>
            <w:szCs w:val="20"/>
          </w:rPr>
          <w:t>alistair.fisher@stoke.gov.uk</w:t>
        </w:r>
      </w:hyperlink>
    </w:p>
    <w:p w:rsidR="001A4ADD" w:rsidRPr="0026638D" w:rsidRDefault="001A4AD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A contract will be awarded to the successful provider using the following three criteria weighted as shown below: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26638D" w:rsidP="0026638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Price (250 marks)</w:t>
      </w:r>
    </w:p>
    <w:p w:rsidR="0026638D" w:rsidRDefault="0026638D" w:rsidP="0026638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Quality (750 marks)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Default="00612188" w:rsidP="007C79C3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7C79C3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="0026638D" w:rsidRPr="007C79C3">
        <w:rPr>
          <w:rFonts w:ascii="Arial" w:eastAsia="Times New Roman" w:hAnsi="Arial" w:cs="Times New Roman"/>
          <w:b/>
          <w:sz w:val="20"/>
          <w:szCs w:val="20"/>
        </w:rPr>
        <w:t>Price</w:t>
      </w:r>
    </w:p>
    <w:p w:rsidR="007C79C3" w:rsidRPr="007C79C3" w:rsidRDefault="007C79C3" w:rsidP="007C79C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26638D" w:rsidRPr="00F60DD9" w:rsidRDefault="0026638D" w:rsidP="00F60DD9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F60DD9">
        <w:rPr>
          <w:rFonts w:ascii="Arial" w:eastAsia="Times New Roman" w:hAnsi="Arial" w:cs="Times New Roman"/>
          <w:b/>
          <w:sz w:val="20"/>
          <w:szCs w:val="20"/>
        </w:rPr>
        <w:t xml:space="preserve">Cost </w:t>
      </w: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Provide a </w:t>
      </w:r>
      <w:r>
        <w:rPr>
          <w:rFonts w:ascii="Arial" w:eastAsia="Times New Roman" w:hAnsi="Arial" w:cs="Times New Roman"/>
          <w:sz w:val="20"/>
          <w:szCs w:val="20"/>
        </w:rPr>
        <w:t>day rate cost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for delivering the act</w:t>
      </w:r>
      <w:r>
        <w:rPr>
          <w:rFonts w:ascii="Arial" w:eastAsia="Times New Roman" w:hAnsi="Arial" w:cs="Times New Roman"/>
          <w:sz w:val="20"/>
          <w:szCs w:val="20"/>
        </w:rPr>
        <w:t xml:space="preserve">ivity outlined in </w:t>
      </w:r>
      <w:r w:rsidR="001A4ADD">
        <w:rPr>
          <w:rFonts w:ascii="Arial" w:eastAsia="Times New Roman" w:hAnsi="Arial" w:cs="Times New Roman"/>
          <w:sz w:val="20"/>
          <w:szCs w:val="20"/>
        </w:rPr>
        <w:t>the service specification</w:t>
      </w:r>
      <w:r>
        <w:rPr>
          <w:rFonts w:ascii="Arial" w:eastAsia="Times New Roman" w:hAnsi="Arial" w:cs="Times New Roman"/>
          <w:sz w:val="20"/>
          <w:szCs w:val="20"/>
        </w:rPr>
        <w:t xml:space="preserve">. 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The total price provided should include all disbursements and costs but be exclusive of VAT. </w:t>
      </w: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C1204F" w:rsidRDefault="00C1204F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The quotation pricing shall be fixed for the duration of the contract. </w:t>
      </w:r>
      <w:r>
        <w:rPr>
          <w:rFonts w:ascii="Arial" w:eastAsia="Times New Roman" w:hAnsi="Arial" w:cs="Times New Roman"/>
          <w:sz w:val="20"/>
          <w:szCs w:val="20"/>
        </w:rPr>
        <w:t xml:space="preserve">A day rate which totals </w:t>
      </w:r>
      <w:r w:rsidRPr="0026638D">
        <w:rPr>
          <w:rFonts w:ascii="Arial" w:eastAsia="Times New Roman" w:hAnsi="Arial" w:cs="Times New Roman"/>
          <w:sz w:val="20"/>
          <w:szCs w:val="20"/>
        </w:rPr>
        <w:t>over £</w:t>
      </w:r>
      <w:r>
        <w:rPr>
          <w:rFonts w:ascii="Arial" w:eastAsia="Times New Roman" w:hAnsi="Arial" w:cs="Times New Roman"/>
          <w:sz w:val="20"/>
          <w:szCs w:val="20"/>
        </w:rPr>
        <w:t>2</w:t>
      </w:r>
      <w:r w:rsidR="00612188">
        <w:rPr>
          <w:rFonts w:ascii="Arial" w:eastAsia="Times New Roman" w:hAnsi="Arial" w:cs="Times New Roman"/>
          <w:sz w:val="20"/>
          <w:szCs w:val="20"/>
        </w:rPr>
        <w:t>5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,000 </w:t>
      </w:r>
      <w:r>
        <w:rPr>
          <w:rFonts w:ascii="Arial" w:eastAsia="Times New Roman" w:hAnsi="Arial" w:cs="Times New Roman"/>
          <w:sz w:val="20"/>
          <w:szCs w:val="20"/>
        </w:rPr>
        <w:t xml:space="preserve">for </w:t>
      </w:r>
      <w:r w:rsidR="00612188">
        <w:rPr>
          <w:rFonts w:ascii="Arial" w:eastAsia="Times New Roman" w:hAnsi="Arial" w:cs="Times New Roman"/>
          <w:sz w:val="20"/>
          <w:szCs w:val="20"/>
        </w:rPr>
        <w:t xml:space="preserve">50 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days support will not be evaluated.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F60DD9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2</w:t>
      </w:r>
      <w:r w:rsidR="0026638D" w:rsidRPr="0026638D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. </w:t>
      </w:r>
      <w:r w:rsidR="007C79C3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  </w:t>
      </w:r>
      <w:r w:rsidR="0026638D" w:rsidRPr="0026638D">
        <w:rPr>
          <w:rFonts w:ascii="Arial" w:eastAsia="Times New Roman" w:hAnsi="Arial" w:cs="Times New Roman"/>
          <w:b/>
          <w:bCs/>
          <w:iCs/>
          <w:sz w:val="20"/>
          <w:szCs w:val="20"/>
        </w:rPr>
        <w:t>Quality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iCs/>
          <w:sz w:val="20"/>
          <w:szCs w:val="20"/>
        </w:rPr>
      </w:pPr>
    </w:p>
    <w:p w:rsidR="0026638D" w:rsidRPr="0026638D" w:rsidRDefault="0026638D" w:rsidP="0026638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26638D">
        <w:rPr>
          <w:rFonts w:ascii="Arial" w:eastAsia="Times New Roman" w:hAnsi="Arial" w:cs="Times New Roman"/>
          <w:b/>
          <w:sz w:val="20"/>
          <w:szCs w:val="20"/>
        </w:rPr>
        <w:t xml:space="preserve">Quality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Provide evidence, up to 300 words per section, for each of the following t</w:t>
      </w:r>
      <w:r w:rsidR="00612188">
        <w:rPr>
          <w:rFonts w:ascii="Arial" w:eastAsia="Times New Roman" w:hAnsi="Arial" w:cs="Times New Roman"/>
          <w:sz w:val="20"/>
          <w:szCs w:val="20"/>
        </w:rPr>
        <w:t>wo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elements of quality: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465"/>
        <w:gridCol w:w="1688"/>
        <w:gridCol w:w="1839"/>
      </w:tblGrid>
      <w:tr w:rsidR="0026638D" w:rsidRPr="0026638D" w:rsidTr="00E372F8">
        <w:tc>
          <w:tcPr>
            <w:tcW w:w="5465" w:type="dxa"/>
          </w:tcPr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638D">
              <w:rPr>
                <w:rFonts w:ascii="Arial" w:eastAsia="Times New Roman" w:hAnsi="Arial" w:cs="Times New Roman"/>
                <w:b/>
                <w:sz w:val="20"/>
                <w:szCs w:val="20"/>
              </w:rPr>
              <w:t>Evidence</w:t>
            </w:r>
          </w:p>
        </w:tc>
        <w:tc>
          <w:tcPr>
            <w:tcW w:w="1688" w:type="dxa"/>
          </w:tcPr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638D">
              <w:rPr>
                <w:rFonts w:ascii="Arial" w:eastAsia="Times New Roman" w:hAnsi="Arial" w:cs="Times New Roman"/>
                <w:b/>
                <w:sz w:val="20"/>
                <w:szCs w:val="20"/>
              </w:rPr>
              <w:t>Maximum word count</w:t>
            </w:r>
          </w:p>
        </w:tc>
        <w:tc>
          <w:tcPr>
            <w:tcW w:w="1839" w:type="dxa"/>
          </w:tcPr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638D">
              <w:rPr>
                <w:rFonts w:ascii="Arial" w:eastAsia="Times New Roman" w:hAnsi="Arial" w:cs="Times New Roman"/>
                <w:b/>
                <w:sz w:val="20"/>
                <w:szCs w:val="20"/>
              </w:rPr>
              <w:t>Maximum marks available</w:t>
            </w:r>
          </w:p>
        </w:tc>
      </w:tr>
      <w:tr w:rsidR="0026638D" w:rsidRPr="0026638D" w:rsidTr="00E372F8">
        <w:tc>
          <w:tcPr>
            <w:tcW w:w="5465" w:type="dxa"/>
          </w:tcPr>
          <w:p w:rsidR="0026638D" w:rsidRDefault="0026638D" w:rsidP="007505D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6638D">
              <w:rPr>
                <w:rFonts w:ascii="Arial" w:eastAsia="Times New Roman" w:hAnsi="Arial" w:cs="Times New Roman"/>
                <w:sz w:val="20"/>
                <w:szCs w:val="20"/>
              </w:rPr>
              <w:t xml:space="preserve">Provide up to three examples of delivering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specialist support to a Public Health team</w:t>
            </w:r>
            <w:r w:rsidR="005E3E43">
              <w:rPr>
                <w:rFonts w:ascii="Arial" w:eastAsia="Times New Roman" w:hAnsi="Arial" w:cs="Times New Roman"/>
                <w:sz w:val="20"/>
                <w:szCs w:val="20"/>
              </w:rPr>
              <w:t>(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s</w:t>
            </w:r>
            <w:r w:rsidR="005E3E43">
              <w:rPr>
                <w:rFonts w:ascii="Arial" w:eastAsia="Times New Roman" w:hAnsi="Arial" w:cs="Times New Roman"/>
                <w:sz w:val="20"/>
                <w:szCs w:val="20"/>
              </w:rPr>
              <w:t>),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including the contribution and preparation of Director of Public Health annual reports and Joint Strategic Needs Assessment</w:t>
            </w:r>
          </w:p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C79C3" w:rsidRDefault="007C79C3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6638D" w:rsidRPr="0026638D" w:rsidRDefault="008A3C27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</w:t>
            </w:r>
            <w:r w:rsidR="0026638D" w:rsidRPr="0026638D">
              <w:rPr>
                <w:rFonts w:ascii="Arial" w:eastAsia="Times New Roman" w:hAnsi="Arial" w:cs="Times New Roman"/>
                <w:sz w:val="20"/>
                <w:szCs w:val="20"/>
              </w:rPr>
              <w:t>00 words</w:t>
            </w:r>
          </w:p>
        </w:tc>
        <w:tc>
          <w:tcPr>
            <w:tcW w:w="1839" w:type="dxa"/>
          </w:tcPr>
          <w:p w:rsidR="007C79C3" w:rsidRDefault="007C79C3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6638D" w:rsidRPr="0026638D" w:rsidRDefault="008A3C27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30</w:t>
            </w:r>
            <w:r w:rsidR="0026638D" w:rsidRPr="0026638D">
              <w:rPr>
                <w:rFonts w:ascii="Arial" w:eastAsia="Times New Roman" w:hAnsi="Arial" w:cs="Times New Roman"/>
                <w:sz w:val="20"/>
                <w:szCs w:val="20"/>
              </w:rPr>
              <w:t>0</w:t>
            </w:r>
          </w:p>
        </w:tc>
      </w:tr>
      <w:tr w:rsidR="0026638D" w:rsidRPr="0026638D" w:rsidTr="00E372F8">
        <w:tc>
          <w:tcPr>
            <w:tcW w:w="5465" w:type="dxa"/>
          </w:tcPr>
          <w:p w:rsidR="008A3C27" w:rsidRPr="001A4ADD" w:rsidRDefault="008A3C27" w:rsidP="007C79C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1A4ADD">
              <w:rPr>
                <w:rFonts w:ascii="Arial" w:hAnsi="Arial" w:cs="Arial"/>
                <w:sz w:val="20"/>
                <w:szCs w:val="20"/>
              </w:rPr>
              <w:t xml:space="preserve">Describe the processes you will apply </w:t>
            </w:r>
            <w:r w:rsidR="001A4AD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1A4ADD">
              <w:rPr>
                <w:rFonts w:ascii="Arial" w:hAnsi="Arial" w:cs="Arial"/>
                <w:sz w:val="20"/>
                <w:szCs w:val="20"/>
              </w:rPr>
              <w:t xml:space="preserve">support the preparation of a successful bid for the UK City of Culture </w:t>
            </w:r>
            <w:r w:rsidR="005E3E43">
              <w:rPr>
                <w:rFonts w:ascii="Arial" w:hAnsi="Arial" w:cs="Arial"/>
                <w:sz w:val="20"/>
                <w:szCs w:val="20"/>
              </w:rPr>
              <w:t>2021</w:t>
            </w:r>
            <w:r w:rsidRPr="001A4ADD">
              <w:rPr>
                <w:rFonts w:ascii="Arial" w:hAnsi="Arial" w:cs="Arial"/>
                <w:sz w:val="20"/>
                <w:szCs w:val="20"/>
              </w:rPr>
              <w:t>, including;</w:t>
            </w:r>
          </w:p>
          <w:p w:rsidR="008A3C27" w:rsidRPr="001A4ADD" w:rsidRDefault="008A3C27" w:rsidP="001A4AD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A4ADD">
              <w:rPr>
                <w:rFonts w:ascii="Arial" w:hAnsi="Arial" w:cs="Arial"/>
                <w:sz w:val="20"/>
                <w:szCs w:val="20"/>
              </w:rPr>
              <w:t xml:space="preserve">Identification of </w:t>
            </w:r>
            <w:r w:rsidR="0026638D" w:rsidRPr="001A4ADD">
              <w:rPr>
                <w:rFonts w:ascii="Arial" w:hAnsi="Arial" w:cs="Arial"/>
                <w:sz w:val="20"/>
                <w:szCs w:val="20"/>
              </w:rPr>
              <w:t>cultural policy which include links to public health, including food and sport</w:t>
            </w:r>
          </w:p>
          <w:p w:rsidR="008A3C27" w:rsidRPr="001A4ADD" w:rsidRDefault="0026638D" w:rsidP="001A4AD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A4ADD">
              <w:rPr>
                <w:rFonts w:ascii="Arial" w:hAnsi="Arial" w:cs="Arial"/>
                <w:sz w:val="20"/>
                <w:szCs w:val="20"/>
              </w:rPr>
              <w:t>Bring</w:t>
            </w:r>
            <w:r w:rsidR="008A3C27" w:rsidRPr="001A4ADD">
              <w:rPr>
                <w:rFonts w:ascii="Arial" w:hAnsi="Arial" w:cs="Arial"/>
                <w:sz w:val="20"/>
                <w:szCs w:val="20"/>
              </w:rPr>
              <w:t>ing</w:t>
            </w:r>
            <w:r w:rsidRPr="001A4ADD">
              <w:rPr>
                <w:rFonts w:ascii="Arial" w:hAnsi="Arial" w:cs="Arial"/>
                <w:sz w:val="20"/>
                <w:szCs w:val="20"/>
              </w:rPr>
              <w:t xml:space="preserve"> forward </w:t>
            </w:r>
            <w:r w:rsidR="005E3E43">
              <w:rPr>
                <w:rFonts w:ascii="Arial" w:hAnsi="Arial" w:cs="Arial"/>
                <w:sz w:val="20"/>
                <w:szCs w:val="20"/>
              </w:rPr>
              <w:t xml:space="preserve">and presenting </w:t>
            </w:r>
            <w:r w:rsidRPr="001A4ADD">
              <w:rPr>
                <w:rFonts w:ascii="Arial" w:hAnsi="Arial" w:cs="Arial"/>
                <w:sz w:val="20"/>
                <w:szCs w:val="20"/>
              </w:rPr>
              <w:t>evidence and data to support the bidding process</w:t>
            </w:r>
          </w:p>
          <w:p w:rsidR="0026638D" w:rsidRPr="001A4ADD" w:rsidRDefault="0026638D" w:rsidP="001A4AD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A4ADD">
              <w:rPr>
                <w:rFonts w:ascii="Arial" w:hAnsi="Arial" w:cs="Arial"/>
                <w:sz w:val="20"/>
                <w:szCs w:val="20"/>
              </w:rPr>
              <w:t>Performance data analysis</w:t>
            </w:r>
          </w:p>
          <w:p w:rsidR="008A3C27" w:rsidRPr="001A4ADD" w:rsidRDefault="008A3C27" w:rsidP="008A3C27">
            <w:pPr>
              <w:pStyle w:val="ListParagraph"/>
              <w:overflowPunct w:val="0"/>
              <w:autoSpaceDE w:val="0"/>
              <w:autoSpaceDN w:val="0"/>
              <w:adjustRightInd w:val="0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:rsidR="0026638D" w:rsidRPr="0026638D" w:rsidRDefault="007A5EF8" w:rsidP="007A5EF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50</w:t>
            </w:r>
            <w:r w:rsidR="0026638D" w:rsidRPr="0026638D">
              <w:rPr>
                <w:rFonts w:ascii="Arial" w:eastAsia="Times New Roman" w:hAnsi="Arial" w:cs="Times New Roman"/>
                <w:sz w:val="20"/>
                <w:szCs w:val="20"/>
              </w:rPr>
              <w:t>0 words</w:t>
            </w:r>
          </w:p>
        </w:tc>
        <w:tc>
          <w:tcPr>
            <w:tcW w:w="1839" w:type="dxa"/>
          </w:tcPr>
          <w:p w:rsidR="0026638D" w:rsidRPr="0026638D" w:rsidRDefault="008A3C27" w:rsidP="008A3C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450</w:t>
            </w:r>
          </w:p>
        </w:tc>
      </w:tr>
    </w:tbl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Scoring Rationale        Responses will be evaluated and scored using the following:       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i/>
          <w:iCs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Score 0 - if no information is provided</w:t>
      </w:r>
      <w:r w:rsidRPr="0026638D">
        <w:rPr>
          <w:rFonts w:ascii="Arial" w:eastAsia="Times New Roman" w:hAnsi="Arial" w:cs="Times New Roman"/>
          <w:i/>
          <w:iCs/>
          <w:sz w:val="20"/>
          <w:szCs w:val="20"/>
        </w:rPr>
        <w:t xml:space="preserve">.      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Score 1 - If answer provided is poor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Score 2 - If answer provided is not comprehensive and below average    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Score 3 - If some requirements are met and response is average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Score 4 - If most requirements are met and response provided is good   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Score 5 - if all requirements are met and response provided is excellent</w:t>
      </w: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26638D">
        <w:rPr>
          <w:rFonts w:ascii="Arial" w:eastAsia="Times New Roman" w:hAnsi="Arial" w:cs="Times New Roman"/>
          <w:b/>
          <w:sz w:val="20"/>
          <w:szCs w:val="20"/>
        </w:rPr>
        <w:t>Deadline for submissions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Proposals are to be submitted by</w:t>
      </w:r>
      <w:r>
        <w:rPr>
          <w:rFonts w:ascii="Arial" w:eastAsia="Times New Roman" w:hAnsi="Arial" w:cs="Times New Roman"/>
          <w:sz w:val="20"/>
          <w:szCs w:val="20"/>
        </w:rPr>
        <w:t xml:space="preserve"> 10:00 1</w:t>
      </w:r>
      <w:r w:rsidR="006544E5">
        <w:rPr>
          <w:rFonts w:ascii="Arial" w:eastAsia="Times New Roman" w:hAnsi="Arial" w:cs="Times New Roman"/>
          <w:sz w:val="20"/>
          <w:szCs w:val="20"/>
        </w:rPr>
        <w:t>6</w:t>
      </w:r>
      <w:r w:rsidRPr="0026638D">
        <w:rPr>
          <w:rFonts w:ascii="Arial" w:eastAsia="Times New Roman" w:hAnsi="Arial" w:cs="Times New Roman"/>
          <w:sz w:val="20"/>
          <w:szCs w:val="20"/>
          <w:vertAlign w:val="superscript"/>
        </w:rPr>
        <w:t>th</w:t>
      </w:r>
      <w:r>
        <w:rPr>
          <w:rFonts w:ascii="Arial" w:eastAsia="Times New Roman" w:hAnsi="Arial" w:cs="Times New Roman"/>
          <w:sz w:val="20"/>
          <w:szCs w:val="20"/>
        </w:rPr>
        <w:t xml:space="preserve"> February 2017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, via e- mail FAO: </w:t>
      </w:r>
      <w:r w:rsidR="0074526E">
        <w:rPr>
          <w:rFonts w:ascii="Arial" w:eastAsia="Times New Roman" w:hAnsi="Arial" w:cs="Times New Roman"/>
          <w:sz w:val="20"/>
          <w:szCs w:val="20"/>
        </w:rPr>
        <w:t xml:space="preserve">Louise Eltringham </w:t>
      </w:r>
      <w:r w:rsidR="00F60DD9">
        <w:rPr>
          <w:rFonts w:ascii="Arial" w:eastAsia="Times New Roman" w:hAnsi="Arial" w:cs="Times New Roman"/>
          <w:sz w:val="20"/>
          <w:szCs w:val="20"/>
        </w:rPr>
        <w:t xml:space="preserve">at </w:t>
      </w:r>
      <w:hyperlink r:id="rId10" w:history="1">
        <w:r w:rsidR="0074526E" w:rsidRPr="00491C44">
          <w:rPr>
            <w:rStyle w:val="Hyperlink"/>
            <w:rFonts w:ascii="Arial" w:eastAsia="Times New Roman" w:hAnsi="Arial" w:cs="Times New Roman"/>
            <w:sz w:val="20"/>
            <w:szCs w:val="20"/>
          </w:rPr>
          <w:t>louise.eltringham@stoke.gov.uk</w:t>
        </w:r>
      </w:hyperlink>
      <w:r w:rsidR="0074526E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B12F7B" w:rsidRDefault="00B12F7B"/>
    <w:sectPr w:rsidR="00B12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A3" w:rsidRDefault="007215A3" w:rsidP="004D4A0C">
      <w:pPr>
        <w:spacing w:after="0" w:line="240" w:lineRule="auto"/>
      </w:pPr>
      <w:r>
        <w:separator/>
      </w:r>
    </w:p>
  </w:endnote>
  <w:endnote w:type="continuationSeparator" w:id="0">
    <w:p w:rsidR="007215A3" w:rsidRDefault="007215A3" w:rsidP="004D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A3" w:rsidRDefault="007215A3" w:rsidP="004D4A0C">
      <w:pPr>
        <w:spacing w:after="0" w:line="240" w:lineRule="auto"/>
      </w:pPr>
      <w:r>
        <w:separator/>
      </w:r>
    </w:p>
  </w:footnote>
  <w:footnote w:type="continuationSeparator" w:id="0">
    <w:p w:rsidR="007215A3" w:rsidRDefault="007215A3" w:rsidP="004D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D5A"/>
    <w:multiLevelType w:val="hybridMultilevel"/>
    <w:tmpl w:val="19D66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62FF"/>
    <w:multiLevelType w:val="hybridMultilevel"/>
    <w:tmpl w:val="5DAE3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A67BC"/>
    <w:multiLevelType w:val="hybridMultilevel"/>
    <w:tmpl w:val="B646288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FA3024"/>
    <w:multiLevelType w:val="hybridMultilevel"/>
    <w:tmpl w:val="0C94F8EE"/>
    <w:lvl w:ilvl="0" w:tplc="6C848D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80E87"/>
    <w:multiLevelType w:val="hybridMultilevel"/>
    <w:tmpl w:val="6F28DAFE"/>
    <w:lvl w:ilvl="0" w:tplc="D83CFF3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67F176A"/>
    <w:multiLevelType w:val="hybridMultilevel"/>
    <w:tmpl w:val="ABD486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0F1483"/>
    <w:multiLevelType w:val="hybridMultilevel"/>
    <w:tmpl w:val="8D986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B72A4"/>
    <w:multiLevelType w:val="hybridMultilevel"/>
    <w:tmpl w:val="91E6B738"/>
    <w:lvl w:ilvl="0" w:tplc="8E886F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123FF"/>
    <w:multiLevelType w:val="hybridMultilevel"/>
    <w:tmpl w:val="44D4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823D1"/>
    <w:multiLevelType w:val="hybridMultilevel"/>
    <w:tmpl w:val="50984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16BD7"/>
    <w:multiLevelType w:val="hybridMultilevel"/>
    <w:tmpl w:val="5E88F29A"/>
    <w:lvl w:ilvl="0" w:tplc="ADBA3C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958A6"/>
    <w:multiLevelType w:val="hybridMultilevel"/>
    <w:tmpl w:val="24C4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C2A07"/>
    <w:multiLevelType w:val="hybridMultilevel"/>
    <w:tmpl w:val="D36C6BA4"/>
    <w:lvl w:ilvl="0" w:tplc="93885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CC6ADA"/>
    <w:multiLevelType w:val="hybridMultilevel"/>
    <w:tmpl w:val="B2444D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795F0C"/>
    <w:multiLevelType w:val="hybridMultilevel"/>
    <w:tmpl w:val="17741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838BB"/>
    <w:multiLevelType w:val="hybridMultilevel"/>
    <w:tmpl w:val="F254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02401"/>
    <w:multiLevelType w:val="hybridMultilevel"/>
    <w:tmpl w:val="50DA1F8C"/>
    <w:lvl w:ilvl="0" w:tplc="9F167E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542713"/>
    <w:multiLevelType w:val="hybridMultilevel"/>
    <w:tmpl w:val="5972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3"/>
  </w:num>
  <w:num w:numId="5">
    <w:abstractNumId w:val="15"/>
  </w:num>
  <w:num w:numId="6">
    <w:abstractNumId w:val="14"/>
  </w:num>
  <w:num w:numId="7">
    <w:abstractNumId w:val="8"/>
  </w:num>
  <w:num w:numId="8">
    <w:abstractNumId w:val="7"/>
  </w:num>
  <w:num w:numId="9">
    <w:abstractNumId w:val="11"/>
  </w:num>
  <w:num w:numId="10">
    <w:abstractNumId w:val="4"/>
  </w:num>
  <w:num w:numId="11">
    <w:abstractNumId w:val="13"/>
  </w:num>
  <w:num w:numId="12">
    <w:abstractNumId w:val="9"/>
  </w:num>
  <w:num w:numId="13">
    <w:abstractNumId w:val="12"/>
  </w:num>
  <w:num w:numId="14">
    <w:abstractNumId w:val="1"/>
  </w:num>
  <w:num w:numId="15">
    <w:abstractNumId w:val="17"/>
  </w:num>
  <w:num w:numId="16">
    <w:abstractNumId w:val="6"/>
  </w:num>
  <w:num w:numId="17">
    <w:abstractNumId w:val="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0C"/>
    <w:rsid w:val="000935C8"/>
    <w:rsid w:val="00166111"/>
    <w:rsid w:val="001A4ADD"/>
    <w:rsid w:val="0026638D"/>
    <w:rsid w:val="002C1883"/>
    <w:rsid w:val="00365C0B"/>
    <w:rsid w:val="003C16CB"/>
    <w:rsid w:val="004D2895"/>
    <w:rsid w:val="004D4A0C"/>
    <w:rsid w:val="00526410"/>
    <w:rsid w:val="0053565B"/>
    <w:rsid w:val="005E3E43"/>
    <w:rsid w:val="00612188"/>
    <w:rsid w:val="00620B90"/>
    <w:rsid w:val="006544E5"/>
    <w:rsid w:val="007215A3"/>
    <w:rsid w:val="0074101D"/>
    <w:rsid w:val="0074526E"/>
    <w:rsid w:val="007505DD"/>
    <w:rsid w:val="007A5EF8"/>
    <w:rsid w:val="007C79C3"/>
    <w:rsid w:val="00803332"/>
    <w:rsid w:val="0085109E"/>
    <w:rsid w:val="00890C6F"/>
    <w:rsid w:val="008A3C27"/>
    <w:rsid w:val="009D5195"/>
    <w:rsid w:val="00A56920"/>
    <w:rsid w:val="00B03129"/>
    <w:rsid w:val="00B12F7B"/>
    <w:rsid w:val="00C1204F"/>
    <w:rsid w:val="00C2157E"/>
    <w:rsid w:val="00CF505E"/>
    <w:rsid w:val="00D9080B"/>
    <w:rsid w:val="00DC0A62"/>
    <w:rsid w:val="00E9057B"/>
    <w:rsid w:val="00F20F9C"/>
    <w:rsid w:val="00F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4A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A0C"/>
    <w:rPr>
      <w:sz w:val="20"/>
      <w:szCs w:val="20"/>
    </w:rPr>
  </w:style>
  <w:style w:type="character" w:styleId="FootnoteReference">
    <w:name w:val="footnote reference"/>
    <w:uiPriority w:val="99"/>
    <w:unhideWhenUsed/>
    <w:rsid w:val="004D4A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4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A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09E"/>
    <w:pPr>
      <w:ind w:left="720"/>
      <w:contextualSpacing/>
    </w:pPr>
  </w:style>
  <w:style w:type="table" w:styleId="TableGrid">
    <w:name w:val="Table Grid"/>
    <w:basedOn w:val="TableNormal"/>
    <w:uiPriority w:val="59"/>
    <w:rsid w:val="0026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3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4A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A0C"/>
    <w:rPr>
      <w:sz w:val="20"/>
      <w:szCs w:val="20"/>
    </w:rPr>
  </w:style>
  <w:style w:type="character" w:styleId="FootnoteReference">
    <w:name w:val="footnote reference"/>
    <w:uiPriority w:val="99"/>
    <w:unhideWhenUsed/>
    <w:rsid w:val="004D4A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4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A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09E"/>
    <w:pPr>
      <w:ind w:left="720"/>
      <w:contextualSpacing/>
    </w:pPr>
  </w:style>
  <w:style w:type="table" w:styleId="TableGrid">
    <w:name w:val="Table Grid"/>
    <w:basedOn w:val="TableNormal"/>
    <w:uiPriority w:val="59"/>
    <w:rsid w:val="0026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eltringham@stoke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uise.eltringham@stok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tair.fisher@stok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Fisher</dc:creator>
  <cp:lastModifiedBy>Admin</cp:lastModifiedBy>
  <cp:revision>2</cp:revision>
  <cp:lastPrinted>2017-02-09T14:41:00Z</cp:lastPrinted>
  <dcterms:created xsi:type="dcterms:W3CDTF">2017-02-09T16:18:00Z</dcterms:created>
  <dcterms:modified xsi:type="dcterms:W3CDTF">2017-02-09T16:18:00Z</dcterms:modified>
</cp:coreProperties>
</file>