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19" w:rsidRDefault="00F31619" w:rsidP="00F31619">
      <w:pPr>
        <w:pStyle w:val="Default"/>
        <w:jc w:val="center"/>
        <w:rPr>
          <w:b/>
          <w:bCs/>
          <w:color w:val="1F497D" w:themeColor="text2"/>
          <w:sz w:val="28"/>
          <w:szCs w:val="28"/>
          <w:u w:val="single"/>
        </w:rPr>
      </w:pPr>
      <w:r>
        <w:rPr>
          <w:b/>
          <w:bCs/>
          <w:color w:val="1F497D" w:themeColor="text2"/>
          <w:sz w:val="28"/>
          <w:szCs w:val="28"/>
          <w:u w:val="single"/>
        </w:rPr>
        <w:t xml:space="preserve">Community </w:t>
      </w:r>
      <w:r w:rsidR="00624BA1">
        <w:rPr>
          <w:b/>
          <w:bCs/>
          <w:color w:val="1F497D" w:themeColor="text2"/>
          <w:sz w:val="28"/>
          <w:szCs w:val="28"/>
          <w:u w:val="single"/>
        </w:rPr>
        <w:t>Ultrasound Service in Oxfordshire</w:t>
      </w:r>
    </w:p>
    <w:p w:rsidR="00F31619" w:rsidRPr="008A31CF" w:rsidRDefault="00C73434" w:rsidP="00F31619">
      <w:pPr>
        <w:pStyle w:val="Default"/>
        <w:jc w:val="center"/>
        <w:rPr>
          <w:b/>
          <w:bCs/>
          <w:color w:val="1F497D" w:themeColor="text2"/>
          <w:sz w:val="28"/>
          <w:szCs w:val="28"/>
          <w:u w:val="single"/>
        </w:rPr>
      </w:pPr>
      <w:r>
        <w:rPr>
          <w:b/>
          <w:bCs/>
          <w:color w:val="1F497D" w:themeColor="text2"/>
          <w:sz w:val="28"/>
          <w:szCs w:val="28"/>
          <w:u w:val="single"/>
        </w:rPr>
        <w:t>Advert</w:t>
      </w:r>
    </w:p>
    <w:p w:rsidR="00F31619" w:rsidRDefault="00F31619" w:rsidP="00F31619">
      <w:pPr>
        <w:pStyle w:val="Default"/>
        <w:tabs>
          <w:tab w:val="left" w:pos="1256"/>
        </w:tabs>
        <w:rPr>
          <w:b/>
          <w:bCs/>
          <w:color w:val="1F497D" w:themeColor="text2"/>
          <w:sz w:val="22"/>
          <w:szCs w:val="28"/>
        </w:rPr>
      </w:pPr>
      <w:r>
        <w:rPr>
          <w:b/>
          <w:bCs/>
          <w:color w:val="1F497D" w:themeColor="text2"/>
          <w:sz w:val="22"/>
          <w:szCs w:val="28"/>
        </w:rPr>
        <w:tab/>
      </w:r>
    </w:p>
    <w:p w:rsidR="00F31619" w:rsidRDefault="00F31619" w:rsidP="00F31619">
      <w:pPr>
        <w:pStyle w:val="Default"/>
        <w:tabs>
          <w:tab w:val="left" w:pos="1256"/>
        </w:tabs>
        <w:rPr>
          <w:b/>
          <w:bCs/>
          <w:color w:val="1F497D" w:themeColor="text2"/>
          <w:sz w:val="22"/>
          <w:szCs w:val="28"/>
        </w:rPr>
      </w:pPr>
    </w:p>
    <w:p w:rsidR="00F31619" w:rsidRDefault="00F31619" w:rsidP="00F31619">
      <w:pPr>
        <w:pStyle w:val="Default"/>
        <w:tabs>
          <w:tab w:val="left" w:pos="1256"/>
        </w:tabs>
        <w:rPr>
          <w:b/>
          <w:bCs/>
          <w:color w:val="1F497D" w:themeColor="text2"/>
          <w:sz w:val="22"/>
          <w:szCs w:val="28"/>
        </w:rPr>
      </w:pPr>
    </w:p>
    <w:p w:rsidR="00F31619" w:rsidRDefault="00F31619" w:rsidP="00F31619">
      <w:pPr>
        <w:pStyle w:val="Default"/>
        <w:rPr>
          <w:b/>
          <w:bCs/>
          <w:color w:val="1F497D" w:themeColor="text2"/>
          <w:sz w:val="22"/>
          <w:szCs w:val="28"/>
        </w:rPr>
      </w:pPr>
      <w:r w:rsidRPr="00243C97">
        <w:rPr>
          <w:b/>
          <w:bCs/>
          <w:color w:val="1F497D" w:themeColor="text2"/>
          <w:sz w:val="22"/>
          <w:szCs w:val="28"/>
        </w:rPr>
        <w:t xml:space="preserve">Background </w:t>
      </w:r>
    </w:p>
    <w:p w:rsidR="00F31619" w:rsidRPr="00DA1860" w:rsidRDefault="00F31619" w:rsidP="00F31619">
      <w:pPr>
        <w:pStyle w:val="Default"/>
        <w:rPr>
          <w:color w:val="1F497D" w:themeColor="text2"/>
          <w:sz w:val="8"/>
          <w:szCs w:val="8"/>
        </w:rPr>
      </w:pPr>
    </w:p>
    <w:p w:rsidR="003A7F57" w:rsidRPr="00480F98" w:rsidRDefault="00F31619" w:rsidP="003A7F57">
      <w:pPr>
        <w:pStyle w:val="ListParagraph"/>
        <w:ind w:left="0"/>
        <w:jc w:val="both"/>
        <w:rPr>
          <w:rFonts w:cs="Arial"/>
          <w:lang w:eastAsia="en-GB"/>
        </w:rPr>
      </w:pPr>
      <w:r w:rsidRPr="00504252">
        <w:rPr>
          <w:rFonts w:cs="Arial"/>
          <w:bCs/>
          <w:szCs w:val="22"/>
          <w:lang w:eastAsia="en-GB"/>
        </w:rPr>
        <w:t>Oxfordshire Clinical Commissioning Group (OCCG) is seeking tender</w:t>
      </w:r>
      <w:r w:rsidR="00C73434">
        <w:rPr>
          <w:rFonts w:cs="Arial"/>
          <w:bCs/>
          <w:szCs w:val="22"/>
          <w:lang w:eastAsia="en-GB"/>
        </w:rPr>
        <w:t>s from interested parties</w:t>
      </w:r>
      <w:r w:rsidRPr="00504252">
        <w:rPr>
          <w:rFonts w:cs="Arial"/>
          <w:bCs/>
          <w:szCs w:val="22"/>
          <w:lang w:eastAsia="en-GB"/>
        </w:rPr>
        <w:t xml:space="preserve"> for </w:t>
      </w:r>
      <w:r w:rsidR="00C73434">
        <w:rPr>
          <w:rFonts w:cs="Arial"/>
          <w:bCs/>
          <w:szCs w:val="22"/>
          <w:lang w:eastAsia="en-GB"/>
        </w:rPr>
        <w:t xml:space="preserve">a </w:t>
      </w:r>
      <w:r w:rsidRPr="00504252">
        <w:rPr>
          <w:rFonts w:cs="Arial"/>
          <w:bCs/>
          <w:szCs w:val="22"/>
          <w:lang w:eastAsia="en-GB"/>
        </w:rPr>
        <w:t xml:space="preserve">community </w:t>
      </w:r>
      <w:r w:rsidR="00624BA1">
        <w:rPr>
          <w:rFonts w:cs="Arial"/>
          <w:bCs/>
          <w:szCs w:val="22"/>
          <w:lang w:eastAsia="en-GB"/>
        </w:rPr>
        <w:t xml:space="preserve">ultrasound </w:t>
      </w:r>
      <w:r w:rsidRPr="00504252">
        <w:rPr>
          <w:rFonts w:cs="Arial"/>
          <w:bCs/>
          <w:szCs w:val="22"/>
          <w:lang w:eastAsia="en-GB"/>
        </w:rPr>
        <w:t>service</w:t>
      </w:r>
      <w:r w:rsidRPr="00504252">
        <w:rPr>
          <w:rFonts w:cs="Arial"/>
          <w:lang w:eastAsia="en-GB"/>
        </w:rPr>
        <w:t>. Th</w:t>
      </w:r>
      <w:r w:rsidR="00C73434">
        <w:rPr>
          <w:rFonts w:cs="Arial"/>
          <w:lang w:eastAsia="en-GB"/>
        </w:rPr>
        <w:t>is</w:t>
      </w:r>
      <w:r w:rsidRPr="00504252">
        <w:rPr>
          <w:rFonts w:cs="Arial"/>
          <w:lang w:eastAsia="en-GB"/>
        </w:rPr>
        <w:t xml:space="preserve"> service </w:t>
      </w:r>
      <w:r w:rsidR="00C73434">
        <w:rPr>
          <w:rFonts w:cs="Arial"/>
          <w:lang w:eastAsia="en-GB"/>
        </w:rPr>
        <w:t xml:space="preserve">is to </w:t>
      </w:r>
      <w:r w:rsidRPr="00504252">
        <w:rPr>
          <w:rFonts w:cs="Arial"/>
          <w:lang w:eastAsia="en-GB"/>
        </w:rPr>
        <w:t>be delivered by a single provider</w:t>
      </w:r>
      <w:r w:rsidR="00C73434">
        <w:rPr>
          <w:rFonts w:cs="Arial"/>
          <w:lang w:eastAsia="en-GB"/>
        </w:rPr>
        <w:t xml:space="preserve"> across multiple locations</w:t>
      </w:r>
      <w:r w:rsidRPr="00504252">
        <w:rPr>
          <w:rFonts w:cs="Arial"/>
          <w:lang w:eastAsia="en-GB"/>
        </w:rPr>
        <w:t xml:space="preserve"> </w:t>
      </w:r>
      <w:r w:rsidR="00C73434">
        <w:rPr>
          <w:rFonts w:cs="Arial"/>
          <w:lang w:eastAsia="en-GB"/>
        </w:rPr>
        <w:t xml:space="preserve">so as to be </w:t>
      </w:r>
      <w:r w:rsidR="00EC0DF2">
        <w:rPr>
          <w:rFonts w:cs="Arial"/>
          <w:lang w:eastAsia="en-GB"/>
        </w:rPr>
        <w:t xml:space="preserve">easily accessible </w:t>
      </w:r>
      <w:r w:rsidR="00EC0DF2" w:rsidRPr="00480F98">
        <w:rPr>
          <w:rFonts w:cs="Arial"/>
          <w:lang w:eastAsia="en-GB"/>
        </w:rPr>
        <w:t>to the whole of Oxfordshire</w:t>
      </w:r>
      <w:r w:rsidRPr="00504252">
        <w:rPr>
          <w:rFonts w:cs="Arial"/>
          <w:lang w:eastAsia="en-GB"/>
        </w:rPr>
        <w:t xml:space="preserve">. </w:t>
      </w:r>
      <w:r w:rsidR="003A7F57" w:rsidRPr="00480F98">
        <w:rPr>
          <w:rFonts w:cs="Arial"/>
          <w:lang w:eastAsia="en-GB"/>
        </w:rPr>
        <w:t xml:space="preserve"> </w:t>
      </w:r>
    </w:p>
    <w:p w:rsidR="003A7F57" w:rsidRDefault="003A7F57" w:rsidP="003A7F57">
      <w:pPr>
        <w:pStyle w:val="ListParagraph"/>
        <w:ind w:left="0"/>
        <w:jc w:val="both"/>
        <w:rPr>
          <w:rFonts w:asciiTheme="minorHAnsi" w:hAnsiTheme="minorHAnsi" w:cs="Arial"/>
          <w:bCs/>
          <w:szCs w:val="22"/>
          <w:lang w:eastAsia="en-GB"/>
        </w:rPr>
      </w:pPr>
    </w:p>
    <w:p w:rsidR="003A7F57" w:rsidRDefault="003A7F57" w:rsidP="003A7F57">
      <w:pPr>
        <w:pStyle w:val="ListParagraph"/>
        <w:ind w:left="0"/>
        <w:jc w:val="both"/>
        <w:rPr>
          <w:rFonts w:cs="Arial"/>
        </w:rPr>
      </w:pPr>
      <w:r w:rsidRPr="00A71D2C">
        <w:rPr>
          <w:rFonts w:cs="Arial"/>
        </w:rPr>
        <w:t>Improving access to</w:t>
      </w:r>
      <w:r>
        <w:rPr>
          <w:rFonts w:cs="Arial"/>
        </w:rPr>
        <w:t xml:space="preserve"> and ensuring greater choice of</w:t>
      </w:r>
      <w:r w:rsidRPr="00A71D2C">
        <w:rPr>
          <w:rFonts w:cs="Arial"/>
        </w:rPr>
        <w:t xml:space="preserve"> diagnostic provider</w:t>
      </w:r>
      <w:r>
        <w:rPr>
          <w:rFonts w:cs="Arial"/>
        </w:rPr>
        <w:t>s</w:t>
      </w:r>
      <w:r w:rsidRPr="00A71D2C">
        <w:rPr>
          <w:rFonts w:cs="Arial"/>
        </w:rPr>
        <w:t xml:space="preserve"> are key deliverables of the 2014-2019 Oxfordshire CCG Strategy. Prompt and accurate diagnosis is a key step in the patient pathway to accessing the right care, first time. </w:t>
      </w:r>
      <w:r>
        <w:rPr>
          <w:rFonts w:cs="Arial"/>
        </w:rPr>
        <w:t xml:space="preserve">Community provision plays an important role in ensuring patients can access services quickly and close to home. </w:t>
      </w:r>
    </w:p>
    <w:p w:rsidR="003A7F57" w:rsidRDefault="003A7F57" w:rsidP="003A7F57">
      <w:pPr>
        <w:pStyle w:val="ListParagraph"/>
        <w:ind w:left="0"/>
        <w:jc w:val="both"/>
        <w:rPr>
          <w:rFonts w:cs="Arial"/>
        </w:rPr>
      </w:pPr>
    </w:p>
    <w:p w:rsidR="003A7F57" w:rsidRPr="00CA6D10" w:rsidRDefault="003A7F57" w:rsidP="003A7F57">
      <w:pPr>
        <w:rPr>
          <w:rFonts w:cs="Arial"/>
          <w:u w:val="single"/>
        </w:rPr>
      </w:pPr>
      <w:r>
        <w:rPr>
          <w:rFonts w:cs="Arial"/>
        </w:rPr>
        <w:t xml:space="preserve">As part of the planned care STP work in Oxfordshire it has been identified that GPs need access to </w:t>
      </w:r>
      <w:r w:rsidR="00C73434">
        <w:rPr>
          <w:rFonts w:cs="Arial"/>
        </w:rPr>
        <w:t xml:space="preserve">easily </w:t>
      </w:r>
      <w:r w:rsidR="00EC0DF2">
        <w:rPr>
          <w:rFonts w:cs="Arial"/>
        </w:rPr>
        <w:t>accessible</w:t>
      </w:r>
      <w:r>
        <w:rPr>
          <w:rFonts w:cs="Arial"/>
        </w:rPr>
        <w:t xml:space="preserve"> diagnostics to ensure patients are managed effectively</w:t>
      </w:r>
      <w:r w:rsidR="00EC0DF2">
        <w:rPr>
          <w:rFonts w:cs="Arial"/>
        </w:rPr>
        <w:t xml:space="preserve"> and </w:t>
      </w:r>
      <w:r w:rsidR="00C73434">
        <w:rPr>
          <w:rFonts w:cs="Arial"/>
        </w:rPr>
        <w:t xml:space="preserve">unnecessary </w:t>
      </w:r>
      <w:r w:rsidR="00EC0DF2">
        <w:rPr>
          <w:rFonts w:cs="Arial"/>
        </w:rPr>
        <w:t>referrals to secondary care are avoided</w:t>
      </w:r>
      <w:r w:rsidR="00C73434">
        <w:rPr>
          <w:rFonts w:cs="Arial"/>
        </w:rPr>
        <w:t>.</w:t>
      </w:r>
      <w:r w:rsidR="00EC0DF2">
        <w:rPr>
          <w:rFonts w:cs="Arial"/>
        </w:rPr>
        <w:t xml:space="preserve"> </w:t>
      </w:r>
      <w:r>
        <w:rPr>
          <w:rFonts w:cs="Arial"/>
        </w:rPr>
        <w:t>Where this is done as part of a pathway it helps to get the patient the right care, first time in the right place.</w:t>
      </w:r>
    </w:p>
    <w:p w:rsidR="003A7F57" w:rsidRPr="00241036" w:rsidRDefault="003A7F57" w:rsidP="003A7F57">
      <w:pPr>
        <w:pStyle w:val="ListParagraph"/>
        <w:ind w:left="0"/>
        <w:rPr>
          <w:rFonts w:asciiTheme="minorHAnsi" w:hAnsiTheme="minorHAnsi" w:cs="Arial"/>
          <w:bCs/>
          <w:color w:val="FF0000"/>
          <w:sz w:val="28"/>
          <w:szCs w:val="28"/>
          <w:lang w:eastAsia="en-GB"/>
        </w:rPr>
      </w:pPr>
    </w:p>
    <w:p w:rsidR="003A7F57" w:rsidRDefault="003A7F57" w:rsidP="003A7F57">
      <w:pPr>
        <w:pStyle w:val="Default"/>
        <w:rPr>
          <w:b/>
          <w:bCs/>
          <w:color w:val="1F497D" w:themeColor="text2"/>
          <w:sz w:val="22"/>
          <w:szCs w:val="22"/>
        </w:rPr>
      </w:pPr>
      <w:r w:rsidRPr="00563F36">
        <w:rPr>
          <w:b/>
          <w:bCs/>
          <w:color w:val="1F497D" w:themeColor="text2"/>
          <w:sz w:val="22"/>
          <w:szCs w:val="22"/>
        </w:rPr>
        <w:t xml:space="preserve">The vision </w:t>
      </w:r>
    </w:p>
    <w:p w:rsidR="003A7F57" w:rsidRPr="00DA1860" w:rsidRDefault="003A7F57" w:rsidP="003A7F57">
      <w:pPr>
        <w:pStyle w:val="Default"/>
        <w:rPr>
          <w:color w:val="1F497D" w:themeColor="text2"/>
          <w:sz w:val="8"/>
          <w:szCs w:val="8"/>
        </w:rPr>
      </w:pPr>
    </w:p>
    <w:p w:rsidR="003A7F57" w:rsidRDefault="003A7F57" w:rsidP="003A7F57">
      <w:pPr>
        <w:rPr>
          <w:rFonts w:cs="Arial"/>
        </w:rPr>
      </w:pPr>
      <w:r>
        <w:rPr>
          <w:rFonts w:cs="Arial"/>
        </w:rPr>
        <w:t xml:space="preserve">OCCG </w:t>
      </w:r>
      <w:r w:rsidR="00134932">
        <w:rPr>
          <w:rFonts w:cs="Arial"/>
        </w:rPr>
        <w:t xml:space="preserve">is </w:t>
      </w:r>
      <w:r>
        <w:rPr>
          <w:rFonts w:cs="Arial"/>
        </w:rPr>
        <w:t>commission</w:t>
      </w:r>
      <w:r w:rsidR="00134932">
        <w:rPr>
          <w:rFonts w:cs="Arial"/>
        </w:rPr>
        <w:t xml:space="preserve">ing </w:t>
      </w:r>
      <w:r>
        <w:rPr>
          <w:rFonts w:cs="Arial"/>
        </w:rPr>
        <w:t>a service to deliver closer to patients</w:t>
      </w:r>
      <w:r w:rsidR="00624BA1">
        <w:rPr>
          <w:rFonts w:cs="Arial"/>
        </w:rPr>
        <w:t>’</w:t>
      </w:r>
      <w:r>
        <w:rPr>
          <w:rFonts w:cs="Arial"/>
        </w:rPr>
        <w:t xml:space="preserve"> homes based </w:t>
      </w:r>
      <w:r w:rsidR="00EC0DF2">
        <w:rPr>
          <w:rFonts w:cs="Arial"/>
        </w:rPr>
        <w:t>around groups of GP practices</w:t>
      </w:r>
      <w:r>
        <w:rPr>
          <w:rFonts w:cs="Arial"/>
        </w:rPr>
        <w:t xml:space="preserve">, </w:t>
      </w:r>
      <w:r w:rsidR="00EC0DF2">
        <w:rPr>
          <w:rFonts w:cs="Arial"/>
        </w:rPr>
        <w:t>within every GP locality</w:t>
      </w:r>
      <w:r w:rsidR="00134932">
        <w:rPr>
          <w:rFonts w:cs="Arial"/>
        </w:rPr>
        <w:t>.</w:t>
      </w:r>
    </w:p>
    <w:p w:rsidR="003A7F57" w:rsidRPr="00313F95" w:rsidRDefault="003A7F57" w:rsidP="003A7F57">
      <w:pPr>
        <w:pStyle w:val="NoSpacing"/>
        <w:ind w:left="720"/>
        <w:rPr>
          <w:rFonts w:ascii="Arial" w:hAnsi="Arial" w:cs="Arial"/>
        </w:rPr>
      </w:pPr>
    </w:p>
    <w:p w:rsidR="003A7F57" w:rsidRDefault="00134932" w:rsidP="003A7F57">
      <w:pPr>
        <w:rPr>
          <w:rFonts w:cs="Arial"/>
        </w:rPr>
      </w:pPr>
      <w:r>
        <w:rPr>
          <w:rFonts w:cs="Arial"/>
        </w:rPr>
        <w:t xml:space="preserve">The </w:t>
      </w:r>
      <w:r w:rsidR="003A7F57">
        <w:rPr>
          <w:rFonts w:cs="Arial"/>
        </w:rPr>
        <w:t xml:space="preserve">service will be directly accessible for all </w:t>
      </w:r>
      <w:r w:rsidR="00EC0DF2">
        <w:rPr>
          <w:rFonts w:cs="Arial"/>
        </w:rPr>
        <w:t xml:space="preserve">Oxfordshire </w:t>
      </w:r>
      <w:r w:rsidR="003A7F57">
        <w:rPr>
          <w:rFonts w:cs="Arial"/>
        </w:rPr>
        <w:t xml:space="preserve">GPs and will be requested via electronic referral </w:t>
      </w:r>
      <w:r w:rsidR="003A7F57" w:rsidRPr="00863F40">
        <w:rPr>
          <w:rFonts w:cs="Arial"/>
        </w:rPr>
        <w:t>Proformas only</w:t>
      </w:r>
      <w:r w:rsidR="003A7F57">
        <w:rPr>
          <w:rFonts w:cs="Arial"/>
        </w:rPr>
        <w:t xml:space="preserve"> on direct booking (DBS)</w:t>
      </w:r>
      <w:r w:rsidR="003A7F57" w:rsidRPr="00863F40">
        <w:rPr>
          <w:rFonts w:cs="Arial"/>
        </w:rPr>
        <w:t xml:space="preserve">. </w:t>
      </w:r>
    </w:p>
    <w:p w:rsidR="003A7F57" w:rsidRPr="00863F40" w:rsidRDefault="003A7F57" w:rsidP="003A7F57">
      <w:pPr>
        <w:rPr>
          <w:rFonts w:cs="Arial"/>
        </w:rPr>
      </w:pPr>
    </w:p>
    <w:p w:rsidR="00EC0DF2" w:rsidRDefault="003A7F57" w:rsidP="003A7F57">
      <w:pPr>
        <w:rPr>
          <w:rFonts w:cs="Arial"/>
        </w:rPr>
      </w:pPr>
      <w:r w:rsidRPr="00863F40">
        <w:rPr>
          <w:rFonts w:cs="Arial"/>
        </w:rPr>
        <w:t xml:space="preserve">NICE guideline NG12 was released in July 2015 and relates to the recognition and management of suspected cancer in children, young people and adults. It outlines a number of new recommendations for </w:t>
      </w:r>
      <w:r>
        <w:rPr>
          <w:rFonts w:cs="Arial"/>
        </w:rPr>
        <w:t>direct access testing for non-o</w:t>
      </w:r>
      <w:r w:rsidRPr="00863F40">
        <w:rPr>
          <w:rFonts w:cs="Arial"/>
        </w:rPr>
        <w:t>bstetric ultrasound and states that these should be done urgently (within 2 weeks) and should form part of the 2 week wait pathway. Therefore</w:t>
      </w:r>
      <w:r>
        <w:rPr>
          <w:rFonts w:cs="Arial"/>
        </w:rPr>
        <w:t>, as part of the procurement process th</w:t>
      </w:r>
      <w:r w:rsidR="00134932">
        <w:rPr>
          <w:rFonts w:cs="Arial"/>
        </w:rPr>
        <w:t>is</w:t>
      </w:r>
      <w:r>
        <w:rPr>
          <w:rFonts w:cs="Arial"/>
        </w:rPr>
        <w:t xml:space="preserve"> service</w:t>
      </w:r>
      <w:r w:rsidR="00624BA1">
        <w:rPr>
          <w:rFonts w:cs="Arial"/>
        </w:rPr>
        <w:t xml:space="preserve"> </w:t>
      </w:r>
      <w:r w:rsidRPr="00863F40">
        <w:rPr>
          <w:rFonts w:cs="Arial"/>
        </w:rPr>
        <w:t>will be commissioned</w:t>
      </w:r>
      <w:r>
        <w:rPr>
          <w:rFonts w:cs="Arial"/>
        </w:rPr>
        <w:t xml:space="preserve"> to include</w:t>
      </w:r>
      <w:r w:rsidRPr="00863F40">
        <w:rPr>
          <w:rFonts w:cs="Arial"/>
        </w:rPr>
        <w:t xml:space="preserve"> the 2 week wait cancer pathway</w:t>
      </w:r>
      <w:r>
        <w:rPr>
          <w:rFonts w:cs="Arial"/>
        </w:rPr>
        <w:t xml:space="preserve"> targets and guidelines</w:t>
      </w:r>
      <w:r w:rsidRPr="00863F40">
        <w:rPr>
          <w:rFonts w:cs="Arial"/>
        </w:rPr>
        <w:t xml:space="preserve">. </w:t>
      </w:r>
      <w:r>
        <w:rPr>
          <w:rFonts w:cs="Arial"/>
        </w:rPr>
        <w:t>T</w:t>
      </w:r>
      <w:r w:rsidRPr="00863F40">
        <w:rPr>
          <w:rFonts w:cs="Arial"/>
        </w:rPr>
        <w:t xml:space="preserve">his </w:t>
      </w:r>
      <w:r>
        <w:rPr>
          <w:rFonts w:cs="Arial"/>
        </w:rPr>
        <w:t xml:space="preserve">will also </w:t>
      </w:r>
      <w:r w:rsidRPr="00863F40">
        <w:rPr>
          <w:rFonts w:cs="Arial"/>
        </w:rPr>
        <w:t xml:space="preserve">support the </w:t>
      </w:r>
      <w:r w:rsidR="001A68D8">
        <w:rPr>
          <w:rFonts w:cs="Arial"/>
        </w:rPr>
        <w:t>CCG and other NHS providers</w:t>
      </w:r>
      <w:r w:rsidRPr="00863F40">
        <w:rPr>
          <w:rFonts w:cs="Arial"/>
        </w:rPr>
        <w:t xml:space="preserve"> in </w:t>
      </w:r>
      <w:r w:rsidR="001A68D8">
        <w:rPr>
          <w:rFonts w:cs="Arial"/>
        </w:rPr>
        <w:t>the</w:t>
      </w:r>
      <w:r>
        <w:rPr>
          <w:rFonts w:cs="Arial"/>
        </w:rPr>
        <w:t xml:space="preserve"> achieve</w:t>
      </w:r>
      <w:r w:rsidR="001A68D8">
        <w:rPr>
          <w:rFonts w:cs="Arial"/>
        </w:rPr>
        <w:t>ment of</w:t>
      </w:r>
      <w:r>
        <w:rPr>
          <w:rFonts w:cs="Arial"/>
        </w:rPr>
        <w:t xml:space="preserve"> national cancer waiting t</w:t>
      </w:r>
      <w:r w:rsidRPr="00863F40">
        <w:rPr>
          <w:rFonts w:cs="Arial"/>
        </w:rPr>
        <w:t xml:space="preserve">imes </w:t>
      </w:r>
      <w:r>
        <w:rPr>
          <w:rFonts w:cs="Arial"/>
        </w:rPr>
        <w:t xml:space="preserve">targets. </w:t>
      </w:r>
    </w:p>
    <w:p w:rsidR="00F31619" w:rsidRPr="008A31CF" w:rsidRDefault="00F31619" w:rsidP="00F31619">
      <w:pPr>
        <w:pStyle w:val="NoSpacing"/>
        <w:rPr>
          <w:rFonts w:ascii="Arial" w:hAnsi="Arial" w:cs="Arial"/>
          <w:b/>
          <w:color w:val="1F497D" w:themeColor="text2"/>
          <w:sz w:val="28"/>
          <w:szCs w:val="28"/>
        </w:rPr>
      </w:pPr>
    </w:p>
    <w:p w:rsidR="00F31619" w:rsidRDefault="00F31619" w:rsidP="00F31619">
      <w:pPr>
        <w:pStyle w:val="NoSpacing"/>
        <w:rPr>
          <w:rFonts w:ascii="Arial" w:hAnsi="Arial" w:cs="Arial"/>
          <w:b/>
          <w:color w:val="1F497D" w:themeColor="text2"/>
        </w:rPr>
      </w:pPr>
      <w:r w:rsidRPr="00563F36">
        <w:rPr>
          <w:rFonts w:ascii="Arial" w:hAnsi="Arial" w:cs="Arial"/>
          <w:b/>
          <w:color w:val="1F497D" w:themeColor="text2"/>
        </w:rPr>
        <w:t xml:space="preserve">The proposal </w:t>
      </w:r>
    </w:p>
    <w:p w:rsidR="00462251" w:rsidRDefault="00462251" w:rsidP="00F31619">
      <w:pPr>
        <w:pStyle w:val="NoSpacing"/>
        <w:rPr>
          <w:rFonts w:ascii="Arial" w:hAnsi="Arial" w:cs="Arial"/>
          <w:b/>
          <w:color w:val="1F497D" w:themeColor="text2"/>
        </w:rPr>
      </w:pPr>
    </w:p>
    <w:p w:rsidR="00462251" w:rsidRPr="00A51260" w:rsidRDefault="00A51260" w:rsidP="00F31619">
      <w:pPr>
        <w:pStyle w:val="NoSpacing"/>
        <w:rPr>
          <w:rFonts w:ascii="Arial" w:hAnsi="Arial" w:cs="Arial"/>
          <w:b/>
        </w:rPr>
      </w:pPr>
      <w:r w:rsidRPr="00A51260">
        <w:rPr>
          <w:rFonts w:ascii="Arial" w:hAnsi="Arial" w:cs="Arial"/>
          <w:b/>
        </w:rPr>
        <w:t>Non-Obste</w:t>
      </w:r>
      <w:r w:rsidR="00462251" w:rsidRPr="00A51260">
        <w:rPr>
          <w:rFonts w:ascii="Arial" w:hAnsi="Arial" w:cs="Arial"/>
          <w:b/>
        </w:rPr>
        <w:t>t</w:t>
      </w:r>
      <w:r w:rsidRPr="00A51260">
        <w:rPr>
          <w:rFonts w:ascii="Arial" w:hAnsi="Arial" w:cs="Arial"/>
          <w:b/>
        </w:rPr>
        <w:t>r</w:t>
      </w:r>
      <w:r w:rsidR="00462251" w:rsidRPr="00A51260">
        <w:rPr>
          <w:rFonts w:ascii="Arial" w:hAnsi="Arial" w:cs="Arial"/>
          <w:b/>
        </w:rPr>
        <w:t>ic Ultrasound</w:t>
      </w:r>
      <w:r w:rsidRPr="00A51260">
        <w:rPr>
          <w:rFonts w:ascii="Arial" w:hAnsi="Arial" w:cs="Arial"/>
          <w:b/>
        </w:rPr>
        <w:t>:</w:t>
      </w:r>
    </w:p>
    <w:p w:rsidR="00A51260" w:rsidRDefault="00A51260" w:rsidP="00A51260">
      <w:pPr>
        <w:jc w:val="both"/>
        <w:rPr>
          <w:rFonts w:cs="Arial"/>
          <w:b/>
          <w:sz w:val="20"/>
          <w:szCs w:val="20"/>
        </w:rPr>
      </w:pPr>
    </w:p>
    <w:p w:rsidR="00A51260" w:rsidRPr="00A51260" w:rsidRDefault="00A51260" w:rsidP="00A51260">
      <w:pPr>
        <w:jc w:val="both"/>
        <w:rPr>
          <w:rFonts w:cs="Arial"/>
          <w:szCs w:val="20"/>
        </w:rPr>
      </w:pPr>
      <w:r w:rsidRPr="00A51260">
        <w:rPr>
          <w:rFonts w:cs="Arial"/>
          <w:szCs w:val="20"/>
        </w:rPr>
        <w:t>Objectives</w:t>
      </w:r>
    </w:p>
    <w:p w:rsidR="00A51260" w:rsidRPr="00A51260" w:rsidRDefault="00A51260" w:rsidP="00A51260">
      <w:pPr>
        <w:pStyle w:val="ListParagraph"/>
        <w:numPr>
          <w:ilvl w:val="0"/>
          <w:numId w:val="12"/>
        </w:numPr>
        <w:rPr>
          <w:rFonts w:cs="Arial"/>
          <w:bCs/>
          <w:szCs w:val="20"/>
        </w:rPr>
      </w:pPr>
      <w:r w:rsidRPr="00A51260">
        <w:rPr>
          <w:rFonts w:cs="Arial"/>
          <w:bCs/>
          <w:szCs w:val="20"/>
        </w:rPr>
        <w:t>To resolve patient outcomes more quickly by enabling a one stop shop service for gynaecology and/or urology and/or other specialist services</w:t>
      </w:r>
    </w:p>
    <w:p w:rsidR="00A51260" w:rsidRPr="00A51260" w:rsidRDefault="00A51260" w:rsidP="00A51260">
      <w:pPr>
        <w:pStyle w:val="ListParagraph"/>
        <w:numPr>
          <w:ilvl w:val="0"/>
          <w:numId w:val="12"/>
        </w:numPr>
        <w:jc w:val="both"/>
        <w:rPr>
          <w:rFonts w:cs="Arial"/>
          <w:bCs/>
          <w:szCs w:val="20"/>
        </w:rPr>
      </w:pPr>
      <w:r w:rsidRPr="00A51260">
        <w:rPr>
          <w:rFonts w:cs="Arial"/>
          <w:bCs/>
          <w:szCs w:val="20"/>
        </w:rPr>
        <w:t>To reduce the number of patients referred on to secondary care.</w:t>
      </w:r>
    </w:p>
    <w:p w:rsidR="00A51260" w:rsidRPr="00A51260" w:rsidRDefault="00A51260" w:rsidP="00A51260">
      <w:pPr>
        <w:pStyle w:val="ListParagraph"/>
        <w:numPr>
          <w:ilvl w:val="0"/>
          <w:numId w:val="12"/>
        </w:numPr>
        <w:jc w:val="both"/>
        <w:rPr>
          <w:rFonts w:cs="Arial"/>
          <w:bCs/>
          <w:szCs w:val="20"/>
        </w:rPr>
      </w:pPr>
      <w:r w:rsidRPr="00A51260">
        <w:rPr>
          <w:rFonts w:cs="Arial"/>
          <w:bCs/>
          <w:szCs w:val="20"/>
        </w:rPr>
        <w:t>To provide a local service for patients</w:t>
      </w:r>
    </w:p>
    <w:p w:rsidR="00A51260" w:rsidRPr="00A51260" w:rsidRDefault="00A51260" w:rsidP="00A51260">
      <w:pPr>
        <w:pStyle w:val="ListParagraph"/>
        <w:numPr>
          <w:ilvl w:val="0"/>
          <w:numId w:val="12"/>
        </w:numPr>
        <w:jc w:val="both"/>
        <w:rPr>
          <w:rFonts w:cs="Arial"/>
          <w:bCs/>
          <w:szCs w:val="20"/>
        </w:rPr>
      </w:pPr>
      <w:r w:rsidRPr="00A51260">
        <w:rPr>
          <w:rFonts w:cs="Arial"/>
          <w:bCs/>
          <w:szCs w:val="20"/>
        </w:rPr>
        <w:t>To provide increased patient choice</w:t>
      </w:r>
    </w:p>
    <w:p w:rsidR="00A51260" w:rsidRPr="00A51260" w:rsidRDefault="00A51260" w:rsidP="00A51260">
      <w:pPr>
        <w:jc w:val="both"/>
        <w:rPr>
          <w:rFonts w:cs="Arial"/>
          <w:b/>
          <w:szCs w:val="20"/>
        </w:rPr>
      </w:pPr>
    </w:p>
    <w:p w:rsidR="00A51260" w:rsidRPr="00A51260" w:rsidRDefault="00A51260" w:rsidP="00A51260">
      <w:pPr>
        <w:jc w:val="both"/>
        <w:rPr>
          <w:rFonts w:cs="Arial"/>
          <w:bCs/>
          <w:szCs w:val="20"/>
        </w:rPr>
      </w:pPr>
      <w:r w:rsidRPr="00A51260">
        <w:rPr>
          <w:rFonts w:cs="Arial"/>
          <w:szCs w:val="20"/>
        </w:rPr>
        <w:t xml:space="preserve">Expected Outcomes </w:t>
      </w:r>
    </w:p>
    <w:p w:rsidR="00A51260" w:rsidRPr="00A51260" w:rsidRDefault="00A51260" w:rsidP="00A51260">
      <w:pPr>
        <w:pStyle w:val="ListParagraph"/>
        <w:numPr>
          <w:ilvl w:val="0"/>
          <w:numId w:val="13"/>
        </w:numPr>
        <w:autoSpaceDE w:val="0"/>
        <w:autoSpaceDN w:val="0"/>
        <w:adjustRightInd w:val="0"/>
        <w:rPr>
          <w:rFonts w:cs="Arial"/>
          <w:bCs/>
          <w:szCs w:val="20"/>
        </w:rPr>
      </w:pPr>
      <w:r w:rsidRPr="00A51260">
        <w:rPr>
          <w:rFonts w:cs="Arial"/>
          <w:bCs/>
          <w:szCs w:val="20"/>
        </w:rPr>
        <w:t>Improved patient access to Ultrasound services across the specified localities</w:t>
      </w:r>
    </w:p>
    <w:p w:rsidR="00A51260" w:rsidRPr="00A51260" w:rsidRDefault="00A51260" w:rsidP="00A51260">
      <w:pPr>
        <w:pStyle w:val="ListParagraph"/>
        <w:numPr>
          <w:ilvl w:val="0"/>
          <w:numId w:val="13"/>
        </w:numPr>
        <w:rPr>
          <w:rFonts w:cs="Arial"/>
          <w:bCs/>
          <w:szCs w:val="20"/>
        </w:rPr>
      </w:pPr>
      <w:r w:rsidRPr="00A51260">
        <w:rPr>
          <w:rFonts w:cs="Arial"/>
          <w:bCs/>
          <w:szCs w:val="20"/>
        </w:rPr>
        <w:t>Enable the establishment of ‘one stop shop’ services for gynaecology and/or urology and/or other specialist services</w:t>
      </w:r>
    </w:p>
    <w:p w:rsidR="00A51260" w:rsidRPr="00A51260" w:rsidRDefault="00A51260" w:rsidP="00A51260">
      <w:pPr>
        <w:pStyle w:val="ListParagraph"/>
        <w:numPr>
          <w:ilvl w:val="0"/>
          <w:numId w:val="13"/>
        </w:numPr>
        <w:autoSpaceDE w:val="0"/>
        <w:autoSpaceDN w:val="0"/>
        <w:adjustRightInd w:val="0"/>
        <w:rPr>
          <w:rFonts w:cs="Arial"/>
          <w:bCs/>
          <w:szCs w:val="20"/>
        </w:rPr>
      </w:pPr>
      <w:r w:rsidRPr="00A51260">
        <w:rPr>
          <w:rFonts w:cs="Arial"/>
          <w:bCs/>
          <w:szCs w:val="20"/>
        </w:rPr>
        <w:t>Reduction in waiting times for ultrasound scans</w:t>
      </w:r>
    </w:p>
    <w:p w:rsidR="00A51260" w:rsidRPr="00A51260" w:rsidRDefault="00A51260" w:rsidP="00A51260">
      <w:pPr>
        <w:pStyle w:val="ListParagraph"/>
        <w:numPr>
          <w:ilvl w:val="0"/>
          <w:numId w:val="13"/>
        </w:numPr>
        <w:rPr>
          <w:rFonts w:cs="Arial"/>
          <w:bCs/>
          <w:szCs w:val="20"/>
        </w:rPr>
      </w:pPr>
      <w:r w:rsidRPr="00A51260">
        <w:rPr>
          <w:rFonts w:cs="Arial"/>
          <w:bCs/>
          <w:szCs w:val="20"/>
        </w:rPr>
        <w:t xml:space="preserve">Increased patient choice for ultrasound services </w:t>
      </w:r>
    </w:p>
    <w:p w:rsidR="00A51260" w:rsidRPr="00A51260" w:rsidRDefault="00A51260" w:rsidP="00A51260">
      <w:pPr>
        <w:pStyle w:val="ListParagraph"/>
        <w:numPr>
          <w:ilvl w:val="0"/>
          <w:numId w:val="13"/>
        </w:numPr>
        <w:autoSpaceDE w:val="0"/>
        <w:autoSpaceDN w:val="0"/>
        <w:adjustRightInd w:val="0"/>
        <w:rPr>
          <w:rFonts w:cs="Arial"/>
          <w:bCs/>
          <w:szCs w:val="20"/>
        </w:rPr>
      </w:pPr>
      <w:r w:rsidRPr="00A51260">
        <w:rPr>
          <w:rFonts w:cs="Arial"/>
          <w:bCs/>
          <w:szCs w:val="20"/>
        </w:rPr>
        <w:t>Reduction in duplication of treatment pathways</w:t>
      </w:r>
    </w:p>
    <w:p w:rsidR="00A51260" w:rsidRPr="00A51260" w:rsidRDefault="00A51260" w:rsidP="00A51260">
      <w:pPr>
        <w:pStyle w:val="ListParagraph"/>
        <w:numPr>
          <w:ilvl w:val="0"/>
          <w:numId w:val="13"/>
        </w:numPr>
        <w:autoSpaceDE w:val="0"/>
        <w:autoSpaceDN w:val="0"/>
        <w:adjustRightInd w:val="0"/>
        <w:rPr>
          <w:rFonts w:cs="Arial"/>
          <w:bCs/>
          <w:szCs w:val="20"/>
        </w:rPr>
      </w:pPr>
      <w:r w:rsidRPr="00A51260">
        <w:rPr>
          <w:rFonts w:cs="Arial"/>
          <w:bCs/>
          <w:szCs w:val="20"/>
        </w:rPr>
        <w:t>Integrated care pathways/holistic care</w:t>
      </w:r>
    </w:p>
    <w:p w:rsidR="00A51260" w:rsidRPr="00A51260" w:rsidRDefault="00A51260" w:rsidP="00A51260">
      <w:pPr>
        <w:pStyle w:val="ListParagraph"/>
        <w:numPr>
          <w:ilvl w:val="0"/>
          <w:numId w:val="13"/>
        </w:numPr>
        <w:autoSpaceDE w:val="0"/>
        <w:autoSpaceDN w:val="0"/>
        <w:adjustRightInd w:val="0"/>
        <w:rPr>
          <w:rFonts w:cs="Arial"/>
          <w:bCs/>
          <w:szCs w:val="20"/>
        </w:rPr>
      </w:pPr>
      <w:r w:rsidRPr="00A51260">
        <w:rPr>
          <w:rFonts w:cs="Arial"/>
          <w:bCs/>
          <w:szCs w:val="20"/>
        </w:rPr>
        <w:t>Provision of care closer to home</w:t>
      </w:r>
    </w:p>
    <w:p w:rsidR="00A51260" w:rsidRPr="00462251" w:rsidRDefault="00A51260" w:rsidP="00F31619">
      <w:pPr>
        <w:pStyle w:val="NoSpacing"/>
        <w:rPr>
          <w:rFonts w:ascii="Arial" w:hAnsi="Arial" w:cs="Arial"/>
        </w:rPr>
      </w:pPr>
    </w:p>
    <w:p w:rsidR="00F31619" w:rsidRPr="00DA1860" w:rsidRDefault="00F31619" w:rsidP="00F31619">
      <w:pPr>
        <w:pStyle w:val="NoSpacing"/>
        <w:rPr>
          <w:rFonts w:ascii="Arial" w:hAnsi="Arial" w:cs="Arial"/>
          <w:b/>
          <w:color w:val="1F497D" w:themeColor="text2"/>
          <w:sz w:val="8"/>
          <w:szCs w:val="8"/>
        </w:rPr>
      </w:pPr>
    </w:p>
    <w:p w:rsidR="00F31619" w:rsidRDefault="00F31619" w:rsidP="00F31619">
      <w:pPr>
        <w:rPr>
          <w:rFonts w:cs="Arial"/>
          <w:b/>
          <w:bCs/>
          <w:color w:val="1F497D" w:themeColor="text2"/>
          <w:szCs w:val="22"/>
          <w:lang w:eastAsia="en-GB"/>
        </w:rPr>
      </w:pPr>
      <w:r w:rsidRPr="00563F36">
        <w:rPr>
          <w:rFonts w:cs="Arial"/>
          <w:b/>
          <w:bCs/>
          <w:color w:val="1F497D" w:themeColor="text2"/>
          <w:szCs w:val="22"/>
          <w:lang w:eastAsia="en-GB"/>
        </w:rPr>
        <w:t xml:space="preserve">Scope of service </w:t>
      </w:r>
    </w:p>
    <w:p w:rsidR="00F31619" w:rsidRPr="00DA1860" w:rsidRDefault="00F31619" w:rsidP="00F31619">
      <w:pPr>
        <w:rPr>
          <w:rFonts w:cs="Arial"/>
          <w:b/>
          <w:bCs/>
          <w:color w:val="1F497D" w:themeColor="text2"/>
          <w:sz w:val="8"/>
          <w:szCs w:val="8"/>
          <w:lang w:eastAsia="en-GB"/>
        </w:rPr>
      </w:pPr>
    </w:p>
    <w:p w:rsidR="00F31619" w:rsidRPr="003A7F57" w:rsidRDefault="00F31619" w:rsidP="00F31619">
      <w:pPr>
        <w:pStyle w:val="ListParagraph"/>
        <w:ind w:left="0"/>
        <w:jc w:val="both"/>
        <w:rPr>
          <w:rFonts w:cs="Arial"/>
          <w:bCs/>
          <w:szCs w:val="22"/>
          <w:lang w:eastAsia="en-GB"/>
        </w:rPr>
      </w:pPr>
      <w:r w:rsidRPr="003A7F57">
        <w:rPr>
          <w:rFonts w:cs="Arial"/>
          <w:lang w:eastAsia="en-GB"/>
        </w:rPr>
        <w:t>The non-obstetric ultrasound service will provide GPs with direct access and may include the following:</w:t>
      </w:r>
    </w:p>
    <w:p w:rsidR="00F31619" w:rsidRPr="003A7F57" w:rsidRDefault="00F31619" w:rsidP="00F31619">
      <w:pPr>
        <w:rPr>
          <w:rFonts w:cs="Arial"/>
          <w:lang w:eastAsia="en-GB"/>
        </w:rPr>
      </w:pPr>
    </w:p>
    <w:p w:rsidR="00F31619" w:rsidRPr="003854A8" w:rsidRDefault="00F31619" w:rsidP="003854A8">
      <w:pPr>
        <w:pStyle w:val="ListParagraph"/>
        <w:numPr>
          <w:ilvl w:val="0"/>
          <w:numId w:val="6"/>
        </w:numPr>
        <w:rPr>
          <w:rFonts w:cs="Arial"/>
          <w:lang w:eastAsia="en-GB"/>
        </w:rPr>
      </w:pPr>
      <w:r w:rsidRPr="003854A8">
        <w:rPr>
          <w:rFonts w:cs="Arial"/>
          <w:lang w:eastAsia="en-GB"/>
        </w:rPr>
        <w:t>Upper Abdomen Ultrasound Scans,</w:t>
      </w:r>
    </w:p>
    <w:p w:rsidR="00F31619" w:rsidRPr="003854A8" w:rsidRDefault="00F31619" w:rsidP="003854A8">
      <w:pPr>
        <w:pStyle w:val="ListParagraph"/>
        <w:numPr>
          <w:ilvl w:val="0"/>
          <w:numId w:val="6"/>
        </w:numPr>
        <w:rPr>
          <w:rFonts w:cs="Arial"/>
          <w:lang w:eastAsia="en-GB"/>
        </w:rPr>
      </w:pPr>
      <w:r w:rsidRPr="003854A8">
        <w:rPr>
          <w:rFonts w:cs="Arial"/>
          <w:lang w:eastAsia="en-GB"/>
        </w:rPr>
        <w:t>Testicular Ultrasound Scans,</w:t>
      </w:r>
    </w:p>
    <w:p w:rsidR="00F31619" w:rsidRPr="003854A8" w:rsidRDefault="00F31619" w:rsidP="003854A8">
      <w:pPr>
        <w:pStyle w:val="ListParagraph"/>
        <w:numPr>
          <w:ilvl w:val="0"/>
          <w:numId w:val="6"/>
        </w:numPr>
        <w:rPr>
          <w:rFonts w:cs="Arial"/>
          <w:lang w:eastAsia="en-GB"/>
        </w:rPr>
      </w:pPr>
      <w:r w:rsidRPr="003854A8">
        <w:rPr>
          <w:rFonts w:cs="Arial"/>
          <w:lang w:eastAsia="en-GB"/>
        </w:rPr>
        <w:t xml:space="preserve">Renal Tract Ultrasound Scans, </w:t>
      </w:r>
    </w:p>
    <w:p w:rsidR="00F31619" w:rsidRPr="003854A8" w:rsidRDefault="00F31619" w:rsidP="003854A8">
      <w:pPr>
        <w:pStyle w:val="ListParagraph"/>
        <w:numPr>
          <w:ilvl w:val="0"/>
          <w:numId w:val="6"/>
        </w:numPr>
        <w:rPr>
          <w:rFonts w:cs="Arial"/>
          <w:lang w:eastAsia="en-GB"/>
        </w:rPr>
      </w:pPr>
      <w:r w:rsidRPr="003854A8">
        <w:rPr>
          <w:rFonts w:cs="Arial"/>
          <w:lang w:eastAsia="en-GB"/>
        </w:rPr>
        <w:t xml:space="preserve">Pelvic Ultrasound Scans (including both Trans abdominal and Trans vaginal Scans) </w:t>
      </w:r>
    </w:p>
    <w:p w:rsidR="00F31619" w:rsidRPr="003A7F57" w:rsidRDefault="00F31619" w:rsidP="003854A8">
      <w:pPr>
        <w:pStyle w:val="ListParagraph"/>
        <w:numPr>
          <w:ilvl w:val="0"/>
          <w:numId w:val="6"/>
        </w:numPr>
        <w:rPr>
          <w:rFonts w:cs="Arial"/>
          <w:lang w:eastAsia="en-GB"/>
        </w:rPr>
      </w:pPr>
      <w:r w:rsidRPr="003A7F57">
        <w:rPr>
          <w:rFonts w:cs="Arial"/>
          <w:lang w:eastAsia="en-GB"/>
        </w:rPr>
        <w:t>2 Week Wait Cancer Pathway</w:t>
      </w:r>
    </w:p>
    <w:p w:rsidR="00F31619" w:rsidRPr="003A7F57" w:rsidRDefault="00F31619" w:rsidP="00F31619">
      <w:pPr>
        <w:rPr>
          <w:rFonts w:cs="Arial"/>
          <w:lang w:eastAsia="en-GB"/>
        </w:rPr>
      </w:pPr>
    </w:p>
    <w:p w:rsidR="00F31619" w:rsidRDefault="00F31619" w:rsidP="00F31619">
      <w:pPr>
        <w:rPr>
          <w:rFonts w:cs="Arial"/>
          <w:b/>
          <w:bCs/>
          <w:color w:val="1F497D" w:themeColor="text2"/>
          <w:szCs w:val="22"/>
          <w:lang w:eastAsia="en-GB"/>
        </w:rPr>
      </w:pPr>
      <w:r w:rsidRPr="00563F36">
        <w:rPr>
          <w:rFonts w:cs="Arial"/>
          <w:b/>
          <w:bCs/>
          <w:color w:val="1F497D" w:themeColor="text2"/>
          <w:szCs w:val="22"/>
          <w:lang w:eastAsia="en-GB"/>
        </w:rPr>
        <w:t>Exclusions</w:t>
      </w:r>
    </w:p>
    <w:p w:rsidR="00A867E9" w:rsidRDefault="00A867E9" w:rsidP="00F31619">
      <w:pPr>
        <w:rPr>
          <w:rFonts w:cs="Arial"/>
          <w:b/>
          <w:bCs/>
          <w:color w:val="1F497D" w:themeColor="text2"/>
          <w:szCs w:val="22"/>
          <w:lang w:eastAsia="en-GB"/>
        </w:rPr>
      </w:pPr>
    </w:p>
    <w:p w:rsidR="00A51260" w:rsidRPr="00A51260" w:rsidRDefault="00A867E9" w:rsidP="00A51260">
      <w:pPr>
        <w:rPr>
          <w:rFonts w:cs="Arial"/>
          <w:lang w:eastAsia="en-GB"/>
        </w:rPr>
      </w:pPr>
      <w:r>
        <w:rPr>
          <w:rFonts w:cs="Arial"/>
          <w:lang w:eastAsia="en-GB"/>
        </w:rPr>
        <w:t>N</w:t>
      </w:r>
      <w:r w:rsidRPr="003A7F57">
        <w:rPr>
          <w:rFonts w:cs="Arial"/>
          <w:lang w:eastAsia="en-GB"/>
        </w:rPr>
        <w:t>on-obstetric ultrasound</w:t>
      </w:r>
      <w:r>
        <w:rPr>
          <w:rFonts w:cs="Arial"/>
          <w:lang w:eastAsia="en-GB"/>
        </w:rPr>
        <w:t>:</w:t>
      </w:r>
    </w:p>
    <w:p w:rsidR="00EC0DF2" w:rsidRPr="00EC0DF2" w:rsidRDefault="00EC0DF2" w:rsidP="00A51260">
      <w:pPr>
        <w:numPr>
          <w:ilvl w:val="0"/>
          <w:numId w:val="16"/>
        </w:numPr>
        <w:autoSpaceDE w:val="0"/>
        <w:autoSpaceDN w:val="0"/>
        <w:adjustRightInd w:val="0"/>
        <w:rPr>
          <w:rFonts w:cs="Arial"/>
          <w:szCs w:val="20"/>
        </w:rPr>
      </w:pPr>
      <w:r>
        <w:t xml:space="preserve">Triage of inappropriate referrals where </w:t>
      </w:r>
      <w:r w:rsidR="00A4630E">
        <w:t>U</w:t>
      </w:r>
      <w:r w:rsidR="00624BA1">
        <w:t>ltrasound</w:t>
      </w:r>
      <w:r>
        <w:t xml:space="preserve"> isn’t the right choice of diagnostic</w:t>
      </w:r>
    </w:p>
    <w:p w:rsidR="00A51260" w:rsidRPr="00A51260" w:rsidRDefault="00A51260" w:rsidP="00A51260">
      <w:pPr>
        <w:numPr>
          <w:ilvl w:val="0"/>
          <w:numId w:val="16"/>
        </w:numPr>
        <w:autoSpaceDE w:val="0"/>
        <w:autoSpaceDN w:val="0"/>
        <w:adjustRightInd w:val="0"/>
        <w:rPr>
          <w:rFonts w:cs="Arial"/>
          <w:szCs w:val="20"/>
        </w:rPr>
      </w:pPr>
      <w:r w:rsidRPr="00A51260">
        <w:rPr>
          <w:rFonts w:cs="Arial"/>
          <w:szCs w:val="20"/>
        </w:rPr>
        <w:t>Patients who are medically unfit to undergo Ultrasound scanning</w:t>
      </w:r>
    </w:p>
    <w:p w:rsidR="00A51260" w:rsidRPr="00A51260" w:rsidRDefault="00A51260" w:rsidP="00A51260">
      <w:pPr>
        <w:numPr>
          <w:ilvl w:val="0"/>
          <w:numId w:val="16"/>
        </w:numPr>
        <w:autoSpaceDE w:val="0"/>
        <w:autoSpaceDN w:val="0"/>
        <w:adjustRightInd w:val="0"/>
        <w:rPr>
          <w:rFonts w:cs="Arial"/>
          <w:szCs w:val="20"/>
        </w:rPr>
      </w:pPr>
      <w:r w:rsidRPr="00A51260">
        <w:rPr>
          <w:rFonts w:cs="Arial"/>
          <w:szCs w:val="20"/>
        </w:rPr>
        <w:t>Onward referral for private or alternative treatment should not be made without the explicit written agreement of th</w:t>
      </w:r>
      <w:r w:rsidR="00EC0DF2">
        <w:rPr>
          <w:rFonts w:cs="Arial"/>
          <w:szCs w:val="20"/>
        </w:rPr>
        <w:t>e GP</w:t>
      </w:r>
    </w:p>
    <w:p w:rsidR="00A51260" w:rsidRPr="00A51260" w:rsidRDefault="00A51260" w:rsidP="00A51260">
      <w:pPr>
        <w:numPr>
          <w:ilvl w:val="0"/>
          <w:numId w:val="16"/>
        </w:numPr>
        <w:autoSpaceDE w:val="0"/>
        <w:autoSpaceDN w:val="0"/>
        <w:adjustRightInd w:val="0"/>
        <w:rPr>
          <w:rFonts w:cs="Arial"/>
          <w:szCs w:val="20"/>
        </w:rPr>
      </w:pPr>
      <w:r w:rsidRPr="00A51260">
        <w:rPr>
          <w:rFonts w:cs="Arial"/>
          <w:szCs w:val="20"/>
        </w:rPr>
        <w:t xml:space="preserve">The service should only provide services in line with local &amp; national clinical guidelines or based on best practice recommendations, such as NICE guidance. </w:t>
      </w:r>
    </w:p>
    <w:p w:rsidR="00A867E9" w:rsidRPr="00A51260" w:rsidRDefault="00A51260" w:rsidP="00A51260">
      <w:pPr>
        <w:numPr>
          <w:ilvl w:val="0"/>
          <w:numId w:val="16"/>
        </w:numPr>
        <w:autoSpaceDE w:val="0"/>
        <w:autoSpaceDN w:val="0"/>
        <w:adjustRightInd w:val="0"/>
        <w:rPr>
          <w:rFonts w:cs="Arial"/>
          <w:szCs w:val="20"/>
        </w:rPr>
      </w:pPr>
      <w:r w:rsidRPr="00A51260">
        <w:rPr>
          <w:rFonts w:cs="Arial"/>
          <w:szCs w:val="20"/>
        </w:rPr>
        <w:t>Treatments and interventions listed by Oxfordshire CCG as low priority should not be implemented without the specific written agreement of the referring GP and after appropriate approval has been obtained from the CCG.</w:t>
      </w:r>
    </w:p>
    <w:p w:rsidR="00A867E9" w:rsidRDefault="00A867E9" w:rsidP="00F31619">
      <w:pPr>
        <w:rPr>
          <w:rFonts w:cs="Arial"/>
          <w:b/>
          <w:bCs/>
          <w:color w:val="1F497D" w:themeColor="text2"/>
          <w:szCs w:val="22"/>
          <w:lang w:eastAsia="en-GB"/>
        </w:rPr>
      </w:pPr>
    </w:p>
    <w:p w:rsidR="003854A8" w:rsidRDefault="003854A8" w:rsidP="003854A8">
      <w:pPr>
        <w:rPr>
          <w:rFonts w:cs="Arial"/>
          <w:lang w:eastAsia="en-GB"/>
        </w:rPr>
      </w:pPr>
    </w:p>
    <w:p w:rsidR="003854A8" w:rsidRPr="003854A8" w:rsidRDefault="003A7F57" w:rsidP="003854A8">
      <w:pPr>
        <w:rPr>
          <w:rFonts w:cs="Arial"/>
          <w:lang w:eastAsia="en-GB"/>
        </w:rPr>
      </w:pPr>
      <w:r>
        <w:rPr>
          <w:rFonts w:cs="Arial"/>
          <w:lang w:eastAsia="en-GB"/>
        </w:rPr>
        <w:t>T</w:t>
      </w:r>
      <w:r w:rsidRPr="007E7793">
        <w:rPr>
          <w:rFonts w:cs="Arial"/>
          <w:lang w:eastAsia="en-GB"/>
        </w:rPr>
        <w:t xml:space="preserve">he contract </w:t>
      </w:r>
      <w:r w:rsidR="00624BA1">
        <w:rPr>
          <w:rFonts w:cs="Arial"/>
          <w:lang w:eastAsia="en-GB"/>
        </w:rPr>
        <w:t>will be</w:t>
      </w:r>
      <w:r>
        <w:rPr>
          <w:rFonts w:cs="Arial"/>
          <w:lang w:eastAsia="en-GB"/>
        </w:rPr>
        <w:t xml:space="preserve"> for </w:t>
      </w:r>
      <w:r w:rsidR="00720E08" w:rsidRPr="00624BA1">
        <w:rPr>
          <w:rFonts w:cs="Arial"/>
          <w:lang w:eastAsia="en-GB"/>
        </w:rPr>
        <w:t>3</w:t>
      </w:r>
      <w:r w:rsidR="00624BA1" w:rsidRPr="00624BA1">
        <w:rPr>
          <w:rFonts w:cs="Arial"/>
          <w:lang w:eastAsia="en-GB"/>
        </w:rPr>
        <w:t xml:space="preserve"> years with the option to extend for 2 further</w:t>
      </w:r>
      <w:r w:rsidRPr="00624BA1">
        <w:rPr>
          <w:rFonts w:cs="Arial"/>
          <w:lang w:eastAsia="en-GB"/>
        </w:rPr>
        <w:t xml:space="preserve"> years</w:t>
      </w:r>
      <w:r>
        <w:rPr>
          <w:rFonts w:cs="Arial"/>
          <w:lang w:eastAsia="en-GB"/>
        </w:rPr>
        <w:t xml:space="preserve"> and commence on 1</w:t>
      </w:r>
      <w:r w:rsidRPr="00480F98">
        <w:rPr>
          <w:rFonts w:cs="Arial"/>
          <w:vertAlign w:val="superscript"/>
          <w:lang w:eastAsia="en-GB"/>
        </w:rPr>
        <w:t>st</w:t>
      </w:r>
      <w:r>
        <w:rPr>
          <w:rFonts w:cs="Arial"/>
          <w:lang w:eastAsia="en-GB"/>
        </w:rPr>
        <w:t xml:space="preserve"> </w:t>
      </w:r>
      <w:r w:rsidR="00624BA1">
        <w:rPr>
          <w:rFonts w:cs="Arial"/>
          <w:lang w:eastAsia="en-GB"/>
        </w:rPr>
        <w:t>February</w:t>
      </w:r>
      <w:r w:rsidR="003854A8">
        <w:rPr>
          <w:rFonts w:cs="Arial"/>
          <w:lang w:eastAsia="en-GB"/>
        </w:rPr>
        <w:t xml:space="preserve"> 201</w:t>
      </w:r>
      <w:r w:rsidR="00624BA1">
        <w:rPr>
          <w:rFonts w:cs="Arial"/>
          <w:lang w:eastAsia="en-GB"/>
        </w:rPr>
        <w:t>8</w:t>
      </w:r>
      <w:r w:rsidR="003854A8">
        <w:rPr>
          <w:rFonts w:cs="Arial"/>
          <w:lang w:eastAsia="en-GB"/>
        </w:rPr>
        <w:t>. The</w:t>
      </w:r>
      <w:r w:rsidR="003854A8" w:rsidRPr="00E04B04">
        <w:rPr>
          <w:rFonts w:cs="Arial"/>
          <w:color w:val="FFC000"/>
          <w:lang w:eastAsia="en-GB"/>
        </w:rPr>
        <w:t xml:space="preserve"> </w:t>
      </w:r>
      <w:r w:rsidR="003854A8" w:rsidRPr="003854A8">
        <w:rPr>
          <w:rFonts w:cs="Arial"/>
          <w:lang w:eastAsia="en-GB"/>
        </w:rPr>
        <w:t xml:space="preserve">contract value stands at </w:t>
      </w:r>
      <w:r w:rsidR="00624BA1">
        <w:rPr>
          <w:rFonts w:cs="Arial"/>
          <w:b/>
          <w:lang w:eastAsia="en-GB"/>
        </w:rPr>
        <w:t>£493,966 per annum</w:t>
      </w:r>
      <w:r w:rsidR="00DD28FE">
        <w:rPr>
          <w:rFonts w:cs="Arial"/>
          <w:lang w:eastAsia="en-GB"/>
        </w:rPr>
        <w:t>, making</w:t>
      </w:r>
      <w:r w:rsidR="00A4630E">
        <w:rPr>
          <w:rFonts w:cs="Arial"/>
          <w:lang w:eastAsia="en-GB"/>
        </w:rPr>
        <w:t xml:space="preserve"> the</w:t>
      </w:r>
      <w:r w:rsidR="00DD28FE">
        <w:rPr>
          <w:rFonts w:cs="Arial"/>
          <w:lang w:eastAsia="en-GB"/>
        </w:rPr>
        <w:t xml:space="preserve"> overall contract value </w:t>
      </w:r>
      <w:r w:rsidR="00DD28FE" w:rsidRPr="00DD28FE">
        <w:rPr>
          <w:rFonts w:cs="Arial"/>
          <w:b/>
          <w:lang w:eastAsia="en-GB"/>
        </w:rPr>
        <w:t>£</w:t>
      </w:r>
      <w:r w:rsidR="00624BA1">
        <w:rPr>
          <w:rFonts w:cs="Arial"/>
          <w:b/>
          <w:lang w:eastAsia="en-GB"/>
        </w:rPr>
        <w:t>1,481,898</w:t>
      </w:r>
      <w:r w:rsidR="00A4630E">
        <w:rPr>
          <w:rFonts w:cs="Arial"/>
          <w:b/>
          <w:lang w:eastAsia="en-GB"/>
        </w:rPr>
        <w:t>.</w:t>
      </w:r>
      <w:r w:rsidR="003854A8" w:rsidRPr="003854A8">
        <w:rPr>
          <w:rFonts w:cs="Arial"/>
          <w:lang w:eastAsia="en-GB"/>
        </w:rPr>
        <w:t xml:space="preserve"> All services are to be provided across Oxfordshire with bases in the following locality areas</w:t>
      </w:r>
      <w:r w:rsidR="003854A8">
        <w:rPr>
          <w:rFonts w:cs="Arial"/>
          <w:lang w:eastAsia="en-GB"/>
        </w:rPr>
        <w:t xml:space="preserve"> (See figure 1 for locality map)</w:t>
      </w:r>
      <w:r w:rsidR="003854A8" w:rsidRPr="003854A8">
        <w:rPr>
          <w:rFonts w:cs="Arial"/>
          <w:lang w:eastAsia="en-GB"/>
        </w:rPr>
        <w:t xml:space="preserve">; </w:t>
      </w:r>
    </w:p>
    <w:p w:rsidR="003854A8" w:rsidRPr="00E04B04" w:rsidRDefault="003854A8" w:rsidP="003854A8">
      <w:pPr>
        <w:rPr>
          <w:rFonts w:cs="Arial"/>
          <w:color w:val="FFC000"/>
          <w:lang w:eastAsia="en-GB"/>
        </w:rPr>
      </w:pPr>
    </w:p>
    <w:p w:rsidR="003854A8" w:rsidRPr="003854A8" w:rsidRDefault="003854A8" w:rsidP="003854A8">
      <w:pPr>
        <w:rPr>
          <w:rFonts w:cs="Arial"/>
          <w:lang w:eastAsia="en-GB"/>
        </w:rPr>
      </w:pPr>
      <w:proofErr w:type="gramStart"/>
      <w:r w:rsidRPr="003854A8">
        <w:rPr>
          <w:rFonts w:cs="Arial"/>
        </w:rPr>
        <w:t xml:space="preserve">Ultrasound – </w:t>
      </w:r>
      <w:r w:rsidRPr="003854A8">
        <w:rPr>
          <w:rFonts w:cs="Arial"/>
          <w:lang w:eastAsia="en-GB"/>
        </w:rPr>
        <w:t>North, North East, South East, South West and West Localities and Oxford City.</w:t>
      </w:r>
      <w:proofErr w:type="gramEnd"/>
      <w:r w:rsidRPr="003854A8">
        <w:rPr>
          <w:rFonts w:cs="Arial"/>
          <w:lang w:eastAsia="en-GB"/>
        </w:rPr>
        <w:t xml:space="preserve"> </w:t>
      </w:r>
    </w:p>
    <w:p w:rsidR="003854A8" w:rsidRPr="003854A8" w:rsidRDefault="003854A8" w:rsidP="003854A8">
      <w:pPr>
        <w:rPr>
          <w:rFonts w:cs="Arial"/>
        </w:rPr>
      </w:pPr>
    </w:p>
    <w:p w:rsidR="003854A8" w:rsidRPr="003854A8" w:rsidRDefault="003854A8" w:rsidP="003854A8">
      <w:pPr>
        <w:rPr>
          <w:rFonts w:cs="Arial"/>
        </w:rPr>
      </w:pPr>
      <w:r w:rsidRPr="00504252">
        <w:rPr>
          <w:rFonts w:cs="Arial"/>
          <w:lang w:eastAsia="en-GB"/>
        </w:rPr>
        <w:t>Th</w:t>
      </w:r>
      <w:r w:rsidR="00A4630E">
        <w:rPr>
          <w:rFonts w:cs="Arial"/>
          <w:lang w:eastAsia="en-GB"/>
        </w:rPr>
        <w:t>is</w:t>
      </w:r>
      <w:r w:rsidR="00624BA1">
        <w:rPr>
          <w:rFonts w:cs="Arial"/>
          <w:lang w:eastAsia="en-GB"/>
        </w:rPr>
        <w:t xml:space="preserve"> service</w:t>
      </w:r>
      <w:r w:rsidRPr="00504252">
        <w:rPr>
          <w:rFonts w:cs="Arial"/>
          <w:lang w:eastAsia="en-GB"/>
        </w:rPr>
        <w:t xml:space="preserve"> </w:t>
      </w:r>
      <w:r w:rsidR="00A4630E">
        <w:rPr>
          <w:rFonts w:cs="Arial"/>
          <w:lang w:eastAsia="en-GB"/>
        </w:rPr>
        <w:t xml:space="preserve">must </w:t>
      </w:r>
      <w:r w:rsidRPr="00504252">
        <w:rPr>
          <w:rFonts w:cs="Arial"/>
          <w:lang w:eastAsia="en-GB"/>
        </w:rPr>
        <w:t xml:space="preserve">be delivered by a single provider </w:t>
      </w:r>
      <w:r w:rsidR="00A4630E">
        <w:rPr>
          <w:rFonts w:cs="Arial"/>
          <w:lang w:eastAsia="en-GB"/>
        </w:rPr>
        <w:t>(partnerships or sub-contracting is permitted</w:t>
      </w:r>
      <w:proofErr w:type="gramStart"/>
      <w:r w:rsidR="00A4630E">
        <w:rPr>
          <w:rFonts w:cs="Arial"/>
          <w:lang w:eastAsia="en-GB"/>
        </w:rPr>
        <w:t xml:space="preserve">) </w:t>
      </w:r>
      <w:r w:rsidRPr="00504252">
        <w:rPr>
          <w:rFonts w:cs="Arial"/>
          <w:lang w:eastAsia="en-GB"/>
        </w:rPr>
        <w:t xml:space="preserve"> </w:t>
      </w:r>
      <w:r w:rsidR="00A4630E">
        <w:rPr>
          <w:rFonts w:cs="Arial"/>
          <w:lang w:eastAsia="en-GB"/>
        </w:rPr>
        <w:t>and</w:t>
      </w:r>
      <w:proofErr w:type="gramEnd"/>
      <w:r w:rsidR="00A4630E">
        <w:rPr>
          <w:rFonts w:cs="Arial"/>
          <w:lang w:eastAsia="en-GB"/>
        </w:rPr>
        <w:t xml:space="preserve"> </w:t>
      </w:r>
      <w:r w:rsidRPr="00504252">
        <w:rPr>
          <w:rFonts w:cs="Arial"/>
          <w:lang w:eastAsia="en-GB"/>
        </w:rPr>
        <w:t xml:space="preserve">any potential provider interested in delivering the service </w:t>
      </w:r>
      <w:r w:rsidR="00A4630E">
        <w:rPr>
          <w:rFonts w:cs="Arial"/>
          <w:lang w:eastAsia="en-GB"/>
        </w:rPr>
        <w:t xml:space="preserve">must </w:t>
      </w:r>
      <w:r w:rsidRPr="00504252">
        <w:rPr>
          <w:rFonts w:cs="Arial"/>
          <w:lang w:eastAsia="en-GB"/>
        </w:rPr>
        <w:t>be able to deliver</w:t>
      </w:r>
      <w:r w:rsidR="00A4630E">
        <w:rPr>
          <w:rFonts w:cs="Arial"/>
          <w:lang w:eastAsia="en-GB"/>
        </w:rPr>
        <w:t xml:space="preserve"> it</w:t>
      </w:r>
      <w:r w:rsidRPr="00504252">
        <w:rPr>
          <w:rFonts w:cs="Arial"/>
          <w:lang w:eastAsia="en-GB"/>
        </w:rPr>
        <w:t xml:space="preserve"> to the whole of Oxfordshire rather than a part of it. </w:t>
      </w:r>
      <w:r w:rsidRPr="00480F98">
        <w:rPr>
          <w:rFonts w:cs="Arial"/>
          <w:lang w:eastAsia="en-GB"/>
        </w:rPr>
        <w:t xml:space="preserve"> </w:t>
      </w:r>
    </w:p>
    <w:p w:rsidR="003A7F57" w:rsidRDefault="003A7F57" w:rsidP="003A7F57">
      <w:pPr>
        <w:rPr>
          <w:rFonts w:cs="Arial"/>
        </w:rPr>
      </w:pPr>
    </w:p>
    <w:p w:rsidR="003A7F57" w:rsidRPr="00480F98" w:rsidRDefault="00A4630E" w:rsidP="003A7F57">
      <w:pPr>
        <w:jc w:val="both"/>
        <w:rPr>
          <w:rFonts w:cs="Arial"/>
        </w:rPr>
      </w:pPr>
      <w:r>
        <w:rPr>
          <w:rFonts w:eastAsiaTheme="minorEastAsia" w:cs="Arial"/>
          <w:szCs w:val="22"/>
          <w:lang w:eastAsia="en-GB"/>
        </w:rPr>
        <w:t>Bids</w:t>
      </w:r>
      <w:r w:rsidR="003A7F57" w:rsidRPr="00480F98">
        <w:rPr>
          <w:rFonts w:eastAsiaTheme="minorEastAsia" w:cs="Arial"/>
          <w:szCs w:val="22"/>
          <w:lang w:eastAsia="en-GB"/>
        </w:rPr>
        <w:t xml:space="preserve"> must be received by 13:00 on the </w:t>
      </w:r>
      <w:r w:rsidR="00624BA1">
        <w:rPr>
          <w:rFonts w:eastAsiaTheme="minorEastAsia" w:cs="Arial"/>
          <w:szCs w:val="22"/>
          <w:lang w:eastAsia="en-GB"/>
        </w:rPr>
        <w:t>2</w:t>
      </w:r>
      <w:r w:rsidR="00624BA1" w:rsidRPr="00624BA1">
        <w:rPr>
          <w:rFonts w:eastAsiaTheme="minorEastAsia" w:cs="Arial"/>
          <w:szCs w:val="22"/>
          <w:vertAlign w:val="superscript"/>
          <w:lang w:eastAsia="en-GB"/>
        </w:rPr>
        <w:t>nd</w:t>
      </w:r>
      <w:r w:rsidR="00624BA1">
        <w:rPr>
          <w:rFonts w:eastAsiaTheme="minorEastAsia" w:cs="Arial"/>
          <w:szCs w:val="22"/>
          <w:lang w:eastAsia="en-GB"/>
        </w:rPr>
        <w:t xml:space="preserve"> October 2017</w:t>
      </w:r>
      <w:r w:rsidR="003A7F57" w:rsidRPr="00480F98">
        <w:rPr>
          <w:rFonts w:eastAsiaTheme="minorEastAsia" w:cs="Arial"/>
          <w:szCs w:val="22"/>
          <w:lang w:eastAsia="en-GB"/>
        </w:rPr>
        <w:t xml:space="preserve">. </w:t>
      </w:r>
    </w:p>
    <w:p w:rsidR="003A7F57" w:rsidRPr="00726196" w:rsidRDefault="003A7F57" w:rsidP="003A7F57">
      <w:pPr>
        <w:rPr>
          <w:rFonts w:cs="Arial"/>
          <w:b/>
          <w:bCs/>
          <w:color w:val="365F91" w:themeColor="accent1" w:themeShade="BF"/>
          <w:szCs w:val="22"/>
          <w:lang w:eastAsia="en-GB"/>
        </w:rPr>
      </w:pPr>
    </w:p>
    <w:p w:rsidR="003A7F57" w:rsidRPr="00480F98" w:rsidRDefault="003A7F57" w:rsidP="003A7F57">
      <w:pPr>
        <w:jc w:val="both"/>
        <w:rPr>
          <w:rFonts w:eastAsiaTheme="minorEastAsia" w:cs="Arial"/>
          <w:szCs w:val="22"/>
        </w:rPr>
      </w:pPr>
      <w:r w:rsidRPr="00480F98">
        <w:rPr>
          <w:rFonts w:eastAsiaTheme="minorEastAsia" w:cs="Arial"/>
          <w:szCs w:val="22"/>
        </w:rPr>
        <w:t xml:space="preserve">Further information regarding this process </w:t>
      </w:r>
      <w:r w:rsidRPr="00480F98">
        <w:rPr>
          <w:rFonts w:eastAsiaTheme="minorEastAsia" w:cs="Arial"/>
          <w:szCs w:val="22"/>
          <w:lang w:eastAsia="en-GB"/>
        </w:rPr>
        <w:t>including a copy of the I</w:t>
      </w:r>
      <w:r w:rsidR="00A4630E">
        <w:rPr>
          <w:rFonts w:eastAsiaTheme="minorEastAsia" w:cs="Arial"/>
          <w:szCs w:val="22"/>
          <w:lang w:eastAsia="en-GB"/>
        </w:rPr>
        <w:t xml:space="preserve">nvitation </w:t>
      </w:r>
      <w:proofErr w:type="gramStart"/>
      <w:r w:rsidRPr="00480F98">
        <w:rPr>
          <w:rFonts w:eastAsiaTheme="minorEastAsia" w:cs="Arial"/>
          <w:szCs w:val="22"/>
          <w:lang w:eastAsia="en-GB"/>
        </w:rPr>
        <w:t>T</w:t>
      </w:r>
      <w:r w:rsidR="00A4630E">
        <w:rPr>
          <w:rFonts w:eastAsiaTheme="minorEastAsia" w:cs="Arial"/>
          <w:szCs w:val="22"/>
          <w:lang w:eastAsia="en-GB"/>
        </w:rPr>
        <w:t>o</w:t>
      </w:r>
      <w:proofErr w:type="gramEnd"/>
      <w:r w:rsidR="00A4630E">
        <w:rPr>
          <w:rFonts w:eastAsiaTheme="minorEastAsia" w:cs="Arial"/>
          <w:szCs w:val="22"/>
          <w:lang w:eastAsia="en-GB"/>
        </w:rPr>
        <w:t xml:space="preserve"> </w:t>
      </w:r>
      <w:r w:rsidRPr="00480F98">
        <w:rPr>
          <w:rFonts w:eastAsiaTheme="minorEastAsia" w:cs="Arial"/>
          <w:szCs w:val="22"/>
          <w:lang w:eastAsia="en-GB"/>
        </w:rPr>
        <w:t>T</w:t>
      </w:r>
      <w:r w:rsidR="00A4630E">
        <w:rPr>
          <w:rFonts w:eastAsiaTheme="minorEastAsia" w:cs="Arial"/>
          <w:szCs w:val="22"/>
          <w:lang w:eastAsia="en-GB"/>
        </w:rPr>
        <w:t>ender</w:t>
      </w:r>
      <w:r w:rsidRPr="00480F98">
        <w:rPr>
          <w:rFonts w:eastAsiaTheme="minorEastAsia" w:cs="Arial"/>
          <w:szCs w:val="22"/>
          <w:lang w:eastAsia="en-GB"/>
        </w:rPr>
        <w:t xml:space="preserve"> </w:t>
      </w:r>
      <w:r w:rsidRPr="00480F98">
        <w:rPr>
          <w:rFonts w:eastAsiaTheme="minorEastAsia" w:cs="Arial"/>
          <w:szCs w:val="22"/>
        </w:rPr>
        <w:t>can be found on our e-procurement portal:</w:t>
      </w:r>
    </w:p>
    <w:p w:rsidR="003A7F57" w:rsidRPr="00480F98" w:rsidRDefault="003A7F57" w:rsidP="003A7F57">
      <w:pPr>
        <w:jc w:val="both"/>
        <w:rPr>
          <w:rFonts w:eastAsiaTheme="minorEastAsia" w:cs="Arial"/>
          <w:szCs w:val="22"/>
        </w:rPr>
      </w:pPr>
      <w:proofErr w:type="gramStart"/>
      <w:r w:rsidRPr="00480F98">
        <w:rPr>
          <w:rFonts w:eastAsiaTheme="minorEastAsia" w:cs="Arial"/>
          <w:szCs w:val="22"/>
        </w:rPr>
        <w:t xml:space="preserve">(In-tend - </w:t>
      </w:r>
      <w:hyperlink r:id="rId8" w:history="1">
        <w:r w:rsidRPr="00480F98">
          <w:rPr>
            <w:rFonts w:eastAsiaTheme="minorEastAsia" w:cs="Arial"/>
            <w:b/>
            <w:szCs w:val="22"/>
            <w:u w:val="single"/>
          </w:rPr>
          <w:t>https://in-tendhost.co.uk/scwcsu/aspx/Home</w:t>
        </w:r>
      </w:hyperlink>
      <w:r w:rsidRPr="00480F98">
        <w:rPr>
          <w:rFonts w:eastAsiaTheme="minorEastAsia" w:cs="Arial"/>
          <w:szCs w:val="22"/>
        </w:rPr>
        <w:t>) in the “Bidder</w:t>
      </w:r>
      <w:r w:rsidR="00624BA1">
        <w:rPr>
          <w:rFonts w:eastAsiaTheme="minorEastAsia" w:cs="Arial"/>
          <w:szCs w:val="22"/>
        </w:rPr>
        <w:t xml:space="preserve"> Instructions – Community Ultrasound</w:t>
      </w:r>
      <w:r w:rsidRPr="00480F98">
        <w:rPr>
          <w:rFonts w:eastAsiaTheme="minorEastAsia" w:cs="Arial"/>
          <w:szCs w:val="22"/>
        </w:rPr>
        <w:t>” document.</w:t>
      </w:r>
      <w:proofErr w:type="gramEnd"/>
    </w:p>
    <w:p w:rsidR="003A7F57" w:rsidRPr="00415655" w:rsidRDefault="003A7F57" w:rsidP="003A7F57">
      <w:pPr>
        <w:widowControl w:val="0"/>
        <w:kinsoku w:val="0"/>
        <w:overflowPunct w:val="0"/>
        <w:autoSpaceDE w:val="0"/>
        <w:autoSpaceDN w:val="0"/>
        <w:adjustRightInd w:val="0"/>
        <w:rPr>
          <w:rFonts w:eastAsiaTheme="minorEastAsia" w:cs="Arial"/>
          <w:sz w:val="24"/>
          <w:lang w:eastAsia="en-GB"/>
        </w:rPr>
      </w:pPr>
    </w:p>
    <w:p w:rsidR="00F31619" w:rsidRPr="00415655" w:rsidRDefault="00F31619" w:rsidP="00F31619">
      <w:pPr>
        <w:widowControl w:val="0"/>
        <w:kinsoku w:val="0"/>
        <w:overflowPunct w:val="0"/>
        <w:autoSpaceDE w:val="0"/>
        <w:autoSpaceDN w:val="0"/>
        <w:adjustRightInd w:val="0"/>
        <w:jc w:val="both"/>
        <w:rPr>
          <w:rFonts w:eastAsiaTheme="minorEastAsia" w:cs="Arial"/>
          <w:szCs w:val="22"/>
          <w:lang w:eastAsia="en-GB"/>
        </w:rPr>
      </w:pPr>
    </w:p>
    <w:p w:rsidR="00F31619" w:rsidRPr="00504252" w:rsidRDefault="00F31619" w:rsidP="00F31619">
      <w:r w:rsidRPr="00504252">
        <w:rPr>
          <w:rFonts w:eastAsiaTheme="minorEastAsia" w:cs="Arial"/>
          <w:szCs w:val="22"/>
          <w:lang w:eastAsia="en-GB"/>
        </w:rPr>
        <w:t>Please note that this service is a healthcare service within the meaning and scope of the National Health Service (Procurement, Patient Choice and Competition) (No.2) Regulations 2013 and as such is governed by these regulations and the “light touch” regime under the UK Public Contract</w:t>
      </w:r>
      <w:r w:rsidR="00CA2C5D">
        <w:rPr>
          <w:rFonts w:eastAsiaTheme="minorEastAsia" w:cs="Arial"/>
          <w:szCs w:val="22"/>
          <w:lang w:eastAsia="en-GB"/>
        </w:rPr>
        <w:t>s</w:t>
      </w:r>
      <w:r w:rsidRPr="00504252">
        <w:rPr>
          <w:rFonts w:eastAsiaTheme="minorEastAsia" w:cs="Arial"/>
          <w:szCs w:val="22"/>
          <w:lang w:eastAsia="en-GB"/>
        </w:rPr>
        <w:t xml:space="preserve"> Regulations 2015. The CCG will not be bound by any regulations beyond those which explicitly apply to procurements for such services and any references to processes or procedures (e.g. “the </w:t>
      </w:r>
      <w:bookmarkStart w:id="0" w:name="_GoBack"/>
      <w:bookmarkEnd w:id="0"/>
      <w:r w:rsidR="00A4630E">
        <w:rPr>
          <w:rFonts w:eastAsiaTheme="minorEastAsia" w:cs="Arial"/>
          <w:szCs w:val="22"/>
          <w:lang w:eastAsia="en-GB"/>
        </w:rPr>
        <w:t xml:space="preserve">open </w:t>
      </w:r>
      <w:r w:rsidRPr="00504252">
        <w:rPr>
          <w:rFonts w:eastAsiaTheme="minorEastAsia" w:cs="Arial"/>
          <w:szCs w:val="22"/>
          <w:lang w:eastAsia="en-GB"/>
        </w:rPr>
        <w:t>procedure”) should not be taken to mean the CCG intends to be held to any beyond those stated above.</w:t>
      </w:r>
    </w:p>
    <w:p w:rsidR="00493F62" w:rsidRDefault="00493F62"/>
    <w:p w:rsidR="003854A8" w:rsidRDefault="003854A8"/>
    <w:p w:rsidR="003854A8" w:rsidRDefault="003854A8"/>
    <w:p w:rsidR="003854A8" w:rsidRDefault="003854A8"/>
    <w:p w:rsidR="003854A8" w:rsidRDefault="003854A8"/>
    <w:p w:rsidR="003854A8" w:rsidRDefault="003854A8">
      <w:pPr>
        <w:rPr>
          <w:b/>
        </w:rPr>
      </w:pPr>
      <w:r w:rsidRPr="003854A8">
        <w:rPr>
          <w:b/>
        </w:rPr>
        <w:t>Figure 1: Locality Map</w:t>
      </w:r>
    </w:p>
    <w:p w:rsidR="003854A8" w:rsidRDefault="003854A8">
      <w:pPr>
        <w:rPr>
          <w:b/>
        </w:rPr>
      </w:pPr>
    </w:p>
    <w:p w:rsidR="003854A8" w:rsidRDefault="003854A8">
      <w:pPr>
        <w:rPr>
          <w:b/>
        </w:rPr>
      </w:pPr>
    </w:p>
    <w:p w:rsidR="003854A8" w:rsidRDefault="003854A8">
      <w:pPr>
        <w:rPr>
          <w:b/>
        </w:rPr>
      </w:pPr>
    </w:p>
    <w:p w:rsidR="003854A8" w:rsidRDefault="003854A8">
      <w:pPr>
        <w:rPr>
          <w:b/>
        </w:rPr>
      </w:pPr>
    </w:p>
    <w:p w:rsidR="003854A8" w:rsidRPr="003854A8" w:rsidRDefault="003854A8">
      <w:pPr>
        <w:rPr>
          <w:b/>
        </w:rPr>
      </w:pPr>
    </w:p>
    <w:p w:rsidR="003854A8" w:rsidRDefault="003854A8">
      <w:r>
        <w:rPr>
          <w:noProof/>
          <w:lang w:eastAsia="en-GB"/>
        </w:rPr>
        <w:drawing>
          <wp:inline distT="0" distB="0" distL="0" distR="0" wp14:anchorId="76960352" wp14:editId="740A5766">
            <wp:extent cx="5731510" cy="722684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7226846"/>
                    </a:xfrm>
                    <a:prstGeom prst="rect">
                      <a:avLst/>
                    </a:prstGeom>
                  </pic:spPr>
                </pic:pic>
              </a:graphicData>
            </a:graphic>
          </wp:inline>
        </w:drawing>
      </w:r>
    </w:p>
    <w:sectPr w:rsidR="003854A8" w:rsidSect="008A31CF">
      <w:footerReference w:type="default" r:id="rId10"/>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5FB" w:rsidRDefault="009D55FB">
      <w:r>
        <w:separator/>
      </w:r>
    </w:p>
  </w:endnote>
  <w:endnote w:type="continuationSeparator" w:id="0">
    <w:p w:rsidR="009D55FB" w:rsidRDefault="009D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B3" w:rsidRPr="00E220B3" w:rsidRDefault="00F31619">
    <w:pPr>
      <w:pStyle w:val="Footer"/>
      <w:rPr>
        <w:sz w:val="16"/>
        <w:szCs w:val="16"/>
      </w:rPr>
    </w:pPr>
    <w:r w:rsidRPr="00E220B3">
      <w:rPr>
        <w:sz w:val="16"/>
        <w:szCs w:val="16"/>
      </w:rPr>
      <w:ptab w:relativeTo="margin" w:alignment="center" w:leader="none"/>
    </w:r>
    <w:r w:rsidRPr="00E220B3">
      <w:rPr>
        <w:sz w:val="16"/>
        <w:szCs w:val="16"/>
      </w:rPr>
      <w:t xml:space="preserve">Page </w:t>
    </w:r>
    <w:r w:rsidRPr="00E220B3">
      <w:rPr>
        <w:sz w:val="16"/>
        <w:szCs w:val="16"/>
      </w:rPr>
      <w:fldChar w:fldCharType="begin"/>
    </w:r>
    <w:r w:rsidRPr="00E220B3">
      <w:rPr>
        <w:sz w:val="16"/>
        <w:szCs w:val="16"/>
      </w:rPr>
      <w:instrText xml:space="preserve"> PAGE  \* Arabic  \* MERGEFORMAT </w:instrText>
    </w:r>
    <w:r w:rsidRPr="00E220B3">
      <w:rPr>
        <w:sz w:val="16"/>
        <w:szCs w:val="16"/>
      </w:rPr>
      <w:fldChar w:fldCharType="separate"/>
    </w:r>
    <w:r w:rsidR="00CA2C5D">
      <w:rPr>
        <w:noProof/>
        <w:sz w:val="16"/>
        <w:szCs w:val="16"/>
      </w:rPr>
      <w:t>3</w:t>
    </w:r>
    <w:r w:rsidRPr="00E220B3">
      <w:rPr>
        <w:sz w:val="16"/>
        <w:szCs w:val="16"/>
      </w:rPr>
      <w:fldChar w:fldCharType="end"/>
    </w:r>
    <w:r w:rsidRPr="00E220B3">
      <w:rPr>
        <w:sz w:val="16"/>
        <w:szCs w:val="16"/>
      </w:rPr>
      <w:t xml:space="preserve"> of </w:t>
    </w:r>
    <w:r w:rsidRPr="00E220B3">
      <w:rPr>
        <w:sz w:val="16"/>
        <w:szCs w:val="16"/>
      </w:rPr>
      <w:fldChar w:fldCharType="begin"/>
    </w:r>
    <w:r w:rsidRPr="00E220B3">
      <w:rPr>
        <w:sz w:val="16"/>
        <w:szCs w:val="16"/>
      </w:rPr>
      <w:instrText xml:space="preserve"> NUMPAGES  \* Arabic  \* MERGEFORMAT </w:instrText>
    </w:r>
    <w:r w:rsidRPr="00E220B3">
      <w:rPr>
        <w:sz w:val="16"/>
        <w:szCs w:val="16"/>
      </w:rPr>
      <w:fldChar w:fldCharType="separate"/>
    </w:r>
    <w:r w:rsidR="00CA2C5D">
      <w:rPr>
        <w:noProof/>
        <w:sz w:val="16"/>
        <w:szCs w:val="16"/>
      </w:rPr>
      <w:t>3</w:t>
    </w:r>
    <w:r w:rsidRPr="00E220B3">
      <w:rPr>
        <w:sz w:val="16"/>
        <w:szCs w:val="16"/>
      </w:rPr>
      <w:fldChar w:fldCharType="end"/>
    </w:r>
    <w:r w:rsidRPr="00E220B3">
      <w:rPr>
        <w:sz w:val="16"/>
        <w:szCs w:val="16"/>
      </w:rPr>
      <w:ptab w:relativeTo="margin" w:alignment="right" w:leader="none"/>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5FB" w:rsidRDefault="009D55FB">
      <w:r>
        <w:separator/>
      </w:r>
    </w:p>
  </w:footnote>
  <w:footnote w:type="continuationSeparator" w:id="0">
    <w:p w:rsidR="009D55FB" w:rsidRDefault="009D5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9C5"/>
    <w:multiLevelType w:val="hybridMultilevel"/>
    <w:tmpl w:val="9236A8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0D77C0"/>
    <w:multiLevelType w:val="hybridMultilevel"/>
    <w:tmpl w:val="BFC69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3C692E"/>
    <w:multiLevelType w:val="hybridMultilevel"/>
    <w:tmpl w:val="C77A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9052ED"/>
    <w:multiLevelType w:val="hybridMultilevel"/>
    <w:tmpl w:val="351CF20E"/>
    <w:lvl w:ilvl="0" w:tplc="58F650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6A787E"/>
    <w:multiLevelType w:val="hybridMultilevel"/>
    <w:tmpl w:val="A0F677B0"/>
    <w:lvl w:ilvl="0" w:tplc="58F650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F640C"/>
    <w:multiLevelType w:val="hybridMultilevel"/>
    <w:tmpl w:val="F404BD5E"/>
    <w:lvl w:ilvl="0" w:tplc="58F650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793BD7"/>
    <w:multiLevelType w:val="hybridMultilevel"/>
    <w:tmpl w:val="88D82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6C58FE"/>
    <w:multiLevelType w:val="hybridMultilevel"/>
    <w:tmpl w:val="8344605A"/>
    <w:lvl w:ilvl="0" w:tplc="58F650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D53305"/>
    <w:multiLevelType w:val="hybridMultilevel"/>
    <w:tmpl w:val="20420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BFD43B9"/>
    <w:multiLevelType w:val="hybridMultilevel"/>
    <w:tmpl w:val="A2CC0828"/>
    <w:lvl w:ilvl="0" w:tplc="58F650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0C6951"/>
    <w:multiLevelType w:val="hybridMultilevel"/>
    <w:tmpl w:val="198A24B6"/>
    <w:lvl w:ilvl="0" w:tplc="58F650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EB3B9C"/>
    <w:multiLevelType w:val="hybridMultilevel"/>
    <w:tmpl w:val="20420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DBD2242"/>
    <w:multiLevelType w:val="hybridMultilevel"/>
    <w:tmpl w:val="DEBC6166"/>
    <w:lvl w:ilvl="0" w:tplc="08090001">
      <w:start w:val="1"/>
      <w:numFmt w:val="bullet"/>
      <w:lvlText w:val=""/>
      <w:lvlJc w:val="left"/>
      <w:pPr>
        <w:tabs>
          <w:tab w:val="num" w:pos="1284"/>
        </w:tabs>
        <w:ind w:left="1284" w:hanging="360"/>
      </w:pPr>
      <w:rPr>
        <w:rFonts w:ascii="Symbol" w:hAnsi="Symbol" w:hint="default"/>
      </w:rPr>
    </w:lvl>
    <w:lvl w:ilvl="1" w:tplc="08090003" w:tentative="1">
      <w:start w:val="1"/>
      <w:numFmt w:val="bullet"/>
      <w:lvlText w:val="o"/>
      <w:lvlJc w:val="left"/>
      <w:pPr>
        <w:tabs>
          <w:tab w:val="num" w:pos="2004"/>
        </w:tabs>
        <w:ind w:left="2004" w:hanging="360"/>
      </w:pPr>
      <w:rPr>
        <w:rFonts w:ascii="Courier New" w:hAnsi="Courier New" w:cs="Courier New" w:hint="default"/>
      </w:rPr>
    </w:lvl>
    <w:lvl w:ilvl="2" w:tplc="08090005" w:tentative="1">
      <w:start w:val="1"/>
      <w:numFmt w:val="bullet"/>
      <w:lvlText w:val=""/>
      <w:lvlJc w:val="left"/>
      <w:pPr>
        <w:tabs>
          <w:tab w:val="num" w:pos="2724"/>
        </w:tabs>
        <w:ind w:left="2724" w:hanging="360"/>
      </w:pPr>
      <w:rPr>
        <w:rFonts w:ascii="Wingdings" w:hAnsi="Wingdings" w:hint="default"/>
      </w:rPr>
    </w:lvl>
    <w:lvl w:ilvl="3" w:tplc="08090001" w:tentative="1">
      <w:start w:val="1"/>
      <w:numFmt w:val="bullet"/>
      <w:lvlText w:val=""/>
      <w:lvlJc w:val="left"/>
      <w:pPr>
        <w:tabs>
          <w:tab w:val="num" w:pos="3444"/>
        </w:tabs>
        <w:ind w:left="3444" w:hanging="360"/>
      </w:pPr>
      <w:rPr>
        <w:rFonts w:ascii="Symbol" w:hAnsi="Symbol" w:hint="default"/>
      </w:rPr>
    </w:lvl>
    <w:lvl w:ilvl="4" w:tplc="08090003" w:tentative="1">
      <w:start w:val="1"/>
      <w:numFmt w:val="bullet"/>
      <w:lvlText w:val="o"/>
      <w:lvlJc w:val="left"/>
      <w:pPr>
        <w:tabs>
          <w:tab w:val="num" w:pos="4164"/>
        </w:tabs>
        <w:ind w:left="4164" w:hanging="360"/>
      </w:pPr>
      <w:rPr>
        <w:rFonts w:ascii="Courier New" w:hAnsi="Courier New" w:cs="Courier New" w:hint="default"/>
      </w:rPr>
    </w:lvl>
    <w:lvl w:ilvl="5" w:tplc="08090005" w:tentative="1">
      <w:start w:val="1"/>
      <w:numFmt w:val="bullet"/>
      <w:lvlText w:val=""/>
      <w:lvlJc w:val="left"/>
      <w:pPr>
        <w:tabs>
          <w:tab w:val="num" w:pos="4884"/>
        </w:tabs>
        <w:ind w:left="4884" w:hanging="360"/>
      </w:pPr>
      <w:rPr>
        <w:rFonts w:ascii="Wingdings" w:hAnsi="Wingdings" w:hint="default"/>
      </w:rPr>
    </w:lvl>
    <w:lvl w:ilvl="6" w:tplc="08090001" w:tentative="1">
      <w:start w:val="1"/>
      <w:numFmt w:val="bullet"/>
      <w:lvlText w:val=""/>
      <w:lvlJc w:val="left"/>
      <w:pPr>
        <w:tabs>
          <w:tab w:val="num" w:pos="5604"/>
        </w:tabs>
        <w:ind w:left="5604" w:hanging="360"/>
      </w:pPr>
      <w:rPr>
        <w:rFonts w:ascii="Symbol" w:hAnsi="Symbol" w:hint="default"/>
      </w:rPr>
    </w:lvl>
    <w:lvl w:ilvl="7" w:tplc="08090003" w:tentative="1">
      <w:start w:val="1"/>
      <w:numFmt w:val="bullet"/>
      <w:lvlText w:val="o"/>
      <w:lvlJc w:val="left"/>
      <w:pPr>
        <w:tabs>
          <w:tab w:val="num" w:pos="6324"/>
        </w:tabs>
        <w:ind w:left="6324" w:hanging="360"/>
      </w:pPr>
      <w:rPr>
        <w:rFonts w:ascii="Courier New" w:hAnsi="Courier New" w:cs="Courier New" w:hint="default"/>
      </w:rPr>
    </w:lvl>
    <w:lvl w:ilvl="8" w:tplc="08090005" w:tentative="1">
      <w:start w:val="1"/>
      <w:numFmt w:val="bullet"/>
      <w:lvlText w:val=""/>
      <w:lvlJc w:val="left"/>
      <w:pPr>
        <w:tabs>
          <w:tab w:val="num" w:pos="7044"/>
        </w:tabs>
        <w:ind w:left="7044" w:hanging="360"/>
      </w:pPr>
      <w:rPr>
        <w:rFonts w:ascii="Wingdings" w:hAnsi="Wingdings" w:hint="default"/>
      </w:rPr>
    </w:lvl>
  </w:abstractNum>
  <w:abstractNum w:abstractNumId="13">
    <w:nsid w:val="567A5B75"/>
    <w:multiLevelType w:val="hybridMultilevel"/>
    <w:tmpl w:val="DC565F80"/>
    <w:lvl w:ilvl="0" w:tplc="04090007">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57EE0831"/>
    <w:multiLevelType w:val="hybridMultilevel"/>
    <w:tmpl w:val="098A42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AA41D5D"/>
    <w:multiLevelType w:val="hybridMultilevel"/>
    <w:tmpl w:val="70A4A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
  </w:num>
  <w:num w:numId="3">
    <w:abstractNumId w:val="15"/>
  </w:num>
  <w:num w:numId="4">
    <w:abstractNumId w:val="6"/>
  </w:num>
  <w:num w:numId="5">
    <w:abstractNumId w:val="2"/>
  </w:num>
  <w:num w:numId="6">
    <w:abstractNumId w:val="10"/>
  </w:num>
  <w:num w:numId="7">
    <w:abstractNumId w:val="11"/>
  </w:num>
  <w:num w:numId="8">
    <w:abstractNumId w:val="12"/>
  </w:num>
  <w:num w:numId="9">
    <w:abstractNumId w:val="8"/>
  </w:num>
  <w:num w:numId="10">
    <w:abstractNumId w:val="5"/>
  </w:num>
  <w:num w:numId="11">
    <w:abstractNumId w:val="13"/>
  </w:num>
  <w:num w:numId="12">
    <w:abstractNumId w:val="7"/>
  </w:num>
  <w:num w:numId="13">
    <w:abstractNumId w:val="9"/>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619"/>
    <w:rsid w:val="000928B5"/>
    <w:rsid w:val="00134932"/>
    <w:rsid w:val="001A68D8"/>
    <w:rsid w:val="001D26F1"/>
    <w:rsid w:val="00261D34"/>
    <w:rsid w:val="003552F9"/>
    <w:rsid w:val="003854A8"/>
    <w:rsid w:val="003A7F57"/>
    <w:rsid w:val="003D40B7"/>
    <w:rsid w:val="00462251"/>
    <w:rsid w:val="00493F62"/>
    <w:rsid w:val="004A4C94"/>
    <w:rsid w:val="004E62E2"/>
    <w:rsid w:val="00504252"/>
    <w:rsid w:val="00624BA1"/>
    <w:rsid w:val="006A17E1"/>
    <w:rsid w:val="00720E08"/>
    <w:rsid w:val="00751332"/>
    <w:rsid w:val="007C0816"/>
    <w:rsid w:val="009D55FB"/>
    <w:rsid w:val="00A4630E"/>
    <w:rsid w:val="00A51260"/>
    <w:rsid w:val="00A867E9"/>
    <w:rsid w:val="00C73434"/>
    <w:rsid w:val="00CA2C5D"/>
    <w:rsid w:val="00D36412"/>
    <w:rsid w:val="00DD28FE"/>
    <w:rsid w:val="00E34523"/>
    <w:rsid w:val="00EC0DF2"/>
    <w:rsid w:val="00F31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1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161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31619"/>
    <w:pPr>
      <w:spacing w:after="0" w:line="240" w:lineRule="auto"/>
    </w:pPr>
  </w:style>
  <w:style w:type="paragraph" w:styleId="ListParagraph">
    <w:name w:val="List Paragraph"/>
    <w:basedOn w:val="Normal"/>
    <w:link w:val="ListParagraphChar"/>
    <w:uiPriority w:val="34"/>
    <w:qFormat/>
    <w:rsid w:val="00F31619"/>
    <w:pPr>
      <w:ind w:left="720"/>
      <w:contextualSpacing/>
    </w:pPr>
  </w:style>
  <w:style w:type="paragraph" w:styleId="Header">
    <w:name w:val="header"/>
    <w:basedOn w:val="Normal"/>
    <w:link w:val="HeaderChar"/>
    <w:uiPriority w:val="99"/>
    <w:unhideWhenUsed/>
    <w:rsid w:val="00F31619"/>
    <w:pPr>
      <w:tabs>
        <w:tab w:val="center" w:pos="4513"/>
        <w:tab w:val="right" w:pos="9026"/>
      </w:tabs>
    </w:pPr>
  </w:style>
  <w:style w:type="character" w:customStyle="1" w:styleId="HeaderChar">
    <w:name w:val="Header Char"/>
    <w:basedOn w:val="DefaultParagraphFont"/>
    <w:link w:val="Header"/>
    <w:uiPriority w:val="99"/>
    <w:rsid w:val="00F31619"/>
    <w:rPr>
      <w:rFonts w:ascii="Arial" w:eastAsia="Times New Roman" w:hAnsi="Arial" w:cs="Times New Roman"/>
      <w:szCs w:val="24"/>
    </w:rPr>
  </w:style>
  <w:style w:type="paragraph" w:styleId="Footer">
    <w:name w:val="footer"/>
    <w:basedOn w:val="Normal"/>
    <w:link w:val="FooterChar"/>
    <w:uiPriority w:val="99"/>
    <w:unhideWhenUsed/>
    <w:rsid w:val="00F31619"/>
    <w:pPr>
      <w:tabs>
        <w:tab w:val="center" w:pos="4513"/>
        <w:tab w:val="right" w:pos="9026"/>
      </w:tabs>
    </w:pPr>
  </w:style>
  <w:style w:type="character" w:customStyle="1" w:styleId="FooterChar">
    <w:name w:val="Footer Char"/>
    <w:basedOn w:val="DefaultParagraphFont"/>
    <w:link w:val="Footer"/>
    <w:uiPriority w:val="99"/>
    <w:rsid w:val="00F31619"/>
    <w:rPr>
      <w:rFonts w:ascii="Arial" w:eastAsia="Times New Roman" w:hAnsi="Arial" w:cs="Times New Roman"/>
      <w:szCs w:val="24"/>
    </w:rPr>
  </w:style>
  <w:style w:type="paragraph" w:styleId="BalloonText">
    <w:name w:val="Balloon Text"/>
    <w:basedOn w:val="Normal"/>
    <w:link w:val="BalloonTextChar"/>
    <w:uiPriority w:val="99"/>
    <w:semiHidden/>
    <w:unhideWhenUsed/>
    <w:rsid w:val="003854A8"/>
    <w:rPr>
      <w:rFonts w:ascii="Tahoma" w:hAnsi="Tahoma" w:cs="Tahoma"/>
      <w:sz w:val="16"/>
      <w:szCs w:val="16"/>
    </w:rPr>
  </w:style>
  <w:style w:type="character" w:customStyle="1" w:styleId="BalloonTextChar">
    <w:name w:val="Balloon Text Char"/>
    <w:basedOn w:val="DefaultParagraphFont"/>
    <w:link w:val="BalloonText"/>
    <w:uiPriority w:val="99"/>
    <w:semiHidden/>
    <w:rsid w:val="003854A8"/>
    <w:rPr>
      <w:rFonts w:ascii="Tahoma" w:eastAsia="Times New Roman" w:hAnsi="Tahoma" w:cs="Tahoma"/>
      <w:sz w:val="16"/>
      <w:szCs w:val="16"/>
    </w:rPr>
  </w:style>
  <w:style w:type="paragraph" w:styleId="BodyText">
    <w:name w:val="Body Text"/>
    <w:basedOn w:val="Normal"/>
    <w:link w:val="BodyTextChar"/>
    <w:rsid w:val="00A867E9"/>
    <w:pPr>
      <w:jc w:val="both"/>
    </w:pPr>
    <w:rPr>
      <w:szCs w:val="20"/>
    </w:rPr>
  </w:style>
  <w:style w:type="character" w:customStyle="1" w:styleId="BodyTextChar">
    <w:name w:val="Body Text Char"/>
    <w:basedOn w:val="DefaultParagraphFont"/>
    <w:link w:val="BodyText"/>
    <w:rsid w:val="00A867E9"/>
    <w:rPr>
      <w:rFonts w:ascii="Arial" w:eastAsia="Times New Roman" w:hAnsi="Arial" w:cs="Times New Roman"/>
      <w:szCs w:val="20"/>
    </w:rPr>
  </w:style>
  <w:style w:type="character" w:styleId="CommentReference">
    <w:name w:val="annotation reference"/>
    <w:basedOn w:val="DefaultParagraphFont"/>
    <w:uiPriority w:val="99"/>
    <w:semiHidden/>
    <w:unhideWhenUsed/>
    <w:rsid w:val="001D26F1"/>
    <w:rPr>
      <w:sz w:val="16"/>
      <w:szCs w:val="16"/>
    </w:rPr>
  </w:style>
  <w:style w:type="paragraph" w:styleId="CommentText">
    <w:name w:val="annotation text"/>
    <w:basedOn w:val="Normal"/>
    <w:link w:val="CommentTextChar"/>
    <w:uiPriority w:val="99"/>
    <w:semiHidden/>
    <w:unhideWhenUsed/>
    <w:rsid w:val="001D26F1"/>
    <w:rPr>
      <w:sz w:val="20"/>
      <w:szCs w:val="20"/>
    </w:rPr>
  </w:style>
  <w:style w:type="character" w:customStyle="1" w:styleId="CommentTextChar">
    <w:name w:val="Comment Text Char"/>
    <w:basedOn w:val="DefaultParagraphFont"/>
    <w:link w:val="CommentText"/>
    <w:uiPriority w:val="99"/>
    <w:semiHidden/>
    <w:rsid w:val="001D26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D26F1"/>
    <w:rPr>
      <w:b/>
      <w:bCs/>
    </w:rPr>
  </w:style>
  <w:style w:type="character" w:customStyle="1" w:styleId="CommentSubjectChar">
    <w:name w:val="Comment Subject Char"/>
    <w:basedOn w:val="CommentTextChar"/>
    <w:link w:val="CommentSubject"/>
    <w:uiPriority w:val="99"/>
    <w:semiHidden/>
    <w:rsid w:val="001D26F1"/>
    <w:rPr>
      <w:rFonts w:ascii="Arial" w:eastAsia="Times New Roman" w:hAnsi="Arial" w:cs="Times New Roman"/>
      <w:b/>
      <w:bCs/>
      <w:sz w:val="20"/>
      <w:szCs w:val="20"/>
    </w:rPr>
  </w:style>
  <w:style w:type="character" w:customStyle="1" w:styleId="ListParagraphChar">
    <w:name w:val="List Paragraph Char"/>
    <w:link w:val="ListParagraph"/>
    <w:uiPriority w:val="34"/>
    <w:locked/>
    <w:rsid w:val="00EC0DF2"/>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1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161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31619"/>
    <w:pPr>
      <w:spacing w:after="0" w:line="240" w:lineRule="auto"/>
    </w:pPr>
  </w:style>
  <w:style w:type="paragraph" w:styleId="ListParagraph">
    <w:name w:val="List Paragraph"/>
    <w:basedOn w:val="Normal"/>
    <w:link w:val="ListParagraphChar"/>
    <w:uiPriority w:val="34"/>
    <w:qFormat/>
    <w:rsid w:val="00F31619"/>
    <w:pPr>
      <w:ind w:left="720"/>
      <w:contextualSpacing/>
    </w:pPr>
  </w:style>
  <w:style w:type="paragraph" w:styleId="Header">
    <w:name w:val="header"/>
    <w:basedOn w:val="Normal"/>
    <w:link w:val="HeaderChar"/>
    <w:uiPriority w:val="99"/>
    <w:unhideWhenUsed/>
    <w:rsid w:val="00F31619"/>
    <w:pPr>
      <w:tabs>
        <w:tab w:val="center" w:pos="4513"/>
        <w:tab w:val="right" w:pos="9026"/>
      </w:tabs>
    </w:pPr>
  </w:style>
  <w:style w:type="character" w:customStyle="1" w:styleId="HeaderChar">
    <w:name w:val="Header Char"/>
    <w:basedOn w:val="DefaultParagraphFont"/>
    <w:link w:val="Header"/>
    <w:uiPriority w:val="99"/>
    <w:rsid w:val="00F31619"/>
    <w:rPr>
      <w:rFonts w:ascii="Arial" w:eastAsia="Times New Roman" w:hAnsi="Arial" w:cs="Times New Roman"/>
      <w:szCs w:val="24"/>
    </w:rPr>
  </w:style>
  <w:style w:type="paragraph" w:styleId="Footer">
    <w:name w:val="footer"/>
    <w:basedOn w:val="Normal"/>
    <w:link w:val="FooterChar"/>
    <w:uiPriority w:val="99"/>
    <w:unhideWhenUsed/>
    <w:rsid w:val="00F31619"/>
    <w:pPr>
      <w:tabs>
        <w:tab w:val="center" w:pos="4513"/>
        <w:tab w:val="right" w:pos="9026"/>
      </w:tabs>
    </w:pPr>
  </w:style>
  <w:style w:type="character" w:customStyle="1" w:styleId="FooterChar">
    <w:name w:val="Footer Char"/>
    <w:basedOn w:val="DefaultParagraphFont"/>
    <w:link w:val="Footer"/>
    <w:uiPriority w:val="99"/>
    <w:rsid w:val="00F31619"/>
    <w:rPr>
      <w:rFonts w:ascii="Arial" w:eastAsia="Times New Roman" w:hAnsi="Arial" w:cs="Times New Roman"/>
      <w:szCs w:val="24"/>
    </w:rPr>
  </w:style>
  <w:style w:type="paragraph" w:styleId="BalloonText">
    <w:name w:val="Balloon Text"/>
    <w:basedOn w:val="Normal"/>
    <w:link w:val="BalloonTextChar"/>
    <w:uiPriority w:val="99"/>
    <w:semiHidden/>
    <w:unhideWhenUsed/>
    <w:rsid w:val="003854A8"/>
    <w:rPr>
      <w:rFonts w:ascii="Tahoma" w:hAnsi="Tahoma" w:cs="Tahoma"/>
      <w:sz w:val="16"/>
      <w:szCs w:val="16"/>
    </w:rPr>
  </w:style>
  <w:style w:type="character" w:customStyle="1" w:styleId="BalloonTextChar">
    <w:name w:val="Balloon Text Char"/>
    <w:basedOn w:val="DefaultParagraphFont"/>
    <w:link w:val="BalloonText"/>
    <w:uiPriority w:val="99"/>
    <w:semiHidden/>
    <w:rsid w:val="003854A8"/>
    <w:rPr>
      <w:rFonts w:ascii="Tahoma" w:eastAsia="Times New Roman" w:hAnsi="Tahoma" w:cs="Tahoma"/>
      <w:sz w:val="16"/>
      <w:szCs w:val="16"/>
    </w:rPr>
  </w:style>
  <w:style w:type="paragraph" w:styleId="BodyText">
    <w:name w:val="Body Text"/>
    <w:basedOn w:val="Normal"/>
    <w:link w:val="BodyTextChar"/>
    <w:rsid w:val="00A867E9"/>
    <w:pPr>
      <w:jc w:val="both"/>
    </w:pPr>
    <w:rPr>
      <w:szCs w:val="20"/>
    </w:rPr>
  </w:style>
  <w:style w:type="character" w:customStyle="1" w:styleId="BodyTextChar">
    <w:name w:val="Body Text Char"/>
    <w:basedOn w:val="DefaultParagraphFont"/>
    <w:link w:val="BodyText"/>
    <w:rsid w:val="00A867E9"/>
    <w:rPr>
      <w:rFonts w:ascii="Arial" w:eastAsia="Times New Roman" w:hAnsi="Arial" w:cs="Times New Roman"/>
      <w:szCs w:val="20"/>
    </w:rPr>
  </w:style>
  <w:style w:type="character" w:styleId="CommentReference">
    <w:name w:val="annotation reference"/>
    <w:basedOn w:val="DefaultParagraphFont"/>
    <w:uiPriority w:val="99"/>
    <w:semiHidden/>
    <w:unhideWhenUsed/>
    <w:rsid w:val="001D26F1"/>
    <w:rPr>
      <w:sz w:val="16"/>
      <w:szCs w:val="16"/>
    </w:rPr>
  </w:style>
  <w:style w:type="paragraph" w:styleId="CommentText">
    <w:name w:val="annotation text"/>
    <w:basedOn w:val="Normal"/>
    <w:link w:val="CommentTextChar"/>
    <w:uiPriority w:val="99"/>
    <w:semiHidden/>
    <w:unhideWhenUsed/>
    <w:rsid w:val="001D26F1"/>
    <w:rPr>
      <w:sz w:val="20"/>
      <w:szCs w:val="20"/>
    </w:rPr>
  </w:style>
  <w:style w:type="character" w:customStyle="1" w:styleId="CommentTextChar">
    <w:name w:val="Comment Text Char"/>
    <w:basedOn w:val="DefaultParagraphFont"/>
    <w:link w:val="CommentText"/>
    <w:uiPriority w:val="99"/>
    <w:semiHidden/>
    <w:rsid w:val="001D26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D26F1"/>
    <w:rPr>
      <w:b/>
      <w:bCs/>
    </w:rPr>
  </w:style>
  <w:style w:type="character" w:customStyle="1" w:styleId="CommentSubjectChar">
    <w:name w:val="Comment Subject Char"/>
    <w:basedOn w:val="CommentTextChar"/>
    <w:link w:val="CommentSubject"/>
    <w:uiPriority w:val="99"/>
    <w:semiHidden/>
    <w:rsid w:val="001D26F1"/>
    <w:rPr>
      <w:rFonts w:ascii="Arial" w:eastAsia="Times New Roman" w:hAnsi="Arial" w:cs="Times New Roman"/>
      <w:b/>
      <w:bCs/>
      <w:sz w:val="20"/>
      <w:szCs w:val="20"/>
    </w:rPr>
  </w:style>
  <w:style w:type="character" w:customStyle="1" w:styleId="ListParagraphChar">
    <w:name w:val="List Paragraph Char"/>
    <w:link w:val="ListParagraph"/>
    <w:uiPriority w:val="34"/>
    <w:locked/>
    <w:rsid w:val="00EC0DF2"/>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scwcsu/aspx/Ho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Kaveney Zoe (5QE) Clinical Commissioning Oxfordshire</dc:creator>
  <cp:lastModifiedBy>Stanbrook Mark</cp:lastModifiedBy>
  <cp:revision>6</cp:revision>
  <dcterms:created xsi:type="dcterms:W3CDTF">2016-12-16T11:45:00Z</dcterms:created>
  <dcterms:modified xsi:type="dcterms:W3CDTF">2017-08-18T13:56:00Z</dcterms:modified>
</cp:coreProperties>
</file>