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DE34" w14:textId="77777777" w:rsidR="00D96CE1" w:rsidRPr="00535391" w:rsidRDefault="00D96CE1" w:rsidP="00D96CE1">
      <w:pPr>
        <w:jc w:val="center"/>
        <w:rPr>
          <w:b/>
          <w:sz w:val="28"/>
          <w:szCs w:val="24"/>
        </w:rPr>
      </w:pPr>
      <w:r w:rsidRPr="00535391">
        <w:rPr>
          <w:b/>
          <w:sz w:val="28"/>
          <w:szCs w:val="24"/>
        </w:rPr>
        <w:t>Objective</w:t>
      </w:r>
    </w:p>
    <w:p w14:paraId="7A17416F" w14:textId="38B9EA71" w:rsidR="00D96CE1" w:rsidRPr="00535391" w:rsidRDefault="00A81DBF" w:rsidP="00D96CE1">
      <w:pPr>
        <w:jc w:val="center"/>
        <w:rPr>
          <w:szCs w:val="24"/>
        </w:rPr>
      </w:pPr>
      <w:r w:rsidRPr="00535391">
        <w:rPr>
          <w:szCs w:val="24"/>
        </w:rPr>
        <w:t>To act as the main specification for all BBMR collection centres.</w:t>
      </w:r>
    </w:p>
    <w:p w14:paraId="693649A4" w14:textId="77777777" w:rsidR="00D96CE1" w:rsidRPr="00535391" w:rsidRDefault="00D96CE1" w:rsidP="00D96CE1">
      <w:pPr>
        <w:spacing w:before="240"/>
        <w:jc w:val="center"/>
        <w:rPr>
          <w:b/>
          <w:sz w:val="24"/>
          <w:szCs w:val="24"/>
        </w:rPr>
      </w:pPr>
      <w:r w:rsidRPr="00535391">
        <w:rPr>
          <w:b/>
          <w:sz w:val="24"/>
          <w:szCs w:val="24"/>
        </w:rPr>
        <w:t>Changes in this version</w:t>
      </w:r>
    </w:p>
    <w:p w14:paraId="62B3FE67" w14:textId="0BCCC61F" w:rsidR="00D96CE1" w:rsidRPr="005C2883" w:rsidRDefault="005C2883" w:rsidP="00D96CE1">
      <w:pPr>
        <w:spacing w:after="160"/>
        <w:jc w:val="center"/>
        <w:rPr>
          <w:color w:val="7030A0"/>
          <w:szCs w:val="24"/>
        </w:rPr>
      </w:pPr>
      <w:r>
        <w:rPr>
          <w:color w:val="7030A0"/>
          <w:szCs w:val="24"/>
        </w:rPr>
        <w:t>Added new 1.4</w:t>
      </w:r>
      <w:r w:rsidR="00EA2FF5">
        <w:rPr>
          <w:color w:val="7030A0"/>
          <w:szCs w:val="24"/>
        </w:rPr>
        <w:t>, 1.5</w:t>
      </w:r>
      <w:r w:rsidR="008103A7">
        <w:rPr>
          <w:color w:val="7030A0"/>
          <w:szCs w:val="24"/>
        </w:rPr>
        <w:t>, 2.12</w:t>
      </w:r>
      <w:r w:rsidR="00F566C1">
        <w:rPr>
          <w:color w:val="7030A0"/>
          <w:szCs w:val="24"/>
        </w:rPr>
        <w:t>,</w:t>
      </w:r>
      <w:r w:rsidR="00503A7D">
        <w:rPr>
          <w:color w:val="7030A0"/>
          <w:szCs w:val="24"/>
        </w:rPr>
        <w:t xml:space="preserve"> </w:t>
      </w:r>
      <w:r w:rsidR="000833BF">
        <w:rPr>
          <w:color w:val="7030A0"/>
          <w:szCs w:val="24"/>
        </w:rPr>
        <w:t xml:space="preserve">2.30, </w:t>
      </w:r>
      <w:r w:rsidR="00503A7D">
        <w:rPr>
          <w:color w:val="7030A0"/>
          <w:szCs w:val="24"/>
        </w:rPr>
        <w:t>2.6</w:t>
      </w:r>
      <w:r w:rsidR="000833BF">
        <w:rPr>
          <w:color w:val="7030A0"/>
          <w:szCs w:val="24"/>
        </w:rPr>
        <w:t>5</w:t>
      </w:r>
      <w:r w:rsidR="00503A7D">
        <w:rPr>
          <w:color w:val="7030A0"/>
          <w:szCs w:val="24"/>
        </w:rPr>
        <w:t xml:space="preserve">, </w:t>
      </w:r>
      <w:r w:rsidR="00CE1B30">
        <w:rPr>
          <w:color w:val="7030A0"/>
          <w:szCs w:val="24"/>
        </w:rPr>
        <w:t>SPE requirements</w:t>
      </w:r>
      <w:r w:rsidR="00E61F37">
        <w:rPr>
          <w:color w:val="7030A0"/>
          <w:szCs w:val="24"/>
        </w:rPr>
        <w:t xml:space="preserve"> </w:t>
      </w:r>
      <w:r w:rsidR="00910207">
        <w:rPr>
          <w:color w:val="7030A0"/>
          <w:szCs w:val="24"/>
        </w:rPr>
        <w:t>to</w:t>
      </w:r>
      <w:r w:rsidR="00F566C1">
        <w:rPr>
          <w:color w:val="7030A0"/>
          <w:szCs w:val="24"/>
        </w:rPr>
        <w:t xml:space="preserve"> appendix C</w:t>
      </w:r>
      <w:r w:rsidR="00A37217">
        <w:rPr>
          <w:color w:val="7030A0"/>
          <w:szCs w:val="24"/>
        </w:rPr>
        <w:t>,</w:t>
      </w:r>
      <w:r w:rsidR="000833BF">
        <w:rPr>
          <w:color w:val="7030A0"/>
          <w:szCs w:val="24"/>
        </w:rPr>
        <w:t xml:space="preserve"> </w:t>
      </w:r>
      <w:r w:rsidR="00DC14BA">
        <w:rPr>
          <w:color w:val="7030A0"/>
          <w:szCs w:val="24"/>
        </w:rPr>
        <w:t xml:space="preserve">added to </w:t>
      </w:r>
      <w:r w:rsidR="000833BF">
        <w:rPr>
          <w:color w:val="7030A0"/>
          <w:szCs w:val="24"/>
        </w:rPr>
        <w:t>2.39</w:t>
      </w:r>
      <w:r w:rsidR="00DC14BA">
        <w:rPr>
          <w:color w:val="7030A0"/>
          <w:szCs w:val="24"/>
        </w:rPr>
        <w:t>,</w:t>
      </w:r>
      <w:r w:rsidR="00A37217">
        <w:rPr>
          <w:color w:val="7030A0"/>
          <w:szCs w:val="24"/>
        </w:rPr>
        <w:t xml:space="preserve"> removed ref to</w:t>
      </w:r>
      <w:r w:rsidR="00A37217" w:rsidRPr="00A37217">
        <w:rPr>
          <w:color w:val="7030A0"/>
          <w:szCs w:val="24"/>
        </w:rPr>
        <w:t xml:space="preserve"> Baxter </w:t>
      </w:r>
      <w:proofErr w:type="spellStart"/>
      <w:r w:rsidR="00A37217" w:rsidRPr="00A37217">
        <w:rPr>
          <w:color w:val="7030A0"/>
          <w:szCs w:val="24"/>
        </w:rPr>
        <w:t>Fenwal</w:t>
      </w:r>
      <w:proofErr w:type="spellEnd"/>
      <w:r w:rsidR="00836E13">
        <w:rPr>
          <w:color w:val="7030A0"/>
          <w:szCs w:val="24"/>
        </w:rPr>
        <w:t>, 2.</w:t>
      </w:r>
      <w:r w:rsidR="00260518">
        <w:rPr>
          <w:color w:val="7030A0"/>
          <w:szCs w:val="24"/>
        </w:rPr>
        <w:t>25</w:t>
      </w:r>
    </w:p>
    <w:p w14:paraId="2E33AFDA" w14:textId="77777777" w:rsidR="00D96CE1" w:rsidRPr="006C70FF" w:rsidRDefault="00D96CE1" w:rsidP="00D96CE1">
      <w:pPr>
        <w:spacing w:line="259" w:lineRule="auto"/>
        <w:rPr>
          <w:color w:val="000000" w:themeColor="text1"/>
        </w:rPr>
      </w:pPr>
    </w:p>
    <w:p w14:paraId="56A0A686" w14:textId="77777777" w:rsidR="00A81DBF" w:rsidRPr="006C70FF" w:rsidRDefault="00A81DBF" w:rsidP="00A81DBF">
      <w:pPr>
        <w:ind w:left="-180"/>
        <w:rPr>
          <w:rFonts w:cs="Arial"/>
          <w:b/>
          <w:color w:val="000000" w:themeColor="text1"/>
          <w:sz w:val="24"/>
          <w:szCs w:val="24"/>
        </w:rPr>
      </w:pPr>
      <w:r w:rsidRPr="006C70FF">
        <w:rPr>
          <w:rFonts w:cs="Arial"/>
          <w:b/>
          <w:color w:val="000000" w:themeColor="text1"/>
          <w:sz w:val="24"/>
          <w:szCs w:val="24"/>
        </w:rPr>
        <w:t>Introduction</w:t>
      </w:r>
    </w:p>
    <w:p w14:paraId="6C213745" w14:textId="77777777" w:rsidR="00A81DBF" w:rsidRPr="006C70FF" w:rsidRDefault="00A81DBF" w:rsidP="00A81DBF">
      <w:pPr>
        <w:rPr>
          <w:rFonts w:cs="Arial"/>
          <w:color w:val="000000" w:themeColor="text1"/>
          <w:sz w:val="22"/>
          <w:szCs w:val="22"/>
        </w:rPr>
      </w:pPr>
    </w:p>
    <w:p w14:paraId="5152550A" w14:textId="77777777" w:rsidR="00A81DBF" w:rsidRPr="006C70FF" w:rsidRDefault="00A81DBF" w:rsidP="00A81DBF">
      <w:pPr>
        <w:ind w:left="-180"/>
        <w:rPr>
          <w:color w:val="000000" w:themeColor="text1"/>
          <w:sz w:val="22"/>
        </w:rPr>
      </w:pPr>
      <w:r w:rsidRPr="006C70FF">
        <w:rPr>
          <w:color w:val="000000" w:themeColor="text1"/>
          <w:sz w:val="22"/>
        </w:rPr>
        <w:t>The British Bone Marrow Registry (BBMR) is a division of NHS Blood and Transplant. The Northern Ireland and Scottish Blood Transfusion Services are participants in the service provided by the BBMR.</w:t>
      </w:r>
    </w:p>
    <w:p w14:paraId="5E954DF4" w14:textId="77777777" w:rsidR="00A81DBF" w:rsidRPr="006C70FF" w:rsidRDefault="00A81DBF" w:rsidP="00A81DBF">
      <w:pPr>
        <w:rPr>
          <w:color w:val="000000" w:themeColor="text1"/>
          <w:sz w:val="22"/>
        </w:rPr>
      </w:pPr>
    </w:p>
    <w:p w14:paraId="20DC6402" w14:textId="77777777" w:rsidR="00A81DBF" w:rsidRPr="006C70FF" w:rsidRDefault="00A81DBF" w:rsidP="00A81DBF">
      <w:pPr>
        <w:ind w:left="-180"/>
        <w:rPr>
          <w:rFonts w:cs="Arial"/>
          <w:color w:val="000000" w:themeColor="text1"/>
          <w:sz w:val="22"/>
          <w:szCs w:val="22"/>
        </w:rPr>
      </w:pPr>
      <w:r w:rsidRPr="006C70FF">
        <w:rPr>
          <w:color w:val="000000" w:themeColor="text1"/>
          <w:sz w:val="22"/>
        </w:rPr>
        <w:t xml:space="preserve">The BBMR supports HSC Clinical Transplantation Programmes for UK and International patients. It recruits prospective stem cell donors from the blood donor population. The donors are tissue typed and they are then available to be searched by accredited Transplant Centres or laboratories acting on their behalf for patients with leukaemia and other blood disorders. After further identification testing a donor may be selected as the final donor. </w:t>
      </w:r>
      <w:r w:rsidRPr="006C70FF">
        <w:rPr>
          <w:rFonts w:cs="Arial"/>
          <w:color w:val="000000" w:themeColor="text1"/>
          <w:sz w:val="22"/>
          <w:szCs w:val="22"/>
        </w:rPr>
        <w:t>The BBMR collects HSC products from donors between the ages of 18 and 60.  The requirements of this SPN apply to all BBMR Collection Centres, including those provided by NHSBT Therapeutic Apheresis Units.</w:t>
      </w:r>
    </w:p>
    <w:p w14:paraId="41F55673" w14:textId="77777777" w:rsidR="00A81DBF" w:rsidRPr="006C70FF" w:rsidRDefault="00A81DBF" w:rsidP="00A81DBF">
      <w:pPr>
        <w:rPr>
          <w:color w:val="000000" w:themeColor="text1"/>
          <w:sz w:val="22"/>
        </w:rPr>
      </w:pPr>
    </w:p>
    <w:p w14:paraId="7C025CAE" w14:textId="77777777" w:rsidR="00A81DBF" w:rsidRPr="006C70FF" w:rsidRDefault="00A81DBF" w:rsidP="00A81DBF">
      <w:pPr>
        <w:ind w:left="-180"/>
        <w:rPr>
          <w:color w:val="000000" w:themeColor="text1"/>
          <w:sz w:val="22"/>
        </w:rPr>
      </w:pPr>
      <w:r w:rsidRPr="006C70FF">
        <w:rPr>
          <w:color w:val="000000" w:themeColor="text1"/>
          <w:sz w:val="22"/>
        </w:rPr>
        <w:t>The finally selected donor is counselled and informed consent for the donation obtained. Donor counselling is currently performed by the BBMR in accordance with Human Tissue Authority (HTA) and World Marrow Donor Association (WMDA) requirements. Responsibility for this service can be undertaken by the service provider.</w:t>
      </w:r>
    </w:p>
    <w:p w14:paraId="01AA766D" w14:textId="77777777" w:rsidR="00A81DBF" w:rsidRPr="006C70FF" w:rsidRDefault="00A81DBF" w:rsidP="00A81DBF">
      <w:pPr>
        <w:rPr>
          <w:color w:val="000000" w:themeColor="text1"/>
          <w:sz w:val="22"/>
        </w:rPr>
      </w:pPr>
    </w:p>
    <w:p w14:paraId="038DE6C7" w14:textId="77777777" w:rsidR="00A81DBF" w:rsidRPr="00637586" w:rsidRDefault="00A81DBF" w:rsidP="00A81DBF">
      <w:pPr>
        <w:ind w:left="-180"/>
        <w:rPr>
          <w:color w:val="000000" w:themeColor="text1"/>
          <w:sz w:val="22"/>
        </w:rPr>
      </w:pPr>
      <w:r w:rsidRPr="006C70FF">
        <w:rPr>
          <w:color w:val="000000" w:themeColor="text1"/>
          <w:sz w:val="22"/>
        </w:rPr>
        <w:t xml:space="preserve">The donor must be medically </w:t>
      </w:r>
      <w:r w:rsidRPr="00637586">
        <w:rPr>
          <w:color w:val="000000" w:themeColor="text1"/>
          <w:sz w:val="22"/>
        </w:rPr>
        <w:t>assessed and fitness to donate the HSC product determined. The medical assessment of the donor includes the risk of disease transmission to the recipient.</w:t>
      </w:r>
    </w:p>
    <w:p w14:paraId="75DB1617" w14:textId="77777777" w:rsidR="00A81DBF" w:rsidRPr="00637586" w:rsidRDefault="00A81DBF" w:rsidP="00A81DBF">
      <w:pPr>
        <w:ind w:left="-180"/>
        <w:rPr>
          <w:color w:val="000000" w:themeColor="text1"/>
          <w:sz w:val="22"/>
        </w:rPr>
      </w:pPr>
    </w:p>
    <w:p w14:paraId="70EB7138" w14:textId="77777777" w:rsidR="00A81DBF" w:rsidRPr="00637586" w:rsidRDefault="00A81DBF" w:rsidP="00A81DBF">
      <w:pPr>
        <w:ind w:left="-180"/>
        <w:rPr>
          <w:rFonts w:cs="Arial"/>
          <w:color w:val="000000" w:themeColor="text1"/>
          <w:sz w:val="22"/>
          <w:szCs w:val="22"/>
        </w:rPr>
      </w:pPr>
      <w:r w:rsidRPr="00637586">
        <w:rPr>
          <w:rFonts w:cs="Arial"/>
          <w:color w:val="000000" w:themeColor="text1"/>
          <w:sz w:val="22"/>
          <w:szCs w:val="22"/>
        </w:rPr>
        <w:t>The source of stem cells for First and Subsequent donations is from the Bone Marrow under General Anaesthetic (GA) as an inpatient, or Peripheral Blood stimulated by Granulocyte Colony Stimulating Factor (G-CSF) as an outpatient procedure. Subsequent donations for the same patient may also include blood lymphocytes.</w:t>
      </w:r>
    </w:p>
    <w:p w14:paraId="13637299" w14:textId="77777777" w:rsidR="00A81DBF" w:rsidRPr="00637586" w:rsidRDefault="00A81DBF" w:rsidP="00A81DBF">
      <w:pPr>
        <w:ind w:left="-180"/>
        <w:rPr>
          <w:rFonts w:cs="Arial"/>
          <w:color w:val="000000" w:themeColor="text1"/>
          <w:sz w:val="22"/>
          <w:szCs w:val="22"/>
        </w:rPr>
      </w:pPr>
    </w:p>
    <w:p w14:paraId="693017CB" w14:textId="5B510437" w:rsidR="00A81DBF" w:rsidRPr="00637586" w:rsidRDefault="00A81DBF" w:rsidP="00A81DBF">
      <w:pPr>
        <w:ind w:left="-180"/>
        <w:rPr>
          <w:rFonts w:cs="Arial"/>
          <w:color w:val="000000" w:themeColor="text1"/>
          <w:sz w:val="22"/>
          <w:szCs w:val="22"/>
        </w:rPr>
      </w:pPr>
      <w:r w:rsidRPr="00637586">
        <w:rPr>
          <w:rFonts w:cs="Arial"/>
          <w:color w:val="000000" w:themeColor="text1"/>
          <w:sz w:val="22"/>
          <w:szCs w:val="22"/>
        </w:rPr>
        <w:t>For a peripheral blood stem cell collection</w:t>
      </w:r>
      <w:r w:rsidR="00850E2C" w:rsidRPr="00637586">
        <w:rPr>
          <w:rFonts w:cs="Arial"/>
          <w:color w:val="000000" w:themeColor="text1"/>
          <w:sz w:val="22"/>
          <w:szCs w:val="22"/>
        </w:rPr>
        <w:t>,</w:t>
      </w:r>
      <w:r w:rsidRPr="00637586">
        <w:rPr>
          <w:rFonts w:cs="Arial"/>
          <w:color w:val="000000" w:themeColor="text1"/>
          <w:sz w:val="22"/>
          <w:szCs w:val="22"/>
        </w:rPr>
        <w:t xml:space="preserve"> donors receive a short course of G-CSF, 4 or 5 days. The service provider will prescribe G-CSF as </w:t>
      </w:r>
      <w:proofErr w:type="spellStart"/>
      <w:r w:rsidR="00EE7054" w:rsidRPr="00637586">
        <w:rPr>
          <w:rFonts w:cs="Arial"/>
          <w:color w:val="000000" w:themeColor="text1"/>
          <w:sz w:val="22"/>
          <w:szCs w:val="22"/>
        </w:rPr>
        <w:t>Zarzio</w:t>
      </w:r>
      <w:proofErr w:type="spellEnd"/>
      <w:r w:rsidR="00EE7054" w:rsidRPr="00637586">
        <w:rPr>
          <w:rFonts w:cs="Arial"/>
          <w:color w:val="000000" w:themeColor="text1"/>
          <w:sz w:val="22"/>
          <w:szCs w:val="22"/>
        </w:rPr>
        <w:t>.</w:t>
      </w:r>
    </w:p>
    <w:p w14:paraId="750DBA22" w14:textId="77777777" w:rsidR="00A81DBF" w:rsidRPr="00637586" w:rsidRDefault="00A81DBF" w:rsidP="00A81DBF">
      <w:pPr>
        <w:ind w:left="-180"/>
        <w:rPr>
          <w:rFonts w:cs="Arial"/>
          <w:color w:val="000000" w:themeColor="text1"/>
          <w:sz w:val="22"/>
          <w:szCs w:val="22"/>
        </w:rPr>
      </w:pPr>
    </w:p>
    <w:p w14:paraId="2AAAA011" w14:textId="77777777" w:rsidR="00A81DBF" w:rsidRPr="006C70FF" w:rsidRDefault="00A81DBF" w:rsidP="00A81DBF">
      <w:pPr>
        <w:ind w:left="-180"/>
        <w:rPr>
          <w:rFonts w:cs="Arial"/>
          <w:color w:val="000000" w:themeColor="text1"/>
          <w:sz w:val="22"/>
          <w:szCs w:val="22"/>
        </w:rPr>
      </w:pPr>
      <w:r w:rsidRPr="006C70FF">
        <w:rPr>
          <w:rFonts w:cs="Arial"/>
          <w:color w:val="000000" w:themeColor="text1"/>
          <w:sz w:val="22"/>
          <w:szCs w:val="22"/>
        </w:rPr>
        <w:t xml:space="preserve">The service provider will procure, </w:t>
      </w:r>
      <w:proofErr w:type="gramStart"/>
      <w:r w:rsidRPr="006C70FF">
        <w:rPr>
          <w:rFonts w:cs="Arial"/>
          <w:color w:val="000000" w:themeColor="text1"/>
          <w:sz w:val="22"/>
          <w:szCs w:val="22"/>
        </w:rPr>
        <w:t>label</w:t>
      </w:r>
      <w:proofErr w:type="gramEnd"/>
      <w:r w:rsidRPr="006C70FF">
        <w:rPr>
          <w:rFonts w:cs="Arial"/>
          <w:color w:val="000000" w:themeColor="text1"/>
          <w:sz w:val="22"/>
          <w:szCs w:val="22"/>
        </w:rPr>
        <w:t xml:space="preserve"> and issue the HSC product, for distribution under direction from BBMR.</w:t>
      </w:r>
    </w:p>
    <w:p w14:paraId="6ECB6D70" w14:textId="77777777" w:rsidR="00A81DBF" w:rsidRPr="006C70FF" w:rsidRDefault="00A81DBF" w:rsidP="00A81DBF">
      <w:pPr>
        <w:ind w:left="-180"/>
        <w:rPr>
          <w:rFonts w:cs="Arial"/>
          <w:color w:val="000000" w:themeColor="text1"/>
          <w:sz w:val="22"/>
          <w:szCs w:val="22"/>
        </w:rPr>
      </w:pPr>
    </w:p>
    <w:p w14:paraId="0D32438C" w14:textId="77777777" w:rsidR="00A81DBF" w:rsidRPr="006C70FF" w:rsidRDefault="00A81DBF" w:rsidP="00A81DBF">
      <w:pPr>
        <w:ind w:left="-180"/>
        <w:rPr>
          <w:rFonts w:cs="Arial"/>
          <w:color w:val="000000" w:themeColor="text1"/>
          <w:sz w:val="22"/>
          <w:szCs w:val="22"/>
        </w:rPr>
      </w:pPr>
      <w:r w:rsidRPr="006C70FF">
        <w:rPr>
          <w:rFonts w:cs="Arial"/>
          <w:color w:val="000000" w:themeColor="text1"/>
          <w:sz w:val="22"/>
          <w:szCs w:val="22"/>
        </w:rPr>
        <w:t>This SPN will be revised from time to time as required, for example due to changing operational needs or as corrective action to service errors or incidents.  Service providers are required to implement necessary service change within three months of this documents revised effective date or otherwise within a timeframe as agreed with the BBMR Senior Management Team.</w:t>
      </w:r>
    </w:p>
    <w:p w14:paraId="5C560E07" w14:textId="77777777" w:rsidR="00A81DBF" w:rsidRPr="006C70FF" w:rsidRDefault="00A81DBF" w:rsidP="00A81DBF">
      <w:pPr>
        <w:ind w:left="-180"/>
        <w:rPr>
          <w:rFonts w:cs="Arial"/>
          <w:color w:val="000000" w:themeColor="text1"/>
          <w:sz w:val="22"/>
          <w:szCs w:val="22"/>
        </w:rPr>
      </w:pPr>
    </w:p>
    <w:p w14:paraId="6C64F6E9" w14:textId="77777777" w:rsidR="00A81DBF" w:rsidRPr="006C70FF" w:rsidRDefault="00A81DBF" w:rsidP="00A81DBF">
      <w:pPr>
        <w:numPr>
          <w:ilvl w:val="0"/>
          <w:numId w:val="3"/>
        </w:numPr>
        <w:ind w:hanging="900"/>
        <w:rPr>
          <w:rFonts w:cs="Arial"/>
          <w:b/>
          <w:color w:val="000000" w:themeColor="text1"/>
          <w:sz w:val="22"/>
          <w:szCs w:val="22"/>
        </w:rPr>
      </w:pPr>
      <w:r w:rsidRPr="006C70FF">
        <w:rPr>
          <w:rFonts w:cs="Arial"/>
          <w:b/>
          <w:color w:val="000000" w:themeColor="text1"/>
          <w:sz w:val="22"/>
          <w:szCs w:val="22"/>
        </w:rPr>
        <w:t>Statement of Need</w:t>
      </w:r>
    </w:p>
    <w:p w14:paraId="786136B6" w14:textId="77777777" w:rsidR="00A81DBF" w:rsidRPr="006C70FF" w:rsidRDefault="00A81DBF" w:rsidP="00A81DBF">
      <w:pPr>
        <w:rPr>
          <w:rFonts w:cs="Arial"/>
          <w:color w:val="000000" w:themeColor="text1"/>
          <w:sz w:val="22"/>
          <w:szCs w:val="22"/>
        </w:rPr>
      </w:pPr>
    </w:p>
    <w:p w14:paraId="447CDDE0" w14:textId="616A37CB"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BBMR require Collection Centres, located to provide:</w:t>
      </w:r>
    </w:p>
    <w:p w14:paraId="0558BAA9" w14:textId="77777777" w:rsidR="00A81DBF" w:rsidRPr="006C70FF" w:rsidRDefault="00A81DBF" w:rsidP="00A81DBF">
      <w:pPr>
        <w:ind w:left="360"/>
        <w:rPr>
          <w:rFonts w:cs="Arial"/>
          <w:color w:val="000000" w:themeColor="text1"/>
          <w:sz w:val="22"/>
          <w:szCs w:val="22"/>
        </w:rPr>
      </w:pPr>
    </w:p>
    <w:p w14:paraId="37FDA888" w14:textId="77777777" w:rsidR="00A81DBF" w:rsidRPr="006C70FF" w:rsidRDefault="00A81DBF" w:rsidP="00A81DBF">
      <w:pPr>
        <w:numPr>
          <w:ilvl w:val="2"/>
          <w:numId w:val="3"/>
        </w:numPr>
        <w:rPr>
          <w:rFonts w:cs="Arial"/>
          <w:color w:val="000000" w:themeColor="text1"/>
          <w:sz w:val="22"/>
          <w:szCs w:val="22"/>
        </w:rPr>
      </w:pPr>
      <w:r w:rsidRPr="006C70FF">
        <w:rPr>
          <w:rFonts w:cs="Arial"/>
          <w:color w:val="000000" w:themeColor="text1"/>
          <w:sz w:val="22"/>
          <w:szCs w:val="22"/>
        </w:rPr>
        <w:t>Bone Marrow and PBSC and PBL (apheresis) provision.</w:t>
      </w:r>
    </w:p>
    <w:p w14:paraId="193739A8" w14:textId="77777777" w:rsidR="00A81DBF" w:rsidRPr="006C70FF" w:rsidRDefault="00A81DBF" w:rsidP="00A81DBF">
      <w:pPr>
        <w:ind w:left="360"/>
        <w:rPr>
          <w:rFonts w:cs="Arial"/>
          <w:color w:val="000000" w:themeColor="text1"/>
          <w:sz w:val="22"/>
          <w:szCs w:val="22"/>
        </w:rPr>
      </w:pPr>
    </w:p>
    <w:p w14:paraId="76ABAA1C"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lastRenderedPageBreak/>
        <w:t>The annual projected number of donor referrals for stem cell donation by BBMR is 200 to 250 with the associated work being divided between BBMR collection sites across England. The ratio of apheresis procedures to bone marrow is approximately 85:15. The number of referrals may increase or decrease.</w:t>
      </w:r>
    </w:p>
    <w:p w14:paraId="32A9EA56" w14:textId="77777777" w:rsidR="00A81DBF" w:rsidRPr="006C70FF" w:rsidRDefault="00A81DBF" w:rsidP="00A81DBF">
      <w:pPr>
        <w:rPr>
          <w:rFonts w:cs="Arial"/>
          <w:color w:val="000000" w:themeColor="text1"/>
          <w:sz w:val="22"/>
          <w:szCs w:val="22"/>
        </w:rPr>
      </w:pPr>
    </w:p>
    <w:p w14:paraId="3B8FA9F4" w14:textId="41A6BA91" w:rsidR="00A81DB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The ‘Collection Centre’ service must be Consultant led.</w:t>
      </w:r>
    </w:p>
    <w:p w14:paraId="0219052C" w14:textId="77777777" w:rsidR="005C2883" w:rsidRDefault="005C2883" w:rsidP="005C2883">
      <w:pPr>
        <w:pStyle w:val="ListParagraph"/>
        <w:rPr>
          <w:rFonts w:cs="Arial"/>
          <w:color w:val="000000" w:themeColor="text1"/>
          <w:sz w:val="22"/>
          <w:szCs w:val="22"/>
        </w:rPr>
      </w:pPr>
    </w:p>
    <w:p w14:paraId="1AC33768" w14:textId="4507C783" w:rsidR="004938AA" w:rsidRDefault="004938AA" w:rsidP="005C2883">
      <w:pPr>
        <w:pStyle w:val="ListParagraph"/>
        <w:numPr>
          <w:ilvl w:val="1"/>
          <w:numId w:val="3"/>
        </w:numPr>
        <w:rPr>
          <w:rFonts w:cs="Arial"/>
          <w:color w:val="7030A0"/>
          <w:sz w:val="22"/>
          <w:szCs w:val="22"/>
        </w:rPr>
      </w:pPr>
      <w:r w:rsidRPr="004938AA">
        <w:rPr>
          <w:rFonts w:cs="Arial"/>
          <w:color w:val="7030A0"/>
          <w:sz w:val="22"/>
          <w:szCs w:val="22"/>
        </w:rPr>
        <w:t>Non NHSBT Therapeutic Apheresis Service (TAS) collection centres</w:t>
      </w:r>
      <w:r>
        <w:rPr>
          <w:rFonts w:cs="Arial"/>
          <w:color w:val="7030A0"/>
          <w:sz w:val="22"/>
          <w:szCs w:val="22"/>
        </w:rPr>
        <w:t xml:space="preserve"> must have at least 2 years’ experience</w:t>
      </w:r>
      <w:r w:rsidR="006126BB">
        <w:rPr>
          <w:rFonts w:cs="Arial"/>
          <w:color w:val="7030A0"/>
          <w:sz w:val="22"/>
          <w:szCs w:val="22"/>
        </w:rPr>
        <w:t xml:space="preserve"> of assessing unrelated donors’ suitability to donate stem cells, on behalf of a UK based stem cell donor registry</w:t>
      </w:r>
    </w:p>
    <w:p w14:paraId="4E314395" w14:textId="77777777" w:rsidR="004938AA" w:rsidRPr="004938AA" w:rsidRDefault="004938AA" w:rsidP="004938AA">
      <w:pPr>
        <w:pStyle w:val="ListParagraph"/>
        <w:rPr>
          <w:rFonts w:cs="Arial"/>
          <w:color w:val="7030A0"/>
          <w:sz w:val="22"/>
          <w:szCs w:val="22"/>
        </w:rPr>
      </w:pPr>
    </w:p>
    <w:p w14:paraId="067E76BE" w14:textId="503EF82A" w:rsidR="005C2883" w:rsidRPr="005C2883" w:rsidRDefault="005C2883" w:rsidP="005C2883">
      <w:pPr>
        <w:pStyle w:val="ListParagraph"/>
        <w:numPr>
          <w:ilvl w:val="1"/>
          <w:numId w:val="3"/>
        </w:numPr>
        <w:rPr>
          <w:rFonts w:cs="Arial"/>
          <w:color w:val="7030A0"/>
          <w:sz w:val="22"/>
          <w:szCs w:val="22"/>
        </w:rPr>
      </w:pPr>
      <w:r>
        <w:rPr>
          <w:rFonts w:cs="Arial"/>
          <w:color w:val="7030A0"/>
          <w:sz w:val="22"/>
          <w:szCs w:val="22"/>
        </w:rPr>
        <w:t>Non NHSBT Therapeutic Apheresis Service (TAS) c</w:t>
      </w:r>
      <w:r w:rsidRPr="005C2883">
        <w:rPr>
          <w:rFonts w:cs="Arial"/>
          <w:color w:val="7030A0"/>
          <w:sz w:val="22"/>
          <w:szCs w:val="22"/>
        </w:rPr>
        <w:t>ollection centres located in London must operate within fare zone 1 or 2</w:t>
      </w:r>
    </w:p>
    <w:p w14:paraId="1177BEC6" w14:textId="77777777" w:rsidR="00A81DBF" w:rsidRPr="006C70FF" w:rsidRDefault="00A81DBF" w:rsidP="00A81DBF">
      <w:pPr>
        <w:ind w:left="360"/>
        <w:rPr>
          <w:rFonts w:cs="Arial"/>
          <w:color w:val="000000" w:themeColor="text1"/>
          <w:sz w:val="22"/>
          <w:szCs w:val="22"/>
        </w:rPr>
      </w:pPr>
    </w:p>
    <w:p w14:paraId="39DE7032" w14:textId="0FFD911F"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The BBMR will expect all standard work-up requests to be completed within 28 </w:t>
      </w:r>
      <w:r w:rsidR="00FE326F">
        <w:rPr>
          <w:rFonts w:cs="Arial"/>
          <w:color w:val="000000" w:themeColor="text1"/>
          <w:sz w:val="22"/>
          <w:szCs w:val="22"/>
        </w:rPr>
        <w:t xml:space="preserve">days, </w:t>
      </w:r>
      <w:r w:rsidRPr="006C70FF">
        <w:rPr>
          <w:rFonts w:cs="Arial"/>
          <w:color w:val="000000" w:themeColor="text1"/>
          <w:sz w:val="22"/>
          <w:szCs w:val="22"/>
        </w:rPr>
        <w:t xml:space="preserve">inclusive of patient conditioning. Urgent work-up requests will be required to be completed within 21 days, inclusive of patient </w:t>
      </w:r>
      <w:r w:rsidR="00586AAA">
        <w:rPr>
          <w:rFonts w:cs="Arial"/>
          <w:color w:val="000000" w:themeColor="text1"/>
          <w:sz w:val="22"/>
          <w:szCs w:val="22"/>
        </w:rPr>
        <w:t xml:space="preserve">conditioning </w:t>
      </w:r>
      <w:r w:rsidR="00586AAA" w:rsidRPr="00260518">
        <w:rPr>
          <w:rFonts w:cs="Arial"/>
          <w:color w:val="7030A0"/>
          <w:sz w:val="22"/>
          <w:szCs w:val="22"/>
        </w:rPr>
        <w:t xml:space="preserve">from </w:t>
      </w:r>
      <w:r w:rsidRPr="006C70FF">
        <w:rPr>
          <w:rFonts w:cs="Arial"/>
          <w:color w:val="000000" w:themeColor="text1"/>
          <w:sz w:val="22"/>
          <w:szCs w:val="22"/>
        </w:rPr>
        <w:t xml:space="preserve">notification to collection. More urgent requests may be referred subject to agreement with the </w:t>
      </w:r>
      <w:bookmarkStart w:id="0" w:name="_Hlk498502453"/>
      <w:r w:rsidRPr="006C70FF">
        <w:rPr>
          <w:rFonts w:cs="Arial"/>
          <w:color w:val="000000" w:themeColor="text1"/>
          <w:sz w:val="22"/>
          <w:szCs w:val="22"/>
        </w:rPr>
        <w:t>service provider</w:t>
      </w:r>
      <w:bookmarkEnd w:id="0"/>
      <w:r w:rsidRPr="006C70FF">
        <w:rPr>
          <w:rFonts w:cs="Arial"/>
          <w:color w:val="000000" w:themeColor="text1"/>
          <w:sz w:val="22"/>
          <w:szCs w:val="22"/>
        </w:rPr>
        <w:t>.</w:t>
      </w:r>
    </w:p>
    <w:p w14:paraId="258305D5" w14:textId="77777777" w:rsidR="00A81DBF" w:rsidRPr="006C70FF" w:rsidRDefault="00A81DBF" w:rsidP="00A81DBF">
      <w:pPr>
        <w:rPr>
          <w:rFonts w:cs="Arial"/>
          <w:color w:val="000000" w:themeColor="text1"/>
          <w:sz w:val="22"/>
          <w:szCs w:val="22"/>
        </w:rPr>
      </w:pPr>
    </w:p>
    <w:p w14:paraId="2E8383C9"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The Service provider must counsel and consent stem cell donors in accordance with HTA, WMDA and occasional research study requirements. </w:t>
      </w:r>
    </w:p>
    <w:p w14:paraId="066393D5" w14:textId="77777777" w:rsidR="00A81DBF" w:rsidRPr="006C70FF" w:rsidRDefault="00A81DBF" w:rsidP="00A81DBF">
      <w:pPr>
        <w:ind w:left="720"/>
        <w:rPr>
          <w:rFonts w:cs="Arial"/>
          <w:color w:val="000000" w:themeColor="text1"/>
          <w:sz w:val="22"/>
          <w:szCs w:val="22"/>
        </w:rPr>
      </w:pPr>
    </w:p>
    <w:p w14:paraId="352B15BE" w14:textId="190D219D"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The service provider must have mechanisms to detect the criteria for donor exclusion as described in annex A of the prevailing HTA guide to Quality and Safety Assurance for Human Tissue and Cells for Patient Treatment. </w:t>
      </w:r>
      <w:r w:rsidR="00C0556F" w:rsidRPr="006C70FF">
        <w:rPr>
          <w:rFonts w:cs="Arial"/>
          <w:color w:val="000000" w:themeColor="text1"/>
          <w:sz w:val="22"/>
          <w:szCs w:val="22"/>
        </w:rPr>
        <w:t>E.g.,</w:t>
      </w:r>
      <w:r w:rsidRPr="006C70FF">
        <w:rPr>
          <w:rFonts w:cs="Arial"/>
          <w:color w:val="000000" w:themeColor="text1"/>
          <w:sz w:val="22"/>
          <w:szCs w:val="22"/>
        </w:rPr>
        <w:t xml:space="preserve"> a way to identify and exclude </w:t>
      </w:r>
    </w:p>
    <w:p w14:paraId="19AAAA5F" w14:textId="4356B210" w:rsidR="00D115B0" w:rsidRPr="006C70FF" w:rsidRDefault="00A81DBF" w:rsidP="00D115B0">
      <w:pPr>
        <w:ind w:left="540"/>
        <w:rPr>
          <w:rFonts w:cs="Arial"/>
          <w:color w:val="000000" w:themeColor="text1"/>
          <w:sz w:val="22"/>
          <w:szCs w:val="22"/>
        </w:rPr>
      </w:pPr>
      <w:r w:rsidRPr="006C70FF">
        <w:rPr>
          <w:rFonts w:cs="Arial"/>
          <w:color w:val="000000" w:themeColor="text1"/>
          <w:sz w:val="22"/>
          <w:szCs w:val="22"/>
        </w:rPr>
        <w:t>donors who may have ingested, or been exposed to, a quantity of a substance (such as cyanide, lead, mercury, gold) that may be transmitted to recipients in a dose that could endanger their health. Or any donors that have been transplanted with xenografts.</w:t>
      </w:r>
    </w:p>
    <w:p w14:paraId="4FA385A5" w14:textId="77777777" w:rsidR="00A81DBF" w:rsidRPr="006C70FF" w:rsidRDefault="00A81DBF" w:rsidP="00A81DBF">
      <w:pPr>
        <w:rPr>
          <w:rFonts w:cs="Arial"/>
          <w:color w:val="000000" w:themeColor="text1"/>
          <w:sz w:val="22"/>
          <w:szCs w:val="22"/>
        </w:rPr>
      </w:pPr>
    </w:p>
    <w:p w14:paraId="4F4ADBDD" w14:textId="56ADAA70"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The service provider must demonstrate capacity to manage </w:t>
      </w:r>
      <w:r w:rsidR="00C0556F" w:rsidRPr="006C70FF">
        <w:rPr>
          <w:rFonts w:cs="Arial"/>
          <w:color w:val="000000" w:themeColor="text1"/>
          <w:sz w:val="22"/>
          <w:szCs w:val="22"/>
        </w:rPr>
        <w:t>workups</w:t>
      </w:r>
      <w:r w:rsidRPr="006C70FF">
        <w:rPr>
          <w:rFonts w:cs="Arial"/>
          <w:color w:val="000000" w:themeColor="text1"/>
          <w:sz w:val="22"/>
          <w:szCs w:val="22"/>
        </w:rPr>
        <w:t xml:space="preserve"> and meet requested collection dates to provide an optimum service to the HSC transplant community.</w:t>
      </w:r>
    </w:p>
    <w:p w14:paraId="05E18DB9" w14:textId="77777777" w:rsidR="00A81DBF" w:rsidRPr="006C70FF" w:rsidRDefault="00A81DBF" w:rsidP="00A81DBF">
      <w:pPr>
        <w:rPr>
          <w:rFonts w:cs="Arial"/>
          <w:color w:val="000000" w:themeColor="text1"/>
          <w:sz w:val="22"/>
          <w:szCs w:val="22"/>
        </w:rPr>
      </w:pPr>
    </w:p>
    <w:p w14:paraId="39069CEB"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The service provider may enter Third Party Agreements (TPAs) to provide part(s) of this service. Third parties must adhere to all accreditation and licensing requirements as the contract holder.</w:t>
      </w:r>
    </w:p>
    <w:p w14:paraId="4DBEAB60" w14:textId="77777777" w:rsidR="00A81DBF" w:rsidRPr="006C70FF" w:rsidRDefault="00A81DBF" w:rsidP="00A81DBF">
      <w:pPr>
        <w:rPr>
          <w:rFonts w:cs="Arial"/>
          <w:color w:val="000000" w:themeColor="text1"/>
          <w:sz w:val="22"/>
          <w:szCs w:val="22"/>
        </w:rPr>
      </w:pPr>
    </w:p>
    <w:p w14:paraId="26C17112"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The service provider including any hub and any associated satellite sites as appropriate, must be HTA licensed (For procurement and storage of PBL, BM and PBSC) in accordance with the Human Tissue (Quality &amp; Safety for Human Application) Regulations and any Third Parties must either be similarly licensed or operating under an TPA approved by the Service Provider’s Designated Individual, for the procurement of stem cells (if carrying out procurement relating to this specification).</w:t>
      </w:r>
    </w:p>
    <w:p w14:paraId="661B884B" w14:textId="77777777" w:rsidR="00A81DBF" w:rsidRPr="006C70FF" w:rsidRDefault="00A81DBF" w:rsidP="00A81DBF">
      <w:pPr>
        <w:rPr>
          <w:rFonts w:cs="Arial"/>
          <w:color w:val="000000" w:themeColor="text1"/>
          <w:sz w:val="22"/>
          <w:szCs w:val="22"/>
        </w:rPr>
      </w:pPr>
    </w:p>
    <w:p w14:paraId="49488D65"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The service provider should be JACIE accredited.</w:t>
      </w:r>
    </w:p>
    <w:p w14:paraId="7F6547F6" w14:textId="77777777" w:rsidR="00A81DBF" w:rsidRPr="006C70FF" w:rsidRDefault="00A81DBF" w:rsidP="00A81DBF">
      <w:pPr>
        <w:rPr>
          <w:rFonts w:cs="Arial"/>
          <w:color w:val="000000" w:themeColor="text1"/>
          <w:sz w:val="22"/>
          <w:szCs w:val="22"/>
        </w:rPr>
      </w:pPr>
    </w:p>
    <w:p w14:paraId="6B869443"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Laboratories supporting this contract in terms of infectious disease marker testing, must be HTA licensed for testing (as part of the hub, as a satellite site or covered by a compliant TPA). ISO15189 accreditation of the testing lab(s) is desirable.</w:t>
      </w:r>
    </w:p>
    <w:p w14:paraId="24F2BDC3" w14:textId="77777777" w:rsidR="00A81DBF" w:rsidRPr="006C70FF" w:rsidRDefault="00A81DBF" w:rsidP="00A81DBF">
      <w:pPr>
        <w:rPr>
          <w:rFonts w:cs="Arial"/>
          <w:color w:val="000000" w:themeColor="text1"/>
          <w:sz w:val="22"/>
          <w:szCs w:val="22"/>
        </w:rPr>
      </w:pPr>
    </w:p>
    <w:p w14:paraId="0F669937"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The service provider will be responsible for providing all laboratory tests and clinical assessments necessary to determine the fitness of the donor to donate.</w:t>
      </w:r>
    </w:p>
    <w:p w14:paraId="6E108F5F" w14:textId="77777777" w:rsidR="00A81DBF" w:rsidRPr="006C70FF" w:rsidRDefault="00A81DBF" w:rsidP="00A81DBF">
      <w:pPr>
        <w:rPr>
          <w:rFonts w:cs="Arial"/>
          <w:color w:val="000000" w:themeColor="text1"/>
          <w:sz w:val="22"/>
          <w:szCs w:val="22"/>
        </w:rPr>
      </w:pPr>
    </w:p>
    <w:p w14:paraId="0C5918CA" w14:textId="2874F338" w:rsidR="00A81DBF" w:rsidRPr="00637586"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All test kits used must be </w:t>
      </w:r>
      <w:r w:rsidRPr="00637586">
        <w:rPr>
          <w:rFonts w:cs="Arial"/>
          <w:color w:val="000000" w:themeColor="text1"/>
          <w:sz w:val="22"/>
          <w:szCs w:val="22"/>
        </w:rPr>
        <w:t xml:space="preserve">CE </w:t>
      </w:r>
      <w:r w:rsidR="00274AB9" w:rsidRPr="00637586">
        <w:rPr>
          <w:rFonts w:cs="Arial"/>
          <w:color w:val="000000" w:themeColor="text1"/>
          <w:sz w:val="22"/>
          <w:szCs w:val="22"/>
        </w:rPr>
        <w:t>or UKCA</w:t>
      </w:r>
      <w:r w:rsidR="00F46C2C" w:rsidRPr="00637586">
        <w:rPr>
          <w:rFonts w:cs="Arial"/>
          <w:color w:val="000000" w:themeColor="text1"/>
          <w:sz w:val="22"/>
          <w:szCs w:val="22"/>
        </w:rPr>
        <w:t xml:space="preserve"> (wherever possible)</w:t>
      </w:r>
      <w:r w:rsidR="00274AB9" w:rsidRPr="00637586">
        <w:rPr>
          <w:rFonts w:cs="Arial"/>
          <w:color w:val="000000" w:themeColor="text1"/>
          <w:sz w:val="22"/>
          <w:szCs w:val="22"/>
        </w:rPr>
        <w:t xml:space="preserve"> </w:t>
      </w:r>
      <w:r w:rsidRPr="00637586">
        <w:rPr>
          <w:rFonts w:cs="Arial"/>
          <w:color w:val="000000" w:themeColor="text1"/>
          <w:sz w:val="22"/>
          <w:szCs w:val="22"/>
        </w:rPr>
        <w:t>marked and validated.</w:t>
      </w:r>
    </w:p>
    <w:p w14:paraId="5118B8CD" w14:textId="77777777" w:rsidR="00A81DBF" w:rsidRPr="00637586" w:rsidRDefault="00A81DBF" w:rsidP="00A81DBF">
      <w:pPr>
        <w:rPr>
          <w:rFonts w:cs="Arial"/>
          <w:color w:val="000000" w:themeColor="text1"/>
          <w:sz w:val="22"/>
          <w:szCs w:val="22"/>
        </w:rPr>
      </w:pPr>
    </w:p>
    <w:p w14:paraId="3C766BE3"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The fitness of the donor to donate should be determined as soon as possible so that the BBMR Consultant can report final donor clearance to the Transplant Centre. The lead time given must not influence the work up schedule.</w:t>
      </w:r>
    </w:p>
    <w:p w14:paraId="2615AE05" w14:textId="77777777" w:rsidR="00A81DBF" w:rsidRPr="006C70FF" w:rsidRDefault="00A81DBF" w:rsidP="00A81DBF">
      <w:pPr>
        <w:rPr>
          <w:rFonts w:cs="Arial"/>
          <w:color w:val="000000" w:themeColor="text1"/>
          <w:sz w:val="22"/>
          <w:szCs w:val="22"/>
        </w:rPr>
      </w:pPr>
    </w:p>
    <w:p w14:paraId="28C1C564" w14:textId="590CA5BD"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The virological and microbiological status of the donor must be confirmed within 30 days of the collection date and before patient conditioning commences. The service provider will be responsible for repeat / confirmatory infectious disease marker testing. See appendix C for full testing requirements.</w:t>
      </w:r>
    </w:p>
    <w:p w14:paraId="2CBE636C" w14:textId="77777777" w:rsidR="00A81DBF" w:rsidRPr="006C70FF" w:rsidRDefault="00A81DBF" w:rsidP="00A81DBF">
      <w:pPr>
        <w:rPr>
          <w:rFonts w:cs="Arial"/>
          <w:color w:val="000000" w:themeColor="text1"/>
          <w:sz w:val="22"/>
          <w:szCs w:val="22"/>
        </w:rPr>
      </w:pPr>
    </w:p>
    <w:p w14:paraId="1EF8F4C3"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The service provider must maintain appropriate insurance for injury to donors’ consequent of clinical or other third-party liability.</w:t>
      </w:r>
    </w:p>
    <w:p w14:paraId="4FD29E1A" w14:textId="77777777" w:rsidR="00A81DBF" w:rsidRPr="006C70FF" w:rsidRDefault="00A81DBF" w:rsidP="00A81DBF">
      <w:pPr>
        <w:rPr>
          <w:rFonts w:cs="Arial"/>
          <w:color w:val="000000" w:themeColor="text1"/>
          <w:sz w:val="22"/>
          <w:szCs w:val="22"/>
        </w:rPr>
      </w:pPr>
    </w:p>
    <w:p w14:paraId="5E082D4D" w14:textId="54ACCED2"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All staff responsible for the management, </w:t>
      </w:r>
      <w:r w:rsidR="00C0556F" w:rsidRPr="006C70FF">
        <w:rPr>
          <w:rFonts w:cs="Arial"/>
          <w:color w:val="000000" w:themeColor="text1"/>
          <w:sz w:val="22"/>
          <w:szCs w:val="22"/>
        </w:rPr>
        <w:t>assessment,</w:t>
      </w:r>
      <w:r w:rsidRPr="006C70FF">
        <w:rPr>
          <w:rFonts w:cs="Arial"/>
          <w:color w:val="000000" w:themeColor="text1"/>
          <w:sz w:val="22"/>
          <w:szCs w:val="22"/>
        </w:rPr>
        <w:t xml:space="preserve"> and care of BBMR donors referred under this contract must be professionally registered </w:t>
      </w:r>
      <w:r w:rsidR="00395D9D" w:rsidRPr="006C70FF">
        <w:rPr>
          <w:rFonts w:cs="Arial"/>
          <w:color w:val="000000" w:themeColor="text1"/>
          <w:sz w:val="22"/>
          <w:szCs w:val="22"/>
        </w:rPr>
        <w:t>e.g.,</w:t>
      </w:r>
      <w:r w:rsidRPr="006C70FF">
        <w:rPr>
          <w:rFonts w:cs="Arial"/>
          <w:color w:val="000000" w:themeColor="text1"/>
          <w:sz w:val="22"/>
          <w:szCs w:val="22"/>
        </w:rPr>
        <w:t xml:space="preserve"> GMC, NMC or HCPC.</w:t>
      </w:r>
    </w:p>
    <w:p w14:paraId="7ABEC55A" w14:textId="77777777" w:rsidR="00A81DBF" w:rsidRPr="006C70FF" w:rsidRDefault="00A81DBF" w:rsidP="00A81DBF">
      <w:pPr>
        <w:ind w:left="720"/>
        <w:rPr>
          <w:rFonts w:cs="Arial"/>
          <w:color w:val="000000" w:themeColor="text1"/>
          <w:sz w:val="22"/>
          <w:szCs w:val="22"/>
        </w:rPr>
      </w:pPr>
    </w:p>
    <w:p w14:paraId="03A5FA7F" w14:textId="1C8D44BB"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The service provider must maintain an </w:t>
      </w:r>
      <w:r w:rsidR="00395D9D" w:rsidRPr="006C70FF">
        <w:rPr>
          <w:rFonts w:cs="Arial"/>
          <w:color w:val="000000" w:themeColor="text1"/>
          <w:sz w:val="22"/>
          <w:szCs w:val="22"/>
        </w:rPr>
        <w:t>up-to-date</w:t>
      </w:r>
      <w:r w:rsidRPr="006C70FF">
        <w:rPr>
          <w:rFonts w:cs="Arial"/>
          <w:color w:val="000000" w:themeColor="text1"/>
          <w:sz w:val="22"/>
          <w:szCs w:val="22"/>
        </w:rPr>
        <w:t xml:space="preserve"> signature list of all doctors who will be prescribing G-CSF to BBMR donors.  Updated signature logs must be scanned and sent to BBMR before new doctors can sign G-CSF prescriptions on behalf of BBMR.  </w:t>
      </w:r>
    </w:p>
    <w:p w14:paraId="118783BA" w14:textId="77777777" w:rsidR="00A81DBF" w:rsidRPr="006C70FF" w:rsidRDefault="00A81DBF" w:rsidP="00A81DBF">
      <w:pPr>
        <w:ind w:left="720"/>
        <w:rPr>
          <w:rFonts w:cs="Arial"/>
          <w:color w:val="000000" w:themeColor="text1"/>
          <w:sz w:val="22"/>
          <w:szCs w:val="22"/>
        </w:rPr>
      </w:pPr>
    </w:p>
    <w:p w14:paraId="16D522C8"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The service provider must report any changes to relevant accreditation or licensing status to BBMR. </w:t>
      </w:r>
    </w:p>
    <w:p w14:paraId="09A40C94" w14:textId="77777777" w:rsidR="00A81DBF" w:rsidRPr="006C70FF" w:rsidRDefault="00A81DBF" w:rsidP="00A81DBF">
      <w:pPr>
        <w:ind w:left="720"/>
        <w:rPr>
          <w:rFonts w:cs="Arial"/>
          <w:color w:val="000000" w:themeColor="text1"/>
          <w:sz w:val="22"/>
          <w:szCs w:val="22"/>
        </w:rPr>
      </w:pPr>
    </w:p>
    <w:p w14:paraId="75834CE6" w14:textId="77777777" w:rsidR="00A81DBF" w:rsidRPr="006C70FF" w:rsidRDefault="00A81DBF" w:rsidP="00A81DBF">
      <w:pPr>
        <w:rPr>
          <w:rFonts w:cs="Arial"/>
          <w:color w:val="000000" w:themeColor="text1"/>
          <w:sz w:val="22"/>
          <w:szCs w:val="22"/>
        </w:rPr>
      </w:pPr>
    </w:p>
    <w:p w14:paraId="492A0A2A" w14:textId="77777777" w:rsidR="00A81DBF" w:rsidRPr="006C70FF" w:rsidRDefault="00A81DBF" w:rsidP="00A81DBF">
      <w:pPr>
        <w:numPr>
          <w:ilvl w:val="0"/>
          <w:numId w:val="3"/>
        </w:numPr>
        <w:ind w:hanging="900"/>
        <w:rPr>
          <w:rFonts w:cs="Arial"/>
          <w:b/>
          <w:color w:val="000000" w:themeColor="text1"/>
          <w:sz w:val="22"/>
          <w:szCs w:val="22"/>
        </w:rPr>
      </w:pPr>
      <w:r w:rsidRPr="006C70FF">
        <w:rPr>
          <w:rFonts w:cs="Arial"/>
          <w:b/>
          <w:color w:val="000000" w:themeColor="text1"/>
          <w:sz w:val="22"/>
          <w:szCs w:val="22"/>
        </w:rPr>
        <w:t>Service Specification</w:t>
      </w:r>
    </w:p>
    <w:p w14:paraId="6CD4DBC6" w14:textId="77777777" w:rsidR="00A81DBF" w:rsidRPr="006C70FF" w:rsidRDefault="00A81DBF" w:rsidP="00A81DBF">
      <w:pPr>
        <w:rPr>
          <w:rFonts w:cs="Arial"/>
          <w:color w:val="000000" w:themeColor="text1"/>
          <w:sz w:val="22"/>
          <w:szCs w:val="22"/>
        </w:rPr>
      </w:pPr>
    </w:p>
    <w:p w14:paraId="3D00380F" w14:textId="525319AB" w:rsidR="00A81DBF" w:rsidRPr="006C70FF" w:rsidRDefault="00A81DBF" w:rsidP="00A81DBF">
      <w:pPr>
        <w:numPr>
          <w:ilvl w:val="1"/>
          <w:numId w:val="3"/>
        </w:numPr>
        <w:rPr>
          <w:color w:val="000000" w:themeColor="text1"/>
          <w:sz w:val="22"/>
          <w:szCs w:val="22"/>
        </w:rPr>
      </w:pPr>
      <w:r w:rsidRPr="006C70FF">
        <w:rPr>
          <w:color w:val="000000" w:themeColor="text1"/>
          <w:sz w:val="22"/>
          <w:szCs w:val="22"/>
        </w:rPr>
        <w:t>All relevant service provider medical staff must be trained in cardiopulmonary resuscitation and their training must be updated annually. Resuscitation support needs to be available 24 hours a day</w:t>
      </w:r>
      <w:r w:rsidR="00836E13">
        <w:rPr>
          <w:color w:val="000000" w:themeColor="text1"/>
          <w:sz w:val="22"/>
          <w:szCs w:val="22"/>
        </w:rPr>
        <w:t>.</w:t>
      </w:r>
    </w:p>
    <w:p w14:paraId="4C737E7A" w14:textId="77777777" w:rsidR="00A81DBF" w:rsidRPr="006C70FF" w:rsidRDefault="00A81DBF" w:rsidP="00A81DBF">
      <w:pPr>
        <w:ind w:left="900"/>
        <w:rPr>
          <w:color w:val="000000" w:themeColor="text1"/>
          <w:sz w:val="22"/>
          <w:szCs w:val="22"/>
        </w:rPr>
      </w:pPr>
    </w:p>
    <w:p w14:paraId="05C7DECC"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A service provider responsible person is to accept BBMR requests to acknowledge and train other relevant staff of change notifications to the JPAC Bone Marrow and Peripheral Blood Stem Cell Donor Selection Guidelines for Unrelated Donors (DSG) (</w:t>
      </w:r>
      <w:hyperlink r:id="rId8" w:history="1">
        <w:r w:rsidRPr="006C70FF">
          <w:rPr>
            <w:color w:val="000000" w:themeColor="text1"/>
            <w:sz w:val="22"/>
            <w:szCs w:val="22"/>
            <w:u w:val="single"/>
          </w:rPr>
          <w:t>http://www.transfusionguidelines.org.uk/dsg/bm</w:t>
        </w:r>
      </w:hyperlink>
      <w:r w:rsidRPr="006C70FF">
        <w:rPr>
          <w:color w:val="000000" w:themeColor="text1"/>
          <w:sz w:val="22"/>
          <w:szCs w:val="22"/>
        </w:rPr>
        <w:t xml:space="preserve"> and the Geographical Disease Risk Index </w:t>
      </w:r>
      <w:r w:rsidRPr="006C70FF">
        <w:rPr>
          <w:color w:val="000000" w:themeColor="text1"/>
          <w:sz w:val="22"/>
          <w:szCs w:val="22"/>
          <w:u w:val="single"/>
        </w:rPr>
        <w:t>(</w:t>
      </w:r>
      <w:hyperlink r:id="rId9" w:history="1">
        <w:r w:rsidRPr="006C70FF">
          <w:rPr>
            <w:color w:val="000000" w:themeColor="text1"/>
            <w:sz w:val="22"/>
            <w:szCs w:val="22"/>
            <w:u w:val="single"/>
          </w:rPr>
          <w:t>https://www.transfusionguidelines.org/dsg/gdri</w:t>
        </w:r>
      </w:hyperlink>
      <w:r w:rsidRPr="006C70FF">
        <w:rPr>
          <w:color w:val="000000" w:themeColor="text1"/>
          <w:sz w:val="22"/>
          <w:szCs w:val="22"/>
        </w:rPr>
        <w:t>).</w:t>
      </w:r>
    </w:p>
    <w:p w14:paraId="5FBAEEBB" w14:textId="77777777" w:rsidR="00A81DBF" w:rsidRPr="006C70FF" w:rsidRDefault="00A81DBF" w:rsidP="00A81DBF">
      <w:pPr>
        <w:ind w:left="900"/>
        <w:rPr>
          <w:color w:val="000000" w:themeColor="text1"/>
          <w:sz w:val="22"/>
          <w:szCs w:val="22"/>
        </w:rPr>
      </w:pPr>
    </w:p>
    <w:p w14:paraId="216565BC"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Advising the BBMR Registry Stem Cell Co-ordinator of theatre or apheresis space for prospective HPC collections derived from the bone marrow or peripheral blood and PBL collections, within 1 working day of notification.</w:t>
      </w:r>
    </w:p>
    <w:p w14:paraId="49FCA30E" w14:textId="77777777" w:rsidR="00A81DBF" w:rsidRPr="006C70FF" w:rsidRDefault="00A81DBF" w:rsidP="00A81DBF">
      <w:pPr>
        <w:ind w:left="360"/>
        <w:rPr>
          <w:color w:val="000000" w:themeColor="text1"/>
          <w:sz w:val="22"/>
          <w:szCs w:val="22"/>
        </w:rPr>
      </w:pPr>
    </w:p>
    <w:p w14:paraId="5A6302B2" w14:textId="214370CA" w:rsidR="00FF1FCC" w:rsidRPr="006C70FF" w:rsidRDefault="00A81DBF" w:rsidP="00FF1FCC">
      <w:pPr>
        <w:numPr>
          <w:ilvl w:val="1"/>
          <w:numId w:val="3"/>
        </w:numPr>
        <w:rPr>
          <w:color w:val="000000" w:themeColor="text1"/>
          <w:sz w:val="22"/>
          <w:szCs w:val="22"/>
        </w:rPr>
      </w:pPr>
      <w:r w:rsidRPr="006C70FF">
        <w:rPr>
          <w:color w:val="000000" w:themeColor="text1"/>
          <w:sz w:val="22"/>
          <w:szCs w:val="22"/>
        </w:rPr>
        <w:t xml:space="preserve">Arranging to see the donor as an outpatient in a private </w:t>
      </w:r>
      <w:r w:rsidR="00A9041C" w:rsidRPr="006C70FF">
        <w:rPr>
          <w:color w:val="000000" w:themeColor="text1"/>
          <w:sz w:val="22"/>
          <w:szCs w:val="22"/>
        </w:rPr>
        <w:t xml:space="preserve">or NHS </w:t>
      </w:r>
      <w:r w:rsidRPr="006C70FF">
        <w:rPr>
          <w:color w:val="000000" w:themeColor="text1"/>
          <w:sz w:val="22"/>
          <w:szCs w:val="22"/>
        </w:rPr>
        <w:t>facility to determine their suitability and fitness (by taking a medical history and performing a medical examination), this will include counselling and consenting the donor for the procedure.</w:t>
      </w:r>
      <w:r w:rsidR="00FF1FCC" w:rsidRPr="006C70FF">
        <w:rPr>
          <w:color w:val="000000" w:themeColor="text1"/>
          <w:sz w:val="22"/>
          <w:szCs w:val="22"/>
        </w:rPr>
        <w:t xml:space="preserve">  N.B. Examination must be</w:t>
      </w:r>
    </w:p>
    <w:p w14:paraId="7C082E0B" w14:textId="225F03D5" w:rsidR="00A81DBF" w:rsidRPr="006C70FF" w:rsidRDefault="00FF1FCC" w:rsidP="00FF1FCC">
      <w:pPr>
        <w:ind w:left="540"/>
        <w:rPr>
          <w:color w:val="000000" w:themeColor="text1"/>
          <w:sz w:val="22"/>
          <w:szCs w:val="22"/>
        </w:rPr>
      </w:pPr>
      <w:r w:rsidRPr="006C70FF">
        <w:rPr>
          <w:color w:val="000000" w:themeColor="text1"/>
          <w:sz w:val="22"/>
          <w:szCs w:val="22"/>
        </w:rPr>
        <w:t>performed or supervised by a physician who is not the primary treating physician overseeing the care of the patient.</w:t>
      </w:r>
    </w:p>
    <w:p w14:paraId="60DB53A8" w14:textId="77777777" w:rsidR="00A81DBF" w:rsidRPr="006C70FF" w:rsidRDefault="00A81DBF" w:rsidP="00A81DBF">
      <w:pPr>
        <w:ind w:left="720"/>
        <w:rPr>
          <w:color w:val="000000" w:themeColor="text1"/>
          <w:sz w:val="22"/>
          <w:szCs w:val="22"/>
        </w:rPr>
      </w:pPr>
    </w:p>
    <w:p w14:paraId="59253104" w14:textId="6D786EBF"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On the donors first visit, verifying the identity of the donor </w:t>
      </w:r>
      <w:r w:rsidR="00A9041C" w:rsidRPr="006C70FF">
        <w:rPr>
          <w:color w:val="000000" w:themeColor="text1"/>
          <w:sz w:val="22"/>
          <w:szCs w:val="22"/>
        </w:rPr>
        <w:t xml:space="preserve">verbally </w:t>
      </w:r>
      <w:r w:rsidRPr="006C70FF">
        <w:rPr>
          <w:color w:val="000000" w:themeColor="text1"/>
          <w:sz w:val="22"/>
          <w:szCs w:val="22"/>
        </w:rPr>
        <w:t>against photographic ID or against documentation supplied by BBMR.</w:t>
      </w:r>
    </w:p>
    <w:p w14:paraId="02D65042" w14:textId="77777777" w:rsidR="00A81DBF" w:rsidRPr="006C70FF" w:rsidRDefault="00A81DBF" w:rsidP="00A81DBF">
      <w:pPr>
        <w:ind w:left="720"/>
        <w:rPr>
          <w:color w:val="000000" w:themeColor="text1"/>
          <w:sz w:val="22"/>
          <w:szCs w:val="22"/>
        </w:rPr>
      </w:pPr>
    </w:p>
    <w:p w14:paraId="72D1935E" w14:textId="77777777" w:rsidR="00A81DBF" w:rsidRPr="006C70FF" w:rsidRDefault="00A81DBF" w:rsidP="00A81DBF">
      <w:pPr>
        <w:numPr>
          <w:ilvl w:val="1"/>
          <w:numId w:val="3"/>
        </w:numPr>
        <w:rPr>
          <w:rFonts w:cs="Arial"/>
          <w:color w:val="000000" w:themeColor="text1"/>
          <w:sz w:val="22"/>
          <w:szCs w:val="22"/>
        </w:rPr>
      </w:pPr>
      <w:r w:rsidRPr="006C70FF">
        <w:rPr>
          <w:rFonts w:cs="Arial"/>
          <w:color w:val="000000" w:themeColor="text1"/>
          <w:sz w:val="22"/>
          <w:szCs w:val="22"/>
        </w:rPr>
        <w:t xml:space="preserve">Counselling and consenting stem cell donors in accordance with HTA and WMDA requirements using the appropriate BBMR documentation. </w:t>
      </w:r>
      <w:r w:rsidRPr="006C70FF">
        <w:rPr>
          <w:color w:val="000000" w:themeColor="text1"/>
          <w:sz w:val="22"/>
        </w:rPr>
        <w:t xml:space="preserve">Consent cannot be transferred.  Informed consent is required for each donation. The donor may withdraw their consent at any time however the </w:t>
      </w:r>
      <w:r w:rsidRPr="006C70FF">
        <w:rPr>
          <w:color w:val="000000" w:themeColor="text1"/>
          <w:sz w:val="22"/>
        </w:rPr>
        <w:lastRenderedPageBreak/>
        <w:t>potential life-threatening consequences to the patient are to be explained.  BBMR consent forms are:</w:t>
      </w:r>
    </w:p>
    <w:p w14:paraId="6D0F8179" w14:textId="77777777" w:rsidR="00A81DBF" w:rsidRPr="006C70FF" w:rsidRDefault="00A81DBF" w:rsidP="00A81DBF">
      <w:pPr>
        <w:ind w:left="720"/>
        <w:rPr>
          <w:color w:val="000000" w:themeColor="text1"/>
          <w:sz w:val="22"/>
          <w:szCs w:val="22"/>
        </w:rPr>
      </w:pPr>
    </w:p>
    <w:p w14:paraId="06E6E756" w14:textId="77777777" w:rsidR="00A81DBF" w:rsidRPr="006C70FF" w:rsidRDefault="00A81DBF" w:rsidP="00A81DBF">
      <w:pPr>
        <w:ind w:left="900"/>
        <w:rPr>
          <w:rFonts w:cs="Arial"/>
          <w:color w:val="000000" w:themeColor="text1"/>
          <w:sz w:val="22"/>
          <w:szCs w:val="22"/>
        </w:rPr>
      </w:pPr>
      <w:r w:rsidRPr="006C70FF">
        <w:rPr>
          <w:rFonts w:cs="Arial"/>
          <w:color w:val="000000" w:themeColor="text1"/>
          <w:sz w:val="22"/>
          <w:szCs w:val="22"/>
        </w:rPr>
        <w:t>G9058A: Consent Form for Collection of Donor Lymphocytes from the Blood Stream</w:t>
      </w:r>
    </w:p>
    <w:p w14:paraId="634582C4" w14:textId="77777777" w:rsidR="00A81DBF" w:rsidRPr="006C70FF" w:rsidRDefault="00A81DBF" w:rsidP="00A81DBF">
      <w:pPr>
        <w:ind w:left="900"/>
        <w:rPr>
          <w:rFonts w:cs="Arial"/>
          <w:color w:val="000000" w:themeColor="text1"/>
          <w:sz w:val="22"/>
          <w:szCs w:val="22"/>
        </w:rPr>
      </w:pPr>
      <w:r w:rsidRPr="006C70FF">
        <w:rPr>
          <w:rFonts w:cs="Arial"/>
          <w:color w:val="000000" w:themeColor="text1"/>
          <w:sz w:val="22"/>
          <w:szCs w:val="22"/>
        </w:rPr>
        <w:t>G926B3: Consent Form for Granulocyte Colony Stimulating Factors (G-CSF) Treatment and Donation of Peripheral Blood Stem Cells (PBSCs) from the Blood Stream</w:t>
      </w:r>
    </w:p>
    <w:p w14:paraId="7CB67FB4" w14:textId="77777777" w:rsidR="00A81DBF" w:rsidRPr="006C70FF" w:rsidRDefault="00A81DBF" w:rsidP="00A81DBF">
      <w:pPr>
        <w:ind w:left="900"/>
        <w:rPr>
          <w:rFonts w:cs="Arial"/>
          <w:color w:val="000000" w:themeColor="text1"/>
          <w:sz w:val="22"/>
          <w:szCs w:val="22"/>
        </w:rPr>
      </w:pPr>
      <w:r w:rsidRPr="006C70FF">
        <w:rPr>
          <w:rFonts w:cs="Arial"/>
          <w:color w:val="000000" w:themeColor="text1"/>
          <w:sz w:val="22"/>
          <w:szCs w:val="22"/>
        </w:rPr>
        <w:t>G9315: Consent Form for Donation of Blood Stem Cells through a Bone Marrow Harvest</w:t>
      </w:r>
    </w:p>
    <w:p w14:paraId="004E08D1" w14:textId="77777777" w:rsidR="00A81DBF" w:rsidRPr="006C70FF" w:rsidRDefault="00A81DBF" w:rsidP="00A81DBF">
      <w:pPr>
        <w:ind w:left="900"/>
        <w:rPr>
          <w:rFonts w:cs="Arial"/>
          <w:color w:val="000000" w:themeColor="text1"/>
          <w:sz w:val="22"/>
          <w:szCs w:val="22"/>
        </w:rPr>
      </w:pPr>
    </w:p>
    <w:p w14:paraId="4CB4E71B" w14:textId="2D1A1B01" w:rsidR="00A81DBF" w:rsidRPr="006C70FF" w:rsidRDefault="00A81DBF" w:rsidP="00A81DBF">
      <w:pPr>
        <w:ind w:left="900"/>
        <w:rPr>
          <w:rFonts w:cs="Arial"/>
          <w:color w:val="000000" w:themeColor="text1"/>
          <w:sz w:val="22"/>
          <w:szCs w:val="22"/>
        </w:rPr>
      </w:pPr>
      <w:r w:rsidRPr="006C70FF">
        <w:rPr>
          <w:rFonts w:cs="Arial"/>
          <w:color w:val="000000" w:themeColor="text1"/>
          <w:sz w:val="22"/>
          <w:szCs w:val="22"/>
        </w:rPr>
        <w:t>BBMR occasionally collaborates with other centres wishing to include BBMR donors in research studies.  The service provider may on occasion be requested to deliver extra specific research study related counselling and facilitate the completion of extra consent capturing forms.  Research study participation may also result in extra blood sample requirements.  This includes the possibility that extra peripheral blood samples may need to be drawn as starting material for advanced (investigational) medicinal products – AT(I)MP manufacture).  On rare occasions, the collected product (PBSC or bone marrow) itself will be the starting material.  In all cases where peripheral blood or product is starting material; repeat mandatory infectious disease marker testing will be necessary on the blood draw or harvest day</w:t>
      </w:r>
      <w:r w:rsidR="000833BF">
        <w:rPr>
          <w:rFonts w:cs="Arial"/>
          <w:color w:val="000000" w:themeColor="text1"/>
          <w:sz w:val="22"/>
          <w:szCs w:val="22"/>
        </w:rPr>
        <w:t xml:space="preserve"> </w:t>
      </w:r>
      <w:r w:rsidRPr="006C70FF">
        <w:rPr>
          <w:rFonts w:cs="Arial"/>
          <w:color w:val="000000" w:themeColor="text1"/>
          <w:sz w:val="22"/>
          <w:szCs w:val="22"/>
        </w:rPr>
        <w:t xml:space="preserve">to meet HTA requirements. </w:t>
      </w:r>
    </w:p>
    <w:p w14:paraId="5312E4F4" w14:textId="77777777" w:rsidR="00A81DBF" w:rsidRPr="006C70FF" w:rsidRDefault="00A81DBF" w:rsidP="00A81DBF">
      <w:pPr>
        <w:ind w:left="900"/>
        <w:rPr>
          <w:rFonts w:cs="Arial"/>
          <w:color w:val="000000" w:themeColor="text1"/>
          <w:sz w:val="22"/>
          <w:szCs w:val="22"/>
        </w:rPr>
      </w:pPr>
    </w:p>
    <w:p w14:paraId="16E64D51" w14:textId="626BB182" w:rsidR="00A81DBF" w:rsidRPr="006C70FF" w:rsidRDefault="00A81DBF" w:rsidP="00A81DBF">
      <w:pPr>
        <w:ind w:left="900"/>
        <w:rPr>
          <w:rFonts w:cs="Arial"/>
          <w:color w:val="000000" w:themeColor="text1"/>
          <w:sz w:val="22"/>
          <w:szCs w:val="22"/>
        </w:rPr>
      </w:pPr>
      <w:r w:rsidRPr="006C70FF">
        <w:rPr>
          <w:rFonts w:cs="Arial"/>
          <w:color w:val="000000" w:themeColor="text1"/>
          <w:sz w:val="22"/>
          <w:szCs w:val="22"/>
        </w:rPr>
        <w:t xml:space="preserve">Before the medical, standard donor counselling must also </w:t>
      </w:r>
      <w:r w:rsidR="00582D4C" w:rsidRPr="006C70FF">
        <w:rPr>
          <w:rFonts w:cs="Arial"/>
          <w:color w:val="000000" w:themeColor="text1"/>
          <w:sz w:val="22"/>
          <w:szCs w:val="22"/>
        </w:rPr>
        <w:t>cover,</w:t>
      </w:r>
      <w:r w:rsidRPr="006C70FF">
        <w:rPr>
          <w:rFonts w:cs="Arial"/>
          <w:color w:val="000000" w:themeColor="text1"/>
          <w:sz w:val="22"/>
          <w:szCs w:val="22"/>
        </w:rPr>
        <w:t xml:space="preserve"> the need for the completion of a donor health history questionnaire, the need for a medical assessment</w:t>
      </w:r>
      <w:r w:rsidR="00772EFB">
        <w:rPr>
          <w:rFonts w:cs="Arial"/>
          <w:color w:val="000000" w:themeColor="text1"/>
          <w:sz w:val="22"/>
          <w:szCs w:val="22"/>
        </w:rPr>
        <w:t xml:space="preserve">, </w:t>
      </w:r>
      <w:r w:rsidR="00772EFB" w:rsidRPr="00772EFB">
        <w:rPr>
          <w:rFonts w:cs="Arial"/>
          <w:color w:val="7030A0"/>
          <w:sz w:val="22"/>
          <w:szCs w:val="22"/>
        </w:rPr>
        <w:t>the choice of whether to self-administer or have a nurse administer G-CSF if donating PBSC</w:t>
      </w:r>
      <w:r w:rsidRPr="00772EFB">
        <w:rPr>
          <w:rFonts w:cs="Arial"/>
          <w:color w:val="7030A0"/>
          <w:sz w:val="22"/>
          <w:szCs w:val="22"/>
        </w:rPr>
        <w:t xml:space="preserve"> </w:t>
      </w:r>
      <w:r w:rsidRPr="006C70FF">
        <w:rPr>
          <w:rFonts w:cs="Arial"/>
          <w:color w:val="000000" w:themeColor="text1"/>
          <w:sz w:val="22"/>
          <w:szCs w:val="22"/>
        </w:rPr>
        <w:t>and a general description of the risks of donation:</w:t>
      </w:r>
    </w:p>
    <w:p w14:paraId="1C30ECC0" w14:textId="77777777" w:rsidR="00A81DBF" w:rsidRPr="006C70FF" w:rsidRDefault="00A81DBF" w:rsidP="00A81DBF">
      <w:pPr>
        <w:ind w:left="900"/>
        <w:rPr>
          <w:rFonts w:cs="Arial"/>
          <w:color w:val="000000" w:themeColor="text1"/>
          <w:sz w:val="22"/>
          <w:szCs w:val="22"/>
        </w:rPr>
      </w:pPr>
    </w:p>
    <w:p w14:paraId="1BF750CD" w14:textId="77777777" w:rsidR="00A81DBF" w:rsidRPr="006C70FF" w:rsidRDefault="00A81DBF" w:rsidP="00A81DBF">
      <w:pPr>
        <w:numPr>
          <w:ilvl w:val="0"/>
          <w:numId w:val="4"/>
        </w:numPr>
        <w:ind w:left="1418" w:hanging="567"/>
        <w:rPr>
          <w:rFonts w:cs="Arial"/>
          <w:color w:val="000000" w:themeColor="text1"/>
          <w:sz w:val="22"/>
          <w:szCs w:val="22"/>
          <w:lang w:val="en"/>
        </w:rPr>
      </w:pPr>
      <w:r w:rsidRPr="006C70FF">
        <w:rPr>
          <w:rFonts w:cs="Arial"/>
          <w:color w:val="000000" w:themeColor="text1"/>
          <w:sz w:val="22"/>
          <w:szCs w:val="22"/>
          <w:lang w:val="en"/>
        </w:rPr>
        <w:t>Bone Marrow Donation or PBSC Donation may be debilitating and may require, in a small percentage of cases, a longer recovery period</w:t>
      </w:r>
    </w:p>
    <w:p w14:paraId="3F8B1AAE" w14:textId="1F895CC6" w:rsidR="00772EFB" w:rsidRPr="00772EFB" w:rsidRDefault="00A81DBF" w:rsidP="00772EFB">
      <w:pPr>
        <w:numPr>
          <w:ilvl w:val="0"/>
          <w:numId w:val="4"/>
        </w:numPr>
        <w:ind w:firstLine="131"/>
        <w:rPr>
          <w:rFonts w:cs="Arial"/>
          <w:color w:val="000000" w:themeColor="text1"/>
          <w:sz w:val="22"/>
          <w:szCs w:val="22"/>
          <w:lang w:val="en"/>
        </w:rPr>
      </w:pPr>
      <w:r w:rsidRPr="006C70FF">
        <w:rPr>
          <w:rFonts w:cs="Arial"/>
          <w:color w:val="000000" w:themeColor="text1"/>
          <w:sz w:val="22"/>
          <w:szCs w:val="22"/>
          <w:lang w:val="en"/>
        </w:rPr>
        <w:t>Donors should refrain from strenuous physical activity during recovery</w:t>
      </w:r>
    </w:p>
    <w:p w14:paraId="63068200" w14:textId="78F9240E" w:rsidR="00586AAA" w:rsidRDefault="00586AAA" w:rsidP="00586AAA">
      <w:pPr>
        <w:rPr>
          <w:rFonts w:cs="Arial"/>
          <w:color w:val="000000" w:themeColor="text1"/>
          <w:sz w:val="22"/>
          <w:szCs w:val="22"/>
          <w:lang w:val="en"/>
        </w:rPr>
      </w:pPr>
    </w:p>
    <w:p w14:paraId="08E923C7" w14:textId="6E448090" w:rsidR="00586AAA" w:rsidRPr="00836E13" w:rsidRDefault="00586AAA" w:rsidP="00836E13">
      <w:pPr>
        <w:ind w:left="851"/>
        <w:rPr>
          <w:rFonts w:cs="Arial"/>
          <w:color w:val="7030A0"/>
          <w:sz w:val="22"/>
          <w:szCs w:val="22"/>
          <w:lang w:val="en"/>
        </w:rPr>
      </w:pPr>
      <w:r w:rsidRPr="00836E13">
        <w:rPr>
          <w:rFonts w:cs="Arial"/>
          <w:color w:val="7030A0"/>
          <w:sz w:val="22"/>
          <w:szCs w:val="22"/>
          <w:lang w:val="en"/>
        </w:rPr>
        <w:t xml:space="preserve">Donors must be advised to avoid high risk </w:t>
      </w:r>
      <w:r w:rsidR="00836E13" w:rsidRPr="00836E13">
        <w:rPr>
          <w:rFonts w:cs="Arial"/>
          <w:color w:val="7030A0"/>
          <w:sz w:val="22"/>
          <w:szCs w:val="22"/>
          <w:lang w:val="en"/>
        </w:rPr>
        <w:t>behaviors</w:t>
      </w:r>
      <w:r w:rsidRPr="00836E13">
        <w:rPr>
          <w:rFonts w:cs="Arial"/>
          <w:color w:val="7030A0"/>
          <w:sz w:val="22"/>
          <w:szCs w:val="22"/>
          <w:lang w:val="en"/>
        </w:rPr>
        <w:t xml:space="preserve"> from the time of their medical until after donation is completed.  If they are involved in a </w:t>
      </w:r>
      <w:r w:rsidR="00836E13" w:rsidRPr="00836E13">
        <w:rPr>
          <w:rFonts w:cs="Arial"/>
          <w:color w:val="7030A0"/>
          <w:sz w:val="22"/>
          <w:szCs w:val="22"/>
          <w:lang w:val="en"/>
        </w:rPr>
        <w:t>high-risk</w:t>
      </w:r>
      <w:r w:rsidRPr="00836E13">
        <w:rPr>
          <w:rFonts w:cs="Arial"/>
          <w:color w:val="7030A0"/>
          <w:sz w:val="22"/>
          <w:szCs w:val="22"/>
          <w:lang w:val="en"/>
        </w:rPr>
        <w:t xml:space="preserve"> episode in this period, they must advise BBMR as soon as possible.</w:t>
      </w:r>
    </w:p>
    <w:p w14:paraId="2AB7612E" w14:textId="77777777" w:rsidR="00A81DBF" w:rsidRPr="006C70FF" w:rsidRDefault="00A81DBF" w:rsidP="00A81DBF">
      <w:pPr>
        <w:ind w:left="900"/>
        <w:rPr>
          <w:rFonts w:cs="Arial"/>
          <w:color w:val="000000" w:themeColor="text1"/>
          <w:sz w:val="22"/>
          <w:szCs w:val="22"/>
        </w:rPr>
      </w:pPr>
    </w:p>
    <w:p w14:paraId="5817E06D"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Counselling and consenting donors where there is a requirement to place a Central Venous Catheter (CVC – to be inserted in compliance with Appendix J: Central Venous Catheter Insertion and PBSC Donor Care) where PBSC is the collection modality and the donor’s peripheral veins are assessed as not suitable.</w:t>
      </w:r>
    </w:p>
    <w:p w14:paraId="270990B6" w14:textId="77777777" w:rsidR="00A81DBF" w:rsidRPr="006C70FF" w:rsidRDefault="00A81DBF" w:rsidP="00A81DBF">
      <w:pPr>
        <w:ind w:left="900"/>
        <w:rPr>
          <w:color w:val="000000" w:themeColor="text1"/>
          <w:sz w:val="22"/>
          <w:szCs w:val="22"/>
        </w:rPr>
      </w:pPr>
    </w:p>
    <w:p w14:paraId="35016B29" w14:textId="7F455BC9" w:rsidR="00A81DBF" w:rsidRPr="006C70FF" w:rsidRDefault="00A81DBF" w:rsidP="00A81DBF">
      <w:pPr>
        <w:numPr>
          <w:ilvl w:val="1"/>
          <w:numId w:val="3"/>
        </w:numPr>
        <w:rPr>
          <w:color w:val="000000" w:themeColor="text1"/>
          <w:sz w:val="22"/>
          <w:szCs w:val="22"/>
        </w:rPr>
      </w:pPr>
      <w:r w:rsidRPr="006C70FF">
        <w:rPr>
          <w:color w:val="000000" w:themeColor="text1"/>
          <w:sz w:val="22"/>
          <w:szCs w:val="22"/>
        </w:rPr>
        <w:t>If Central Venous Catheter (CVC) is inserted, the centre is to ensure a letter for the donors GP is sent</w:t>
      </w:r>
      <w:r w:rsidR="00177843" w:rsidRPr="006C70FF">
        <w:rPr>
          <w:color w:val="000000" w:themeColor="text1"/>
          <w:sz w:val="22"/>
          <w:szCs w:val="22"/>
        </w:rPr>
        <w:t xml:space="preserve"> by secure email, at the time of discharge</w:t>
      </w:r>
      <w:r w:rsidRPr="006C70FF">
        <w:rPr>
          <w:color w:val="000000" w:themeColor="text1"/>
          <w:sz w:val="22"/>
          <w:szCs w:val="22"/>
        </w:rPr>
        <w:t xml:space="preserve">.  Line insertion metrics are to be recorded by the provider and reported periodically, including break down by insertion site (Femoral, Subclavian etc.) </w:t>
      </w:r>
    </w:p>
    <w:p w14:paraId="1278E3F5" w14:textId="77777777" w:rsidR="00A81DBF" w:rsidRPr="006C70FF" w:rsidRDefault="00A81DBF" w:rsidP="00A81DBF">
      <w:pPr>
        <w:rPr>
          <w:color w:val="000000" w:themeColor="text1"/>
          <w:sz w:val="22"/>
          <w:szCs w:val="22"/>
        </w:rPr>
      </w:pPr>
    </w:p>
    <w:p w14:paraId="42CDDC3C"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Female donors must be counselled to avoid pregnancy during the work-up stage and up until after donation</w:t>
      </w:r>
    </w:p>
    <w:p w14:paraId="6E86C668" w14:textId="77777777" w:rsidR="00A81DBF" w:rsidRPr="006C70FF" w:rsidRDefault="00A81DBF" w:rsidP="00A81DBF">
      <w:pPr>
        <w:ind w:left="360"/>
        <w:rPr>
          <w:color w:val="000000" w:themeColor="text1"/>
          <w:sz w:val="22"/>
          <w:szCs w:val="22"/>
        </w:rPr>
      </w:pPr>
    </w:p>
    <w:p w14:paraId="4376711A" w14:textId="0AC74271" w:rsidR="00A81DBF" w:rsidRPr="006C70FF" w:rsidRDefault="00A81DBF" w:rsidP="00A81DBF">
      <w:pPr>
        <w:numPr>
          <w:ilvl w:val="1"/>
          <w:numId w:val="3"/>
        </w:numPr>
        <w:rPr>
          <w:color w:val="000000" w:themeColor="text1"/>
          <w:sz w:val="22"/>
          <w:szCs w:val="22"/>
        </w:rPr>
      </w:pPr>
      <w:r w:rsidRPr="006C70FF">
        <w:rPr>
          <w:color w:val="000000" w:themeColor="text1"/>
          <w:sz w:val="22"/>
          <w:szCs w:val="22"/>
        </w:rPr>
        <w:t>Assessing the suitability and fitness of the donor to undertake a HPC or PBL donation.  If blood pressure is high (even if there is a suspicion BP is falsely so due to stress</w:t>
      </w:r>
      <w:r w:rsidR="00177843" w:rsidRPr="006C70FF">
        <w:rPr>
          <w:color w:val="000000" w:themeColor="text1"/>
          <w:sz w:val="22"/>
          <w:szCs w:val="22"/>
        </w:rPr>
        <w:t xml:space="preserve"> – see appendix K</w:t>
      </w:r>
      <w:r w:rsidRPr="006C70FF">
        <w:rPr>
          <w:color w:val="000000" w:themeColor="text1"/>
          <w:sz w:val="22"/>
          <w:szCs w:val="22"/>
        </w:rPr>
        <w:t xml:space="preserve">) BBMR is to be informed immediately by emailing the case handling BBMR Stem cell co-ordinator </w:t>
      </w:r>
      <w:r w:rsidRPr="006C70FF">
        <w:rPr>
          <w:b/>
          <w:color w:val="000000" w:themeColor="text1"/>
          <w:sz w:val="22"/>
          <w:szCs w:val="22"/>
        </w:rPr>
        <w:t>and</w:t>
      </w:r>
      <w:r w:rsidRPr="006C70FF">
        <w:rPr>
          <w:color w:val="000000" w:themeColor="text1"/>
          <w:sz w:val="22"/>
          <w:szCs w:val="22"/>
        </w:rPr>
        <w:t xml:space="preserve"> </w:t>
      </w:r>
      <w:hyperlink r:id="rId10" w:history="1">
        <w:r w:rsidRPr="006C70FF">
          <w:rPr>
            <w:color w:val="000000" w:themeColor="text1"/>
            <w:sz w:val="22"/>
            <w:szCs w:val="22"/>
            <w:u w:val="single"/>
          </w:rPr>
          <w:t>workup@nhsbt.nhs.uk</w:t>
        </w:r>
      </w:hyperlink>
      <w:r w:rsidRPr="006C70FF">
        <w:rPr>
          <w:color w:val="000000" w:themeColor="text1"/>
          <w:sz w:val="22"/>
          <w:szCs w:val="22"/>
        </w:rPr>
        <w:t xml:space="preserve"> or telephoning 01179125729</w:t>
      </w:r>
    </w:p>
    <w:p w14:paraId="31DDCCE3" w14:textId="77777777" w:rsidR="00A81DBF" w:rsidRPr="006C70FF" w:rsidRDefault="00A81DBF" w:rsidP="00A81DBF">
      <w:pPr>
        <w:ind w:left="720"/>
        <w:rPr>
          <w:color w:val="000000" w:themeColor="text1"/>
          <w:sz w:val="22"/>
          <w:szCs w:val="22"/>
        </w:rPr>
      </w:pPr>
    </w:p>
    <w:p w14:paraId="27381D98" w14:textId="42CA0D0C" w:rsidR="00EA2FF5" w:rsidRPr="006C70FF" w:rsidRDefault="00EA2FF5" w:rsidP="00EA2FF5">
      <w:pPr>
        <w:numPr>
          <w:ilvl w:val="1"/>
          <w:numId w:val="3"/>
        </w:numPr>
        <w:rPr>
          <w:color w:val="000000" w:themeColor="text1"/>
          <w:sz w:val="22"/>
          <w:szCs w:val="22"/>
        </w:rPr>
      </w:pPr>
      <w:r w:rsidRPr="006C70FF">
        <w:rPr>
          <w:color w:val="000000" w:themeColor="text1"/>
          <w:sz w:val="22"/>
          <w:szCs w:val="22"/>
        </w:rPr>
        <w:t xml:space="preserve">Completing and returning the Medical Assessment of Unrelated Volunteer Stem Cell Donors form (G926B1) and other forms sent to the service provider with </w:t>
      </w:r>
      <w:hyperlink r:id="rId11" w:history="1">
        <w:r w:rsidRPr="006C70FF">
          <w:rPr>
            <w:color w:val="000000" w:themeColor="text1"/>
            <w:sz w:val="22"/>
            <w:szCs w:val="22"/>
          </w:rPr>
          <w:t>LET349</w:t>
        </w:r>
      </w:hyperlink>
      <w:r w:rsidRPr="006C70FF">
        <w:rPr>
          <w:color w:val="000000" w:themeColor="text1"/>
          <w:sz w:val="22"/>
          <w:szCs w:val="22"/>
        </w:rPr>
        <w:t xml:space="preserve"> for review.  It is </w:t>
      </w:r>
      <w:bookmarkStart w:id="1" w:name="_Hlk111129378"/>
      <w:r w:rsidRPr="006C70FF">
        <w:rPr>
          <w:color w:val="000000" w:themeColor="text1"/>
          <w:sz w:val="22"/>
          <w:szCs w:val="22"/>
        </w:rPr>
        <w:lastRenderedPageBreak/>
        <w:t>permissible for the service provider to return a letter detailing the Medical Assessment, instead of G926B1</w:t>
      </w:r>
      <w:bookmarkEnd w:id="1"/>
      <w:r w:rsidRPr="006C70FF">
        <w:rPr>
          <w:color w:val="000000" w:themeColor="text1"/>
          <w:sz w:val="22"/>
          <w:szCs w:val="22"/>
        </w:rPr>
        <w:t xml:space="preserve"> or other suitable NHSBT controlled document such as FRM4246</w:t>
      </w:r>
      <w:r w:rsidR="00586AAA">
        <w:rPr>
          <w:color w:val="000000" w:themeColor="text1"/>
          <w:sz w:val="22"/>
          <w:szCs w:val="22"/>
        </w:rPr>
        <w:t xml:space="preserve"> </w:t>
      </w:r>
      <w:r w:rsidR="00586AAA" w:rsidRPr="00836E13">
        <w:rPr>
          <w:iCs/>
          <w:color w:val="7030A0"/>
          <w:sz w:val="22"/>
          <w:szCs w:val="22"/>
          <w:lang w:val="en-US"/>
        </w:rPr>
        <w:t>or other suitable donor screening form approved by BBMR</w:t>
      </w:r>
      <w:r w:rsidRPr="006C70FF">
        <w:rPr>
          <w:color w:val="000000" w:themeColor="text1"/>
          <w:sz w:val="22"/>
          <w:szCs w:val="22"/>
        </w:rPr>
        <w:t>.  Appendix F and K apply.  A copy of the medical assessment or letter should be sent to the donor’s GP with results of tests performed.</w:t>
      </w:r>
    </w:p>
    <w:p w14:paraId="2ED42364" w14:textId="77777777" w:rsidR="00EA2FF5" w:rsidRPr="006C70FF" w:rsidRDefault="00EA2FF5" w:rsidP="00EA2FF5">
      <w:pPr>
        <w:ind w:left="720"/>
        <w:rPr>
          <w:color w:val="000000" w:themeColor="text1"/>
          <w:sz w:val="22"/>
          <w:szCs w:val="22"/>
        </w:rPr>
      </w:pPr>
    </w:p>
    <w:p w14:paraId="1B5E7EA2" w14:textId="77777777" w:rsidR="00EA2FF5" w:rsidRPr="006C70FF" w:rsidRDefault="00EA2FF5" w:rsidP="00EA2FF5">
      <w:pPr>
        <w:ind w:left="851"/>
        <w:rPr>
          <w:i/>
          <w:color w:val="000000" w:themeColor="text1"/>
          <w:sz w:val="22"/>
          <w:szCs w:val="22"/>
        </w:rPr>
      </w:pPr>
      <w:r w:rsidRPr="006C70FF">
        <w:rPr>
          <w:i/>
          <w:color w:val="000000" w:themeColor="text1"/>
          <w:sz w:val="22"/>
          <w:szCs w:val="22"/>
        </w:rPr>
        <w:t xml:space="preserve">Example of documents that would be sent to the service provider at the time of medical, with </w:t>
      </w:r>
      <w:hyperlink r:id="rId12" w:history="1">
        <w:r w:rsidRPr="006C70FF">
          <w:rPr>
            <w:i/>
            <w:color w:val="000000" w:themeColor="text1"/>
            <w:sz w:val="22"/>
            <w:szCs w:val="22"/>
          </w:rPr>
          <w:t>LET349</w:t>
        </w:r>
      </w:hyperlink>
      <w:r w:rsidRPr="006C70FF">
        <w:rPr>
          <w:i/>
          <w:color w:val="000000" w:themeColor="text1"/>
          <w:sz w:val="22"/>
          <w:szCs w:val="22"/>
        </w:rPr>
        <w:t xml:space="preserve">: </w:t>
      </w:r>
    </w:p>
    <w:p w14:paraId="132CD563" w14:textId="77777777" w:rsidR="00EA2FF5" w:rsidRPr="00637586" w:rsidRDefault="00EA2FF5" w:rsidP="00EA2FF5">
      <w:pPr>
        <w:ind w:left="851"/>
        <w:rPr>
          <w:iCs/>
          <w:color w:val="000000" w:themeColor="text1"/>
          <w:sz w:val="22"/>
          <w:szCs w:val="22"/>
          <w:lang w:val="en-US"/>
        </w:rPr>
      </w:pPr>
      <w:r w:rsidRPr="00CA40F1">
        <w:rPr>
          <w:iCs/>
          <w:color w:val="000000" w:themeColor="text1"/>
          <w:sz w:val="22"/>
          <w:szCs w:val="22"/>
          <w:lang w:val="en-US"/>
        </w:rPr>
        <w:t xml:space="preserve">BBMR Donor Counseling Checklist (G926C8) </w:t>
      </w:r>
      <w:r w:rsidRPr="00CA40F1">
        <w:rPr>
          <w:iCs/>
          <w:color w:val="000000" w:themeColor="text1"/>
          <w:sz w:val="22"/>
          <w:szCs w:val="22"/>
          <w:lang w:val="en-US"/>
        </w:rPr>
        <w:br/>
        <w:t>BBMR Workup Approval (</w:t>
      </w:r>
      <w:r w:rsidRPr="00637586">
        <w:rPr>
          <w:iCs/>
          <w:color w:val="000000" w:themeColor="text1"/>
          <w:sz w:val="22"/>
          <w:szCs w:val="22"/>
          <w:lang w:val="en-US"/>
        </w:rPr>
        <w:t xml:space="preserve">FRM5691) and NMDP Risk Assessment (if required) </w:t>
      </w:r>
      <w:r w:rsidRPr="00637586">
        <w:rPr>
          <w:iCs/>
          <w:color w:val="000000" w:themeColor="text1"/>
          <w:sz w:val="22"/>
          <w:szCs w:val="22"/>
          <w:lang w:val="en-US"/>
        </w:rPr>
        <w:br/>
        <w:t xml:space="preserve">Verification form (WMDA form F70 or registry equivalent) </w:t>
      </w:r>
      <w:r w:rsidRPr="00637586">
        <w:rPr>
          <w:iCs/>
          <w:color w:val="000000" w:themeColor="text1"/>
          <w:sz w:val="22"/>
          <w:szCs w:val="22"/>
          <w:lang w:val="en-US"/>
        </w:rPr>
        <w:br/>
        <w:t xml:space="preserve">Orig. BBMR Medical Assessment of Unrelated Volunteer Stem Cell Donors Form (G926B1) </w:t>
      </w:r>
      <w:r w:rsidRPr="00637586">
        <w:rPr>
          <w:iCs/>
          <w:color w:val="000000" w:themeColor="text1"/>
          <w:sz w:val="22"/>
          <w:szCs w:val="22"/>
          <w:lang w:val="en-US"/>
        </w:rPr>
        <w:br/>
        <w:t>(N.B. FRM4246 or other suitable donor screening form may be substituted for G926B1)</w:t>
      </w:r>
    </w:p>
    <w:p w14:paraId="3A02E3D9" w14:textId="6A0A11E3" w:rsidR="00EA2FF5" w:rsidRDefault="00EA2FF5" w:rsidP="00EA2FF5">
      <w:pPr>
        <w:ind w:left="851"/>
        <w:rPr>
          <w:iCs/>
          <w:color w:val="000000" w:themeColor="text1"/>
          <w:sz w:val="22"/>
          <w:szCs w:val="22"/>
          <w:lang w:val="en-US"/>
        </w:rPr>
      </w:pPr>
      <w:r w:rsidRPr="00CA40F1">
        <w:rPr>
          <w:iCs/>
          <w:color w:val="000000" w:themeColor="text1"/>
          <w:sz w:val="22"/>
          <w:szCs w:val="22"/>
          <w:lang w:val="en-US"/>
        </w:rPr>
        <w:t xml:space="preserve">BBMR Anonymity policy (G926B) </w:t>
      </w:r>
      <w:r w:rsidRPr="00CA40F1">
        <w:rPr>
          <w:iCs/>
          <w:color w:val="000000" w:themeColor="text1"/>
          <w:sz w:val="22"/>
          <w:szCs w:val="22"/>
          <w:lang w:val="en-US"/>
        </w:rPr>
        <w:br/>
        <w:t xml:space="preserve">Donor Expenses claim form (G926B4) </w:t>
      </w:r>
      <w:r w:rsidRPr="00CA40F1">
        <w:rPr>
          <w:iCs/>
          <w:color w:val="000000" w:themeColor="text1"/>
          <w:sz w:val="22"/>
          <w:szCs w:val="22"/>
          <w:lang w:val="en-US"/>
        </w:rPr>
        <w:br/>
        <w:t xml:space="preserve">Information for BBMR Stem Cell Donors and Consent form (G926B3) </w:t>
      </w:r>
      <w:r w:rsidRPr="00CA40F1">
        <w:rPr>
          <w:iCs/>
          <w:color w:val="000000" w:themeColor="text1"/>
          <w:sz w:val="22"/>
          <w:szCs w:val="22"/>
          <w:lang w:val="en-US"/>
        </w:rPr>
        <w:br/>
        <w:t xml:space="preserve">Letter to </w:t>
      </w:r>
      <w:proofErr w:type="spellStart"/>
      <w:r w:rsidRPr="00CA40F1">
        <w:rPr>
          <w:iCs/>
          <w:color w:val="000000" w:themeColor="text1"/>
          <w:sz w:val="22"/>
          <w:szCs w:val="22"/>
          <w:lang w:val="en-US"/>
        </w:rPr>
        <w:t>Alcura</w:t>
      </w:r>
      <w:proofErr w:type="spellEnd"/>
      <w:r w:rsidRPr="00CA40F1">
        <w:rPr>
          <w:iCs/>
          <w:color w:val="000000" w:themeColor="text1"/>
          <w:sz w:val="22"/>
          <w:szCs w:val="22"/>
          <w:lang w:val="en-US"/>
        </w:rPr>
        <w:t xml:space="preserve"> (scan back to bbmr@nhsbt.nhs.uk and send original by post to </w:t>
      </w:r>
      <w:proofErr w:type="spellStart"/>
      <w:r w:rsidRPr="00CA40F1">
        <w:rPr>
          <w:iCs/>
          <w:color w:val="000000" w:themeColor="text1"/>
          <w:sz w:val="22"/>
          <w:szCs w:val="22"/>
          <w:lang w:val="en-US"/>
        </w:rPr>
        <w:t>A</w:t>
      </w:r>
      <w:r>
        <w:rPr>
          <w:iCs/>
          <w:color w:val="000000" w:themeColor="text1"/>
          <w:sz w:val="22"/>
          <w:szCs w:val="22"/>
          <w:lang w:val="en-US"/>
        </w:rPr>
        <w:t>l</w:t>
      </w:r>
      <w:r w:rsidRPr="00CA40F1">
        <w:rPr>
          <w:iCs/>
          <w:color w:val="000000" w:themeColor="text1"/>
          <w:sz w:val="22"/>
          <w:szCs w:val="22"/>
          <w:lang w:val="en-US"/>
        </w:rPr>
        <w:t>cura</w:t>
      </w:r>
      <w:proofErr w:type="spellEnd"/>
      <w:r w:rsidRPr="00CA40F1">
        <w:rPr>
          <w:iCs/>
          <w:color w:val="000000" w:themeColor="text1"/>
          <w:sz w:val="22"/>
          <w:szCs w:val="22"/>
          <w:lang w:val="en-US"/>
        </w:rPr>
        <w:t xml:space="preserve">) (LET45) </w:t>
      </w:r>
      <w:r w:rsidRPr="00CA40F1">
        <w:rPr>
          <w:iCs/>
          <w:color w:val="000000" w:themeColor="text1"/>
          <w:sz w:val="22"/>
          <w:szCs w:val="22"/>
          <w:lang w:val="en-US"/>
        </w:rPr>
        <w:br/>
        <w:t>D</w:t>
      </w:r>
      <w:r w:rsidRPr="00CA40F1">
        <w:rPr>
          <w:iCs/>
          <w:color w:val="7030A0"/>
          <w:sz w:val="22"/>
          <w:szCs w:val="22"/>
          <w:lang w:val="en-US"/>
        </w:rPr>
        <w:t>S</w:t>
      </w:r>
      <w:r w:rsidRPr="00CA40F1">
        <w:rPr>
          <w:iCs/>
          <w:color w:val="000000" w:themeColor="text1"/>
          <w:sz w:val="22"/>
          <w:szCs w:val="22"/>
          <w:lang w:val="en-US"/>
        </w:rPr>
        <w:t xml:space="preserve">C (FRM420 or FRM421) </w:t>
      </w:r>
      <w:r w:rsidRPr="00CA40F1">
        <w:rPr>
          <w:iCs/>
          <w:color w:val="000000" w:themeColor="text1"/>
          <w:sz w:val="22"/>
          <w:szCs w:val="22"/>
          <w:lang w:val="en-US"/>
        </w:rPr>
        <w:br/>
        <w:t xml:space="preserve">NHS Summary Care Record (donor's demographics and GP registration) </w:t>
      </w:r>
      <w:r w:rsidRPr="00CA40F1">
        <w:rPr>
          <w:iCs/>
          <w:color w:val="000000" w:themeColor="text1"/>
          <w:sz w:val="22"/>
          <w:szCs w:val="22"/>
          <w:lang w:val="en-US"/>
        </w:rPr>
        <w:br/>
        <w:t xml:space="preserve">Donor recent CMV status (G9215) </w:t>
      </w:r>
    </w:p>
    <w:p w14:paraId="1F5D0E87" w14:textId="18088235" w:rsidR="00586AAA" w:rsidRDefault="00586AAA" w:rsidP="00EA2FF5">
      <w:pPr>
        <w:ind w:left="851"/>
        <w:rPr>
          <w:iCs/>
          <w:color w:val="000000" w:themeColor="text1"/>
          <w:sz w:val="22"/>
          <w:szCs w:val="22"/>
          <w:lang w:val="en-US"/>
        </w:rPr>
      </w:pPr>
    </w:p>
    <w:p w14:paraId="1977EB18" w14:textId="71D524A8" w:rsidR="00586AAA" w:rsidRPr="00836E13" w:rsidRDefault="00586AAA" w:rsidP="00EA2FF5">
      <w:pPr>
        <w:ind w:left="851"/>
        <w:rPr>
          <w:iCs/>
          <w:color w:val="7030A0"/>
          <w:sz w:val="22"/>
          <w:szCs w:val="22"/>
          <w:lang w:val="en-US"/>
        </w:rPr>
      </w:pPr>
      <w:r w:rsidRPr="00836E13">
        <w:rPr>
          <w:iCs/>
          <w:color w:val="7030A0"/>
          <w:sz w:val="22"/>
          <w:szCs w:val="22"/>
          <w:lang w:val="en-US"/>
        </w:rPr>
        <w:t xml:space="preserve">Any questions that a donor has answered “yes” to in Donor Safety Check (FRM420 or </w:t>
      </w:r>
      <w:r w:rsidR="00836E13">
        <w:rPr>
          <w:iCs/>
          <w:color w:val="7030A0"/>
          <w:sz w:val="22"/>
          <w:szCs w:val="22"/>
          <w:lang w:val="en-US"/>
        </w:rPr>
        <w:t>FRM</w:t>
      </w:r>
      <w:r w:rsidRPr="00836E13">
        <w:rPr>
          <w:iCs/>
          <w:color w:val="7030A0"/>
          <w:sz w:val="22"/>
          <w:szCs w:val="22"/>
          <w:lang w:val="en-US"/>
        </w:rPr>
        <w:t xml:space="preserve">421) to be annotated with an explanation </w:t>
      </w:r>
      <w:r w:rsidR="00836E13" w:rsidRPr="00836E13">
        <w:rPr>
          <w:iCs/>
          <w:color w:val="7030A0"/>
          <w:sz w:val="22"/>
          <w:szCs w:val="22"/>
          <w:lang w:val="en-US"/>
        </w:rPr>
        <w:t>e.g.,</w:t>
      </w:r>
      <w:r w:rsidRPr="00836E13">
        <w:rPr>
          <w:iCs/>
          <w:color w:val="7030A0"/>
          <w:sz w:val="22"/>
          <w:szCs w:val="22"/>
          <w:lang w:val="en-US"/>
        </w:rPr>
        <w:t xml:space="preserve"> yes to taking medication within the last 7 days – detail what medication and for what reason.</w:t>
      </w:r>
    </w:p>
    <w:p w14:paraId="005F237C" w14:textId="77777777" w:rsidR="00EA2FF5" w:rsidRDefault="00EA2FF5" w:rsidP="00EA2FF5">
      <w:pPr>
        <w:ind w:left="851"/>
        <w:rPr>
          <w:iCs/>
          <w:color w:val="000000" w:themeColor="text1"/>
          <w:sz w:val="22"/>
          <w:szCs w:val="22"/>
          <w:lang w:val="en-US"/>
        </w:rPr>
      </w:pPr>
    </w:p>
    <w:p w14:paraId="0E8228B2" w14:textId="161BBBB8" w:rsidR="00EA2FF5" w:rsidRPr="00EA2FF5" w:rsidRDefault="00EA2FF5" w:rsidP="00A81DBF">
      <w:pPr>
        <w:numPr>
          <w:ilvl w:val="1"/>
          <w:numId w:val="3"/>
        </w:numPr>
        <w:rPr>
          <w:color w:val="7030A0"/>
          <w:sz w:val="22"/>
          <w:szCs w:val="22"/>
        </w:rPr>
      </w:pPr>
      <w:r>
        <w:rPr>
          <w:color w:val="7030A0"/>
          <w:sz w:val="22"/>
          <w:szCs w:val="22"/>
        </w:rPr>
        <w:t xml:space="preserve">If </w:t>
      </w:r>
      <w:r w:rsidR="008103A7">
        <w:rPr>
          <w:color w:val="7030A0"/>
          <w:sz w:val="22"/>
          <w:szCs w:val="22"/>
        </w:rPr>
        <w:t xml:space="preserve">completing </w:t>
      </w:r>
      <w:r w:rsidR="000833BF">
        <w:rPr>
          <w:color w:val="7030A0"/>
          <w:sz w:val="22"/>
          <w:szCs w:val="22"/>
        </w:rPr>
        <w:t xml:space="preserve">&amp; returning </w:t>
      </w:r>
      <w:r w:rsidR="008103A7">
        <w:rPr>
          <w:color w:val="7030A0"/>
          <w:sz w:val="22"/>
          <w:szCs w:val="22"/>
        </w:rPr>
        <w:t xml:space="preserve">the documentation listed in 2.11 is delayed by seven days, </w:t>
      </w:r>
      <w:r w:rsidR="008103A7" w:rsidRPr="008103A7">
        <w:rPr>
          <w:color w:val="7030A0"/>
          <w:sz w:val="22"/>
          <w:szCs w:val="22"/>
        </w:rPr>
        <w:t xml:space="preserve">the service provider </w:t>
      </w:r>
      <w:r w:rsidR="008103A7">
        <w:rPr>
          <w:color w:val="7030A0"/>
          <w:sz w:val="22"/>
          <w:szCs w:val="22"/>
        </w:rPr>
        <w:t>must</w:t>
      </w:r>
      <w:r w:rsidR="008103A7" w:rsidRPr="008103A7">
        <w:rPr>
          <w:color w:val="7030A0"/>
          <w:sz w:val="22"/>
          <w:szCs w:val="22"/>
        </w:rPr>
        <w:t xml:space="preserve"> return a</w:t>
      </w:r>
      <w:r w:rsidR="008103A7">
        <w:rPr>
          <w:color w:val="7030A0"/>
          <w:sz w:val="22"/>
          <w:szCs w:val="22"/>
        </w:rPr>
        <w:t xml:space="preserve">n </w:t>
      </w:r>
      <w:r w:rsidR="008103A7" w:rsidRPr="008103A7">
        <w:rPr>
          <w:i/>
          <w:iCs/>
          <w:color w:val="7030A0"/>
          <w:sz w:val="22"/>
          <w:szCs w:val="22"/>
        </w:rPr>
        <w:t>interim</w:t>
      </w:r>
      <w:r w:rsidR="008103A7" w:rsidRPr="008103A7">
        <w:rPr>
          <w:color w:val="7030A0"/>
          <w:sz w:val="22"/>
          <w:szCs w:val="22"/>
        </w:rPr>
        <w:t xml:space="preserve"> letter </w:t>
      </w:r>
      <w:r w:rsidR="008103A7">
        <w:rPr>
          <w:color w:val="7030A0"/>
          <w:sz w:val="22"/>
          <w:szCs w:val="22"/>
        </w:rPr>
        <w:t xml:space="preserve">or </w:t>
      </w:r>
      <w:r w:rsidR="008103A7" w:rsidRPr="008103A7">
        <w:rPr>
          <w:color w:val="7030A0"/>
          <w:sz w:val="22"/>
          <w:szCs w:val="22"/>
        </w:rPr>
        <w:t>G926B1</w:t>
      </w:r>
      <w:r w:rsidR="008103A7">
        <w:rPr>
          <w:color w:val="7030A0"/>
          <w:sz w:val="22"/>
          <w:szCs w:val="22"/>
        </w:rPr>
        <w:t xml:space="preserve"> </w:t>
      </w:r>
      <w:r w:rsidR="008F7904">
        <w:rPr>
          <w:color w:val="7030A0"/>
          <w:sz w:val="22"/>
          <w:szCs w:val="22"/>
        </w:rPr>
        <w:t>(</w:t>
      </w:r>
      <w:r w:rsidR="008F7904" w:rsidRPr="00836E13">
        <w:rPr>
          <w:iCs/>
          <w:color w:val="7030A0"/>
          <w:sz w:val="22"/>
          <w:szCs w:val="22"/>
          <w:lang w:val="en-US"/>
        </w:rPr>
        <w:t>or other suitable donor screening form approved by BBMR</w:t>
      </w:r>
      <w:r w:rsidR="008F7904">
        <w:rPr>
          <w:color w:val="000000" w:themeColor="text1"/>
          <w:sz w:val="22"/>
          <w:szCs w:val="22"/>
        </w:rPr>
        <w:t xml:space="preserve">) </w:t>
      </w:r>
      <w:r w:rsidR="008103A7" w:rsidRPr="008103A7">
        <w:rPr>
          <w:color w:val="7030A0"/>
          <w:sz w:val="22"/>
          <w:szCs w:val="22"/>
        </w:rPr>
        <w:t>detailing the Medical Assessment</w:t>
      </w:r>
      <w:r w:rsidR="008103A7">
        <w:rPr>
          <w:color w:val="7030A0"/>
          <w:sz w:val="22"/>
          <w:szCs w:val="22"/>
        </w:rPr>
        <w:t>, explicitly stating what test or procedure results remain outstanding.</w:t>
      </w:r>
    </w:p>
    <w:p w14:paraId="4E40303F" w14:textId="4EDB52A2" w:rsidR="00A81DBF" w:rsidRPr="006C70FF" w:rsidRDefault="00A81DBF" w:rsidP="008103A7">
      <w:pPr>
        <w:rPr>
          <w:i/>
          <w:color w:val="000000" w:themeColor="text1"/>
          <w:sz w:val="22"/>
          <w:szCs w:val="22"/>
        </w:rPr>
      </w:pPr>
    </w:p>
    <w:p w14:paraId="0F87C7EB" w14:textId="46EF0A55" w:rsidR="00A81DBF" w:rsidRPr="006C70FF" w:rsidRDefault="00A81DBF" w:rsidP="008414E6">
      <w:pPr>
        <w:numPr>
          <w:ilvl w:val="1"/>
          <w:numId w:val="3"/>
        </w:numPr>
        <w:rPr>
          <w:color w:val="000000" w:themeColor="text1"/>
          <w:sz w:val="22"/>
          <w:szCs w:val="22"/>
        </w:rPr>
      </w:pPr>
      <w:r w:rsidRPr="006C70FF">
        <w:rPr>
          <w:color w:val="000000" w:themeColor="text1"/>
          <w:sz w:val="22"/>
          <w:szCs w:val="22"/>
        </w:rPr>
        <w:t xml:space="preserve">The service provider must utilise </w:t>
      </w:r>
      <w:bookmarkStart w:id="2" w:name="_Hlk494358199"/>
      <w:r w:rsidRPr="006C70FF">
        <w:rPr>
          <w:color w:val="000000" w:themeColor="text1"/>
          <w:sz w:val="22"/>
          <w:szCs w:val="22"/>
        </w:rPr>
        <w:t>the JPAC Bone Marrow and Peripheral Blood Stem Cell Donor Selection Guidelines for Unrelated Donors (DSG) (</w:t>
      </w:r>
      <w:hyperlink r:id="rId13" w:history="1">
        <w:r w:rsidRPr="006C70FF">
          <w:rPr>
            <w:color w:val="000000" w:themeColor="text1"/>
            <w:sz w:val="22"/>
            <w:szCs w:val="22"/>
            <w:u w:val="single"/>
          </w:rPr>
          <w:t>http://www.transfusionguidelines.org.uk/dsg/bm</w:t>
        </w:r>
      </w:hyperlink>
      <w:bookmarkEnd w:id="2"/>
      <w:r w:rsidRPr="006C70FF">
        <w:rPr>
          <w:color w:val="000000" w:themeColor="text1"/>
          <w:sz w:val="22"/>
          <w:szCs w:val="22"/>
        </w:rPr>
        <w:t>), to guide the decision as to whether the donor is fit or not to donate.</w:t>
      </w:r>
      <w:r w:rsidR="008414E6" w:rsidRPr="006C70FF">
        <w:rPr>
          <w:color w:val="000000" w:themeColor="text1"/>
          <w:sz w:val="22"/>
          <w:szCs w:val="22"/>
        </w:rPr>
        <w:t xml:space="preserve">  </w:t>
      </w:r>
    </w:p>
    <w:p w14:paraId="670D2C7B" w14:textId="77777777" w:rsidR="00A81DBF" w:rsidRPr="006C70FF" w:rsidRDefault="00A81DBF" w:rsidP="00A81DBF">
      <w:pPr>
        <w:ind w:left="900"/>
        <w:rPr>
          <w:color w:val="000000" w:themeColor="text1"/>
          <w:sz w:val="22"/>
          <w:szCs w:val="22"/>
        </w:rPr>
      </w:pPr>
    </w:p>
    <w:p w14:paraId="7F7047AB"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The service provider must utilise the JPAC Geographical Disease Risk Index (</w:t>
      </w:r>
      <w:hyperlink r:id="rId14" w:history="1">
        <w:r w:rsidRPr="006C70FF">
          <w:rPr>
            <w:color w:val="000000" w:themeColor="text1"/>
            <w:u w:val="single"/>
          </w:rPr>
          <w:t>https://www.transfusionguidelines.org/dsg/gdri</w:t>
        </w:r>
      </w:hyperlink>
      <w:r w:rsidRPr="006C70FF">
        <w:rPr>
          <w:color w:val="000000" w:themeColor="text1"/>
          <w:u w:val="single"/>
        </w:rPr>
        <w:t>),</w:t>
      </w:r>
      <w:r w:rsidRPr="006C70FF">
        <w:rPr>
          <w:color w:val="000000" w:themeColor="text1"/>
          <w:sz w:val="22"/>
          <w:szCs w:val="22"/>
        </w:rPr>
        <w:t xml:space="preserve"> to identify the need for and request any additional required infectious disease marker (IDM) testing.</w:t>
      </w:r>
    </w:p>
    <w:p w14:paraId="117A54EC" w14:textId="77777777" w:rsidR="00A81DBF" w:rsidRPr="006C70FF" w:rsidRDefault="00A81DBF" w:rsidP="00A81DBF">
      <w:pPr>
        <w:ind w:left="900"/>
        <w:rPr>
          <w:color w:val="000000" w:themeColor="text1"/>
          <w:sz w:val="22"/>
          <w:szCs w:val="22"/>
        </w:rPr>
      </w:pPr>
    </w:p>
    <w:p w14:paraId="1D18A77F" w14:textId="718895CC" w:rsidR="00A81DBF" w:rsidRPr="006C70FF" w:rsidRDefault="00A81DBF" w:rsidP="00A81DBF">
      <w:pPr>
        <w:numPr>
          <w:ilvl w:val="1"/>
          <w:numId w:val="3"/>
        </w:numPr>
        <w:rPr>
          <w:color w:val="000000" w:themeColor="text1"/>
          <w:sz w:val="22"/>
          <w:szCs w:val="22"/>
        </w:rPr>
      </w:pPr>
      <w:r w:rsidRPr="006C70FF">
        <w:rPr>
          <w:color w:val="000000" w:themeColor="text1"/>
          <w:sz w:val="22"/>
          <w:szCs w:val="22"/>
        </w:rPr>
        <w:t>Providing a phlebotomy service and collecting / arranging transportation of blood samples from the prospective donor for testing by the service provider</w:t>
      </w:r>
      <w:r w:rsidR="00D115B0" w:rsidRPr="006C70FF">
        <w:rPr>
          <w:color w:val="000000" w:themeColor="text1"/>
          <w:sz w:val="22"/>
          <w:szCs w:val="22"/>
        </w:rPr>
        <w:t xml:space="preserve"> as per HTA requirements (e.g. donation sample labels must include a record of the time and place the specimen was taken)</w:t>
      </w:r>
      <w:r w:rsidRPr="006C70FF">
        <w:rPr>
          <w:color w:val="000000" w:themeColor="text1"/>
          <w:sz w:val="22"/>
          <w:szCs w:val="22"/>
        </w:rPr>
        <w:t>, and</w:t>
      </w:r>
      <w:r w:rsidR="00D115B0" w:rsidRPr="006C70FF">
        <w:rPr>
          <w:color w:val="000000" w:themeColor="text1"/>
          <w:sz w:val="22"/>
          <w:szCs w:val="22"/>
        </w:rPr>
        <w:t xml:space="preserve"> additionally</w:t>
      </w:r>
      <w:r w:rsidRPr="006C70FF">
        <w:rPr>
          <w:color w:val="000000" w:themeColor="text1"/>
          <w:sz w:val="22"/>
          <w:szCs w:val="22"/>
        </w:rPr>
        <w:t xml:space="preserve"> follow  JPAC guidelines for Pre-transfusion blood sampling guidelines for all tube types (BBMR provided label use is acceptable, but never pre-label tubes) </w:t>
      </w:r>
      <w:hyperlink r:id="rId15" w:history="1">
        <w:r w:rsidRPr="006C70FF">
          <w:rPr>
            <w:color w:val="000000" w:themeColor="text1"/>
            <w:sz w:val="22"/>
            <w:szCs w:val="22"/>
            <w:u w:val="single"/>
          </w:rPr>
          <w:t>http://www.transfusionguidelines.org/transfusion-handbook/4-safe-transfusion-right-blood-right-patient-right-time-and-right-place/4-7-pre-transfusion-blood-sampling</w:t>
        </w:r>
      </w:hyperlink>
      <w:r w:rsidRPr="006C70FF">
        <w:rPr>
          <w:color w:val="000000" w:themeColor="text1"/>
          <w:sz w:val="22"/>
          <w:szCs w:val="22"/>
        </w:rPr>
        <w:t xml:space="preserve"> </w:t>
      </w:r>
    </w:p>
    <w:p w14:paraId="55DE6ABC" w14:textId="77777777" w:rsidR="00A81DBF" w:rsidRPr="006C70FF" w:rsidRDefault="00A81DBF" w:rsidP="00A81DBF">
      <w:pPr>
        <w:rPr>
          <w:color w:val="000000" w:themeColor="text1"/>
          <w:sz w:val="22"/>
          <w:szCs w:val="22"/>
        </w:rPr>
      </w:pPr>
    </w:p>
    <w:p w14:paraId="50B17F98" w14:textId="0CD72650" w:rsidR="00A81DBF" w:rsidRPr="00637586" w:rsidRDefault="00A81DBF" w:rsidP="00A81DBF">
      <w:pPr>
        <w:numPr>
          <w:ilvl w:val="1"/>
          <w:numId w:val="3"/>
        </w:numPr>
        <w:rPr>
          <w:color w:val="000000" w:themeColor="text1"/>
          <w:sz w:val="22"/>
          <w:szCs w:val="22"/>
        </w:rPr>
      </w:pPr>
      <w:r w:rsidRPr="006C70FF">
        <w:rPr>
          <w:color w:val="000000" w:themeColor="text1"/>
          <w:sz w:val="22"/>
          <w:szCs w:val="22"/>
        </w:rPr>
        <w:t xml:space="preserve">Arrange blood tests to be performed in accordance with Appendix C, Standard assessment, outcome within 5 days or </w:t>
      </w:r>
      <w:r w:rsidRPr="00637586">
        <w:rPr>
          <w:color w:val="000000" w:themeColor="text1"/>
          <w:sz w:val="22"/>
          <w:szCs w:val="22"/>
        </w:rPr>
        <w:t xml:space="preserve">Urgent assessment, outcome within 72 hours. Females of </w:t>
      </w:r>
      <w:r w:rsidR="00C0556F" w:rsidRPr="00637586">
        <w:rPr>
          <w:color w:val="000000" w:themeColor="text1"/>
          <w:sz w:val="22"/>
          <w:szCs w:val="22"/>
        </w:rPr>
        <w:t>childbearing</w:t>
      </w:r>
      <w:r w:rsidRPr="00637586">
        <w:rPr>
          <w:color w:val="000000" w:themeColor="text1"/>
          <w:sz w:val="22"/>
          <w:szCs w:val="22"/>
        </w:rPr>
        <w:t xml:space="preserve"> potential or any donor on low Iron diet must additionally have Iron Studies (Serum Iron, Serum Ferritin and Total Iron Binding Capacity). </w:t>
      </w:r>
      <w:r w:rsidR="00825C2E" w:rsidRPr="00637586">
        <w:rPr>
          <w:color w:val="000000" w:themeColor="text1"/>
          <w:sz w:val="22"/>
          <w:szCs w:val="22"/>
        </w:rPr>
        <w:t xml:space="preserve"> </w:t>
      </w:r>
      <w:bookmarkStart w:id="3" w:name="_Hlk98064115"/>
      <w:r w:rsidR="00825C2E" w:rsidRPr="00637586">
        <w:rPr>
          <w:color w:val="000000" w:themeColor="text1"/>
          <w:sz w:val="22"/>
          <w:szCs w:val="22"/>
        </w:rPr>
        <w:t xml:space="preserve">Collection Centres at medical, are to check all bone </w:t>
      </w:r>
      <w:r w:rsidR="00825C2E" w:rsidRPr="00637586">
        <w:rPr>
          <w:color w:val="000000" w:themeColor="text1"/>
          <w:sz w:val="22"/>
          <w:szCs w:val="22"/>
        </w:rPr>
        <w:lastRenderedPageBreak/>
        <w:t xml:space="preserve">marrow donors have adequate stocks of iron supplements to last until collection day and provide </w:t>
      </w:r>
      <w:proofErr w:type="gramStart"/>
      <w:r w:rsidR="00825C2E" w:rsidRPr="00637586">
        <w:rPr>
          <w:color w:val="000000" w:themeColor="text1"/>
          <w:sz w:val="22"/>
          <w:szCs w:val="22"/>
        </w:rPr>
        <w:t>sufficient quantities</w:t>
      </w:r>
      <w:proofErr w:type="gramEnd"/>
      <w:r w:rsidR="00825C2E" w:rsidRPr="00637586">
        <w:rPr>
          <w:color w:val="000000" w:themeColor="text1"/>
          <w:sz w:val="22"/>
          <w:szCs w:val="22"/>
        </w:rPr>
        <w:t xml:space="preserve"> if not.</w:t>
      </w:r>
      <w:bookmarkEnd w:id="3"/>
    </w:p>
    <w:p w14:paraId="4478C721" w14:textId="77777777" w:rsidR="00A81DBF" w:rsidRPr="00637586" w:rsidRDefault="00A81DBF" w:rsidP="00A81DBF">
      <w:pPr>
        <w:rPr>
          <w:color w:val="000000" w:themeColor="text1"/>
          <w:sz w:val="22"/>
          <w:szCs w:val="22"/>
        </w:rPr>
      </w:pPr>
    </w:p>
    <w:p w14:paraId="687C1FD1"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Obtaining additional medical opinion or blood, biochemistry (see appendix D </w:t>
      </w:r>
      <w:r w:rsidRPr="006C70FF">
        <w:rPr>
          <w:color w:val="000000" w:themeColor="text1"/>
          <w:sz w:val="22"/>
        </w:rPr>
        <w:t xml:space="preserve">to determine the clinical management of donors with abnormal Liver Function Tests found at final donor assessment) </w:t>
      </w:r>
      <w:r w:rsidRPr="006C70FF">
        <w:rPr>
          <w:color w:val="000000" w:themeColor="text1"/>
          <w:sz w:val="22"/>
          <w:szCs w:val="22"/>
        </w:rPr>
        <w:t>or microbiological screening, if indicated at the time of medical assessment. The BBMR referring physician must be advised of the requirement and any supplementary charges notified.</w:t>
      </w:r>
    </w:p>
    <w:p w14:paraId="7CDD852A" w14:textId="77777777" w:rsidR="00A81DBF" w:rsidRPr="006C70FF" w:rsidRDefault="00A81DBF" w:rsidP="00A81DBF">
      <w:pPr>
        <w:ind w:left="720"/>
        <w:rPr>
          <w:color w:val="000000" w:themeColor="text1"/>
          <w:sz w:val="22"/>
          <w:szCs w:val="22"/>
        </w:rPr>
      </w:pPr>
    </w:p>
    <w:p w14:paraId="594AA035"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Attempt to prevent Post-Operative Anaemia in Bone Marrow Donors as per Appendix L</w:t>
      </w:r>
    </w:p>
    <w:p w14:paraId="1EF0E626" w14:textId="77777777" w:rsidR="00A81DBF" w:rsidRPr="006C70FF" w:rsidRDefault="00A81DBF" w:rsidP="00A81DBF">
      <w:pPr>
        <w:rPr>
          <w:color w:val="000000" w:themeColor="text1"/>
          <w:sz w:val="22"/>
          <w:szCs w:val="22"/>
        </w:rPr>
      </w:pPr>
    </w:p>
    <w:p w14:paraId="1ABA11EE" w14:textId="629285E9"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Informing a BBMR physician of any donor who tests positive for the mandatory microbiological markers.  Sterility test positive results are to be </w:t>
      </w:r>
      <w:r w:rsidR="00D02F20" w:rsidRPr="006C70FF">
        <w:rPr>
          <w:color w:val="000000" w:themeColor="text1"/>
          <w:sz w:val="22"/>
          <w:szCs w:val="22"/>
        </w:rPr>
        <w:t xml:space="preserve">immediately </w:t>
      </w:r>
      <w:r w:rsidRPr="006C70FF">
        <w:rPr>
          <w:color w:val="000000" w:themeColor="text1"/>
          <w:sz w:val="22"/>
          <w:szCs w:val="22"/>
        </w:rPr>
        <w:t xml:space="preserve">emailed to </w:t>
      </w:r>
      <w:bookmarkStart w:id="4" w:name="_Hlk498591777"/>
      <w:r w:rsidRPr="006C70FF">
        <w:rPr>
          <w:rFonts w:cs="Arial"/>
          <w:color w:val="000000" w:themeColor="text1"/>
          <w:sz w:val="22"/>
          <w:szCs w:val="22"/>
        </w:rPr>
        <w:fldChar w:fldCharType="begin"/>
      </w:r>
      <w:r w:rsidRPr="006C70FF">
        <w:rPr>
          <w:rFonts w:cs="Arial"/>
          <w:color w:val="000000" w:themeColor="text1"/>
          <w:sz w:val="22"/>
          <w:szCs w:val="22"/>
        </w:rPr>
        <w:instrText xml:space="preserve"> HYPERLINK "mailto:BBMR@nhsbt.nhs.uk" \o "mailto:BBMR@nhsbt.nhs.uk" </w:instrText>
      </w:r>
      <w:r w:rsidRPr="006C70FF">
        <w:rPr>
          <w:rFonts w:cs="Arial"/>
          <w:color w:val="000000" w:themeColor="text1"/>
          <w:sz w:val="22"/>
          <w:szCs w:val="22"/>
        </w:rPr>
        <w:fldChar w:fldCharType="separate"/>
      </w:r>
      <w:r w:rsidRPr="006C70FF">
        <w:rPr>
          <w:rFonts w:cs="Arial"/>
          <w:color w:val="000000" w:themeColor="text1"/>
          <w:sz w:val="22"/>
          <w:szCs w:val="22"/>
          <w:u w:val="single"/>
        </w:rPr>
        <w:t>BBMR@nhsbt.nhs.uk</w:t>
      </w:r>
      <w:r w:rsidRPr="006C70FF">
        <w:rPr>
          <w:rFonts w:cs="Arial"/>
          <w:color w:val="000000" w:themeColor="text1"/>
          <w:sz w:val="22"/>
          <w:szCs w:val="22"/>
        </w:rPr>
        <w:fldChar w:fldCharType="end"/>
      </w:r>
      <w:r w:rsidRPr="006C70FF">
        <w:rPr>
          <w:rFonts w:cs="Arial"/>
          <w:color w:val="000000" w:themeColor="text1"/>
          <w:sz w:val="22"/>
          <w:szCs w:val="22"/>
        </w:rPr>
        <w:t xml:space="preserve"> </w:t>
      </w:r>
      <w:r w:rsidRPr="006C70FF">
        <w:rPr>
          <w:rFonts w:cs="Arial"/>
          <w:b/>
          <w:bCs/>
          <w:color w:val="000000" w:themeColor="text1"/>
          <w:sz w:val="22"/>
          <w:szCs w:val="22"/>
        </w:rPr>
        <w:t>and</w:t>
      </w:r>
      <w:r w:rsidRPr="006C70FF">
        <w:rPr>
          <w:rFonts w:cs="Arial"/>
          <w:color w:val="000000" w:themeColor="text1"/>
          <w:sz w:val="22"/>
          <w:szCs w:val="22"/>
        </w:rPr>
        <w:t xml:space="preserve"> telephoned through to 01179125729 </w:t>
      </w:r>
      <w:bookmarkEnd w:id="4"/>
      <w:r w:rsidRPr="006C70FF">
        <w:rPr>
          <w:rFonts w:cs="Arial"/>
          <w:color w:val="000000" w:themeColor="text1"/>
          <w:sz w:val="22"/>
          <w:szCs w:val="22"/>
        </w:rPr>
        <w:t>as soon as practicable (messages to be left in cases where phone is not answered)</w:t>
      </w:r>
      <w:r w:rsidRPr="006C70FF">
        <w:rPr>
          <w:color w:val="000000" w:themeColor="text1"/>
          <w:sz w:val="22"/>
          <w:szCs w:val="22"/>
        </w:rPr>
        <w:t>.</w:t>
      </w:r>
      <w:r w:rsidR="00D02F20" w:rsidRPr="006C70FF">
        <w:rPr>
          <w:color w:val="000000" w:themeColor="text1"/>
          <w:sz w:val="22"/>
          <w:szCs w:val="22"/>
        </w:rPr>
        <w:t xml:space="preserve">  Service providers external to NHSBT must also forward negative / ‘no growth’ sterility reports to </w:t>
      </w:r>
      <w:hyperlink r:id="rId16" w:tooltip="mailto:BBMR@nhsbt.nhs.uk" w:history="1">
        <w:r w:rsidR="00D02F20" w:rsidRPr="006C70FF">
          <w:rPr>
            <w:rFonts w:cs="Arial"/>
            <w:color w:val="000000" w:themeColor="text1"/>
            <w:sz w:val="22"/>
            <w:szCs w:val="22"/>
            <w:u w:val="single"/>
          </w:rPr>
          <w:t>BBMR@nhsbt.nhs.uk</w:t>
        </w:r>
      </w:hyperlink>
      <w:r w:rsidR="00F669C3" w:rsidRPr="006C70FF">
        <w:rPr>
          <w:rFonts w:cs="Arial"/>
          <w:color w:val="000000" w:themeColor="text1"/>
          <w:sz w:val="22"/>
          <w:szCs w:val="22"/>
        </w:rPr>
        <w:t>, when the results are finalised.</w:t>
      </w:r>
    </w:p>
    <w:p w14:paraId="6F4E8DEE" w14:textId="77777777" w:rsidR="00A81DBF" w:rsidRPr="006C70FF" w:rsidRDefault="00A81DBF" w:rsidP="00A81DBF">
      <w:pPr>
        <w:rPr>
          <w:color w:val="000000" w:themeColor="text1"/>
          <w:sz w:val="22"/>
          <w:szCs w:val="22"/>
        </w:rPr>
      </w:pPr>
    </w:p>
    <w:p w14:paraId="33A7E5B0" w14:textId="0037FE26" w:rsidR="00A81DBF" w:rsidRPr="00637586" w:rsidRDefault="00A81DBF" w:rsidP="00A81DBF">
      <w:pPr>
        <w:numPr>
          <w:ilvl w:val="1"/>
          <w:numId w:val="3"/>
        </w:numPr>
        <w:rPr>
          <w:color w:val="000000" w:themeColor="text1"/>
          <w:sz w:val="22"/>
          <w:szCs w:val="22"/>
        </w:rPr>
      </w:pPr>
      <w:r w:rsidRPr="006C70FF">
        <w:rPr>
          <w:color w:val="000000" w:themeColor="text1"/>
          <w:sz w:val="22"/>
          <w:szCs w:val="22"/>
        </w:rPr>
        <w:t xml:space="preserve">Providing a phlebotomy service and collecting blood samples from the prospective donor for the Transplant Centre as specified on the collection prescription form (certain samples (CLIA) to be exported to the United States via NMDP (American National Marrow Donor Program) require centrifugation for 10 minutes at 1000 – 3000 </w:t>
      </w:r>
      <w:proofErr w:type="spellStart"/>
      <w:r w:rsidRPr="006C70FF">
        <w:rPr>
          <w:color w:val="000000" w:themeColor="text1"/>
          <w:sz w:val="22"/>
          <w:szCs w:val="22"/>
        </w:rPr>
        <w:t>rmp</w:t>
      </w:r>
      <w:proofErr w:type="spellEnd"/>
      <w:r w:rsidRPr="006C70FF">
        <w:rPr>
          <w:color w:val="000000" w:themeColor="text1"/>
          <w:sz w:val="22"/>
          <w:szCs w:val="22"/>
        </w:rPr>
        <w:t>.  Separation does not need to occur).  All samples are to be stored at 2 - 8</w:t>
      </w:r>
      <w:r w:rsidRPr="006C70FF">
        <w:rPr>
          <w:rFonts w:cs="Arial"/>
          <w:color w:val="000000" w:themeColor="text1"/>
          <w:sz w:val="22"/>
        </w:rPr>
        <w:t>°C prior to shipment</w:t>
      </w:r>
      <w:r w:rsidRPr="00637586">
        <w:rPr>
          <w:color w:val="000000" w:themeColor="text1"/>
          <w:sz w:val="22"/>
          <w:szCs w:val="22"/>
        </w:rPr>
        <w:t xml:space="preserve">. </w:t>
      </w:r>
      <w:r w:rsidR="00B371BB" w:rsidRPr="00637586">
        <w:rPr>
          <w:color w:val="000000" w:themeColor="text1"/>
          <w:sz w:val="22"/>
          <w:szCs w:val="22"/>
        </w:rPr>
        <w:t xml:space="preserve">NHSBT Therapeutic Apheresis Services are to inform BBMR if there are </w:t>
      </w:r>
      <w:r w:rsidR="00F1599E" w:rsidRPr="00637586">
        <w:rPr>
          <w:color w:val="000000" w:themeColor="text1"/>
          <w:sz w:val="22"/>
          <w:szCs w:val="22"/>
        </w:rPr>
        <w:t xml:space="preserve">actual or potential </w:t>
      </w:r>
      <w:r w:rsidR="00B371BB" w:rsidRPr="00637586">
        <w:rPr>
          <w:color w:val="000000" w:themeColor="text1"/>
          <w:sz w:val="22"/>
          <w:szCs w:val="22"/>
        </w:rPr>
        <w:t>delays in transporting samples to the stem cell laboratory, by emailing BBMR@nhsbt.nhs.uk.</w:t>
      </w:r>
      <w:r w:rsidRPr="00637586">
        <w:rPr>
          <w:color w:val="000000" w:themeColor="text1"/>
          <w:sz w:val="22"/>
          <w:szCs w:val="22"/>
        </w:rPr>
        <w:br/>
      </w:r>
      <w:r w:rsidRPr="00637586">
        <w:rPr>
          <w:color w:val="000000" w:themeColor="text1"/>
          <w:sz w:val="22"/>
          <w:szCs w:val="22"/>
        </w:rPr>
        <w:br/>
        <w:t xml:space="preserve">For BM or PBSC </w:t>
      </w:r>
      <w:r w:rsidR="008244D1" w:rsidRPr="00637586">
        <w:rPr>
          <w:color w:val="000000" w:themeColor="text1"/>
          <w:sz w:val="22"/>
          <w:szCs w:val="22"/>
        </w:rPr>
        <w:t xml:space="preserve">samples must be taken a </w:t>
      </w:r>
      <w:r w:rsidRPr="00637586">
        <w:rPr>
          <w:color w:val="000000" w:themeColor="text1"/>
          <w:sz w:val="22"/>
          <w:szCs w:val="22"/>
        </w:rPr>
        <w:t>maximum of 30 days prior to the collection</w:t>
      </w:r>
      <w:r w:rsidR="008244D1" w:rsidRPr="00637586">
        <w:rPr>
          <w:color w:val="000000" w:themeColor="text1"/>
          <w:sz w:val="22"/>
          <w:szCs w:val="22"/>
        </w:rPr>
        <w:t xml:space="preserve">. </w:t>
      </w:r>
      <w:r w:rsidRPr="00637586">
        <w:rPr>
          <w:color w:val="000000" w:themeColor="text1"/>
          <w:sz w:val="22"/>
          <w:szCs w:val="22"/>
        </w:rPr>
        <w:t xml:space="preserve">For PBL, a maximum of 7 days </w:t>
      </w:r>
      <w:r w:rsidR="00B82CB3" w:rsidRPr="00637586">
        <w:rPr>
          <w:color w:val="000000" w:themeColor="text1"/>
          <w:sz w:val="22"/>
          <w:szCs w:val="22"/>
        </w:rPr>
        <w:t>post</w:t>
      </w:r>
      <w:r w:rsidRPr="00637586">
        <w:rPr>
          <w:color w:val="000000" w:themeColor="text1"/>
          <w:sz w:val="22"/>
          <w:szCs w:val="22"/>
        </w:rPr>
        <w:t xml:space="preserve"> collection. </w:t>
      </w:r>
      <w:r w:rsidR="00AF69A5" w:rsidRPr="00637586">
        <w:rPr>
          <w:color w:val="000000" w:themeColor="text1"/>
          <w:sz w:val="22"/>
          <w:szCs w:val="22"/>
        </w:rPr>
        <w:t>Regulatory</w:t>
      </w:r>
      <w:r w:rsidR="008244D1" w:rsidRPr="00637586">
        <w:rPr>
          <w:color w:val="000000" w:themeColor="text1"/>
          <w:sz w:val="22"/>
          <w:szCs w:val="22"/>
        </w:rPr>
        <w:t xml:space="preserve"> requirement</w:t>
      </w:r>
      <w:r w:rsidR="00AF69A5" w:rsidRPr="00637586">
        <w:rPr>
          <w:color w:val="000000" w:themeColor="text1"/>
          <w:sz w:val="22"/>
          <w:szCs w:val="22"/>
        </w:rPr>
        <w:t>s</w:t>
      </w:r>
      <w:r w:rsidR="008244D1" w:rsidRPr="00637586">
        <w:rPr>
          <w:color w:val="000000" w:themeColor="text1"/>
          <w:sz w:val="22"/>
          <w:szCs w:val="22"/>
        </w:rPr>
        <w:t xml:space="preserve"> will </w:t>
      </w:r>
      <w:r w:rsidR="00AF69A5" w:rsidRPr="00637586">
        <w:rPr>
          <w:color w:val="000000" w:themeColor="text1"/>
          <w:sz w:val="22"/>
          <w:szCs w:val="22"/>
        </w:rPr>
        <w:t xml:space="preserve">always </w:t>
      </w:r>
      <w:r w:rsidR="008244D1" w:rsidRPr="00637586">
        <w:rPr>
          <w:color w:val="000000" w:themeColor="text1"/>
          <w:sz w:val="22"/>
          <w:szCs w:val="22"/>
        </w:rPr>
        <w:t>be met if the collection centres perform the tests listed as described in appendix C 8a (see important comment also</w:t>
      </w:r>
      <w:r w:rsidR="00AF69A5" w:rsidRPr="00637586">
        <w:rPr>
          <w:color w:val="000000" w:themeColor="text1"/>
          <w:sz w:val="22"/>
          <w:szCs w:val="22"/>
        </w:rPr>
        <w:t xml:space="preserve">). </w:t>
      </w:r>
      <w:r w:rsidRPr="00637586">
        <w:rPr>
          <w:color w:val="000000" w:themeColor="text1"/>
          <w:sz w:val="22"/>
          <w:szCs w:val="22"/>
        </w:rPr>
        <w:t>Within the UK 1</w:t>
      </w:r>
      <w:r w:rsidRPr="00637586">
        <w:rPr>
          <w:color w:val="000000" w:themeColor="text1"/>
          <w:sz w:val="22"/>
          <w:szCs w:val="22"/>
          <w:vertAlign w:val="superscript"/>
        </w:rPr>
        <w:t>st</w:t>
      </w:r>
      <w:r w:rsidRPr="00637586">
        <w:rPr>
          <w:color w:val="000000" w:themeColor="text1"/>
          <w:sz w:val="22"/>
          <w:szCs w:val="22"/>
        </w:rPr>
        <w:t xml:space="preserve"> Class Post must be used unless a risk assessment has been performed and a designated courier service is to be used. Outside of the UK by joint arrangement with the BBMR Donor Centre Registry Co-ordinator use a designated courier service with whom the BBMR has an established account.</w:t>
      </w:r>
    </w:p>
    <w:p w14:paraId="4B235F16" w14:textId="77777777" w:rsidR="00A81DBF" w:rsidRPr="00637586" w:rsidRDefault="00A81DBF" w:rsidP="00A81DBF">
      <w:pPr>
        <w:rPr>
          <w:color w:val="000000" w:themeColor="text1"/>
          <w:sz w:val="22"/>
          <w:szCs w:val="22"/>
        </w:rPr>
      </w:pPr>
    </w:p>
    <w:p w14:paraId="2703BA24" w14:textId="6900EFA8" w:rsidR="00A81DBF" w:rsidRPr="00637586" w:rsidRDefault="00A81DBF" w:rsidP="00A81DBF">
      <w:pPr>
        <w:numPr>
          <w:ilvl w:val="1"/>
          <w:numId w:val="3"/>
        </w:numPr>
        <w:rPr>
          <w:color w:val="000000" w:themeColor="text1"/>
          <w:sz w:val="22"/>
          <w:szCs w:val="22"/>
        </w:rPr>
      </w:pPr>
      <w:r w:rsidRPr="00637586">
        <w:rPr>
          <w:color w:val="000000" w:themeColor="text1"/>
          <w:sz w:val="22"/>
          <w:szCs w:val="22"/>
        </w:rPr>
        <w:t xml:space="preserve">Recording and making available to a BBMR physician the donor assessment outcomes within a standard time of 5 days, or up to </w:t>
      </w:r>
      <w:r w:rsidR="00177843" w:rsidRPr="00637586">
        <w:rPr>
          <w:color w:val="000000" w:themeColor="text1"/>
          <w:sz w:val="22"/>
          <w:szCs w:val="22"/>
        </w:rPr>
        <w:t>72</w:t>
      </w:r>
      <w:r w:rsidRPr="00637586">
        <w:rPr>
          <w:color w:val="000000" w:themeColor="text1"/>
          <w:sz w:val="22"/>
          <w:szCs w:val="22"/>
        </w:rPr>
        <w:t xml:space="preserve"> hours where an urgent assessment is requested. The donor assessment must be completed before the commencement of patient conditioning and the schedule agreed with the BBMR Consultant (</w:t>
      </w:r>
      <w:r w:rsidRPr="00637586">
        <w:rPr>
          <w:rFonts w:cs="Arial"/>
          <w:color w:val="000000" w:themeColor="text1"/>
          <w:sz w:val="22"/>
        </w:rPr>
        <w:t>01865 767892 – on-duty BBMR consultant number to be used for this and any other general medical enquiries)</w:t>
      </w:r>
      <w:r w:rsidRPr="00637586">
        <w:rPr>
          <w:color w:val="000000" w:themeColor="text1"/>
          <w:sz w:val="22"/>
          <w:szCs w:val="22"/>
        </w:rPr>
        <w:t>.</w:t>
      </w:r>
    </w:p>
    <w:p w14:paraId="5508C72D" w14:textId="77777777" w:rsidR="00A81DBF" w:rsidRPr="00637586" w:rsidRDefault="00A81DBF" w:rsidP="00A81DBF">
      <w:pPr>
        <w:rPr>
          <w:color w:val="000000" w:themeColor="text1"/>
          <w:sz w:val="22"/>
          <w:szCs w:val="22"/>
        </w:rPr>
      </w:pPr>
    </w:p>
    <w:p w14:paraId="4CCDE9DB" w14:textId="77777777" w:rsidR="00A81DBF" w:rsidRPr="00637586" w:rsidRDefault="00A81DBF" w:rsidP="00A81DBF">
      <w:pPr>
        <w:numPr>
          <w:ilvl w:val="1"/>
          <w:numId w:val="3"/>
        </w:numPr>
        <w:rPr>
          <w:color w:val="000000" w:themeColor="text1"/>
          <w:sz w:val="22"/>
          <w:szCs w:val="22"/>
        </w:rPr>
      </w:pPr>
      <w:r w:rsidRPr="00637586">
        <w:rPr>
          <w:color w:val="000000" w:themeColor="text1"/>
          <w:sz w:val="22"/>
          <w:szCs w:val="22"/>
        </w:rPr>
        <w:t>Arranging to admit the donor for the procedure in a private room or ward without sick patients, as appropriate. Ensure arrangements for person(s) accompanying the donor.</w:t>
      </w:r>
    </w:p>
    <w:p w14:paraId="12914E9A" w14:textId="77777777" w:rsidR="00A81DBF" w:rsidRPr="00637586" w:rsidRDefault="00A81DBF" w:rsidP="00A81DBF">
      <w:pPr>
        <w:rPr>
          <w:color w:val="000000" w:themeColor="text1"/>
          <w:sz w:val="22"/>
          <w:szCs w:val="22"/>
        </w:rPr>
      </w:pPr>
    </w:p>
    <w:p w14:paraId="6B812DD4" w14:textId="6F2F318E" w:rsidR="00A81DBF" w:rsidRPr="00637586" w:rsidRDefault="00A81DBF" w:rsidP="00A81DBF">
      <w:pPr>
        <w:numPr>
          <w:ilvl w:val="1"/>
          <w:numId w:val="3"/>
        </w:numPr>
        <w:rPr>
          <w:color w:val="000000" w:themeColor="text1"/>
          <w:sz w:val="22"/>
          <w:szCs w:val="22"/>
        </w:rPr>
      </w:pPr>
      <w:r w:rsidRPr="00637586">
        <w:rPr>
          <w:color w:val="000000" w:themeColor="text1"/>
          <w:sz w:val="22"/>
          <w:szCs w:val="22"/>
        </w:rPr>
        <w:t xml:space="preserve">On </w:t>
      </w:r>
      <w:r w:rsidR="002E6524" w:rsidRPr="00637586">
        <w:rPr>
          <w:color w:val="000000" w:themeColor="text1"/>
          <w:sz w:val="22"/>
          <w:szCs w:val="22"/>
        </w:rPr>
        <w:t xml:space="preserve">arrival / </w:t>
      </w:r>
      <w:r w:rsidRPr="00637586">
        <w:rPr>
          <w:color w:val="000000" w:themeColor="text1"/>
          <w:sz w:val="22"/>
          <w:szCs w:val="22"/>
        </w:rPr>
        <w:t xml:space="preserve">admission, verifying the identity of the donor </w:t>
      </w:r>
      <w:r w:rsidR="00177843" w:rsidRPr="00637586">
        <w:rPr>
          <w:color w:val="000000" w:themeColor="text1"/>
          <w:sz w:val="22"/>
          <w:szCs w:val="22"/>
        </w:rPr>
        <w:t xml:space="preserve">verbally </w:t>
      </w:r>
      <w:r w:rsidRPr="00637586">
        <w:rPr>
          <w:color w:val="000000" w:themeColor="text1"/>
          <w:sz w:val="22"/>
          <w:szCs w:val="22"/>
        </w:rPr>
        <w:t xml:space="preserve">against photographic ID or against documentation supplied by BBMR. </w:t>
      </w:r>
      <w:r w:rsidR="00EE0BD7" w:rsidRPr="00637586">
        <w:rPr>
          <w:color w:val="000000" w:themeColor="text1"/>
          <w:sz w:val="22"/>
          <w:szCs w:val="22"/>
        </w:rPr>
        <w:t xml:space="preserve"> </w:t>
      </w:r>
    </w:p>
    <w:p w14:paraId="55C80D95" w14:textId="77777777" w:rsidR="00A81DBF" w:rsidRPr="00637586" w:rsidRDefault="00A81DBF" w:rsidP="00A81DBF">
      <w:pPr>
        <w:rPr>
          <w:color w:val="000000" w:themeColor="text1"/>
          <w:sz w:val="22"/>
          <w:szCs w:val="22"/>
        </w:rPr>
      </w:pPr>
    </w:p>
    <w:p w14:paraId="76BDF8CC" w14:textId="57AFBF00" w:rsidR="00A81DBF" w:rsidRPr="00637586" w:rsidRDefault="00A81DBF" w:rsidP="00A81DBF">
      <w:pPr>
        <w:numPr>
          <w:ilvl w:val="1"/>
          <w:numId w:val="3"/>
        </w:numPr>
        <w:rPr>
          <w:color w:val="000000" w:themeColor="text1"/>
          <w:sz w:val="22"/>
          <w:szCs w:val="22"/>
        </w:rPr>
      </w:pPr>
      <w:r w:rsidRPr="00637586">
        <w:rPr>
          <w:color w:val="000000" w:themeColor="text1"/>
          <w:sz w:val="22"/>
          <w:szCs w:val="22"/>
        </w:rPr>
        <w:t xml:space="preserve">Maintain adequate stocks of </w:t>
      </w:r>
      <w:proofErr w:type="spellStart"/>
      <w:r w:rsidR="00EE7054" w:rsidRPr="00637586">
        <w:rPr>
          <w:color w:val="000000" w:themeColor="text1"/>
          <w:sz w:val="22"/>
          <w:szCs w:val="22"/>
        </w:rPr>
        <w:t>Zarzio</w:t>
      </w:r>
      <w:proofErr w:type="spellEnd"/>
      <w:r w:rsidR="00E010D0" w:rsidRPr="00637586">
        <w:rPr>
          <w:color w:val="000000" w:themeColor="text1"/>
          <w:sz w:val="22"/>
          <w:szCs w:val="22"/>
        </w:rPr>
        <w:t xml:space="preserve"> on premises</w:t>
      </w:r>
      <w:r w:rsidRPr="00637586">
        <w:rPr>
          <w:color w:val="000000" w:themeColor="text1"/>
          <w:sz w:val="22"/>
          <w:szCs w:val="22"/>
        </w:rPr>
        <w:t xml:space="preserve">. Prescribing a short course of G-CSF, </w:t>
      </w:r>
      <w:proofErr w:type="spellStart"/>
      <w:r w:rsidR="00EE7054" w:rsidRPr="00637586">
        <w:rPr>
          <w:color w:val="000000" w:themeColor="text1"/>
          <w:sz w:val="22"/>
          <w:szCs w:val="22"/>
        </w:rPr>
        <w:t>Zarzio</w:t>
      </w:r>
      <w:proofErr w:type="spellEnd"/>
      <w:r w:rsidRPr="00637586">
        <w:rPr>
          <w:color w:val="000000" w:themeColor="text1"/>
          <w:sz w:val="22"/>
          <w:szCs w:val="22"/>
        </w:rPr>
        <w:t xml:space="preserve"> of 4 days’ duration, to the donor. A fifth dose may be prescribed should a second apheresis collection be required.</w:t>
      </w:r>
    </w:p>
    <w:p w14:paraId="70FEAAFC" w14:textId="77777777" w:rsidR="00A81DBF" w:rsidRPr="00637586" w:rsidRDefault="00A81DBF" w:rsidP="00A81DBF">
      <w:pPr>
        <w:rPr>
          <w:color w:val="000000" w:themeColor="text1"/>
          <w:sz w:val="22"/>
          <w:szCs w:val="22"/>
        </w:rPr>
      </w:pPr>
    </w:p>
    <w:p w14:paraId="3DD6C0EF" w14:textId="318E94A7" w:rsidR="00A81DBF" w:rsidRPr="00637586" w:rsidRDefault="00A81DBF" w:rsidP="00A81DBF">
      <w:pPr>
        <w:numPr>
          <w:ilvl w:val="1"/>
          <w:numId w:val="3"/>
        </w:numPr>
        <w:rPr>
          <w:color w:val="000000" w:themeColor="text1"/>
          <w:sz w:val="22"/>
          <w:szCs w:val="22"/>
        </w:rPr>
      </w:pPr>
      <w:r w:rsidRPr="00637586">
        <w:rPr>
          <w:color w:val="000000" w:themeColor="text1"/>
          <w:sz w:val="22"/>
          <w:szCs w:val="22"/>
        </w:rPr>
        <w:t>On Days 4 and 5, if required</w:t>
      </w:r>
      <w:r w:rsidR="00177843" w:rsidRPr="00637586">
        <w:rPr>
          <w:color w:val="000000" w:themeColor="text1"/>
          <w:sz w:val="22"/>
          <w:szCs w:val="22"/>
        </w:rPr>
        <w:t xml:space="preserve">, the service provider will </w:t>
      </w:r>
      <w:r w:rsidRPr="00637586">
        <w:rPr>
          <w:color w:val="000000" w:themeColor="text1"/>
          <w:sz w:val="22"/>
          <w:szCs w:val="22"/>
        </w:rPr>
        <w:t xml:space="preserve">administer G-CSF, </w:t>
      </w:r>
      <w:proofErr w:type="spellStart"/>
      <w:r w:rsidR="00EE7054" w:rsidRPr="00637586">
        <w:rPr>
          <w:color w:val="000000" w:themeColor="text1"/>
          <w:sz w:val="22"/>
          <w:szCs w:val="22"/>
        </w:rPr>
        <w:t>Zarzio</w:t>
      </w:r>
      <w:proofErr w:type="spellEnd"/>
      <w:r w:rsidRPr="00637586">
        <w:rPr>
          <w:color w:val="000000" w:themeColor="text1"/>
          <w:sz w:val="22"/>
          <w:szCs w:val="22"/>
        </w:rPr>
        <w:t>, to donors as per Appendix E.</w:t>
      </w:r>
    </w:p>
    <w:p w14:paraId="72B46617" w14:textId="77777777" w:rsidR="00A81DBF" w:rsidRPr="00637586" w:rsidRDefault="00A81DBF" w:rsidP="00A81DBF">
      <w:pPr>
        <w:rPr>
          <w:color w:val="000000" w:themeColor="text1"/>
          <w:sz w:val="22"/>
          <w:szCs w:val="22"/>
        </w:rPr>
      </w:pPr>
    </w:p>
    <w:p w14:paraId="0DBD7552" w14:textId="1982BB8B" w:rsidR="00A81DBF" w:rsidRPr="00637586" w:rsidRDefault="00A81DBF" w:rsidP="00A81DBF">
      <w:pPr>
        <w:numPr>
          <w:ilvl w:val="1"/>
          <w:numId w:val="3"/>
        </w:numPr>
        <w:rPr>
          <w:color w:val="000000" w:themeColor="text1"/>
          <w:sz w:val="22"/>
          <w:szCs w:val="22"/>
        </w:rPr>
      </w:pPr>
      <w:r w:rsidRPr="00637586">
        <w:rPr>
          <w:color w:val="000000" w:themeColor="text1"/>
          <w:sz w:val="22"/>
          <w:szCs w:val="22"/>
        </w:rPr>
        <w:lastRenderedPageBreak/>
        <w:t xml:space="preserve">Monitoring, </w:t>
      </w:r>
      <w:proofErr w:type="gramStart"/>
      <w:r w:rsidRPr="00637586">
        <w:rPr>
          <w:color w:val="000000" w:themeColor="text1"/>
          <w:sz w:val="22"/>
          <w:szCs w:val="22"/>
        </w:rPr>
        <w:t>managing</w:t>
      </w:r>
      <w:proofErr w:type="gramEnd"/>
      <w:r w:rsidRPr="00637586">
        <w:rPr>
          <w:color w:val="000000" w:themeColor="text1"/>
          <w:sz w:val="22"/>
          <w:szCs w:val="22"/>
        </w:rPr>
        <w:t xml:space="preserve"> and recording donor reactions to G-CSF during PBPC mobilisation, in accordance with BBMR guidance (Appendix H, I).   Perform further tests to evaluate donor symptoms </w:t>
      </w:r>
      <w:r w:rsidR="00F40BE9" w:rsidRPr="00637586">
        <w:rPr>
          <w:color w:val="000000" w:themeColor="text1"/>
          <w:sz w:val="22"/>
          <w:szCs w:val="22"/>
        </w:rPr>
        <w:t>e.g.,</w:t>
      </w:r>
      <w:r w:rsidRPr="00637586">
        <w:rPr>
          <w:color w:val="000000" w:themeColor="text1"/>
          <w:sz w:val="22"/>
          <w:szCs w:val="22"/>
        </w:rPr>
        <w:t xml:space="preserve"> splenic ultrasound.  Stop G-CSF immediately and inform BBMR Medical Director or Deputy, if donor white cell count is </w:t>
      </w:r>
      <w:r w:rsidRPr="00637586">
        <w:rPr>
          <w:color w:val="000000" w:themeColor="text1"/>
          <w:sz w:val="22"/>
          <w:szCs w:val="22"/>
          <w:u w:val="single"/>
        </w:rPr>
        <w:t>&gt;</w:t>
      </w:r>
      <w:r w:rsidRPr="00637586">
        <w:rPr>
          <w:color w:val="000000" w:themeColor="text1"/>
          <w:sz w:val="22"/>
          <w:szCs w:val="22"/>
        </w:rPr>
        <w:t xml:space="preserve">70 x 10^9/l. BBMR must also be immediately advised if mobilisation is altered (via </w:t>
      </w:r>
      <w:hyperlink r:id="rId17" w:history="1">
        <w:r w:rsidRPr="00637586">
          <w:rPr>
            <w:color w:val="000000" w:themeColor="text1"/>
            <w:sz w:val="22"/>
            <w:szCs w:val="22"/>
            <w:u w:val="single"/>
          </w:rPr>
          <w:t>workup@nhsbt.nhs.uk</w:t>
        </w:r>
      </w:hyperlink>
      <w:r w:rsidRPr="00637586">
        <w:rPr>
          <w:color w:val="000000" w:themeColor="text1"/>
          <w:sz w:val="22"/>
          <w:szCs w:val="22"/>
        </w:rPr>
        <w:t>).</w:t>
      </w:r>
    </w:p>
    <w:p w14:paraId="384A9318" w14:textId="77777777" w:rsidR="00A81DBF" w:rsidRPr="00637586" w:rsidRDefault="00A81DBF" w:rsidP="00A81DBF">
      <w:pPr>
        <w:rPr>
          <w:color w:val="000000" w:themeColor="text1"/>
          <w:sz w:val="22"/>
          <w:szCs w:val="22"/>
        </w:rPr>
      </w:pPr>
    </w:p>
    <w:p w14:paraId="1FF9E46D" w14:textId="23EDD6E2" w:rsidR="00A81DBF" w:rsidRPr="00637586" w:rsidRDefault="00A81DBF" w:rsidP="00A81DBF">
      <w:pPr>
        <w:numPr>
          <w:ilvl w:val="1"/>
          <w:numId w:val="3"/>
        </w:numPr>
        <w:rPr>
          <w:color w:val="000000" w:themeColor="text1"/>
          <w:sz w:val="22"/>
          <w:szCs w:val="22"/>
        </w:rPr>
      </w:pPr>
      <w:r w:rsidRPr="00637586">
        <w:rPr>
          <w:color w:val="000000" w:themeColor="text1"/>
          <w:sz w:val="22"/>
          <w:szCs w:val="22"/>
        </w:rPr>
        <w:t xml:space="preserve">Using the BBMR home administration service to maintain a supply of </w:t>
      </w:r>
      <w:proofErr w:type="spellStart"/>
      <w:r w:rsidR="00EE7054" w:rsidRPr="00637586">
        <w:rPr>
          <w:color w:val="000000" w:themeColor="text1"/>
          <w:sz w:val="22"/>
          <w:szCs w:val="22"/>
        </w:rPr>
        <w:t>Zarzio</w:t>
      </w:r>
      <w:proofErr w:type="spellEnd"/>
      <w:r w:rsidRPr="00637586">
        <w:rPr>
          <w:color w:val="000000" w:themeColor="text1"/>
          <w:sz w:val="22"/>
          <w:szCs w:val="22"/>
        </w:rPr>
        <w:t xml:space="preserve"> at the service provider premises in the event of a second apheresis collection being required.</w:t>
      </w:r>
    </w:p>
    <w:p w14:paraId="50BCE1DE" w14:textId="77777777" w:rsidR="00A81DBF" w:rsidRPr="00637586" w:rsidRDefault="00A81DBF" w:rsidP="00A81DBF">
      <w:pPr>
        <w:rPr>
          <w:color w:val="000000" w:themeColor="text1"/>
          <w:sz w:val="22"/>
          <w:szCs w:val="22"/>
        </w:rPr>
      </w:pPr>
    </w:p>
    <w:p w14:paraId="002607DB" w14:textId="15109E7C" w:rsidR="000833BF" w:rsidRDefault="00A81DBF" w:rsidP="00A81DBF">
      <w:pPr>
        <w:numPr>
          <w:ilvl w:val="1"/>
          <w:numId w:val="3"/>
        </w:numPr>
        <w:rPr>
          <w:color w:val="000000" w:themeColor="text1"/>
          <w:sz w:val="22"/>
          <w:szCs w:val="22"/>
        </w:rPr>
      </w:pPr>
      <w:r w:rsidRPr="00637586">
        <w:rPr>
          <w:color w:val="000000" w:themeColor="text1"/>
          <w:sz w:val="22"/>
          <w:szCs w:val="22"/>
        </w:rPr>
        <w:t xml:space="preserve">Collecting other blood samples for biochemistry, microbiological </w:t>
      </w:r>
      <w:proofErr w:type="gramStart"/>
      <w:r w:rsidRPr="00637586">
        <w:rPr>
          <w:color w:val="000000" w:themeColor="text1"/>
          <w:sz w:val="22"/>
          <w:szCs w:val="22"/>
        </w:rPr>
        <w:t>testing</w:t>
      </w:r>
      <w:proofErr w:type="gramEnd"/>
      <w:r w:rsidRPr="00637586">
        <w:rPr>
          <w:color w:val="000000" w:themeColor="text1"/>
          <w:sz w:val="22"/>
          <w:szCs w:val="22"/>
        </w:rPr>
        <w:t xml:space="preserve"> and blood counts during PBSC mobilisation and, or at collection. Inform BBMR Medical Director or DMP if donor platelet count is &lt;100 x 10^9/l, before commencing second day apheresis procedu</w:t>
      </w:r>
      <w:r w:rsidR="00586AAA">
        <w:rPr>
          <w:color w:val="000000" w:themeColor="text1"/>
          <w:sz w:val="22"/>
          <w:szCs w:val="22"/>
        </w:rPr>
        <w:t xml:space="preserve">re. PBSC donors with suspected </w:t>
      </w:r>
      <w:r w:rsidRPr="00637586">
        <w:rPr>
          <w:color w:val="000000" w:themeColor="text1"/>
          <w:sz w:val="22"/>
          <w:szCs w:val="22"/>
          <w:lang w:val="en"/>
        </w:rPr>
        <w:t>thrombocytopenia</w:t>
      </w:r>
      <w:r w:rsidRPr="00637586">
        <w:rPr>
          <w:color w:val="000000" w:themeColor="text1"/>
          <w:sz w:val="22"/>
          <w:szCs w:val="22"/>
        </w:rPr>
        <w:t xml:space="preserve"> should be managed as per Appendix </w:t>
      </w:r>
      <w:r w:rsidRPr="006C70FF">
        <w:rPr>
          <w:color w:val="000000" w:themeColor="text1"/>
          <w:sz w:val="22"/>
          <w:szCs w:val="22"/>
        </w:rPr>
        <w:t>M.</w:t>
      </w:r>
      <w:r w:rsidR="000833BF">
        <w:rPr>
          <w:color w:val="000000" w:themeColor="text1"/>
          <w:sz w:val="22"/>
          <w:szCs w:val="22"/>
        </w:rPr>
        <w:t xml:space="preserve">  </w:t>
      </w:r>
    </w:p>
    <w:p w14:paraId="4E081F2B" w14:textId="77777777" w:rsidR="000833BF" w:rsidRDefault="000833BF" w:rsidP="000833BF">
      <w:pPr>
        <w:pStyle w:val="ListParagraph"/>
        <w:rPr>
          <w:color w:val="7030A0"/>
          <w:sz w:val="22"/>
          <w:szCs w:val="22"/>
        </w:rPr>
      </w:pPr>
    </w:p>
    <w:p w14:paraId="7931EB4B" w14:textId="7D4B2C21" w:rsidR="00A81DBF" w:rsidRPr="00836E13" w:rsidRDefault="000833BF" w:rsidP="00A81DBF">
      <w:pPr>
        <w:numPr>
          <w:ilvl w:val="1"/>
          <w:numId w:val="3"/>
        </w:numPr>
        <w:rPr>
          <w:color w:val="7030A0"/>
          <w:sz w:val="22"/>
          <w:szCs w:val="22"/>
        </w:rPr>
      </w:pPr>
      <w:r>
        <w:rPr>
          <w:color w:val="7030A0"/>
          <w:sz w:val="22"/>
          <w:szCs w:val="22"/>
        </w:rPr>
        <w:t>Occasionally</w:t>
      </w:r>
      <w:r w:rsidRPr="000833BF">
        <w:rPr>
          <w:color w:val="7030A0"/>
          <w:sz w:val="22"/>
          <w:szCs w:val="22"/>
        </w:rPr>
        <w:t>, a 3rd day of apheresis may be appropriate considering donor wellbeing, platelet count and likely yield</w:t>
      </w:r>
      <w:r w:rsidR="00F12F81">
        <w:rPr>
          <w:color w:val="7030A0"/>
          <w:sz w:val="22"/>
          <w:szCs w:val="22"/>
        </w:rPr>
        <w:t xml:space="preserve"> (see appendix I)</w:t>
      </w:r>
      <w:r w:rsidR="00586AAA">
        <w:rPr>
          <w:color w:val="7030A0"/>
          <w:sz w:val="22"/>
          <w:szCs w:val="22"/>
        </w:rPr>
        <w:t xml:space="preserve">. </w:t>
      </w:r>
      <w:r w:rsidR="00586AAA" w:rsidRPr="00836E13">
        <w:rPr>
          <w:color w:val="7030A0"/>
          <w:sz w:val="22"/>
          <w:szCs w:val="22"/>
        </w:rPr>
        <w:t>This must be discussed with the BBMR Medical Director or Deputy before discussing with donor. Appendix I lists’ steps to be taken if low counts are obtained on day one (&lt;1.0 x 10</w:t>
      </w:r>
      <w:r w:rsidR="00586AAA" w:rsidRPr="00836E13">
        <w:rPr>
          <w:color w:val="7030A0"/>
          <w:sz w:val="22"/>
          <w:szCs w:val="22"/>
          <w:vertAlign w:val="superscript"/>
        </w:rPr>
        <w:t>6</w:t>
      </w:r>
      <w:r w:rsidR="00586AAA" w:rsidRPr="00836E13">
        <w:rPr>
          <w:color w:val="7030A0"/>
          <w:sz w:val="22"/>
          <w:szCs w:val="22"/>
        </w:rPr>
        <w:t xml:space="preserve"> CD34/kg).</w:t>
      </w:r>
    </w:p>
    <w:p w14:paraId="0B1CA0CC" w14:textId="77777777" w:rsidR="00A81DBF" w:rsidRPr="006C70FF" w:rsidRDefault="00A81DBF" w:rsidP="00A81DBF">
      <w:pPr>
        <w:rPr>
          <w:color w:val="000000" w:themeColor="text1"/>
          <w:sz w:val="22"/>
          <w:szCs w:val="22"/>
        </w:rPr>
      </w:pPr>
    </w:p>
    <w:p w14:paraId="64517205"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Providing a collection of bone marrow, stem cells, PBL (with r</w:t>
      </w:r>
      <w:r w:rsidRPr="006C70FF">
        <w:rPr>
          <w:color w:val="000000" w:themeColor="text1"/>
          <w:sz w:val="22"/>
        </w:rPr>
        <w:t xml:space="preserve">equested product anticoagulant) </w:t>
      </w:r>
      <w:r w:rsidRPr="006C70FF">
        <w:rPr>
          <w:color w:val="000000" w:themeColor="text1"/>
          <w:sz w:val="22"/>
          <w:szCs w:val="22"/>
        </w:rPr>
        <w:t>in accordance with the agreed prescription.</w:t>
      </w:r>
    </w:p>
    <w:p w14:paraId="239027B3" w14:textId="77777777" w:rsidR="00A81DBF" w:rsidRPr="006C70FF" w:rsidRDefault="00A81DBF" w:rsidP="00A81DBF">
      <w:pPr>
        <w:rPr>
          <w:color w:val="000000" w:themeColor="text1"/>
          <w:sz w:val="22"/>
          <w:szCs w:val="22"/>
        </w:rPr>
      </w:pPr>
    </w:p>
    <w:p w14:paraId="6C4FB77F"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Maintaining anonymity between donor and recipient when the donor attends the service provider premises for the collection.</w:t>
      </w:r>
    </w:p>
    <w:p w14:paraId="493F6930" w14:textId="77777777" w:rsidR="00A81DBF" w:rsidRPr="006C70FF" w:rsidRDefault="00A81DBF" w:rsidP="00A81DBF">
      <w:pPr>
        <w:rPr>
          <w:color w:val="000000" w:themeColor="text1"/>
          <w:sz w:val="22"/>
          <w:szCs w:val="22"/>
        </w:rPr>
      </w:pPr>
    </w:p>
    <w:p w14:paraId="20B33F90"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Providing a latex free collection environment, if required.</w:t>
      </w:r>
    </w:p>
    <w:p w14:paraId="179A4B16" w14:textId="77777777" w:rsidR="00A81DBF" w:rsidRPr="006C70FF" w:rsidRDefault="00A81DBF" w:rsidP="00A81DBF">
      <w:pPr>
        <w:rPr>
          <w:color w:val="000000" w:themeColor="text1"/>
          <w:sz w:val="22"/>
          <w:szCs w:val="22"/>
        </w:rPr>
      </w:pPr>
    </w:p>
    <w:p w14:paraId="153F4151"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Managing the requirements for the elective placement of Central Venous Catheters in PBSC donors.</w:t>
      </w:r>
    </w:p>
    <w:p w14:paraId="36B98E5A" w14:textId="77777777" w:rsidR="00A81DBF" w:rsidRPr="006C70FF" w:rsidRDefault="00A81DBF" w:rsidP="00A81DBF">
      <w:pPr>
        <w:rPr>
          <w:color w:val="000000" w:themeColor="text1"/>
          <w:sz w:val="22"/>
          <w:szCs w:val="22"/>
        </w:rPr>
      </w:pPr>
    </w:p>
    <w:p w14:paraId="0796E8F1"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Consultant Anaesthetist/Radiologist/Cardiologist must take responsibility for the care and management of the donor where a central line is placed.</w:t>
      </w:r>
    </w:p>
    <w:p w14:paraId="43731BA6" w14:textId="77777777" w:rsidR="00A81DBF" w:rsidRPr="006C70FF" w:rsidRDefault="00A81DBF" w:rsidP="00A81DBF">
      <w:pPr>
        <w:rPr>
          <w:color w:val="000000" w:themeColor="text1"/>
          <w:sz w:val="22"/>
          <w:szCs w:val="22"/>
        </w:rPr>
      </w:pPr>
    </w:p>
    <w:p w14:paraId="31F88EB1"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Providing fully trained operating theatre staff.</w:t>
      </w:r>
    </w:p>
    <w:p w14:paraId="2786D88C" w14:textId="77777777" w:rsidR="00A81DBF" w:rsidRPr="006C70FF" w:rsidRDefault="00A81DBF" w:rsidP="00A81DBF">
      <w:pPr>
        <w:rPr>
          <w:color w:val="000000" w:themeColor="text1"/>
          <w:sz w:val="22"/>
          <w:szCs w:val="22"/>
        </w:rPr>
      </w:pPr>
    </w:p>
    <w:p w14:paraId="7B2E27D5"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Providing intensive care and resuscitation facilities on site.</w:t>
      </w:r>
    </w:p>
    <w:p w14:paraId="34BB0054" w14:textId="77777777" w:rsidR="00A81DBF" w:rsidRPr="006C70FF" w:rsidRDefault="00A81DBF" w:rsidP="00A81DBF">
      <w:pPr>
        <w:rPr>
          <w:color w:val="000000" w:themeColor="text1"/>
          <w:sz w:val="22"/>
          <w:szCs w:val="22"/>
        </w:rPr>
      </w:pPr>
    </w:p>
    <w:p w14:paraId="05086A5D" w14:textId="0DCB8442"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HPC from the bone marrow must be collected from the posterior iliac crests normally. The anterior iliac crests can be used exceptionally only and the </w:t>
      </w:r>
      <w:r w:rsidR="00586AAA" w:rsidRPr="00836E13">
        <w:rPr>
          <w:color w:val="7030A0"/>
          <w:sz w:val="22"/>
          <w:szCs w:val="22"/>
        </w:rPr>
        <w:t xml:space="preserve">BBMR Medical Director or Deputy </w:t>
      </w:r>
      <w:r w:rsidRPr="006C70FF">
        <w:rPr>
          <w:color w:val="000000" w:themeColor="text1"/>
          <w:sz w:val="22"/>
          <w:szCs w:val="22"/>
        </w:rPr>
        <w:t xml:space="preserve">must be advised. </w:t>
      </w:r>
    </w:p>
    <w:p w14:paraId="2EE52F14" w14:textId="77777777" w:rsidR="00A81DBF" w:rsidRPr="006C70FF" w:rsidRDefault="00A81DBF" w:rsidP="00A81DBF">
      <w:pPr>
        <w:ind w:left="720"/>
        <w:rPr>
          <w:color w:val="000000" w:themeColor="text1"/>
          <w:sz w:val="22"/>
          <w:szCs w:val="22"/>
        </w:rPr>
      </w:pPr>
    </w:p>
    <w:p w14:paraId="294BDC12" w14:textId="58DF844F" w:rsidR="00A81DBF" w:rsidRPr="006C70FF" w:rsidRDefault="00A81DBF" w:rsidP="00A81DBF">
      <w:pPr>
        <w:numPr>
          <w:ilvl w:val="1"/>
          <w:numId w:val="3"/>
        </w:numPr>
        <w:rPr>
          <w:color w:val="000000" w:themeColor="text1"/>
          <w:sz w:val="22"/>
          <w:szCs w:val="22"/>
        </w:rPr>
      </w:pPr>
      <w:r w:rsidRPr="006C70FF">
        <w:rPr>
          <w:color w:val="000000" w:themeColor="text1"/>
          <w:sz w:val="22"/>
          <w:szCs w:val="22"/>
        </w:rPr>
        <w:t>Collect the HPC product using Bone Marrow Collection Kit</w:t>
      </w:r>
      <w:r w:rsidR="001B0F2B">
        <w:rPr>
          <w:color w:val="000000" w:themeColor="text1"/>
          <w:sz w:val="22"/>
          <w:szCs w:val="22"/>
        </w:rPr>
        <w:t xml:space="preserve">, </w:t>
      </w:r>
      <w:r w:rsidR="001B0F2B" w:rsidRPr="001B0F2B">
        <w:rPr>
          <w:color w:val="7030A0"/>
          <w:sz w:val="22"/>
          <w:szCs w:val="22"/>
        </w:rPr>
        <w:t>ideally</w:t>
      </w:r>
      <w:r w:rsidRPr="001B0F2B">
        <w:rPr>
          <w:color w:val="7030A0"/>
          <w:sz w:val="22"/>
          <w:szCs w:val="22"/>
        </w:rPr>
        <w:t xml:space="preserve"> </w:t>
      </w:r>
      <w:r w:rsidRPr="006C70FF">
        <w:rPr>
          <w:color w:val="000000" w:themeColor="text1"/>
          <w:sz w:val="22"/>
          <w:szCs w:val="22"/>
        </w:rPr>
        <w:t xml:space="preserve">with Pre-Filter and In-Line </w:t>
      </w:r>
      <w:r w:rsidR="001B0F2B" w:rsidRPr="006C70FF">
        <w:rPr>
          <w:color w:val="000000" w:themeColor="text1"/>
          <w:sz w:val="22"/>
          <w:szCs w:val="22"/>
        </w:rPr>
        <w:t>Filters</w:t>
      </w:r>
      <w:r w:rsidR="001B0F2B">
        <w:rPr>
          <w:color w:val="000000" w:themeColor="text1"/>
          <w:sz w:val="22"/>
          <w:szCs w:val="22"/>
        </w:rPr>
        <w:t xml:space="preserve">. </w:t>
      </w:r>
      <w:r w:rsidR="001B0F2B" w:rsidRPr="001B0F2B">
        <w:rPr>
          <w:color w:val="7030A0"/>
          <w:sz w:val="22"/>
          <w:szCs w:val="22"/>
        </w:rPr>
        <w:t xml:space="preserve"> In-house manufactured kits</w:t>
      </w:r>
      <w:r w:rsidR="001B0F2B">
        <w:rPr>
          <w:color w:val="7030A0"/>
          <w:sz w:val="22"/>
          <w:szCs w:val="22"/>
        </w:rPr>
        <w:t xml:space="preserve"> </w:t>
      </w:r>
      <w:r w:rsidR="008F7904">
        <w:rPr>
          <w:color w:val="7030A0"/>
          <w:sz w:val="22"/>
          <w:szCs w:val="22"/>
        </w:rPr>
        <w:t xml:space="preserve">utilising CE or CA marked elements </w:t>
      </w:r>
      <w:r w:rsidR="001B0F2B">
        <w:rPr>
          <w:color w:val="7030A0"/>
          <w:sz w:val="22"/>
          <w:szCs w:val="22"/>
        </w:rPr>
        <w:t>or MHRA compassionate use derogated options are acceptable.</w:t>
      </w:r>
      <w:r w:rsidR="001B0F2B" w:rsidRPr="001B0F2B">
        <w:rPr>
          <w:color w:val="7030A0"/>
          <w:sz w:val="22"/>
          <w:szCs w:val="22"/>
        </w:rPr>
        <w:t xml:space="preserve"> </w:t>
      </w:r>
      <w:r w:rsidR="001B0F2B">
        <w:rPr>
          <w:color w:val="7030A0"/>
          <w:sz w:val="22"/>
          <w:szCs w:val="22"/>
        </w:rPr>
        <w:t xml:space="preserve">Collecting unfiltered bone marrow may be required if business continuity necessitates it. </w:t>
      </w:r>
      <w:r w:rsidRPr="006C70FF">
        <w:rPr>
          <w:color w:val="000000" w:themeColor="text1"/>
          <w:sz w:val="22"/>
          <w:szCs w:val="22"/>
        </w:rPr>
        <w:t xml:space="preserve">Ensure enough line length remains (~10cm) for docking and ensure at least one sample ‘bubble’ (if a feature of the kit) remains for use by the receiving </w:t>
      </w:r>
      <w:r w:rsidRPr="006C70FF">
        <w:rPr>
          <w:rFonts w:cs="Arial"/>
          <w:color w:val="000000" w:themeColor="text1"/>
          <w:sz w:val="22"/>
          <w:szCs w:val="22"/>
        </w:rPr>
        <w:t xml:space="preserve">laboratory.   </w:t>
      </w:r>
      <w:r w:rsidRPr="006C70FF">
        <w:rPr>
          <w:rFonts w:cs="Arial"/>
          <w:color w:val="000000" w:themeColor="text1"/>
          <w:sz w:val="22"/>
          <w:szCs w:val="22"/>
          <w:shd w:val="clear" w:color="auto" w:fill="FFFFFF"/>
        </w:rPr>
        <w:t xml:space="preserve">When heat sealers are used, the Collection Centre must routinely apply a minimum of three seals to any primary Cell Product as soon as the Donation procedure is complete. </w:t>
      </w:r>
    </w:p>
    <w:p w14:paraId="5E467528" w14:textId="77777777" w:rsidR="00A81DBF" w:rsidRPr="006C70FF" w:rsidRDefault="00A81DBF" w:rsidP="00A81DBF">
      <w:pPr>
        <w:rPr>
          <w:color w:val="000000" w:themeColor="text1"/>
          <w:sz w:val="22"/>
          <w:szCs w:val="22"/>
        </w:rPr>
      </w:pPr>
    </w:p>
    <w:p w14:paraId="50095878"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Check pre / in-line filters on </w:t>
      </w:r>
      <w:r w:rsidRPr="006C70FF">
        <w:rPr>
          <w:color w:val="000000" w:themeColor="text1"/>
          <w:sz w:val="22"/>
          <w:szCs w:val="22"/>
          <w:u w:val="single"/>
        </w:rPr>
        <w:t>every</w:t>
      </w:r>
      <w:r w:rsidRPr="006C70FF">
        <w:rPr>
          <w:color w:val="000000" w:themeColor="text1"/>
          <w:sz w:val="22"/>
          <w:szCs w:val="22"/>
        </w:rPr>
        <w:t xml:space="preserve"> bag of product during collection.</w:t>
      </w:r>
    </w:p>
    <w:p w14:paraId="1193E4BD" w14:textId="77777777" w:rsidR="00A81DBF" w:rsidRPr="006C70FF" w:rsidRDefault="00A81DBF" w:rsidP="00A81DBF">
      <w:pPr>
        <w:rPr>
          <w:color w:val="000000" w:themeColor="text1"/>
          <w:sz w:val="22"/>
          <w:szCs w:val="22"/>
        </w:rPr>
      </w:pPr>
    </w:p>
    <w:p w14:paraId="71BAE4C6"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lastRenderedPageBreak/>
        <w:t xml:space="preserve">Heparin must not be used to </w:t>
      </w:r>
      <w:proofErr w:type="spellStart"/>
      <w:r w:rsidRPr="006C70FF">
        <w:rPr>
          <w:color w:val="000000" w:themeColor="text1"/>
          <w:sz w:val="22"/>
          <w:szCs w:val="22"/>
        </w:rPr>
        <w:t>anticoagulate</w:t>
      </w:r>
      <w:proofErr w:type="spellEnd"/>
      <w:r w:rsidRPr="006C70FF">
        <w:rPr>
          <w:color w:val="000000" w:themeColor="text1"/>
          <w:sz w:val="22"/>
          <w:szCs w:val="22"/>
        </w:rPr>
        <w:t xml:space="preserve"> the donor because of the risk of Heparin Induced Thrombocytopenia (HIT) </w:t>
      </w:r>
    </w:p>
    <w:p w14:paraId="29E77006" w14:textId="77777777" w:rsidR="00A81DBF" w:rsidRPr="006C70FF" w:rsidRDefault="00A81DBF" w:rsidP="00A81DBF">
      <w:pPr>
        <w:ind w:left="720"/>
        <w:rPr>
          <w:color w:val="000000" w:themeColor="text1"/>
          <w:sz w:val="22"/>
          <w:szCs w:val="22"/>
        </w:rPr>
      </w:pPr>
    </w:p>
    <w:p w14:paraId="2EC165D4"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Completing all collection related forms and labels as required.</w:t>
      </w:r>
    </w:p>
    <w:p w14:paraId="4C6C5313" w14:textId="77777777" w:rsidR="00A81DBF" w:rsidRPr="006C70FF" w:rsidRDefault="00A81DBF" w:rsidP="00A81DBF">
      <w:pPr>
        <w:ind w:left="720"/>
        <w:rPr>
          <w:color w:val="000000" w:themeColor="text1"/>
          <w:sz w:val="22"/>
          <w:szCs w:val="22"/>
        </w:rPr>
      </w:pPr>
    </w:p>
    <w:p w14:paraId="72BBF0AB" w14:textId="30645B96"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If a Collection is destined for USA; the Collection Centre must complete some additional documentation to accompany the Cell Product and use product tags as provided by BBMR. This is a requirement of NMDP. Additional biohazard labelling may be required because Cell Products from Donors living in the UK will be deemed to be ineligible (but acceptable) </w:t>
      </w:r>
      <w:r w:rsidR="00C00368" w:rsidRPr="006C70FF">
        <w:rPr>
          <w:color w:val="000000" w:themeColor="text1"/>
          <w:sz w:val="22"/>
          <w:szCs w:val="22"/>
        </w:rPr>
        <w:t>based on</w:t>
      </w:r>
      <w:r w:rsidRPr="006C70FF">
        <w:rPr>
          <w:color w:val="000000" w:themeColor="text1"/>
          <w:sz w:val="22"/>
          <w:szCs w:val="22"/>
        </w:rPr>
        <w:t xml:space="preserve"> potential risk of CJD.</w:t>
      </w:r>
    </w:p>
    <w:p w14:paraId="2F0CB81F" w14:textId="77777777" w:rsidR="00A81DBF" w:rsidRPr="006C70FF" w:rsidRDefault="00A81DBF" w:rsidP="00A81DBF">
      <w:pPr>
        <w:ind w:left="720"/>
        <w:rPr>
          <w:color w:val="000000" w:themeColor="text1"/>
          <w:sz w:val="22"/>
          <w:szCs w:val="22"/>
        </w:rPr>
      </w:pPr>
    </w:p>
    <w:p w14:paraId="16005B99" w14:textId="567C3066"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If the PBSC </w:t>
      </w:r>
      <w:r w:rsidRPr="00637586">
        <w:rPr>
          <w:color w:val="000000" w:themeColor="text1"/>
          <w:sz w:val="22"/>
          <w:szCs w:val="22"/>
        </w:rPr>
        <w:t xml:space="preserve">Collection is </w:t>
      </w:r>
      <w:r w:rsidR="004776A9" w:rsidRPr="00836E13">
        <w:rPr>
          <w:b/>
          <w:bCs/>
          <w:color w:val="000000" w:themeColor="text1"/>
          <w:sz w:val="22"/>
          <w:szCs w:val="22"/>
        </w:rPr>
        <w:t>fresh</w:t>
      </w:r>
      <w:r w:rsidR="004776A9" w:rsidRPr="00637586">
        <w:rPr>
          <w:color w:val="000000" w:themeColor="text1"/>
          <w:sz w:val="22"/>
          <w:szCs w:val="22"/>
        </w:rPr>
        <w:t xml:space="preserve"> and </w:t>
      </w:r>
      <w:r w:rsidRPr="00637586">
        <w:rPr>
          <w:color w:val="000000" w:themeColor="text1"/>
          <w:sz w:val="22"/>
          <w:szCs w:val="22"/>
        </w:rPr>
        <w:t xml:space="preserve">destined for Australia; there is an Australian registry standing policy that a minimum of 3 X 10^6 CD34+ cell/kg ‘ideal’ patient body weight is achieved in the first procedure, a second procedure is not normally permitted.  Exceptions to this policy can increase the threshold up to 5 X 10^6 CD34+ cell/kg </w:t>
      </w:r>
      <w:r w:rsidRPr="006C70FF">
        <w:rPr>
          <w:color w:val="000000" w:themeColor="text1"/>
          <w:sz w:val="22"/>
          <w:szCs w:val="22"/>
        </w:rPr>
        <w:t>‘ideal’ patient body weight in the first procedure.  Any policy exception requests will be communicated to the collection centre by BBMR.</w:t>
      </w:r>
      <w:r w:rsidR="002306EA" w:rsidRPr="006C70FF">
        <w:rPr>
          <w:color w:val="000000" w:themeColor="text1"/>
          <w:sz w:val="22"/>
          <w:szCs w:val="22"/>
        </w:rPr>
        <w:t xml:space="preserve">  Appendix I </w:t>
      </w:r>
      <w:r w:rsidR="00F70163" w:rsidRPr="006C70FF">
        <w:rPr>
          <w:color w:val="000000" w:themeColor="text1"/>
          <w:sz w:val="22"/>
          <w:szCs w:val="22"/>
        </w:rPr>
        <w:t>lists’</w:t>
      </w:r>
      <w:r w:rsidR="002306EA" w:rsidRPr="006C70FF">
        <w:rPr>
          <w:color w:val="000000" w:themeColor="text1"/>
          <w:sz w:val="22"/>
          <w:szCs w:val="22"/>
        </w:rPr>
        <w:t xml:space="preserve"> steps to be taken if low counts are obtained on day one (&lt;1.0 x 10</w:t>
      </w:r>
      <w:r w:rsidR="002306EA" w:rsidRPr="006C70FF">
        <w:rPr>
          <w:color w:val="000000" w:themeColor="text1"/>
          <w:sz w:val="22"/>
          <w:szCs w:val="22"/>
          <w:vertAlign w:val="superscript"/>
        </w:rPr>
        <w:t>6</w:t>
      </w:r>
      <w:r w:rsidR="002306EA" w:rsidRPr="006C70FF">
        <w:rPr>
          <w:color w:val="000000" w:themeColor="text1"/>
          <w:sz w:val="22"/>
          <w:szCs w:val="22"/>
        </w:rPr>
        <w:t xml:space="preserve"> CD34/kg).</w:t>
      </w:r>
    </w:p>
    <w:p w14:paraId="26C6CA5C" w14:textId="77777777" w:rsidR="00A81DBF" w:rsidRPr="006C70FF" w:rsidRDefault="00A81DBF" w:rsidP="00A81DBF">
      <w:pPr>
        <w:ind w:left="720"/>
        <w:rPr>
          <w:color w:val="000000" w:themeColor="text1"/>
          <w:sz w:val="22"/>
          <w:szCs w:val="22"/>
        </w:rPr>
      </w:pPr>
    </w:p>
    <w:p w14:paraId="334DF3BB" w14:textId="3C9B775B"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Bone marrow products destined for the USA via the NMDP must include heparin addition (even if other anticoagulants have been requested) as follows unless specific instructions are received </w:t>
      </w:r>
      <w:r w:rsidRPr="006C70FF">
        <w:rPr>
          <w:color w:val="000000" w:themeColor="text1"/>
          <w:sz w:val="22"/>
          <w:szCs w:val="22"/>
          <w:u w:val="single"/>
        </w:rPr>
        <w:t>not</w:t>
      </w:r>
      <w:r w:rsidRPr="006C70FF">
        <w:rPr>
          <w:color w:val="000000" w:themeColor="text1"/>
          <w:sz w:val="22"/>
          <w:szCs w:val="22"/>
        </w:rPr>
        <w:t xml:space="preserve"> to do so (</w:t>
      </w:r>
      <w:r w:rsidR="00F70163" w:rsidRPr="006C70FF">
        <w:rPr>
          <w:color w:val="000000" w:themeColor="text1"/>
          <w:sz w:val="22"/>
          <w:szCs w:val="22"/>
        </w:rPr>
        <w:t>e.g.,</w:t>
      </w:r>
      <w:r w:rsidRPr="006C70FF">
        <w:rPr>
          <w:color w:val="000000" w:themeColor="text1"/>
          <w:sz w:val="22"/>
          <w:szCs w:val="22"/>
        </w:rPr>
        <w:t xml:space="preserve"> another specific ratio of heparin addition is provided):</w:t>
      </w:r>
    </w:p>
    <w:p w14:paraId="508C0B46" w14:textId="77777777" w:rsidR="00A81DBF" w:rsidRPr="006C70FF" w:rsidRDefault="00A81DBF" w:rsidP="00A81DBF">
      <w:pPr>
        <w:rPr>
          <w:color w:val="000000" w:themeColor="text1"/>
          <w:sz w:val="22"/>
          <w:szCs w:val="22"/>
        </w:rPr>
      </w:pPr>
    </w:p>
    <w:p w14:paraId="27995B11" w14:textId="76C37C9D" w:rsidR="00A81DBF" w:rsidRPr="006C70FF" w:rsidRDefault="00A81DBF" w:rsidP="00A81DBF">
      <w:pPr>
        <w:ind w:left="900"/>
        <w:rPr>
          <w:color w:val="000000" w:themeColor="text1"/>
          <w:sz w:val="22"/>
          <w:szCs w:val="22"/>
        </w:rPr>
      </w:pPr>
      <w:r w:rsidRPr="006C70FF">
        <w:rPr>
          <w:rFonts w:cs="Arial"/>
          <w:color w:val="000000" w:themeColor="text1"/>
          <w:sz w:val="22"/>
          <w:szCs w:val="22"/>
        </w:rPr>
        <w:t xml:space="preserve">Marrow exported via NMDP must be aspirated, </w:t>
      </w:r>
      <w:r w:rsidR="00C0556F" w:rsidRPr="006C70FF">
        <w:rPr>
          <w:rFonts w:cs="Arial"/>
          <w:color w:val="000000" w:themeColor="text1"/>
          <w:sz w:val="22"/>
          <w:szCs w:val="22"/>
        </w:rPr>
        <w:t>filtered,</w:t>
      </w:r>
      <w:r w:rsidRPr="006C70FF">
        <w:rPr>
          <w:rFonts w:cs="Arial"/>
          <w:color w:val="000000" w:themeColor="text1"/>
          <w:sz w:val="22"/>
          <w:szCs w:val="22"/>
        </w:rPr>
        <w:t xml:space="preserve"> and mixed with preservative free heparin to achieve a final concentration of 10 </w:t>
      </w:r>
      <w:proofErr w:type="spellStart"/>
      <w:r w:rsidRPr="006C70FF">
        <w:rPr>
          <w:rFonts w:cs="Arial"/>
          <w:color w:val="000000" w:themeColor="text1"/>
          <w:sz w:val="22"/>
          <w:szCs w:val="22"/>
        </w:rPr>
        <w:t>iu</w:t>
      </w:r>
      <w:proofErr w:type="spellEnd"/>
      <w:r w:rsidRPr="006C70FF">
        <w:rPr>
          <w:rFonts w:cs="Arial"/>
          <w:color w:val="000000" w:themeColor="text1"/>
          <w:sz w:val="22"/>
          <w:szCs w:val="22"/>
        </w:rPr>
        <w:t>/ml.</w:t>
      </w:r>
    </w:p>
    <w:p w14:paraId="41475E76" w14:textId="77777777" w:rsidR="00A81DBF" w:rsidRPr="006C70FF" w:rsidRDefault="00A81DBF" w:rsidP="00A81DBF">
      <w:pPr>
        <w:rPr>
          <w:color w:val="000000" w:themeColor="text1"/>
          <w:sz w:val="22"/>
          <w:szCs w:val="22"/>
        </w:rPr>
      </w:pPr>
    </w:p>
    <w:p w14:paraId="69FFB30D" w14:textId="77777777" w:rsidR="00A81DBF" w:rsidRPr="00637586" w:rsidRDefault="00A81DBF" w:rsidP="00A81DBF">
      <w:pPr>
        <w:numPr>
          <w:ilvl w:val="1"/>
          <w:numId w:val="3"/>
        </w:numPr>
        <w:rPr>
          <w:color w:val="000000" w:themeColor="text1"/>
          <w:sz w:val="22"/>
          <w:szCs w:val="22"/>
        </w:rPr>
      </w:pPr>
      <w:r w:rsidRPr="006C70FF">
        <w:rPr>
          <w:color w:val="000000" w:themeColor="text1"/>
          <w:sz w:val="22"/>
          <w:szCs w:val="22"/>
        </w:rPr>
        <w:t xml:space="preserve">Ensuring that the maximum number of puncture sites does not normally exceed 4, 2 on either side of the </w:t>
      </w:r>
      <w:r w:rsidRPr="00637586">
        <w:rPr>
          <w:color w:val="000000" w:themeColor="text1"/>
          <w:sz w:val="22"/>
          <w:szCs w:val="22"/>
        </w:rPr>
        <w:t>posterior iliac crests.</w:t>
      </w:r>
    </w:p>
    <w:p w14:paraId="1184DFEE" w14:textId="77777777" w:rsidR="00A81DBF" w:rsidRPr="00637586" w:rsidRDefault="00A81DBF" w:rsidP="00A81DBF">
      <w:pPr>
        <w:rPr>
          <w:color w:val="000000" w:themeColor="text1"/>
          <w:sz w:val="22"/>
          <w:szCs w:val="22"/>
        </w:rPr>
      </w:pPr>
    </w:p>
    <w:p w14:paraId="318F57A6" w14:textId="4F3E364C" w:rsidR="00A81DBF" w:rsidRPr="00637586" w:rsidRDefault="00A81DBF" w:rsidP="00A81DBF">
      <w:pPr>
        <w:numPr>
          <w:ilvl w:val="1"/>
          <w:numId w:val="3"/>
        </w:numPr>
        <w:rPr>
          <w:color w:val="000000" w:themeColor="text1"/>
          <w:sz w:val="22"/>
          <w:szCs w:val="22"/>
        </w:rPr>
      </w:pPr>
      <w:r w:rsidRPr="00637586">
        <w:rPr>
          <w:color w:val="000000" w:themeColor="text1"/>
          <w:sz w:val="22"/>
          <w:szCs w:val="22"/>
        </w:rPr>
        <w:t>Collecting a maximum bone marrow volume of 1500ml or 20ml/kg donor weight</w:t>
      </w:r>
      <w:r w:rsidR="004776A9" w:rsidRPr="00637586">
        <w:rPr>
          <w:color w:val="000000" w:themeColor="text1"/>
          <w:sz w:val="22"/>
          <w:szCs w:val="22"/>
        </w:rPr>
        <w:t xml:space="preserve"> (whichever is the lower volume)</w:t>
      </w:r>
      <w:r w:rsidRPr="00637586">
        <w:rPr>
          <w:color w:val="000000" w:themeColor="text1"/>
          <w:sz w:val="22"/>
          <w:szCs w:val="22"/>
        </w:rPr>
        <w:t xml:space="preserve">. </w:t>
      </w:r>
      <w:r w:rsidRPr="00637586">
        <w:rPr>
          <w:color w:val="000000" w:themeColor="text1"/>
          <w:sz w:val="22"/>
        </w:rPr>
        <w:t xml:space="preserve">When ACD is the </w:t>
      </w:r>
      <w:r w:rsidR="00C0556F" w:rsidRPr="00637586">
        <w:rPr>
          <w:color w:val="000000" w:themeColor="text1"/>
          <w:sz w:val="22"/>
        </w:rPr>
        <w:t>anticoagulant,</w:t>
      </w:r>
      <w:r w:rsidRPr="00637586">
        <w:rPr>
          <w:color w:val="000000" w:themeColor="text1"/>
          <w:sz w:val="22"/>
        </w:rPr>
        <w:t xml:space="preserve"> this is to be added incrementally to the collection bag to avoid red cell crenation as poor stem cell recovery may result.</w:t>
      </w:r>
      <w:r w:rsidRPr="00637586">
        <w:rPr>
          <w:color w:val="000000" w:themeColor="text1"/>
          <w:sz w:val="22"/>
          <w:szCs w:val="22"/>
        </w:rPr>
        <w:t xml:space="preserve"> </w:t>
      </w:r>
    </w:p>
    <w:p w14:paraId="632238E5" w14:textId="77777777" w:rsidR="00A81DBF" w:rsidRPr="00637586" w:rsidRDefault="00A81DBF" w:rsidP="00A81DBF">
      <w:pPr>
        <w:rPr>
          <w:color w:val="000000" w:themeColor="text1"/>
          <w:sz w:val="22"/>
          <w:szCs w:val="22"/>
        </w:rPr>
      </w:pPr>
    </w:p>
    <w:p w14:paraId="32ED8EDF" w14:textId="77777777" w:rsidR="00A81DBF" w:rsidRPr="00637586" w:rsidRDefault="00A81DBF" w:rsidP="00A81DBF">
      <w:pPr>
        <w:numPr>
          <w:ilvl w:val="1"/>
          <w:numId w:val="3"/>
        </w:numPr>
        <w:rPr>
          <w:color w:val="000000" w:themeColor="text1"/>
          <w:sz w:val="22"/>
          <w:szCs w:val="22"/>
        </w:rPr>
      </w:pPr>
      <w:r w:rsidRPr="00637586">
        <w:rPr>
          <w:color w:val="000000" w:themeColor="text1"/>
          <w:sz w:val="22"/>
          <w:szCs w:val="22"/>
        </w:rPr>
        <w:t>Assigning a unique collection ISBT 128 donation number (barcode labels provided by BBMR) to the product to ensure traceability.</w:t>
      </w:r>
    </w:p>
    <w:p w14:paraId="5E8EC725" w14:textId="77777777" w:rsidR="00A81DBF" w:rsidRPr="00637586" w:rsidRDefault="00A81DBF" w:rsidP="00A81DBF">
      <w:pPr>
        <w:rPr>
          <w:color w:val="000000" w:themeColor="text1"/>
          <w:sz w:val="22"/>
          <w:szCs w:val="22"/>
        </w:rPr>
      </w:pPr>
    </w:p>
    <w:p w14:paraId="267AB0E2" w14:textId="500AB463" w:rsidR="00A81DBF" w:rsidRPr="00637586" w:rsidRDefault="00A81DBF" w:rsidP="00A81DBF">
      <w:pPr>
        <w:numPr>
          <w:ilvl w:val="1"/>
          <w:numId w:val="3"/>
        </w:numPr>
        <w:rPr>
          <w:color w:val="000000" w:themeColor="text1"/>
          <w:sz w:val="22"/>
          <w:szCs w:val="22"/>
        </w:rPr>
      </w:pPr>
      <w:r w:rsidRPr="00637586">
        <w:rPr>
          <w:color w:val="000000" w:themeColor="text1"/>
          <w:sz w:val="22"/>
          <w:szCs w:val="22"/>
        </w:rPr>
        <w:t xml:space="preserve">Performing immunophenotypic assessment of HPC mobilisation </w:t>
      </w:r>
      <w:r w:rsidR="00C00368" w:rsidRPr="00637586">
        <w:rPr>
          <w:color w:val="000000" w:themeColor="text1"/>
          <w:sz w:val="22"/>
          <w:szCs w:val="22"/>
        </w:rPr>
        <w:t>e.g.,</w:t>
      </w:r>
      <w:r w:rsidRPr="00637586">
        <w:rPr>
          <w:color w:val="000000" w:themeColor="text1"/>
          <w:sz w:val="22"/>
          <w:szCs w:val="22"/>
        </w:rPr>
        <w:t xml:space="preserve"> CD34+ cells in the case of PB</w:t>
      </w:r>
      <w:r w:rsidR="0001332D" w:rsidRPr="00637586">
        <w:rPr>
          <w:color w:val="000000" w:themeColor="text1"/>
          <w:sz w:val="22"/>
          <w:szCs w:val="22"/>
        </w:rPr>
        <w:t>S</w:t>
      </w:r>
      <w:r w:rsidRPr="00637586">
        <w:rPr>
          <w:color w:val="000000" w:themeColor="text1"/>
          <w:sz w:val="22"/>
          <w:szCs w:val="22"/>
        </w:rPr>
        <w:t>C collection or CD3+ cells for PBL collections.</w:t>
      </w:r>
    </w:p>
    <w:p w14:paraId="4BE08ACB" w14:textId="77777777" w:rsidR="00A81DBF" w:rsidRPr="00637586" w:rsidRDefault="00A81DBF" w:rsidP="00A81DBF">
      <w:pPr>
        <w:rPr>
          <w:color w:val="000000" w:themeColor="text1"/>
          <w:sz w:val="22"/>
          <w:szCs w:val="22"/>
        </w:rPr>
      </w:pPr>
    </w:p>
    <w:p w14:paraId="36056EA1" w14:textId="76CE8EA4" w:rsidR="00A81DBF" w:rsidRDefault="00A81DBF" w:rsidP="00586AAA">
      <w:pPr>
        <w:numPr>
          <w:ilvl w:val="1"/>
          <w:numId w:val="3"/>
        </w:numPr>
        <w:rPr>
          <w:color w:val="000000" w:themeColor="text1"/>
          <w:sz w:val="22"/>
          <w:szCs w:val="22"/>
        </w:rPr>
      </w:pPr>
      <w:r w:rsidRPr="00586AAA">
        <w:rPr>
          <w:color w:val="000000" w:themeColor="text1"/>
          <w:sz w:val="22"/>
          <w:szCs w:val="22"/>
        </w:rPr>
        <w:t>Monitoring and managing mobilisation failures in accordance with BBMR guidance and in consultation with the BBMR Medical Director, or Deputy.</w:t>
      </w:r>
      <w:r w:rsidR="00586AAA" w:rsidRPr="00586AAA">
        <w:rPr>
          <w:color w:val="000000" w:themeColor="text1"/>
          <w:sz w:val="22"/>
          <w:szCs w:val="22"/>
        </w:rPr>
        <w:t xml:space="preserve"> </w:t>
      </w:r>
      <w:r w:rsidR="00586AAA" w:rsidRPr="00836E13">
        <w:rPr>
          <w:color w:val="7030A0"/>
          <w:sz w:val="22"/>
          <w:szCs w:val="22"/>
        </w:rPr>
        <w:t xml:space="preserve">See Appendix I. </w:t>
      </w:r>
    </w:p>
    <w:p w14:paraId="6D431745" w14:textId="03EBA5CA" w:rsidR="00586AAA" w:rsidRPr="00586AAA" w:rsidRDefault="00586AAA" w:rsidP="00586AAA">
      <w:pPr>
        <w:rPr>
          <w:color w:val="000000" w:themeColor="text1"/>
          <w:sz w:val="22"/>
          <w:szCs w:val="22"/>
        </w:rPr>
      </w:pPr>
    </w:p>
    <w:p w14:paraId="0971EC70" w14:textId="3998C0AD"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Diluting cell concentration to &lt;200 </w:t>
      </w:r>
      <w:bookmarkStart w:id="5" w:name="_Hlk111132649"/>
      <w:r w:rsidRPr="006C70FF">
        <w:rPr>
          <w:color w:val="000000" w:themeColor="text1"/>
          <w:sz w:val="22"/>
          <w:szCs w:val="22"/>
        </w:rPr>
        <w:t>x 10</w:t>
      </w:r>
      <w:r w:rsidRPr="006C70FF">
        <w:rPr>
          <w:color w:val="000000" w:themeColor="text1"/>
          <w:sz w:val="22"/>
          <w:szCs w:val="22"/>
          <w:vertAlign w:val="superscript"/>
        </w:rPr>
        <w:t>9</w:t>
      </w:r>
      <w:r w:rsidRPr="006C70FF">
        <w:rPr>
          <w:color w:val="000000" w:themeColor="text1"/>
          <w:sz w:val="22"/>
          <w:szCs w:val="22"/>
        </w:rPr>
        <w:t xml:space="preserve">/L </w:t>
      </w:r>
      <w:bookmarkEnd w:id="5"/>
      <w:r w:rsidRPr="006C70FF">
        <w:rPr>
          <w:color w:val="000000" w:themeColor="text1"/>
          <w:sz w:val="22"/>
          <w:szCs w:val="22"/>
        </w:rPr>
        <w:t>for all PBSC collections using donor autologous plasma under aseptic conditions</w:t>
      </w:r>
      <w:r w:rsidR="00503A7D">
        <w:rPr>
          <w:color w:val="000000" w:themeColor="text1"/>
          <w:sz w:val="22"/>
          <w:szCs w:val="22"/>
        </w:rPr>
        <w:t xml:space="preserve">, </w:t>
      </w:r>
      <w:r w:rsidR="00503A7D">
        <w:rPr>
          <w:color w:val="7030A0"/>
          <w:sz w:val="22"/>
          <w:szCs w:val="22"/>
        </w:rPr>
        <w:t>except when the product is to be cryopreserved (see 2.6</w:t>
      </w:r>
      <w:r w:rsidR="00260518">
        <w:rPr>
          <w:color w:val="7030A0"/>
          <w:sz w:val="22"/>
          <w:szCs w:val="22"/>
        </w:rPr>
        <w:t>3</w:t>
      </w:r>
      <w:r w:rsidR="00503A7D">
        <w:rPr>
          <w:color w:val="7030A0"/>
          <w:sz w:val="22"/>
          <w:szCs w:val="22"/>
        </w:rPr>
        <w:t>)</w:t>
      </w:r>
    </w:p>
    <w:p w14:paraId="72882D4C" w14:textId="77777777" w:rsidR="00A81DBF" w:rsidRPr="006C70FF" w:rsidRDefault="00A81DBF" w:rsidP="00A81DBF">
      <w:pPr>
        <w:rPr>
          <w:color w:val="000000" w:themeColor="text1"/>
          <w:sz w:val="22"/>
          <w:szCs w:val="22"/>
        </w:rPr>
      </w:pPr>
    </w:p>
    <w:p w14:paraId="6D3EA7AE" w14:textId="0F524FB5" w:rsidR="00A81DBF" w:rsidRPr="006C70FF" w:rsidRDefault="00A81DBF" w:rsidP="00A81DBF">
      <w:pPr>
        <w:numPr>
          <w:ilvl w:val="1"/>
          <w:numId w:val="3"/>
        </w:numPr>
        <w:ind w:hanging="539"/>
        <w:rPr>
          <w:color w:val="000000" w:themeColor="text1"/>
          <w:sz w:val="22"/>
          <w:szCs w:val="22"/>
        </w:rPr>
      </w:pPr>
      <w:r w:rsidRPr="006C70FF">
        <w:rPr>
          <w:color w:val="000000" w:themeColor="text1"/>
          <w:sz w:val="22"/>
          <w:szCs w:val="22"/>
        </w:rPr>
        <w:t>Arranging for immediate short-term storage of collection products as specified by transport temperature on the prescription form; either at 4</w:t>
      </w:r>
      <w:r w:rsidRPr="006C70FF">
        <w:rPr>
          <w:color w:val="000000" w:themeColor="text1"/>
          <w:sz w:val="22"/>
          <w:szCs w:val="22"/>
        </w:rPr>
        <w:sym w:font="Symbol" w:char="F0B0"/>
      </w:r>
      <w:r w:rsidRPr="006C70FF">
        <w:rPr>
          <w:color w:val="000000" w:themeColor="text1"/>
          <w:sz w:val="22"/>
          <w:szCs w:val="22"/>
        </w:rPr>
        <w:t>C (</w:t>
      </w:r>
      <w:r w:rsidRPr="006C70FF">
        <w:rPr>
          <w:color w:val="000000" w:themeColor="text1"/>
          <w:sz w:val="22"/>
          <w:szCs w:val="22"/>
        </w:rPr>
        <w:sym w:font="Symbol" w:char="F0B1"/>
      </w:r>
      <w:r w:rsidRPr="006C70FF">
        <w:rPr>
          <w:color w:val="000000" w:themeColor="text1"/>
          <w:sz w:val="22"/>
          <w:szCs w:val="22"/>
        </w:rPr>
        <w:t>2</w:t>
      </w:r>
      <w:r w:rsidRPr="006C70FF">
        <w:rPr>
          <w:color w:val="000000" w:themeColor="text1"/>
          <w:sz w:val="22"/>
          <w:szCs w:val="22"/>
        </w:rPr>
        <w:sym w:font="Symbol" w:char="F0B0"/>
      </w:r>
      <w:r w:rsidRPr="006C70FF">
        <w:rPr>
          <w:color w:val="000000" w:themeColor="text1"/>
          <w:sz w:val="22"/>
          <w:szCs w:val="22"/>
        </w:rPr>
        <w:t>C) for cooled or within a range of 15-25</w:t>
      </w:r>
      <w:r w:rsidRPr="006C70FF">
        <w:rPr>
          <w:rFonts w:ascii="Traditional Arabic" w:hAnsi="Traditional Arabic" w:cs="Traditional Arabic"/>
          <w:color w:val="000000" w:themeColor="text1"/>
          <w:sz w:val="22"/>
          <w:szCs w:val="22"/>
        </w:rPr>
        <w:t>°</w:t>
      </w:r>
      <w:r w:rsidRPr="006C70FF">
        <w:rPr>
          <w:color w:val="000000" w:themeColor="text1"/>
          <w:sz w:val="22"/>
          <w:szCs w:val="22"/>
        </w:rPr>
        <w:t>C if ‘ambient’ or room temperature is requested, prior to hand over to the courier.</w:t>
      </w:r>
    </w:p>
    <w:p w14:paraId="219B3709" w14:textId="77777777" w:rsidR="0001332D" w:rsidRPr="006C70FF" w:rsidRDefault="0001332D" w:rsidP="0001332D">
      <w:pPr>
        <w:pStyle w:val="ListParagraph"/>
        <w:rPr>
          <w:color w:val="000000" w:themeColor="text1"/>
          <w:sz w:val="22"/>
          <w:szCs w:val="22"/>
        </w:rPr>
      </w:pPr>
    </w:p>
    <w:p w14:paraId="63C898CF" w14:textId="04C36B07" w:rsidR="0001332D" w:rsidRPr="006C70FF" w:rsidRDefault="0001332D" w:rsidP="00A81DBF">
      <w:pPr>
        <w:numPr>
          <w:ilvl w:val="1"/>
          <w:numId w:val="3"/>
        </w:numPr>
        <w:ind w:hanging="539"/>
        <w:rPr>
          <w:color w:val="000000" w:themeColor="text1"/>
          <w:sz w:val="22"/>
          <w:szCs w:val="22"/>
        </w:rPr>
      </w:pPr>
      <w:r w:rsidRPr="006C70FF">
        <w:rPr>
          <w:color w:val="000000" w:themeColor="text1"/>
          <w:sz w:val="22"/>
          <w:szCs w:val="22"/>
        </w:rPr>
        <w:t xml:space="preserve">At product </w:t>
      </w:r>
      <w:r w:rsidR="00F70163" w:rsidRPr="006C70FF">
        <w:rPr>
          <w:color w:val="000000" w:themeColor="text1"/>
          <w:sz w:val="22"/>
          <w:szCs w:val="22"/>
        </w:rPr>
        <w:t>handover,</w:t>
      </w:r>
      <w:r w:rsidRPr="006C70FF">
        <w:rPr>
          <w:color w:val="000000" w:themeColor="text1"/>
          <w:sz w:val="22"/>
          <w:szCs w:val="22"/>
        </w:rPr>
        <w:t xml:space="preserve"> checking the courier will be transporting products at the correct temperature, i.e. cooled for PBSC, PBL or cooled or ambient for bone marrow </w:t>
      </w:r>
      <w:r w:rsidRPr="009058F6">
        <w:rPr>
          <w:sz w:val="22"/>
          <w:szCs w:val="22"/>
        </w:rPr>
        <w:t xml:space="preserve">(inform BBMR </w:t>
      </w:r>
      <w:r w:rsidRPr="009058F6">
        <w:rPr>
          <w:sz w:val="22"/>
          <w:szCs w:val="22"/>
        </w:rPr>
        <w:lastRenderedPageBreak/>
        <w:t xml:space="preserve">immediately by telephoning 01179125729 and by emailing </w:t>
      </w:r>
      <w:hyperlink r:id="rId18" w:history="1">
        <w:r w:rsidRPr="0001332D">
          <w:rPr>
            <w:rStyle w:val="Hyperlink"/>
            <w:sz w:val="22"/>
            <w:szCs w:val="22"/>
          </w:rPr>
          <w:t>workup@nhsbt.nhs.uk</w:t>
        </w:r>
      </w:hyperlink>
      <w:r>
        <w:rPr>
          <w:color w:val="7030A0"/>
          <w:sz w:val="22"/>
          <w:szCs w:val="22"/>
        </w:rPr>
        <w:t xml:space="preserve"> </w:t>
      </w:r>
      <w:r w:rsidRPr="009058F6">
        <w:rPr>
          <w:sz w:val="22"/>
          <w:szCs w:val="22"/>
        </w:rPr>
        <w:t>if the couriers</w:t>
      </w:r>
      <w:r w:rsidR="002439B3" w:rsidRPr="009058F6">
        <w:rPr>
          <w:sz w:val="22"/>
          <w:szCs w:val="22"/>
        </w:rPr>
        <w:t xml:space="preserve"> </w:t>
      </w:r>
      <w:r w:rsidR="002439B3" w:rsidRPr="006C70FF">
        <w:rPr>
          <w:color w:val="000000" w:themeColor="text1"/>
          <w:sz w:val="22"/>
          <w:szCs w:val="22"/>
        </w:rPr>
        <w:t>box temperature range is inappropriate for the handed over product</w:t>
      </w:r>
      <w:r w:rsidRPr="006C70FF">
        <w:rPr>
          <w:color w:val="000000" w:themeColor="text1"/>
          <w:sz w:val="22"/>
          <w:szCs w:val="22"/>
        </w:rPr>
        <w:t>)</w:t>
      </w:r>
      <w:r w:rsidR="002439B3" w:rsidRPr="006C70FF">
        <w:rPr>
          <w:color w:val="000000" w:themeColor="text1"/>
          <w:sz w:val="22"/>
          <w:szCs w:val="22"/>
        </w:rPr>
        <w:t>.</w:t>
      </w:r>
    </w:p>
    <w:p w14:paraId="17B3ADC8" w14:textId="77777777" w:rsidR="00A81DBF" w:rsidRPr="006C70FF" w:rsidRDefault="00A81DBF" w:rsidP="00A81DBF">
      <w:pPr>
        <w:rPr>
          <w:color w:val="000000" w:themeColor="text1"/>
          <w:sz w:val="22"/>
          <w:szCs w:val="22"/>
        </w:rPr>
      </w:pPr>
    </w:p>
    <w:p w14:paraId="631E96F7"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Providing the volume, total nucleated cell count (TNC) and CD34+ or CD3+ cell count of the HPC collection (to be included on forms and labels as required).</w:t>
      </w:r>
    </w:p>
    <w:p w14:paraId="27925C3F" w14:textId="77777777" w:rsidR="00A81DBF" w:rsidRPr="006C70FF" w:rsidRDefault="00A81DBF" w:rsidP="00A81DBF">
      <w:pPr>
        <w:rPr>
          <w:color w:val="000000" w:themeColor="text1"/>
          <w:sz w:val="22"/>
          <w:szCs w:val="22"/>
        </w:rPr>
      </w:pPr>
    </w:p>
    <w:p w14:paraId="34E9A08C"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Labelling of the collection product in accordance with BBMR, NMDP and World Marrow Donor Association standards (this may include the use of tie tags that BBMR will provide).</w:t>
      </w:r>
    </w:p>
    <w:p w14:paraId="01C0F587" w14:textId="77777777" w:rsidR="00A81DBF" w:rsidRPr="006C70FF" w:rsidRDefault="00A81DBF" w:rsidP="00A81DBF">
      <w:pPr>
        <w:rPr>
          <w:color w:val="000000" w:themeColor="text1"/>
          <w:sz w:val="22"/>
          <w:szCs w:val="22"/>
        </w:rPr>
      </w:pPr>
    </w:p>
    <w:p w14:paraId="6297E746"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Arranging product transport with the BBMR to transport via couriers designated by the Transplant Centre.</w:t>
      </w:r>
    </w:p>
    <w:p w14:paraId="78906137" w14:textId="77777777" w:rsidR="00A81DBF" w:rsidRPr="006C70FF" w:rsidRDefault="00A81DBF" w:rsidP="00A81DBF">
      <w:pPr>
        <w:rPr>
          <w:color w:val="000000" w:themeColor="text1"/>
          <w:sz w:val="22"/>
          <w:szCs w:val="22"/>
        </w:rPr>
      </w:pPr>
    </w:p>
    <w:p w14:paraId="55EE6454" w14:textId="51708D3B" w:rsidR="00A81DBF" w:rsidRDefault="00A81DBF" w:rsidP="00A81DBF">
      <w:pPr>
        <w:numPr>
          <w:ilvl w:val="1"/>
          <w:numId w:val="3"/>
        </w:numPr>
        <w:tabs>
          <w:tab w:val="left" w:pos="510"/>
        </w:tabs>
        <w:spacing w:before="60" w:after="60"/>
        <w:rPr>
          <w:color w:val="000000" w:themeColor="text1"/>
          <w:sz w:val="22"/>
          <w:szCs w:val="22"/>
        </w:rPr>
      </w:pPr>
      <w:r w:rsidRPr="006C70FF">
        <w:rPr>
          <w:color w:val="000000" w:themeColor="text1"/>
          <w:sz w:val="22"/>
          <w:szCs w:val="22"/>
        </w:rPr>
        <w:t>Ensuring the post collection care (</w:t>
      </w:r>
      <w:r w:rsidR="00F70163" w:rsidRPr="006C70FF">
        <w:rPr>
          <w:color w:val="000000" w:themeColor="text1"/>
          <w:sz w:val="22"/>
          <w:szCs w:val="22"/>
        </w:rPr>
        <w:t>e.g.,</w:t>
      </w:r>
      <w:r w:rsidRPr="006C70FF">
        <w:rPr>
          <w:color w:val="000000" w:themeColor="text1"/>
          <w:sz w:val="22"/>
          <w:szCs w:val="22"/>
        </w:rPr>
        <w:t xml:space="preserve"> give donor prescription for oral iron or continuation instructions if already prescribed) and facilitating their departure. </w:t>
      </w:r>
      <w:r w:rsidR="009058F6" w:rsidRPr="006C70FF">
        <w:rPr>
          <w:color w:val="000000" w:themeColor="text1"/>
          <w:sz w:val="22"/>
          <w:szCs w:val="22"/>
        </w:rPr>
        <w:t>I</w:t>
      </w:r>
      <w:r w:rsidR="0036289D" w:rsidRPr="006C70FF">
        <w:rPr>
          <w:color w:val="000000" w:themeColor="text1"/>
          <w:sz w:val="22"/>
          <w:szCs w:val="22"/>
        </w:rPr>
        <w:t>f there have been any s</w:t>
      </w:r>
      <w:r w:rsidR="00586AAA">
        <w:rPr>
          <w:color w:val="000000" w:themeColor="text1"/>
          <w:sz w:val="22"/>
          <w:szCs w:val="22"/>
        </w:rPr>
        <w:t>ignificant complications or don</w:t>
      </w:r>
      <w:r w:rsidR="00586AAA" w:rsidRPr="00586AAA">
        <w:rPr>
          <w:color w:val="FF0000"/>
          <w:sz w:val="22"/>
          <w:szCs w:val="22"/>
        </w:rPr>
        <w:t>o</w:t>
      </w:r>
      <w:r w:rsidR="0036289D" w:rsidRPr="006C70FF">
        <w:rPr>
          <w:color w:val="000000" w:themeColor="text1"/>
          <w:sz w:val="22"/>
          <w:szCs w:val="22"/>
        </w:rPr>
        <w:t>r has needed a central line that was not planned; discharge documentation should be given to the donor and sent to the GP</w:t>
      </w:r>
    </w:p>
    <w:p w14:paraId="08486AA9" w14:textId="77777777" w:rsidR="00C0556F" w:rsidRPr="006C70FF" w:rsidRDefault="00C0556F" w:rsidP="00C0556F">
      <w:pPr>
        <w:tabs>
          <w:tab w:val="left" w:pos="510"/>
        </w:tabs>
        <w:spacing w:before="60" w:after="60"/>
        <w:rPr>
          <w:color w:val="000000" w:themeColor="text1"/>
          <w:sz w:val="22"/>
          <w:szCs w:val="22"/>
        </w:rPr>
      </w:pPr>
    </w:p>
    <w:p w14:paraId="50378EDD" w14:textId="7C8A278D" w:rsidR="00A81DBF" w:rsidRPr="006C70FF" w:rsidRDefault="00A81DBF" w:rsidP="00A81DBF">
      <w:pPr>
        <w:numPr>
          <w:ilvl w:val="1"/>
          <w:numId w:val="3"/>
        </w:numPr>
        <w:rPr>
          <w:color w:val="000000" w:themeColor="text1"/>
          <w:sz w:val="22"/>
          <w:szCs w:val="22"/>
        </w:rPr>
      </w:pPr>
      <w:r w:rsidRPr="006C70FF">
        <w:rPr>
          <w:color w:val="000000" w:themeColor="text1"/>
          <w:sz w:val="22"/>
          <w:szCs w:val="22"/>
        </w:rPr>
        <w:t>Completing all paperwork associated with the HPC or PBL collection and donor care and ensuring its return within 24 hours by fax/email (</w:t>
      </w:r>
      <w:hyperlink r:id="rId19" w:history="1">
        <w:r w:rsidRPr="006C70FF">
          <w:rPr>
            <w:color w:val="000000" w:themeColor="text1"/>
            <w:sz w:val="22"/>
            <w:szCs w:val="22"/>
            <w:u w:val="single"/>
          </w:rPr>
          <w:t>workup@nhsbt.nhs.uk</w:t>
        </w:r>
      </w:hyperlink>
      <w:r w:rsidRPr="006C70FF">
        <w:rPr>
          <w:color w:val="000000" w:themeColor="text1"/>
          <w:sz w:val="22"/>
          <w:szCs w:val="22"/>
        </w:rPr>
        <w:t>) to the BBMR.</w:t>
      </w:r>
    </w:p>
    <w:p w14:paraId="5B1C5245" w14:textId="77777777" w:rsidR="002306EA" w:rsidRPr="006C70FF" w:rsidRDefault="002306EA" w:rsidP="002306EA">
      <w:pPr>
        <w:ind w:left="540"/>
        <w:rPr>
          <w:color w:val="000000" w:themeColor="text1"/>
          <w:sz w:val="22"/>
          <w:szCs w:val="22"/>
        </w:rPr>
      </w:pPr>
    </w:p>
    <w:p w14:paraId="3A7D6952" w14:textId="55A92E13"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Recording and reporting serious adverse events in relation to the donor and the HPC product to the </w:t>
      </w:r>
      <w:r w:rsidRPr="00836E13">
        <w:rPr>
          <w:color w:val="7030A0"/>
          <w:sz w:val="22"/>
          <w:szCs w:val="22"/>
        </w:rPr>
        <w:t>BBMR Medical Director</w:t>
      </w:r>
      <w:r w:rsidR="00586AAA" w:rsidRPr="00836E13">
        <w:rPr>
          <w:color w:val="7030A0"/>
          <w:sz w:val="22"/>
          <w:szCs w:val="22"/>
        </w:rPr>
        <w:t xml:space="preserve"> or Deputy</w:t>
      </w:r>
      <w:r w:rsidRPr="006C70FF">
        <w:rPr>
          <w:color w:val="000000" w:themeColor="text1"/>
          <w:sz w:val="22"/>
          <w:szCs w:val="22"/>
        </w:rPr>
        <w:t>. As a member of the World Marrow Donor Association the BBMR is a participant in the Serious Events and Adverse Reactions (SEAR) anonymised data reporting scheme and Serious Product Events and Adverse Reactions (SPEAR).</w:t>
      </w:r>
    </w:p>
    <w:p w14:paraId="39E99B83" w14:textId="77777777" w:rsidR="002439B3" w:rsidRPr="006C70FF" w:rsidRDefault="002439B3" w:rsidP="002439B3">
      <w:pPr>
        <w:rPr>
          <w:color w:val="000000" w:themeColor="text1"/>
          <w:sz w:val="22"/>
          <w:szCs w:val="22"/>
        </w:rPr>
      </w:pPr>
    </w:p>
    <w:p w14:paraId="324BDBBA" w14:textId="616B3052" w:rsidR="00A81DBF" w:rsidRPr="006C70FF" w:rsidRDefault="00A81DBF" w:rsidP="00A81DBF">
      <w:pPr>
        <w:numPr>
          <w:ilvl w:val="1"/>
          <w:numId w:val="3"/>
        </w:numPr>
        <w:rPr>
          <w:color w:val="000000" w:themeColor="text1"/>
          <w:sz w:val="22"/>
          <w:szCs w:val="22"/>
        </w:rPr>
      </w:pPr>
      <w:r w:rsidRPr="006C70FF">
        <w:rPr>
          <w:color w:val="000000" w:themeColor="text1"/>
          <w:sz w:val="22"/>
          <w:szCs w:val="22"/>
        </w:rPr>
        <w:t>Maintaining membership of the Clinical Negligence Scheme for Trusts (CNST), or other liability insurance and be willing to make an application to the scheme should a donor wish to make a claim due to medical adverse event</w:t>
      </w:r>
      <w:r w:rsidR="0036289D" w:rsidRPr="006C70FF">
        <w:rPr>
          <w:color w:val="000000" w:themeColor="text1"/>
          <w:sz w:val="22"/>
          <w:szCs w:val="22"/>
        </w:rPr>
        <w:t>(</w:t>
      </w:r>
      <w:r w:rsidRPr="006C70FF">
        <w:rPr>
          <w:color w:val="000000" w:themeColor="text1"/>
          <w:sz w:val="22"/>
          <w:szCs w:val="22"/>
        </w:rPr>
        <w:t>s</w:t>
      </w:r>
      <w:r w:rsidR="0036289D" w:rsidRPr="006C70FF">
        <w:rPr>
          <w:color w:val="000000" w:themeColor="text1"/>
          <w:sz w:val="22"/>
          <w:szCs w:val="22"/>
        </w:rPr>
        <w:t>)</w:t>
      </w:r>
      <w:r w:rsidRPr="006C70FF">
        <w:rPr>
          <w:color w:val="000000" w:themeColor="text1"/>
          <w:sz w:val="22"/>
          <w:szCs w:val="22"/>
        </w:rPr>
        <w:t xml:space="preserve"> they may experience between admission to the collection centre, and any medical complications that arise within 30 days post discharge from the collection centre</w:t>
      </w:r>
      <w:r w:rsidR="0036289D" w:rsidRPr="006C70FF">
        <w:rPr>
          <w:color w:val="000000" w:themeColor="text1"/>
          <w:sz w:val="22"/>
          <w:szCs w:val="22"/>
        </w:rPr>
        <w:t>, where the collection centre is deemed at ‘fault’</w:t>
      </w:r>
      <w:r w:rsidRPr="006C70FF">
        <w:rPr>
          <w:color w:val="000000" w:themeColor="text1"/>
          <w:sz w:val="22"/>
          <w:szCs w:val="22"/>
        </w:rPr>
        <w:t>.</w:t>
      </w:r>
    </w:p>
    <w:p w14:paraId="233946B0" w14:textId="77777777" w:rsidR="00A81DBF" w:rsidRPr="006C70FF" w:rsidRDefault="00A81DBF" w:rsidP="00A81DBF">
      <w:pPr>
        <w:rPr>
          <w:color w:val="000000" w:themeColor="text1"/>
          <w:sz w:val="22"/>
          <w:szCs w:val="22"/>
        </w:rPr>
      </w:pPr>
    </w:p>
    <w:p w14:paraId="675998CA"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Maintaining a Quality Management system.</w:t>
      </w:r>
    </w:p>
    <w:p w14:paraId="734768D4" w14:textId="77777777" w:rsidR="00A81DBF" w:rsidRPr="006C70FF" w:rsidRDefault="00A81DBF" w:rsidP="00A81DBF">
      <w:pPr>
        <w:rPr>
          <w:color w:val="000000" w:themeColor="text1"/>
          <w:sz w:val="22"/>
          <w:szCs w:val="22"/>
        </w:rPr>
      </w:pPr>
    </w:p>
    <w:p w14:paraId="158D78FD"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Invoicing the BBMR for procedures performed in accordance with agreed service schedules.</w:t>
      </w:r>
    </w:p>
    <w:p w14:paraId="6F675202" w14:textId="77777777" w:rsidR="00A81DBF" w:rsidRPr="006C70FF" w:rsidRDefault="00A81DBF" w:rsidP="00A81DBF">
      <w:pPr>
        <w:rPr>
          <w:color w:val="000000" w:themeColor="text1"/>
          <w:sz w:val="22"/>
          <w:szCs w:val="22"/>
        </w:rPr>
      </w:pPr>
    </w:p>
    <w:p w14:paraId="69C1F73B" w14:textId="5F2AB070" w:rsidR="00A81DBF" w:rsidRDefault="00A81DBF" w:rsidP="00A81DBF">
      <w:pPr>
        <w:numPr>
          <w:ilvl w:val="1"/>
          <w:numId w:val="3"/>
        </w:numPr>
        <w:rPr>
          <w:color w:val="000000" w:themeColor="text1"/>
          <w:sz w:val="22"/>
          <w:szCs w:val="22"/>
        </w:rPr>
      </w:pPr>
      <w:r w:rsidRPr="006C70FF">
        <w:rPr>
          <w:color w:val="000000" w:themeColor="text1"/>
          <w:sz w:val="22"/>
          <w:szCs w:val="22"/>
        </w:rPr>
        <w:t xml:space="preserve">Arranging for </w:t>
      </w:r>
      <w:r w:rsidR="009E5125" w:rsidRPr="006C70FF">
        <w:rPr>
          <w:color w:val="000000" w:themeColor="text1"/>
          <w:sz w:val="22"/>
          <w:szCs w:val="22"/>
        </w:rPr>
        <w:t>appropriate labelling</w:t>
      </w:r>
      <w:r w:rsidR="00627352" w:rsidRPr="006C70FF">
        <w:rPr>
          <w:color w:val="000000" w:themeColor="text1"/>
          <w:sz w:val="22"/>
          <w:szCs w:val="22"/>
        </w:rPr>
        <w:t xml:space="preserve">, </w:t>
      </w:r>
      <w:r w:rsidR="00C00368" w:rsidRPr="006C70FF">
        <w:rPr>
          <w:color w:val="000000" w:themeColor="text1"/>
          <w:sz w:val="22"/>
          <w:szCs w:val="22"/>
        </w:rPr>
        <w:t>cryopreservation,</w:t>
      </w:r>
      <w:r w:rsidRPr="006C70FF">
        <w:rPr>
          <w:color w:val="000000" w:themeColor="text1"/>
          <w:sz w:val="22"/>
          <w:szCs w:val="22"/>
        </w:rPr>
        <w:t xml:space="preserve"> and storage of products in a temperature monitored facility</w:t>
      </w:r>
      <w:r w:rsidR="0001332D" w:rsidRPr="006C70FF">
        <w:rPr>
          <w:color w:val="000000" w:themeColor="text1"/>
          <w:sz w:val="22"/>
          <w:szCs w:val="22"/>
        </w:rPr>
        <w:t>,</w:t>
      </w:r>
      <w:r w:rsidRPr="006C70FF">
        <w:rPr>
          <w:color w:val="000000" w:themeColor="text1"/>
          <w:sz w:val="22"/>
          <w:szCs w:val="22"/>
        </w:rPr>
        <w:t xml:space="preserve"> at times when BBMR business continuity arrangements require</w:t>
      </w:r>
    </w:p>
    <w:p w14:paraId="402B4283" w14:textId="77777777" w:rsidR="00F566C1" w:rsidRPr="00F566C1" w:rsidRDefault="00F566C1" w:rsidP="00F566C1">
      <w:pPr>
        <w:rPr>
          <w:color w:val="000000" w:themeColor="text1"/>
          <w:sz w:val="22"/>
          <w:szCs w:val="22"/>
        </w:rPr>
      </w:pPr>
    </w:p>
    <w:p w14:paraId="03BF918E" w14:textId="52086BB9" w:rsidR="00F566C1" w:rsidRPr="00503A7D" w:rsidRDefault="00F566C1" w:rsidP="00F566C1">
      <w:pPr>
        <w:numPr>
          <w:ilvl w:val="1"/>
          <w:numId w:val="3"/>
        </w:numPr>
        <w:rPr>
          <w:color w:val="7030A0"/>
          <w:sz w:val="22"/>
          <w:szCs w:val="22"/>
        </w:rPr>
      </w:pPr>
      <w:r w:rsidRPr="00503A7D">
        <w:rPr>
          <w:color w:val="7030A0"/>
          <w:sz w:val="22"/>
          <w:szCs w:val="22"/>
        </w:rPr>
        <w:t>When performin</w:t>
      </w:r>
      <w:r w:rsidR="001B0F2B">
        <w:rPr>
          <w:color w:val="7030A0"/>
          <w:sz w:val="22"/>
          <w:szCs w:val="22"/>
        </w:rPr>
        <w:t xml:space="preserve">g </w:t>
      </w:r>
      <w:r w:rsidRPr="00503A7D">
        <w:rPr>
          <w:color w:val="7030A0"/>
          <w:sz w:val="22"/>
          <w:szCs w:val="22"/>
        </w:rPr>
        <w:t>cryopreserv</w:t>
      </w:r>
      <w:r w:rsidR="00503A7D" w:rsidRPr="00503A7D">
        <w:rPr>
          <w:color w:val="7030A0"/>
          <w:sz w:val="22"/>
          <w:szCs w:val="22"/>
        </w:rPr>
        <w:t>ation</w:t>
      </w:r>
      <w:r w:rsidRPr="00503A7D">
        <w:rPr>
          <w:color w:val="7030A0"/>
          <w:sz w:val="22"/>
          <w:szCs w:val="22"/>
        </w:rPr>
        <w:t xml:space="preserve"> - do not automatically dilute</w:t>
      </w:r>
      <w:r w:rsidR="001B0F2B">
        <w:rPr>
          <w:color w:val="7030A0"/>
          <w:sz w:val="22"/>
          <w:szCs w:val="22"/>
        </w:rPr>
        <w:t xml:space="preserve"> PBSC</w:t>
      </w:r>
      <w:r w:rsidRPr="00503A7D">
        <w:rPr>
          <w:color w:val="7030A0"/>
          <w:sz w:val="22"/>
          <w:szCs w:val="22"/>
        </w:rPr>
        <w:t xml:space="preserve"> product to</w:t>
      </w:r>
      <w:r w:rsidR="001B0F2B" w:rsidRPr="001B0F2B">
        <w:rPr>
          <w:color w:val="000000" w:themeColor="text1"/>
          <w:sz w:val="22"/>
          <w:szCs w:val="22"/>
        </w:rPr>
        <w:t xml:space="preserve"> </w:t>
      </w:r>
      <w:r w:rsidR="00B74E0C">
        <w:rPr>
          <w:color w:val="7030A0"/>
          <w:sz w:val="22"/>
          <w:szCs w:val="22"/>
        </w:rPr>
        <w:t xml:space="preserve">a concentration of </w:t>
      </w:r>
      <w:r w:rsidR="001B0F2B">
        <w:rPr>
          <w:color w:val="7030A0"/>
          <w:sz w:val="22"/>
          <w:szCs w:val="22"/>
        </w:rPr>
        <w:t xml:space="preserve">&lt;200 </w:t>
      </w:r>
      <w:r w:rsidR="001B0F2B" w:rsidRPr="001B0F2B">
        <w:rPr>
          <w:color w:val="7030A0"/>
          <w:sz w:val="22"/>
          <w:szCs w:val="22"/>
        </w:rPr>
        <w:t>10</w:t>
      </w:r>
      <w:r w:rsidR="001B0F2B" w:rsidRPr="001B0F2B">
        <w:rPr>
          <w:color w:val="7030A0"/>
          <w:sz w:val="22"/>
          <w:szCs w:val="22"/>
          <w:vertAlign w:val="superscript"/>
        </w:rPr>
        <w:t>9</w:t>
      </w:r>
      <w:r w:rsidR="001B0F2B" w:rsidRPr="001B0F2B">
        <w:rPr>
          <w:color w:val="7030A0"/>
          <w:sz w:val="22"/>
          <w:szCs w:val="22"/>
        </w:rPr>
        <w:t>/L</w:t>
      </w:r>
      <w:r w:rsidR="001B0F2B">
        <w:rPr>
          <w:color w:val="7030A0"/>
          <w:sz w:val="22"/>
          <w:szCs w:val="22"/>
        </w:rPr>
        <w:t>, instead aim to cryopreserve the safe minimum total volume</w:t>
      </w:r>
      <w:r w:rsidR="00B74E0C">
        <w:rPr>
          <w:color w:val="7030A0"/>
          <w:sz w:val="22"/>
          <w:szCs w:val="22"/>
        </w:rPr>
        <w:t xml:space="preserve"> including required additives</w:t>
      </w:r>
      <w:r w:rsidR="001B0F2B">
        <w:rPr>
          <w:color w:val="7030A0"/>
          <w:sz w:val="22"/>
          <w:szCs w:val="22"/>
        </w:rPr>
        <w:t xml:space="preserve"> possible. I</w:t>
      </w:r>
      <w:r w:rsidRPr="00503A7D">
        <w:rPr>
          <w:color w:val="7030A0"/>
          <w:sz w:val="22"/>
          <w:szCs w:val="22"/>
        </w:rPr>
        <w:t>nclude the number of cryovials requested</w:t>
      </w:r>
    </w:p>
    <w:p w14:paraId="429DA130" w14:textId="77777777" w:rsidR="009E5125" w:rsidRPr="006C70FF" w:rsidRDefault="009E5125" w:rsidP="009E5125">
      <w:pPr>
        <w:pStyle w:val="ListParagraph"/>
        <w:rPr>
          <w:color w:val="000000" w:themeColor="text1"/>
          <w:sz w:val="22"/>
          <w:szCs w:val="22"/>
        </w:rPr>
      </w:pPr>
    </w:p>
    <w:p w14:paraId="332F8F6A" w14:textId="7BD67EBA" w:rsidR="009E5125" w:rsidRPr="006C70FF" w:rsidRDefault="009E5125" w:rsidP="00A81DBF">
      <w:pPr>
        <w:numPr>
          <w:ilvl w:val="1"/>
          <w:numId w:val="3"/>
        </w:numPr>
        <w:rPr>
          <w:color w:val="000000" w:themeColor="text1"/>
          <w:sz w:val="22"/>
          <w:szCs w:val="22"/>
        </w:rPr>
      </w:pPr>
      <w:r w:rsidRPr="006C70FF">
        <w:rPr>
          <w:color w:val="000000" w:themeColor="text1"/>
          <w:sz w:val="22"/>
          <w:szCs w:val="22"/>
        </w:rPr>
        <w:t xml:space="preserve">Collaborate with BBMR </w:t>
      </w:r>
      <w:r w:rsidR="00627352" w:rsidRPr="006C70FF">
        <w:rPr>
          <w:color w:val="000000" w:themeColor="text1"/>
          <w:sz w:val="22"/>
          <w:szCs w:val="22"/>
        </w:rPr>
        <w:t xml:space="preserve">with </w:t>
      </w:r>
      <w:r w:rsidRPr="006C70FF">
        <w:rPr>
          <w:color w:val="000000" w:themeColor="text1"/>
          <w:sz w:val="22"/>
          <w:szCs w:val="22"/>
        </w:rPr>
        <w:t xml:space="preserve">dry shipping products to </w:t>
      </w:r>
      <w:r w:rsidR="00627352" w:rsidRPr="006C70FF">
        <w:rPr>
          <w:color w:val="000000" w:themeColor="text1"/>
          <w:sz w:val="22"/>
          <w:szCs w:val="22"/>
        </w:rPr>
        <w:t xml:space="preserve">international </w:t>
      </w:r>
      <w:r w:rsidRPr="006C70FF">
        <w:rPr>
          <w:color w:val="000000" w:themeColor="text1"/>
          <w:sz w:val="22"/>
          <w:szCs w:val="22"/>
        </w:rPr>
        <w:t>transplant centres</w:t>
      </w:r>
      <w:r w:rsidR="00627352" w:rsidRPr="006C70FF">
        <w:rPr>
          <w:color w:val="000000" w:themeColor="text1"/>
          <w:sz w:val="22"/>
          <w:szCs w:val="22"/>
        </w:rPr>
        <w:t>, as needed</w:t>
      </w:r>
    </w:p>
    <w:p w14:paraId="513690D6" w14:textId="77777777" w:rsidR="00A81DBF" w:rsidRPr="006C70FF" w:rsidRDefault="00A81DBF" w:rsidP="00A81DBF">
      <w:pPr>
        <w:ind w:left="540"/>
        <w:rPr>
          <w:color w:val="000000" w:themeColor="text1"/>
          <w:sz w:val="22"/>
          <w:szCs w:val="22"/>
        </w:rPr>
      </w:pPr>
    </w:p>
    <w:p w14:paraId="355F4BFE"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Include specific reference to BBMR products within the establishments ‘Recall’ procedure (also to include peripheral blood sample recall when procured as starting material for a clinical trial and sent for manufacturing)</w:t>
      </w:r>
    </w:p>
    <w:p w14:paraId="23F3187B" w14:textId="77777777" w:rsidR="00A81DBF" w:rsidRPr="006C70FF" w:rsidRDefault="00A81DBF" w:rsidP="00A81DBF">
      <w:pPr>
        <w:ind w:left="540"/>
        <w:rPr>
          <w:color w:val="000000" w:themeColor="text1"/>
          <w:sz w:val="22"/>
          <w:szCs w:val="22"/>
        </w:rPr>
      </w:pPr>
    </w:p>
    <w:p w14:paraId="3FFEEBEB" w14:textId="77777777" w:rsidR="00A81DBF" w:rsidRPr="006C70FF" w:rsidRDefault="00A81DBF" w:rsidP="00A81DBF">
      <w:pPr>
        <w:numPr>
          <w:ilvl w:val="1"/>
          <w:numId w:val="3"/>
        </w:numPr>
        <w:rPr>
          <w:color w:val="000000" w:themeColor="text1"/>
          <w:sz w:val="22"/>
          <w:szCs w:val="22"/>
        </w:rPr>
      </w:pPr>
      <w:bookmarkStart w:id="6" w:name="_Hlk26209686"/>
      <w:bookmarkStart w:id="7" w:name="_Hlk26209191"/>
      <w:r w:rsidRPr="006C70FF">
        <w:rPr>
          <w:color w:val="000000" w:themeColor="text1"/>
          <w:sz w:val="22"/>
          <w:szCs w:val="22"/>
        </w:rPr>
        <w:t xml:space="preserve">BBMR is to be informed (by telephoning 01179125729 and by emailing </w:t>
      </w:r>
      <w:hyperlink r:id="rId20" w:history="1">
        <w:r w:rsidRPr="006C70FF">
          <w:rPr>
            <w:color w:val="000000" w:themeColor="text1"/>
            <w:sz w:val="22"/>
            <w:szCs w:val="22"/>
            <w:u w:val="single"/>
          </w:rPr>
          <w:t>workup@nhsbt.nhs.uk</w:t>
        </w:r>
      </w:hyperlink>
      <w:r w:rsidRPr="006C70FF">
        <w:rPr>
          <w:color w:val="000000" w:themeColor="text1"/>
          <w:sz w:val="22"/>
          <w:szCs w:val="22"/>
        </w:rPr>
        <w:t xml:space="preserve">) if there are any unusual events such as unexplained absence of the donor (&gt; 1 hour) after </w:t>
      </w:r>
      <w:r w:rsidRPr="006C70FF">
        <w:rPr>
          <w:color w:val="000000" w:themeColor="text1"/>
          <w:sz w:val="22"/>
          <w:szCs w:val="22"/>
        </w:rPr>
        <w:lastRenderedPageBreak/>
        <w:t>admission or arrival, or if there is any suspicion the donor has consumed alcohol or is under the influence of illicit drugs while in attendance at the collection centre</w:t>
      </w:r>
    </w:p>
    <w:p w14:paraId="31AD69EB" w14:textId="77777777" w:rsidR="00A81DBF" w:rsidRPr="006C70FF" w:rsidRDefault="00A81DBF" w:rsidP="00A81DBF">
      <w:pPr>
        <w:ind w:left="720"/>
        <w:rPr>
          <w:color w:val="000000" w:themeColor="text1"/>
          <w:sz w:val="22"/>
          <w:szCs w:val="22"/>
          <w:highlight w:val="lightGray"/>
        </w:rPr>
      </w:pPr>
    </w:p>
    <w:p w14:paraId="64C52427" w14:textId="4C110891" w:rsidR="00A81DBF" w:rsidRPr="006C70FF" w:rsidRDefault="00A81DBF" w:rsidP="002439B3">
      <w:pPr>
        <w:numPr>
          <w:ilvl w:val="1"/>
          <w:numId w:val="3"/>
        </w:numPr>
        <w:ind w:left="539" w:hanging="539"/>
        <w:rPr>
          <w:color w:val="000000" w:themeColor="text1"/>
          <w:sz w:val="22"/>
          <w:szCs w:val="22"/>
        </w:rPr>
      </w:pPr>
      <w:bookmarkStart w:id="8" w:name="_Hlk31373539"/>
      <w:r w:rsidRPr="006C70FF">
        <w:rPr>
          <w:color w:val="000000" w:themeColor="text1"/>
          <w:sz w:val="22"/>
          <w:szCs w:val="22"/>
        </w:rPr>
        <w:t xml:space="preserve">Collection Centre </w:t>
      </w:r>
      <w:bookmarkEnd w:id="8"/>
      <w:r w:rsidRPr="006C70FF">
        <w:rPr>
          <w:color w:val="000000" w:themeColor="text1"/>
          <w:sz w:val="22"/>
          <w:szCs w:val="22"/>
        </w:rPr>
        <w:t xml:space="preserve">staff are to be welcoming and accommodating to final product couriers.  This includes providing a space away from the </w:t>
      </w:r>
      <w:r w:rsidR="00C0556F" w:rsidRPr="006C70FF">
        <w:rPr>
          <w:color w:val="000000" w:themeColor="text1"/>
          <w:sz w:val="22"/>
          <w:szCs w:val="22"/>
        </w:rPr>
        <w:t>public,</w:t>
      </w:r>
      <w:r w:rsidRPr="006C70FF">
        <w:rPr>
          <w:color w:val="000000" w:themeColor="text1"/>
          <w:sz w:val="22"/>
          <w:szCs w:val="22"/>
        </w:rPr>
        <w:t xml:space="preserve"> if possible, where couriers can wait, be communicated with discreetly and prepare their transport boxes if required.  Collection Centres should also facilitate any courier requests for practical assistance </w:t>
      </w:r>
      <w:r w:rsidR="00C0556F" w:rsidRPr="006C70FF">
        <w:rPr>
          <w:color w:val="000000" w:themeColor="text1"/>
          <w:sz w:val="22"/>
          <w:szCs w:val="22"/>
        </w:rPr>
        <w:t>e.g.,</w:t>
      </w:r>
      <w:r w:rsidRPr="006C70FF">
        <w:rPr>
          <w:color w:val="000000" w:themeColor="text1"/>
          <w:sz w:val="22"/>
          <w:szCs w:val="22"/>
        </w:rPr>
        <w:t xml:space="preserve"> agreeing to requests to place ice blocks or TIC</w:t>
      </w:r>
      <w:r w:rsidRPr="006C70FF">
        <w:rPr>
          <w:rFonts w:cs="Arial"/>
          <w:color w:val="000000" w:themeColor="text1"/>
          <w:sz w:val="22"/>
          <w:szCs w:val="22"/>
        </w:rPr>
        <w:t>™</w:t>
      </w:r>
      <w:r w:rsidRPr="006C70FF">
        <w:rPr>
          <w:color w:val="000000" w:themeColor="text1"/>
          <w:sz w:val="22"/>
          <w:szCs w:val="22"/>
        </w:rPr>
        <w:t xml:space="preserve"> panels in a laboratory freezer.</w:t>
      </w:r>
    </w:p>
    <w:p w14:paraId="4C6A4BD5" w14:textId="77777777" w:rsidR="00627352" w:rsidRPr="006C70FF" w:rsidRDefault="00627352" w:rsidP="00627352">
      <w:pPr>
        <w:pStyle w:val="ListParagraph"/>
        <w:rPr>
          <w:color w:val="000000" w:themeColor="text1"/>
          <w:sz w:val="22"/>
          <w:szCs w:val="22"/>
        </w:rPr>
      </w:pPr>
    </w:p>
    <w:p w14:paraId="4A378B76" w14:textId="3B7C5815" w:rsidR="00627352" w:rsidRPr="006C70FF" w:rsidRDefault="00627352" w:rsidP="002439B3">
      <w:pPr>
        <w:numPr>
          <w:ilvl w:val="1"/>
          <w:numId w:val="3"/>
        </w:numPr>
        <w:ind w:left="539" w:hanging="539"/>
        <w:rPr>
          <w:color w:val="000000" w:themeColor="text1"/>
          <w:sz w:val="22"/>
          <w:szCs w:val="22"/>
        </w:rPr>
      </w:pPr>
      <w:r w:rsidRPr="006C70FF">
        <w:rPr>
          <w:color w:val="000000" w:themeColor="text1"/>
          <w:sz w:val="22"/>
          <w:szCs w:val="22"/>
        </w:rPr>
        <w:t>When reporting annual activity statistics to the HTA; report only activity that has occurred under the collection centre licence</w:t>
      </w:r>
      <w:r w:rsidR="00AA3EDF" w:rsidRPr="006C70FF">
        <w:rPr>
          <w:color w:val="000000" w:themeColor="text1"/>
          <w:sz w:val="22"/>
          <w:szCs w:val="22"/>
        </w:rPr>
        <w:t xml:space="preserve"> </w:t>
      </w:r>
      <w:r w:rsidR="00F70163" w:rsidRPr="006C70FF">
        <w:rPr>
          <w:color w:val="000000" w:themeColor="text1"/>
          <w:sz w:val="22"/>
          <w:szCs w:val="22"/>
        </w:rPr>
        <w:t>e.g.,</w:t>
      </w:r>
      <w:r w:rsidR="00AA3EDF" w:rsidRPr="006C70FF">
        <w:rPr>
          <w:color w:val="000000" w:themeColor="text1"/>
          <w:sz w:val="22"/>
          <w:szCs w:val="22"/>
        </w:rPr>
        <w:t xml:space="preserve"> procurement</w:t>
      </w:r>
      <w:r w:rsidRPr="006C70FF">
        <w:rPr>
          <w:color w:val="000000" w:themeColor="text1"/>
          <w:sz w:val="22"/>
          <w:szCs w:val="22"/>
        </w:rPr>
        <w:t xml:space="preserve">.  </w:t>
      </w:r>
      <w:r w:rsidR="00AA3EDF" w:rsidRPr="006C70FF">
        <w:rPr>
          <w:color w:val="000000" w:themeColor="text1"/>
          <w:sz w:val="22"/>
          <w:szCs w:val="22"/>
        </w:rPr>
        <w:t>Collection centre reportable activity</w:t>
      </w:r>
      <w:r w:rsidRPr="006C70FF">
        <w:rPr>
          <w:color w:val="000000" w:themeColor="text1"/>
          <w:sz w:val="22"/>
          <w:szCs w:val="22"/>
        </w:rPr>
        <w:t xml:space="preserve"> will not include export figures as this activity is conducted under the auspices of the Filton NHSBT HTA licence.  </w:t>
      </w:r>
    </w:p>
    <w:p w14:paraId="6C45512F" w14:textId="77777777" w:rsidR="00D44EF0" w:rsidRPr="006C70FF" w:rsidRDefault="00D44EF0" w:rsidP="00D44EF0">
      <w:pPr>
        <w:pStyle w:val="ListParagraph"/>
        <w:rPr>
          <w:color w:val="000000" w:themeColor="text1"/>
          <w:sz w:val="22"/>
          <w:szCs w:val="22"/>
        </w:rPr>
      </w:pPr>
    </w:p>
    <w:p w14:paraId="76E389AB" w14:textId="70459FF3" w:rsidR="0043405B" w:rsidRDefault="00D44EF0" w:rsidP="0043405B">
      <w:pPr>
        <w:numPr>
          <w:ilvl w:val="1"/>
          <w:numId w:val="3"/>
        </w:numPr>
        <w:ind w:left="539" w:hanging="539"/>
        <w:rPr>
          <w:color w:val="000000" w:themeColor="text1"/>
          <w:sz w:val="22"/>
          <w:szCs w:val="22"/>
        </w:rPr>
      </w:pPr>
      <w:r w:rsidRPr="006C70FF">
        <w:rPr>
          <w:color w:val="000000" w:themeColor="text1"/>
          <w:sz w:val="22"/>
          <w:szCs w:val="22"/>
        </w:rPr>
        <w:t xml:space="preserve">Pay </w:t>
      </w:r>
      <w:r w:rsidR="0036289D" w:rsidRPr="006C70FF">
        <w:rPr>
          <w:color w:val="000000" w:themeColor="text1"/>
          <w:sz w:val="22"/>
          <w:szCs w:val="22"/>
        </w:rPr>
        <w:t xml:space="preserve">due </w:t>
      </w:r>
      <w:r w:rsidRPr="006C70FF">
        <w:rPr>
          <w:color w:val="000000" w:themeColor="text1"/>
          <w:sz w:val="22"/>
          <w:szCs w:val="22"/>
        </w:rPr>
        <w:t xml:space="preserve">attention to product verification forms by </w:t>
      </w:r>
      <w:r w:rsidR="00C0556F" w:rsidRPr="006C70FF">
        <w:rPr>
          <w:color w:val="000000" w:themeColor="text1"/>
          <w:sz w:val="22"/>
          <w:szCs w:val="22"/>
        </w:rPr>
        <w:t>e.g.,</w:t>
      </w:r>
      <w:r w:rsidRPr="006C70FF">
        <w:rPr>
          <w:color w:val="000000" w:themeColor="text1"/>
          <w:sz w:val="22"/>
          <w:szCs w:val="22"/>
        </w:rPr>
        <w:t xml:space="preserve"> checking cell dose requests, that the temperature of transport is suitable etc</w:t>
      </w:r>
      <w:r w:rsidR="0036289D" w:rsidRPr="006C70FF">
        <w:rPr>
          <w:color w:val="000000" w:themeColor="text1"/>
          <w:sz w:val="22"/>
          <w:szCs w:val="22"/>
        </w:rPr>
        <w:t>.</w:t>
      </w:r>
      <w:r w:rsidRPr="006C70FF">
        <w:rPr>
          <w:color w:val="000000" w:themeColor="text1"/>
          <w:sz w:val="22"/>
          <w:szCs w:val="22"/>
        </w:rPr>
        <w:t xml:space="preserve"> before </w:t>
      </w:r>
      <w:r w:rsidR="0043405B" w:rsidRPr="006C70FF">
        <w:rPr>
          <w:color w:val="000000" w:themeColor="text1"/>
          <w:sz w:val="22"/>
          <w:szCs w:val="22"/>
        </w:rPr>
        <w:t>signing</w:t>
      </w:r>
      <w:r w:rsidRPr="006C70FF">
        <w:rPr>
          <w:color w:val="000000" w:themeColor="text1"/>
          <w:sz w:val="22"/>
          <w:szCs w:val="22"/>
        </w:rPr>
        <w:t xml:space="preserve"> off.</w:t>
      </w:r>
    </w:p>
    <w:p w14:paraId="1225676D" w14:textId="77777777" w:rsidR="0043405B" w:rsidRPr="00F45C5D" w:rsidRDefault="0043405B" w:rsidP="00F45C5D">
      <w:pPr>
        <w:rPr>
          <w:color w:val="000000" w:themeColor="text1"/>
          <w:sz w:val="22"/>
          <w:szCs w:val="22"/>
        </w:rPr>
      </w:pPr>
    </w:p>
    <w:p w14:paraId="7CCE1282" w14:textId="589C7BB4" w:rsidR="0043405B" w:rsidRPr="006C70FF" w:rsidRDefault="0043405B" w:rsidP="0043405B">
      <w:pPr>
        <w:numPr>
          <w:ilvl w:val="1"/>
          <w:numId w:val="3"/>
        </w:numPr>
        <w:ind w:left="539" w:hanging="539"/>
        <w:rPr>
          <w:rFonts w:cs="Arial"/>
          <w:color w:val="000000" w:themeColor="text1"/>
          <w:sz w:val="22"/>
          <w:szCs w:val="22"/>
        </w:rPr>
      </w:pPr>
      <w:r w:rsidRPr="006C70FF">
        <w:rPr>
          <w:rFonts w:cs="Arial"/>
          <w:color w:val="000000" w:themeColor="text1"/>
          <w:sz w:val="22"/>
          <w:szCs w:val="22"/>
        </w:rPr>
        <w:t xml:space="preserve">In cases of delayed </w:t>
      </w:r>
      <w:r w:rsidR="00715DF4" w:rsidRPr="006C70FF">
        <w:rPr>
          <w:rFonts w:cs="Arial"/>
          <w:color w:val="000000" w:themeColor="text1"/>
          <w:sz w:val="22"/>
          <w:szCs w:val="22"/>
        </w:rPr>
        <w:t>collection,</w:t>
      </w:r>
      <w:r w:rsidRPr="006C70FF">
        <w:rPr>
          <w:rFonts w:cs="Arial"/>
          <w:color w:val="000000" w:themeColor="text1"/>
          <w:sz w:val="22"/>
          <w:szCs w:val="22"/>
        </w:rPr>
        <w:t xml:space="preserve"> the following shall apply:</w:t>
      </w:r>
    </w:p>
    <w:tbl>
      <w:tblPr>
        <w:tblStyle w:val="TableGrid"/>
        <w:tblW w:w="0" w:type="auto"/>
        <w:tblInd w:w="704" w:type="dxa"/>
        <w:tblLook w:val="04A0" w:firstRow="1" w:lastRow="0" w:firstColumn="1" w:lastColumn="0" w:noHBand="0" w:noVBand="1"/>
      </w:tblPr>
      <w:tblGrid>
        <w:gridCol w:w="3969"/>
        <w:gridCol w:w="4536"/>
      </w:tblGrid>
      <w:tr w:rsidR="006C70FF" w:rsidRPr="006C70FF" w14:paraId="24F403B6" w14:textId="77777777" w:rsidTr="002A3D9E">
        <w:tc>
          <w:tcPr>
            <w:tcW w:w="3969" w:type="dxa"/>
          </w:tcPr>
          <w:p w14:paraId="08A8F52C" w14:textId="77777777" w:rsidR="0043405B" w:rsidRPr="006C70FF" w:rsidRDefault="0043405B" w:rsidP="00465767">
            <w:pPr>
              <w:pStyle w:val="NormalWeb"/>
              <w:rPr>
                <w:rFonts w:ascii="Arial" w:hAnsi="Arial" w:cs="Arial"/>
                <w:b/>
                <w:color w:val="000000" w:themeColor="text1"/>
                <w:sz w:val="20"/>
                <w:szCs w:val="20"/>
              </w:rPr>
            </w:pPr>
            <w:r w:rsidRPr="006C70FF">
              <w:rPr>
                <w:rFonts w:ascii="Arial" w:hAnsi="Arial" w:cs="Arial"/>
                <w:b/>
                <w:color w:val="000000" w:themeColor="text1"/>
                <w:sz w:val="20"/>
                <w:szCs w:val="20"/>
              </w:rPr>
              <w:t>Time from Medical Assessment at Work-Up to Collection</w:t>
            </w:r>
          </w:p>
        </w:tc>
        <w:tc>
          <w:tcPr>
            <w:tcW w:w="4536" w:type="dxa"/>
          </w:tcPr>
          <w:p w14:paraId="54D25AD8" w14:textId="77777777" w:rsidR="0043405B" w:rsidRPr="006C70FF" w:rsidRDefault="0043405B" w:rsidP="00465767">
            <w:pPr>
              <w:pStyle w:val="NormalWeb"/>
              <w:rPr>
                <w:rFonts w:ascii="Arial" w:hAnsi="Arial" w:cs="Arial"/>
                <w:b/>
                <w:color w:val="000000" w:themeColor="text1"/>
                <w:sz w:val="20"/>
                <w:szCs w:val="20"/>
              </w:rPr>
            </w:pPr>
            <w:r w:rsidRPr="006C70FF">
              <w:rPr>
                <w:rFonts w:ascii="Arial" w:hAnsi="Arial" w:cs="Arial"/>
                <w:b/>
                <w:color w:val="000000" w:themeColor="text1"/>
                <w:sz w:val="20"/>
                <w:szCs w:val="20"/>
              </w:rPr>
              <w:t>Repeat Assessments Required*</w:t>
            </w:r>
          </w:p>
        </w:tc>
      </w:tr>
      <w:tr w:rsidR="006C70FF" w:rsidRPr="006C70FF" w14:paraId="4F29BBE1" w14:textId="77777777" w:rsidTr="002A3D9E">
        <w:tc>
          <w:tcPr>
            <w:tcW w:w="3969" w:type="dxa"/>
          </w:tcPr>
          <w:p w14:paraId="403F1E88" w14:textId="77777777"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 30 days</w:t>
            </w:r>
          </w:p>
        </w:tc>
        <w:tc>
          <w:tcPr>
            <w:tcW w:w="4536" w:type="dxa"/>
          </w:tcPr>
          <w:p w14:paraId="508310D6" w14:textId="1641769C"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None</w:t>
            </w:r>
            <w:r w:rsidR="00210A9B" w:rsidRPr="006C70FF">
              <w:rPr>
                <w:rFonts w:ascii="Arial" w:hAnsi="Arial" w:cs="Arial"/>
                <w:color w:val="000000" w:themeColor="text1"/>
                <w:sz w:val="20"/>
                <w:szCs w:val="20"/>
              </w:rPr>
              <w:t xml:space="preserve"> or pregnancy test </w:t>
            </w:r>
            <w:r w:rsidR="002A3D9E" w:rsidRPr="006C70FF">
              <w:rPr>
                <w:rFonts w:ascii="Arial" w:hAnsi="Arial" w:cs="Arial"/>
                <w:color w:val="000000" w:themeColor="text1"/>
                <w:sz w:val="20"/>
                <w:szCs w:val="20"/>
              </w:rPr>
              <w:t>if female &amp; of childbearing potential</w:t>
            </w:r>
          </w:p>
        </w:tc>
      </w:tr>
      <w:tr w:rsidR="006C70FF" w:rsidRPr="006C70FF" w14:paraId="5B82C3D1" w14:textId="77777777" w:rsidTr="002A3D9E">
        <w:tc>
          <w:tcPr>
            <w:tcW w:w="3969" w:type="dxa"/>
          </w:tcPr>
          <w:p w14:paraId="0F199449" w14:textId="77777777"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&gt;30 days</w:t>
            </w:r>
          </w:p>
        </w:tc>
        <w:tc>
          <w:tcPr>
            <w:tcW w:w="4536" w:type="dxa"/>
          </w:tcPr>
          <w:p w14:paraId="635A7D6C" w14:textId="0F80E2D1" w:rsidR="0043405B" w:rsidRPr="006C70FF" w:rsidRDefault="00465767"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 xml:space="preserve">BBMR perform </w:t>
            </w:r>
            <w:r w:rsidR="0043405B" w:rsidRPr="006C70FF">
              <w:rPr>
                <w:rFonts w:ascii="Arial" w:hAnsi="Arial" w:cs="Arial"/>
                <w:color w:val="000000" w:themeColor="text1"/>
                <w:sz w:val="20"/>
                <w:szCs w:val="20"/>
              </w:rPr>
              <w:t xml:space="preserve">Donor Health Questionnaire**  </w:t>
            </w:r>
          </w:p>
          <w:p w14:paraId="0CFE7261" w14:textId="77777777"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Infectious disease markers</w:t>
            </w:r>
          </w:p>
          <w:p w14:paraId="218A8E53" w14:textId="10CF5B40" w:rsidR="002A3D9E" w:rsidRPr="006C70FF" w:rsidRDefault="002A3D9E"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Pregnancy test if donor is female&amp; of childbearing potential</w:t>
            </w:r>
          </w:p>
        </w:tc>
      </w:tr>
      <w:tr w:rsidR="006C70FF" w:rsidRPr="006C70FF" w14:paraId="18759656" w14:textId="77777777" w:rsidTr="002A3D9E">
        <w:tc>
          <w:tcPr>
            <w:tcW w:w="3969" w:type="dxa"/>
          </w:tcPr>
          <w:p w14:paraId="429F1592" w14:textId="12F56BFD"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&gt;</w:t>
            </w:r>
            <w:r w:rsidR="00210A9B" w:rsidRPr="006C70FF">
              <w:rPr>
                <w:rFonts w:ascii="Arial" w:hAnsi="Arial" w:cs="Arial"/>
                <w:color w:val="000000" w:themeColor="text1"/>
                <w:sz w:val="20"/>
                <w:szCs w:val="20"/>
              </w:rPr>
              <w:t>6</w:t>
            </w:r>
            <w:r w:rsidRPr="006C70FF">
              <w:rPr>
                <w:rFonts w:ascii="Arial" w:hAnsi="Arial" w:cs="Arial"/>
                <w:color w:val="000000" w:themeColor="text1"/>
                <w:sz w:val="20"/>
                <w:szCs w:val="20"/>
              </w:rPr>
              <w:t xml:space="preserve">0 days </w:t>
            </w:r>
          </w:p>
        </w:tc>
        <w:tc>
          <w:tcPr>
            <w:tcW w:w="4536" w:type="dxa"/>
          </w:tcPr>
          <w:p w14:paraId="6C0B6A69" w14:textId="78434955" w:rsidR="0043405B" w:rsidRPr="006C70FF" w:rsidRDefault="00465767"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 xml:space="preserve">BBMR perform </w:t>
            </w:r>
            <w:r w:rsidR="0043405B" w:rsidRPr="006C70FF">
              <w:rPr>
                <w:rFonts w:ascii="Arial" w:hAnsi="Arial" w:cs="Arial"/>
                <w:color w:val="000000" w:themeColor="text1"/>
                <w:sz w:val="20"/>
                <w:szCs w:val="20"/>
              </w:rPr>
              <w:t xml:space="preserve">Donor Health Questionnaire**  </w:t>
            </w:r>
          </w:p>
          <w:p w14:paraId="0CFE3F53" w14:textId="34135031"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Infectious disease markers</w:t>
            </w:r>
          </w:p>
          <w:p w14:paraId="18D8AA36" w14:textId="71BC0966" w:rsidR="008A7A8D" w:rsidRPr="006C70FF" w:rsidRDefault="008A7A8D" w:rsidP="008A7A8D">
            <w:pPr>
              <w:pStyle w:val="NormalWeb"/>
              <w:rPr>
                <w:rFonts w:ascii="Arial" w:hAnsi="Arial" w:cs="Arial"/>
                <w:color w:val="000000" w:themeColor="text1"/>
                <w:sz w:val="20"/>
                <w:szCs w:val="20"/>
              </w:rPr>
            </w:pPr>
            <w:r w:rsidRPr="006C70FF">
              <w:rPr>
                <w:rFonts w:ascii="Arial" w:hAnsi="Arial" w:cs="Arial"/>
                <w:color w:val="000000" w:themeColor="text1"/>
                <w:sz w:val="20"/>
                <w:szCs w:val="20"/>
              </w:rPr>
              <w:t>Pregnancy test if donor is female</w:t>
            </w:r>
            <w:r w:rsidR="002A3D9E" w:rsidRPr="006C70FF">
              <w:rPr>
                <w:rFonts w:ascii="Arial" w:hAnsi="Arial" w:cs="Arial"/>
                <w:color w:val="000000" w:themeColor="text1"/>
                <w:sz w:val="20"/>
                <w:szCs w:val="20"/>
              </w:rPr>
              <w:t xml:space="preserve"> &amp; of childbearing potential</w:t>
            </w:r>
          </w:p>
          <w:p w14:paraId="10D00C53" w14:textId="77777777"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All lab tests excluding haemoglobinopathy screening</w:t>
            </w:r>
          </w:p>
        </w:tc>
      </w:tr>
      <w:tr w:rsidR="006C70FF" w:rsidRPr="006C70FF" w14:paraId="139A30F3" w14:textId="77777777" w:rsidTr="002A3D9E">
        <w:tc>
          <w:tcPr>
            <w:tcW w:w="3969" w:type="dxa"/>
          </w:tcPr>
          <w:p w14:paraId="72150DF9" w14:textId="77777777"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&gt; 6 months</w:t>
            </w:r>
          </w:p>
        </w:tc>
        <w:tc>
          <w:tcPr>
            <w:tcW w:w="4536" w:type="dxa"/>
          </w:tcPr>
          <w:p w14:paraId="3A9DB3BD" w14:textId="77777777" w:rsidR="008A7A8D"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 xml:space="preserve">Repeat full medical assessment including </w:t>
            </w:r>
          </w:p>
          <w:p w14:paraId="1633A010" w14:textId="617CB86A" w:rsidR="008A7A8D" w:rsidRPr="006C70FF" w:rsidRDefault="008A7A8D"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Pregnancy test if donor is female</w:t>
            </w:r>
            <w:r w:rsidR="002A3D9E" w:rsidRPr="006C70FF">
              <w:rPr>
                <w:rFonts w:ascii="Arial" w:hAnsi="Arial" w:cs="Arial"/>
                <w:color w:val="000000" w:themeColor="text1"/>
                <w:sz w:val="20"/>
                <w:szCs w:val="20"/>
              </w:rPr>
              <w:t xml:space="preserve"> &amp; of childbearing potential</w:t>
            </w:r>
          </w:p>
          <w:p w14:paraId="7DAF0964" w14:textId="147502C1" w:rsidR="002A3D9E" w:rsidRPr="006C70FF" w:rsidRDefault="002A3D9E"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 xml:space="preserve">Repeat </w:t>
            </w:r>
            <w:r w:rsidR="0043405B" w:rsidRPr="006C70FF">
              <w:rPr>
                <w:rFonts w:ascii="Arial" w:hAnsi="Arial" w:cs="Arial"/>
                <w:color w:val="000000" w:themeColor="text1"/>
                <w:sz w:val="20"/>
                <w:szCs w:val="20"/>
              </w:rPr>
              <w:t>ECG</w:t>
            </w:r>
            <w:r w:rsidR="00210A9B" w:rsidRPr="006C70FF">
              <w:rPr>
                <w:rFonts w:ascii="Arial" w:hAnsi="Arial" w:cs="Arial"/>
                <w:color w:val="000000" w:themeColor="text1"/>
                <w:sz w:val="20"/>
                <w:szCs w:val="20"/>
              </w:rPr>
              <w:t xml:space="preserve"> </w:t>
            </w:r>
            <w:r w:rsidRPr="006C70FF">
              <w:rPr>
                <w:rFonts w:ascii="Arial" w:hAnsi="Arial" w:cs="Arial"/>
                <w:color w:val="000000" w:themeColor="text1"/>
                <w:sz w:val="20"/>
                <w:szCs w:val="20"/>
              </w:rPr>
              <w:t>only if indicated</w:t>
            </w:r>
          </w:p>
          <w:p w14:paraId="41346F2F" w14:textId="4B9F36FD" w:rsidR="0043405B" w:rsidRPr="006C70FF" w:rsidRDefault="0043405B" w:rsidP="00465767">
            <w:pPr>
              <w:pStyle w:val="NormalWeb"/>
              <w:rPr>
                <w:rFonts w:ascii="Arial" w:hAnsi="Arial" w:cs="Arial"/>
                <w:color w:val="000000" w:themeColor="text1"/>
                <w:sz w:val="20"/>
                <w:szCs w:val="20"/>
              </w:rPr>
            </w:pPr>
            <w:r w:rsidRPr="006C70FF">
              <w:rPr>
                <w:rFonts w:ascii="Arial" w:hAnsi="Arial" w:cs="Arial"/>
                <w:color w:val="000000" w:themeColor="text1"/>
                <w:sz w:val="20"/>
                <w:szCs w:val="20"/>
              </w:rPr>
              <w:t>(</w:t>
            </w:r>
            <w:r w:rsidR="00C00368" w:rsidRPr="006C70FF">
              <w:rPr>
                <w:rFonts w:ascii="Arial" w:hAnsi="Arial" w:cs="Arial"/>
                <w:color w:val="000000" w:themeColor="text1"/>
                <w:sz w:val="20"/>
                <w:szCs w:val="20"/>
              </w:rPr>
              <w:t>Repeat</w:t>
            </w:r>
            <w:r w:rsidRPr="006C70FF">
              <w:rPr>
                <w:rFonts w:ascii="Arial" w:hAnsi="Arial" w:cs="Arial"/>
                <w:color w:val="000000" w:themeColor="text1"/>
                <w:sz w:val="20"/>
                <w:szCs w:val="20"/>
              </w:rPr>
              <w:t xml:space="preserve"> haemoglobinopathy screening not needed)</w:t>
            </w:r>
          </w:p>
        </w:tc>
      </w:tr>
      <w:tr w:rsidR="006C70FF" w:rsidRPr="006C70FF" w14:paraId="3F755261" w14:textId="77777777" w:rsidTr="002A3D9E">
        <w:tc>
          <w:tcPr>
            <w:tcW w:w="3969" w:type="dxa"/>
          </w:tcPr>
          <w:p w14:paraId="1771756E" w14:textId="716A25DF" w:rsidR="002A3D9E" w:rsidRPr="006C70FF" w:rsidRDefault="002A3D9E" w:rsidP="002A3D9E">
            <w:pPr>
              <w:pStyle w:val="NormalWeb"/>
              <w:rPr>
                <w:rFonts w:ascii="Arial" w:hAnsi="Arial" w:cs="Arial"/>
                <w:color w:val="000000" w:themeColor="text1"/>
                <w:sz w:val="20"/>
                <w:szCs w:val="20"/>
              </w:rPr>
            </w:pPr>
            <w:r w:rsidRPr="006C70FF">
              <w:rPr>
                <w:rFonts w:ascii="Arial" w:hAnsi="Arial" w:cs="Arial"/>
                <w:color w:val="000000" w:themeColor="text1"/>
                <w:sz w:val="20"/>
                <w:szCs w:val="20"/>
              </w:rPr>
              <w:t>&gt;12 months</w:t>
            </w:r>
          </w:p>
        </w:tc>
        <w:tc>
          <w:tcPr>
            <w:tcW w:w="4536" w:type="dxa"/>
          </w:tcPr>
          <w:p w14:paraId="103BD5C6" w14:textId="77777777" w:rsidR="002A3D9E" w:rsidRPr="006C70FF" w:rsidRDefault="002A3D9E" w:rsidP="002A3D9E">
            <w:pPr>
              <w:pStyle w:val="NormalWeb"/>
              <w:rPr>
                <w:rFonts w:ascii="Arial" w:hAnsi="Arial" w:cs="Arial"/>
                <w:color w:val="000000" w:themeColor="text1"/>
                <w:sz w:val="20"/>
                <w:szCs w:val="20"/>
              </w:rPr>
            </w:pPr>
            <w:r w:rsidRPr="006C70FF">
              <w:rPr>
                <w:rFonts w:ascii="Arial" w:hAnsi="Arial" w:cs="Arial"/>
                <w:color w:val="000000" w:themeColor="text1"/>
                <w:sz w:val="20"/>
                <w:szCs w:val="20"/>
              </w:rPr>
              <w:t>Repeat full medical assessment including ECG</w:t>
            </w:r>
          </w:p>
          <w:p w14:paraId="76B2ABCA" w14:textId="5418C21B" w:rsidR="002A3D9E" w:rsidRPr="006C70FF" w:rsidRDefault="002A3D9E" w:rsidP="002A3D9E">
            <w:pPr>
              <w:pStyle w:val="NormalWeb"/>
              <w:rPr>
                <w:rFonts w:ascii="Arial" w:hAnsi="Arial" w:cs="Arial"/>
                <w:color w:val="000000" w:themeColor="text1"/>
                <w:sz w:val="20"/>
                <w:szCs w:val="20"/>
              </w:rPr>
            </w:pPr>
            <w:r w:rsidRPr="006C70FF">
              <w:rPr>
                <w:rFonts w:ascii="Arial" w:hAnsi="Arial" w:cs="Arial"/>
                <w:color w:val="000000" w:themeColor="text1"/>
                <w:sz w:val="20"/>
                <w:szCs w:val="20"/>
              </w:rPr>
              <w:t>(</w:t>
            </w:r>
            <w:r w:rsidR="00C0556F" w:rsidRPr="006C70FF">
              <w:rPr>
                <w:rFonts w:ascii="Arial" w:hAnsi="Arial" w:cs="Arial"/>
                <w:color w:val="000000" w:themeColor="text1"/>
                <w:sz w:val="20"/>
                <w:szCs w:val="20"/>
              </w:rPr>
              <w:t>Repeat</w:t>
            </w:r>
            <w:r w:rsidRPr="006C70FF">
              <w:rPr>
                <w:rFonts w:ascii="Arial" w:hAnsi="Arial" w:cs="Arial"/>
                <w:color w:val="000000" w:themeColor="text1"/>
                <w:sz w:val="20"/>
                <w:szCs w:val="20"/>
              </w:rPr>
              <w:t xml:space="preserve"> haemoglobinopathy screening not needed)</w:t>
            </w:r>
          </w:p>
        </w:tc>
      </w:tr>
    </w:tbl>
    <w:p w14:paraId="1D5489B6" w14:textId="4E69EAE5" w:rsidR="0043405B" w:rsidRPr="006C70FF" w:rsidRDefault="0043405B" w:rsidP="0043405B">
      <w:pPr>
        <w:pStyle w:val="NormalWeb"/>
        <w:ind w:left="709"/>
        <w:rPr>
          <w:rFonts w:ascii="Arial" w:hAnsi="Arial" w:cs="Arial"/>
          <w:color w:val="000000" w:themeColor="text1"/>
          <w:sz w:val="22"/>
          <w:szCs w:val="22"/>
        </w:rPr>
      </w:pPr>
      <w:r w:rsidRPr="006C70FF">
        <w:rPr>
          <w:rFonts w:ascii="Arial" w:hAnsi="Arial" w:cs="Arial"/>
          <w:color w:val="000000" w:themeColor="text1"/>
          <w:sz w:val="22"/>
          <w:szCs w:val="22"/>
        </w:rPr>
        <w:t>*</w:t>
      </w:r>
      <w:r w:rsidR="00C0556F" w:rsidRPr="006C70FF">
        <w:rPr>
          <w:rFonts w:ascii="Arial" w:hAnsi="Arial" w:cs="Arial"/>
          <w:color w:val="000000" w:themeColor="text1"/>
          <w:sz w:val="22"/>
          <w:szCs w:val="22"/>
        </w:rPr>
        <w:t>Recommendations</w:t>
      </w:r>
      <w:r w:rsidRPr="006C70FF">
        <w:rPr>
          <w:rFonts w:ascii="Arial" w:hAnsi="Arial" w:cs="Arial"/>
          <w:color w:val="000000" w:themeColor="text1"/>
          <w:sz w:val="22"/>
          <w:szCs w:val="22"/>
        </w:rPr>
        <w:t xml:space="preserve"> apply if no tests at medical required extra follow-up</w:t>
      </w:r>
      <w:r w:rsidR="002A3D9E" w:rsidRPr="006C70FF">
        <w:rPr>
          <w:rFonts w:ascii="Arial" w:hAnsi="Arial" w:cs="Arial"/>
          <w:color w:val="000000" w:themeColor="text1"/>
          <w:sz w:val="22"/>
          <w:szCs w:val="22"/>
        </w:rPr>
        <w:t>. CXRs are not mandatory but the need for one should be reviewed at each timepoint.</w:t>
      </w:r>
    </w:p>
    <w:p w14:paraId="11FD8398" w14:textId="57FFFF18" w:rsidR="0043405B" w:rsidRPr="00637586" w:rsidRDefault="0043405B" w:rsidP="0043405B">
      <w:pPr>
        <w:pStyle w:val="NormalWeb"/>
        <w:ind w:left="709"/>
        <w:rPr>
          <w:rFonts w:ascii="Arial" w:hAnsi="Arial" w:cs="Arial"/>
          <w:color w:val="000000" w:themeColor="text1"/>
          <w:sz w:val="22"/>
          <w:szCs w:val="22"/>
        </w:rPr>
      </w:pPr>
      <w:r w:rsidRPr="006C70FF">
        <w:rPr>
          <w:rFonts w:ascii="Arial" w:hAnsi="Arial" w:cs="Arial"/>
          <w:color w:val="000000" w:themeColor="text1"/>
          <w:sz w:val="22"/>
          <w:szCs w:val="22"/>
        </w:rPr>
        <w:t>**</w:t>
      </w:r>
      <w:r w:rsidRPr="00637586">
        <w:rPr>
          <w:rFonts w:ascii="Arial" w:hAnsi="Arial" w:cs="Arial"/>
          <w:color w:val="000000" w:themeColor="text1"/>
          <w:sz w:val="22"/>
          <w:szCs w:val="22"/>
        </w:rPr>
        <w:t>Risk assessment for transmissible disease</w:t>
      </w:r>
      <w:r w:rsidR="00210A9B" w:rsidRPr="00637586">
        <w:rPr>
          <w:rFonts w:ascii="Arial" w:hAnsi="Arial" w:cs="Arial"/>
          <w:color w:val="000000" w:themeColor="text1"/>
          <w:sz w:val="22"/>
          <w:szCs w:val="22"/>
        </w:rPr>
        <w:t xml:space="preserve"> (performed by BBMR)</w:t>
      </w:r>
    </w:p>
    <w:p w14:paraId="12EA2692" w14:textId="021B6A36" w:rsidR="00F45C5D" w:rsidRPr="00637586" w:rsidRDefault="00F45C5D" w:rsidP="0043405B">
      <w:pPr>
        <w:pStyle w:val="NormalWeb"/>
        <w:ind w:left="709"/>
        <w:rPr>
          <w:rFonts w:ascii="Arial" w:hAnsi="Arial" w:cs="Arial"/>
          <w:color w:val="000000" w:themeColor="text1"/>
          <w:sz w:val="22"/>
          <w:szCs w:val="22"/>
        </w:rPr>
      </w:pPr>
    </w:p>
    <w:p w14:paraId="45BE3C92" w14:textId="1DDB2BF9" w:rsidR="00AC484A" w:rsidRPr="00637586" w:rsidRDefault="00AC484A" w:rsidP="00AC484A">
      <w:pPr>
        <w:numPr>
          <w:ilvl w:val="1"/>
          <w:numId w:val="3"/>
        </w:numPr>
        <w:rPr>
          <w:color w:val="000000" w:themeColor="text1"/>
          <w:sz w:val="22"/>
          <w:szCs w:val="22"/>
        </w:rPr>
      </w:pPr>
      <w:r w:rsidRPr="00637586">
        <w:rPr>
          <w:color w:val="000000" w:themeColor="text1"/>
          <w:sz w:val="22"/>
          <w:szCs w:val="22"/>
        </w:rPr>
        <w:t>Staff completing questionnaires who identify risks are to ask additional probing questions and capture additional details on forms e.g., the dates of needlestick injuries or relevant sexual activity.  These details are to be communicated to BBMR on a returned G926B1</w:t>
      </w:r>
      <w:r w:rsidR="004776A9" w:rsidRPr="00637586">
        <w:rPr>
          <w:color w:val="000000" w:themeColor="text1"/>
          <w:sz w:val="22"/>
          <w:szCs w:val="22"/>
        </w:rPr>
        <w:t xml:space="preserve">, </w:t>
      </w:r>
      <w:r w:rsidR="004776A9" w:rsidRPr="00637586">
        <w:rPr>
          <w:color w:val="000000" w:themeColor="text1"/>
        </w:rPr>
        <w:t>FRM4246</w:t>
      </w:r>
      <w:r w:rsidRPr="00637586">
        <w:rPr>
          <w:color w:val="000000" w:themeColor="text1"/>
          <w:sz w:val="22"/>
          <w:szCs w:val="22"/>
        </w:rPr>
        <w:t xml:space="preserve"> or the medical assessment letter</w:t>
      </w:r>
      <w:r w:rsidR="004776A9" w:rsidRPr="00637586">
        <w:rPr>
          <w:color w:val="000000" w:themeColor="text1"/>
          <w:sz w:val="22"/>
          <w:szCs w:val="22"/>
        </w:rPr>
        <w:t xml:space="preserve"> / or other agreed equivalent in-house checking form</w:t>
      </w:r>
      <w:r w:rsidRPr="00637586">
        <w:rPr>
          <w:color w:val="000000" w:themeColor="text1"/>
          <w:sz w:val="22"/>
          <w:szCs w:val="22"/>
        </w:rPr>
        <w:t>.</w:t>
      </w:r>
    </w:p>
    <w:p w14:paraId="48FE8A48" w14:textId="77777777" w:rsidR="00AC484A" w:rsidRPr="00637586" w:rsidRDefault="00AC484A" w:rsidP="00AC484A">
      <w:pPr>
        <w:ind w:left="540"/>
        <w:rPr>
          <w:color w:val="000000" w:themeColor="text1"/>
          <w:sz w:val="22"/>
          <w:szCs w:val="22"/>
        </w:rPr>
      </w:pPr>
    </w:p>
    <w:p w14:paraId="35816273" w14:textId="68276E6E" w:rsidR="00B64E22" w:rsidRPr="00836E13" w:rsidRDefault="00F45C5D" w:rsidP="00836E13">
      <w:pPr>
        <w:numPr>
          <w:ilvl w:val="1"/>
          <w:numId w:val="3"/>
        </w:numPr>
        <w:rPr>
          <w:color w:val="000000" w:themeColor="text1"/>
          <w:sz w:val="22"/>
          <w:szCs w:val="22"/>
        </w:rPr>
      </w:pPr>
      <w:r w:rsidRPr="00637586">
        <w:rPr>
          <w:color w:val="000000" w:themeColor="text1"/>
          <w:sz w:val="22"/>
          <w:szCs w:val="22"/>
        </w:rPr>
        <w:t xml:space="preserve">The Collection Centre is to inform the donor of any relevant pathological findings and explicitly document whether the donor has or has not been informed on a returned </w:t>
      </w:r>
      <w:r w:rsidR="004776A9" w:rsidRPr="00637586">
        <w:rPr>
          <w:color w:val="000000" w:themeColor="text1"/>
          <w:sz w:val="22"/>
          <w:szCs w:val="22"/>
        </w:rPr>
        <w:t xml:space="preserve">G926B1, </w:t>
      </w:r>
      <w:r w:rsidR="004776A9" w:rsidRPr="00637586">
        <w:rPr>
          <w:color w:val="000000" w:themeColor="text1"/>
        </w:rPr>
        <w:t>FRM4246</w:t>
      </w:r>
      <w:r w:rsidR="004776A9" w:rsidRPr="00637586">
        <w:rPr>
          <w:color w:val="000000" w:themeColor="text1"/>
          <w:sz w:val="22"/>
          <w:szCs w:val="22"/>
        </w:rPr>
        <w:t xml:space="preserve"> or the medical assessment letter / or other agreed equivalent in-house checking form.</w:t>
      </w:r>
    </w:p>
    <w:bookmarkEnd w:id="6"/>
    <w:bookmarkEnd w:id="7"/>
    <w:p w14:paraId="7A08C674" w14:textId="77777777" w:rsidR="00A81DBF" w:rsidRPr="00637586" w:rsidRDefault="00A81DBF" w:rsidP="002439B3">
      <w:pPr>
        <w:numPr>
          <w:ilvl w:val="0"/>
          <w:numId w:val="3"/>
        </w:numPr>
        <w:spacing w:before="360"/>
        <w:ind w:left="902" w:hanging="902"/>
        <w:rPr>
          <w:rFonts w:cs="Arial"/>
          <w:b/>
          <w:color w:val="000000" w:themeColor="text1"/>
          <w:sz w:val="22"/>
          <w:szCs w:val="22"/>
        </w:rPr>
      </w:pPr>
      <w:r w:rsidRPr="00637586">
        <w:rPr>
          <w:rFonts w:cs="Arial"/>
          <w:b/>
          <w:color w:val="000000" w:themeColor="text1"/>
          <w:sz w:val="22"/>
          <w:szCs w:val="22"/>
        </w:rPr>
        <w:lastRenderedPageBreak/>
        <w:t>Quality</w:t>
      </w:r>
    </w:p>
    <w:p w14:paraId="3DB24B9F" w14:textId="77777777" w:rsidR="00A81DBF" w:rsidRPr="00637586" w:rsidRDefault="00A81DBF" w:rsidP="00A81DBF">
      <w:pPr>
        <w:rPr>
          <w:rFonts w:cs="Arial"/>
          <w:b/>
          <w:color w:val="000000" w:themeColor="text1"/>
          <w:sz w:val="22"/>
          <w:szCs w:val="22"/>
        </w:rPr>
      </w:pPr>
    </w:p>
    <w:p w14:paraId="7C0BF9C9" w14:textId="77777777" w:rsidR="00A81DBF" w:rsidRPr="006C70FF" w:rsidRDefault="00A81DBF" w:rsidP="00A81DBF">
      <w:pPr>
        <w:rPr>
          <w:color w:val="000000" w:themeColor="text1"/>
          <w:sz w:val="22"/>
          <w:szCs w:val="22"/>
        </w:rPr>
      </w:pPr>
      <w:r w:rsidRPr="00637586">
        <w:rPr>
          <w:color w:val="000000" w:themeColor="text1"/>
          <w:sz w:val="22"/>
          <w:szCs w:val="22"/>
        </w:rPr>
        <w:t xml:space="preserve">BBMR is committed to a </w:t>
      </w:r>
      <w:r w:rsidRPr="006C70FF">
        <w:rPr>
          <w:color w:val="000000" w:themeColor="text1"/>
          <w:sz w:val="22"/>
          <w:szCs w:val="22"/>
        </w:rPr>
        <w:t>system of total quality management, which will ensure that its services fully meet the requirements of clinicians, patients and donors and conform to relevant national standards. The principal guidelines covering the activities of BBMR services are:</w:t>
      </w:r>
    </w:p>
    <w:p w14:paraId="727A8ADA" w14:textId="77777777" w:rsidR="00A81DBF" w:rsidRPr="006C70FF" w:rsidRDefault="00A81DBF" w:rsidP="00A81DBF">
      <w:pPr>
        <w:ind w:left="426" w:hanging="426"/>
        <w:rPr>
          <w:color w:val="000000" w:themeColor="text1"/>
          <w:sz w:val="22"/>
        </w:rPr>
      </w:pPr>
    </w:p>
    <w:p w14:paraId="622DD0B1" w14:textId="77777777" w:rsidR="00A81DBF" w:rsidRPr="006C70FF" w:rsidRDefault="00A81DBF" w:rsidP="00A81DBF">
      <w:pPr>
        <w:numPr>
          <w:ilvl w:val="0"/>
          <w:numId w:val="5"/>
        </w:numPr>
        <w:rPr>
          <w:color w:val="000000" w:themeColor="text1"/>
          <w:sz w:val="22"/>
          <w:szCs w:val="22"/>
        </w:rPr>
      </w:pPr>
      <w:r w:rsidRPr="006C70FF">
        <w:rPr>
          <w:color w:val="000000" w:themeColor="text1"/>
          <w:sz w:val="22"/>
          <w:szCs w:val="22"/>
        </w:rPr>
        <w:t>Guidelines for the Blood Transfusion Services in the United Kingdom, Current Edition; Chapter 22 Haematopoietic Progenitor Cells.</w:t>
      </w:r>
    </w:p>
    <w:p w14:paraId="12AC0E1D" w14:textId="77777777" w:rsidR="00A81DBF" w:rsidRPr="006C70FF" w:rsidRDefault="00A81DBF" w:rsidP="00A81DBF">
      <w:pPr>
        <w:numPr>
          <w:ilvl w:val="0"/>
          <w:numId w:val="5"/>
        </w:numPr>
        <w:rPr>
          <w:color w:val="000000" w:themeColor="text1"/>
          <w:sz w:val="22"/>
          <w:szCs w:val="22"/>
        </w:rPr>
      </w:pPr>
      <w:r w:rsidRPr="006C70FF">
        <w:rPr>
          <w:color w:val="000000" w:themeColor="text1"/>
          <w:sz w:val="22"/>
          <w:szCs w:val="22"/>
        </w:rPr>
        <w:t xml:space="preserve">Department of Health. Guidance on the Microbiological Safety of Human Organs, Tissues and Cells used in Transplantation. Advisory committee on the microbiological safety of blood and tissues for transplantation. </w:t>
      </w:r>
    </w:p>
    <w:p w14:paraId="6DA63304" w14:textId="77777777" w:rsidR="00A81DBF" w:rsidRPr="00637586" w:rsidRDefault="00A81DBF" w:rsidP="00A81DBF">
      <w:pPr>
        <w:numPr>
          <w:ilvl w:val="0"/>
          <w:numId w:val="5"/>
        </w:numPr>
        <w:rPr>
          <w:color w:val="000000" w:themeColor="text1"/>
          <w:sz w:val="22"/>
          <w:szCs w:val="22"/>
        </w:rPr>
      </w:pPr>
      <w:r w:rsidRPr="00637586">
        <w:rPr>
          <w:color w:val="000000" w:themeColor="text1"/>
          <w:sz w:val="22"/>
          <w:szCs w:val="22"/>
        </w:rPr>
        <w:t>Standards for Haematopoietic Progenitor Cell Collection, Processing and Transplantation. Current Edition. From the Joint Accreditation Committee of ISCT-EBMT.</w:t>
      </w:r>
    </w:p>
    <w:p w14:paraId="1C002168" w14:textId="14721952" w:rsidR="00A81DBF" w:rsidRPr="00637586" w:rsidRDefault="00A81DBF" w:rsidP="00A81DBF">
      <w:pPr>
        <w:numPr>
          <w:ilvl w:val="0"/>
          <w:numId w:val="5"/>
        </w:numPr>
        <w:rPr>
          <w:color w:val="000000" w:themeColor="text1"/>
          <w:sz w:val="22"/>
          <w:szCs w:val="22"/>
        </w:rPr>
      </w:pPr>
      <w:r w:rsidRPr="00637586">
        <w:rPr>
          <w:color w:val="000000" w:themeColor="text1"/>
          <w:sz w:val="22"/>
          <w:szCs w:val="22"/>
        </w:rPr>
        <w:t>BBMR Quality Plan (</w:t>
      </w:r>
      <w:hyperlink r:id="rId21" w:history="1">
        <w:r w:rsidRPr="00637586">
          <w:rPr>
            <w:color w:val="000000" w:themeColor="text1"/>
            <w:sz w:val="22"/>
            <w:szCs w:val="22"/>
          </w:rPr>
          <w:t>MPD1207</w:t>
        </w:r>
      </w:hyperlink>
      <w:r w:rsidRPr="00637586">
        <w:rPr>
          <w:color w:val="000000" w:themeColor="text1"/>
          <w:sz w:val="22"/>
          <w:szCs w:val="22"/>
        </w:rPr>
        <w:t>).</w:t>
      </w:r>
    </w:p>
    <w:p w14:paraId="4C0E5D7C" w14:textId="7A29CB14" w:rsidR="00A81DBF" w:rsidRPr="00637586" w:rsidRDefault="00C0556F" w:rsidP="00A81DBF">
      <w:pPr>
        <w:numPr>
          <w:ilvl w:val="0"/>
          <w:numId w:val="5"/>
        </w:numPr>
        <w:rPr>
          <w:color w:val="000000" w:themeColor="text1"/>
          <w:sz w:val="22"/>
          <w:szCs w:val="22"/>
        </w:rPr>
      </w:pPr>
      <w:r w:rsidRPr="00637586">
        <w:rPr>
          <w:color w:val="000000" w:themeColor="text1"/>
          <w:sz w:val="22"/>
          <w:szCs w:val="22"/>
        </w:rPr>
        <w:t xml:space="preserve">Prevailing </w:t>
      </w:r>
      <w:r w:rsidR="00A81DBF" w:rsidRPr="00637586">
        <w:rPr>
          <w:color w:val="000000" w:themeColor="text1"/>
          <w:sz w:val="22"/>
          <w:szCs w:val="22"/>
        </w:rPr>
        <w:t>HTA Directions - Guide to Quality and Safety Assurance for Human Tissues and Cells for Patient Treatment</w:t>
      </w:r>
    </w:p>
    <w:p w14:paraId="5E253B8E" w14:textId="77777777" w:rsidR="00A81DBF" w:rsidRPr="006C70FF" w:rsidRDefault="00A81DBF" w:rsidP="00A81DBF">
      <w:pPr>
        <w:numPr>
          <w:ilvl w:val="0"/>
          <w:numId w:val="5"/>
        </w:numPr>
        <w:rPr>
          <w:color w:val="000000" w:themeColor="text1"/>
          <w:sz w:val="22"/>
          <w:szCs w:val="22"/>
        </w:rPr>
      </w:pPr>
      <w:r w:rsidRPr="00637586">
        <w:rPr>
          <w:color w:val="000000" w:themeColor="text1"/>
          <w:sz w:val="22"/>
          <w:szCs w:val="22"/>
        </w:rPr>
        <w:t xml:space="preserve">Current Good </w:t>
      </w:r>
      <w:r w:rsidRPr="006C70FF">
        <w:rPr>
          <w:color w:val="000000" w:themeColor="text1"/>
          <w:sz w:val="22"/>
          <w:szCs w:val="22"/>
        </w:rPr>
        <w:t>Tissue Practice for Human Cell, Tissue, and Cellular and Tissue-Based Products, Food and Drug Administration.</w:t>
      </w:r>
    </w:p>
    <w:p w14:paraId="556AAACC" w14:textId="77777777" w:rsidR="00A81DBF" w:rsidRPr="006C70FF" w:rsidRDefault="00A81DBF" w:rsidP="00A81DBF">
      <w:pPr>
        <w:numPr>
          <w:ilvl w:val="0"/>
          <w:numId w:val="5"/>
        </w:numPr>
        <w:rPr>
          <w:rFonts w:cs="Arial"/>
          <w:b/>
          <w:color w:val="000000" w:themeColor="text1"/>
          <w:sz w:val="22"/>
          <w:szCs w:val="22"/>
        </w:rPr>
      </w:pPr>
      <w:r w:rsidRPr="006C70FF">
        <w:rPr>
          <w:color w:val="000000" w:themeColor="text1"/>
          <w:sz w:val="22"/>
          <w:szCs w:val="22"/>
        </w:rPr>
        <w:t>International Standards for Unrelated Hematopoietic Stem Cell Donor Registries, World Marrow Donor Association.</w:t>
      </w:r>
      <w:r w:rsidRPr="006C70FF">
        <w:rPr>
          <w:color w:val="000000" w:themeColor="text1"/>
          <w:sz w:val="22"/>
          <w:szCs w:val="22"/>
        </w:rPr>
        <w:br/>
      </w:r>
    </w:p>
    <w:p w14:paraId="782749BE" w14:textId="77777777" w:rsidR="00A81DBF" w:rsidRPr="006C70FF" w:rsidRDefault="00A81DBF" w:rsidP="00A81DBF">
      <w:pPr>
        <w:numPr>
          <w:ilvl w:val="0"/>
          <w:numId w:val="3"/>
        </w:numPr>
        <w:ind w:hanging="900"/>
        <w:rPr>
          <w:rFonts w:cs="Arial"/>
          <w:b/>
          <w:color w:val="000000" w:themeColor="text1"/>
          <w:sz w:val="22"/>
          <w:szCs w:val="22"/>
        </w:rPr>
      </w:pPr>
      <w:r w:rsidRPr="006C70FF">
        <w:rPr>
          <w:rFonts w:cs="Arial"/>
          <w:b/>
          <w:color w:val="000000" w:themeColor="text1"/>
          <w:sz w:val="22"/>
          <w:szCs w:val="22"/>
        </w:rPr>
        <w:t>Confidentiality</w:t>
      </w:r>
    </w:p>
    <w:p w14:paraId="164504F9" w14:textId="77777777" w:rsidR="00A81DBF" w:rsidRPr="006C70FF" w:rsidRDefault="00A81DBF" w:rsidP="00A81DBF">
      <w:pPr>
        <w:rPr>
          <w:color w:val="000000" w:themeColor="text1"/>
          <w:sz w:val="22"/>
        </w:rPr>
      </w:pPr>
    </w:p>
    <w:p w14:paraId="70DC7D2D"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Neither party shall disclose to any third party, excluding those working on behalf of BBMR or the service provider, information relating to this service which concerns the identity and personal details or medical condition of any donor or patient. Personal data will be managed in accordance with the General Data Protection Regulation (GDPR) and all other relevant privacy and data protection laws.  See appendix N for the type of personal data and categories of data subject associated with this specification.</w:t>
      </w:r>
    </w:p>
    <w:p w14:paraId="55BB1471" w14:textId="77777777" w:rsidR="00A81DBF" w:rsidRPr="006C70FF" w:rsidRDefault="00A81DBF" w:rsidP="00A81DBF">
      <w:pPr>
        <w:ind w:left="360"/>
        <w:rPr>
          <w:color w:val="000000" w:themeColor="text1"/>
          <w:sz w:val="22"/>
          <w:szCs w:val="22"/>
        </w:rPr>
      </w:pPr>
    </w:p>
    <w:p w14:paraId="050C1EE0" w14:textId="77777777" w:rsidR="00A81DBF" w:rsidRPr="006C70FF" w:rsidRDefault="00A81DBF" w:rsidP="00A81DBF">
      <w:pPr>
        <w:numPr>
          <w:ilvl w:val="1"/>
          <w:numId w:val="3"/>
        </w:numPr>
        <w:rPr>
          <w:color w:val="000000" w:themeColor="text1"/>
          <w:sz w:val="22"/>
          <w:szCs w:val="22"/>
        </w:rPr>
      </w:pPr>
      <w:r w:rsidRPr="006C70FF">
        <w:rPr>
          <w:color w:val="000000" w:themeColor="text1"/>
          <w:sz w:val="22"/>
        </w:rPr>
        <w:t>The BBMR and the service provider will maintain anonymity between patient and donor.</w:t>
      </w:r>
      <w:r w:rsidRPr="006C70FF">
        <w:rPr>
          <w:color w:val="000000" w:themeColor="text1"/>
          <w:sz w:val="22"/>
          <w:szCs w:val="22"/>
        </w:rPr>
        <w:t xml:space="preserve">  </w:t>
      </w:r>
      <w:r w:rsidRPr="006C70FF">
        <w:rPr>
          <w:color w:val="000000" w:themeColor="text1"/>
          <w:sz w:val="22"/>
        </w:rPr>
        <w:t xml:space="preserve">The age and region or country of the patient should not be given as this may influence the basis for consent. </w:t>
      </w:r>
    </w:p>
    <w:p w14:paraId="3D093976" w14:textId="77777777" w:rsidR="00A81DBF" w:rsidRPr="006C70FF" w:rsidRDefault="00A81DBF" w:rsidP="00A81DBF">
      <w:pPr>
        <w:rPr>
          <w:rFonts w:cs="Arial"/>
          <w:color w:val="000000" w:themeColor="text1"/>
          <w:sz w:val="22"/>
          <w:szCs w:val="22"/>
        </w:rPr>
      </w:pPr>
    </w:p>
    <w:p w14:paraId="25EE45A7" w14:textId="77777777" w:rsidR="00A81DBF" w:rsidRPr="006C70FF" w:rsidRDefault="00A81DBF" w:rsidP="00A81DBF">
      <w:pPr>
        <w:numPr>
          <w:ilvl w:val="0"/>
          <w:numId w:val="3"/>
        </w:numPr>
        <w:ind w:hanging="900"/>
        <w:rPr>
          <w:rFonts w:cs="Arial"/>
          <w:b/>
          <w:color w:val="000000" w:themeColor="text1"/>
          <w:sz w:val="22"/>
          <w:szCs w:val="22"/>
        </w:rPr>
      </w:pPr>
      <w:r w:rsidRPr="006C70FF">
        <w:rPr>
          <w:rFonts w:cs="Arial"/>
          <w:b/>
          <w:color w:val="000000" w:themeColor="text1"/>
          <w:sz w:val="22"/>
          <w:szCs w:val="22"/>
        </w:rPr>
        <w:t>Security of Data</w:t>
      </w:r>
    </w:p>
    <w:p w14:paraId="40F2CCB8" w14:textId="77777777" w:rsidR="00A81DBF" w:rsidRPr="006C70FF" w:rsidRDefault="00A81DBF" w:rsidP="00A81DBF">
      <w:pPr>
        <w:rPr>
          <w:rFonts w:cs="Arial"/>
          <w:b/>
          <w:color w:val="000000" w:themeColor="text1"/>
          <w:sz w:val="22"/>
          <w:szCs w:val="22"/>
        </w:rPr>
      </w:pPr>
    </w:p>
    <w:p w14:paraId="3DA47966"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The BBMR and the service provider will ensure the security of data exchanged electronically.</w:t>
      </w:r>
    </w:p>
    <w:p w14:paraId="69D20DA0" w14:textId="77777777" w:rsidR="00A81DBF" w:rsidRPr="006C70FF" w:rsidRDefault="00A81DBF" w:rsidP="00A81DBF">
      <w:pPr>
        <w:ind w:left="360"/>
        <w:rPr>
          <w:color w:val="000000" w:themeColor="text1"/>
          <w:sz w:val="22"/>
          <w:szCs w:val="22"/>
        </w:rPr>
      </w:pPr>
    </w:p>
    <w:p w14:paraId="3A61AF95" w14:textId="51096B96"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The BBMR central Office and the service provider will designate secure </w:t>
      </w:r>
      <w:r w:rsidR="002A3D9E" w:rsidRPr="006C70FF">
        <w:rPr>
          <w:color w:val="000000" w:themeColor="text1"/>
          <w:sz w:val="22"/>
          <w:szCs w:val="22"/>
        </w:rPr>
        <w:t>email transmission</w:t>
      </w:r>
      <w:r w:rsidRPr="006C70FF">
        <w:rPr>
          <w:color w:val="000000" w:themeColor="text1"/>
          <w:sz w:val="22"/>
          <w:szCs w:val="22"/>
        </w:rPr>
        <w:t xml:space="preserve"> when exchanging data on donors selected for HSC donation.</w:t>
      </w:r>
    </w:p>
    <w:p w14:paraId="5099B5A7" w14:textId="77777777" w:rsidR="00A81DBF" w:rsidRPr="006C70FF" w:rsidRDefault="00A81DBF" w:rsidP="00A81DBF">
      <w:pPr>
        <w:rPr>
          <w:color w:val="000000" w:themeColor="text1"/>
          <w:sz w:val="22"/>
          <w:szCs w:val="22"/>
        </w:rPr>
      </w:pPr>
    </w:p>
    <w:p w14:paraId="33DAAF4B"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The BBMR central Office with its Donor Centres and the service provider will ensure the security of person identifiable data sent by email. Acceptable transmission formats are:</w:t>
      </w:r>
    </w:p>
    <w:p w14:paraId="6783B21A" w14:textId="77777777" w:rsidR="00A81DBF" w:rsidRPr="006C70FF" w:rsidRDefault="00A81DBF" w:rsidP="00A81DBF">
      <w:pPr>
        <w:rPr>
          <w:color w:val="000000" w:themeColor="text1"/>
          <w:sz w:val="22"/>
          <w:szCs w:val="22"/>
        </w:rPr>
      </w:pPr>
    </w:p>
    <w:p w14:paraId="425471D4" w14:textId="055C8F3F" w:rsidR="00A81DBF" w:rsidRPr="006C70FF" w:rsidRDefault="00A81DBF" w:rsidP="00A81DBF">
      <w:pPr>
        <w:numPr>
          <w:ilvl w:val="2"/>
          <w:numId w:val="3"/>
        </w:numPr>
        <w:rPr>
          <w:color w:val="000000" w:themeColor="text1"/>
          <w:sz w:val="22"/>
          <w:szCs w:val="22"/>
        </w:rPr>
      </w:pPr>
      <w:r w:rsidRPr="006C70FF">
        <w:rPr>
          <w:color w:val="000000" w:themeColor="text1"/>
          <w:sz w:val="22"/>
          <w:szCs w:val="22"/>
        </w:rPr>
        <w:t xml:space="preserve">Within NHSBT, NHSBT </w:t>
      </w:r>
      <w:r w:rsidR="00F40BE9" w:rsidRPr="006C70FF">
        <w:rPr>
          <w:color w:val="000000" w:themeColor="text1"/>
          <w:sz w:val="22"/>
          <w:szCs w:val="22"/>
        </w:rPr>
        <w:t>email.</w:t>
      </w:r>
    </w:p>
    <w:p w14:paraId="3C9F9873" w14:textId="79F0831B" w:rsidR="00A81DBF" w:rsidRPr="006C70FF" w:rsidRDefault="00A81DBF" w:rsidP="00A81DBF">
      <w:pPr>
        <w:numPr>
          <w:ilvl w:val="2"/>
          <w:numId w:val="3"/>
        </w:numPr>
        <w:rPr>
          <w:color w:val="000000" w:themeColor="text1"/>
          <w:sz w:val="22"/>
          <w:szCs w:val="22"/>
        </w:rPr>
      </w:pPr>
      <w:r w:rsidRPr="006C70FF">
        <w:rPr>
          <w:color w:val="000000" w:themeColor="text1"/>
          <w:sz w:val="22"/>
          <w:szCs w:val="22"/>
        </w:rPr>
        <w:t xml:space="preserve">Outside NHSBT but within NHS, </w:t>
      </w:r>
      <w:proofErr w:type="spellStart"/>
      <w:r w:rsidR="00F40BE9" w:rsidRPr="006C70FF">
        <w:rPr>
          <w:color w:val="000000" w:themeColor="text1"/>
          <w:sz w:val="22"/>
          <w:szCs w:val="22"/>
        </w:rPr>
        <w:t>NHSmail</w:t>
      </w:r>
      <w:proofErr w:type="spellEnd"/>
      <w:r w:rsidR="00F40BE9" w:rsidRPr="006C70FF">
        <w:rPr>
          <w:color w:val="000000" w:themeColor="text1"/>
          <w:sz w:val="22"/>
          <w:szCs w:val="22"/>
        </w:rPr>
        <w:t>.</w:t>
      </w:r>
    </w:p>
    <w:p w14:paraId="51A843BA" w14:textId="77777777" w:rsidR="00A81DBF" w:rsidRPr="006C70FF" w:rsidRDefault="00A81DBF" w:rsidP="00A81DBF">
      <w:pPr>
        <w:numPr>
          <w:ilvl w:val="2"/>
          <w:numId w:val="3"/>
        </w:numPr>
        <w:rPr>
          <w:color w:val="000000" w:themeColor="text1"/>
          <w:sz w:val="22"/>
          <w:szCs w:val="22"/>
        </w:rPr>
      </w:pPr>
      <w:r w:rsidRPr="006C70FF">
        <w:rPr>
          <w:color w:val="000000" w:themeColor="text1"/>
          <w:sz w:val="22"/>
          <w:szCs w:val="22"/>
        </w:rPr>
        <w:t>NHSBT to non-NHS, encrypted email system.</w:t>
      </w:r>
    </w:p>
    <w:p w14:paraId="3F3B0924" w14:textId="77777777" w:rsidR="00A81DBF" w:rsidRPr="006C70FF" w:rsidRDefault="00A81DBF" w:rsidP="00A81DBF">
      <w:pPr>
        <w:rPr>
          <w:rFonts w:cs="Arial"/>
          <w:b/>
          <w:color w:val="000000" w:themeColor="text1"/>
          <w:sz w:val="22"/>
          <w:szCs w:val="22"/>
        </w:rPr>
      </w:pPr>
    </w:p>
    <w:p w14:paraId="56DA8A5C" w14:textId="77777777" w:rsidR="00A81DBF" w:rsidRPr="006C70FF" w:rsidRDefault="00A81DBF" w:rsidP="00A81DBF">
      <w:pPr>
        <w:numPr>
          <w:ilvl w:val="0"/>
          <w:numId w:val="3"/>
        </w:numPr>
        <w:ind w:hanging="900"/>
        <w:rPr>
          <w:rFonts w:cs="Arial"/>
          <w:b/>
          <w:color w:val="000000" w:themeColor="text1"/>
          <w:sz w:val="22"/>
          <w:szCs w:val="22"/>
        </w:rPr>
      </w:pPr>
      <w:r w:rsidRPr="006C70FF">
        <w:rPr>
          <w:rFonts w:cs="Arial"/>
          <w:b/>
          <w:color w:val="000000" w:themeColor="text1"/>
          <w:sz w:val="22"/>
          <w:szCs w:val="22"/>
        </w:rPr>
        <w:t>Licensing and Accreditation</w:t>
      </w:r>
    </w:p>
    <w:p w14:paraId="18FAD4EC" w14:textId="77777777" w:rsidR="00A81DBF" w:rsidRPr="006C70FF" w:rsidRDefault="00A81DBF" w:rsidP="00A81DBF">
      <w:pPr>
        <w:rPr>
          <w:rFonts w:cs="Arial"/>
          <w:b/>
          <w:color w:val="000000" w:themeColor="text1"/>
          <w:sz w:val="22"/>
          <w:szCs w:val="22"/>
        </w:rPr>
      </w:pPr>
    </w:p>
    <w:p w14:paraId="69C731FB" w14:textId="714A3BFA" w:rsidR="00A81DBF" w:rsidRPr="006C70FF" w:rsidRDefault="00A81DBF" w:rsidP="00A81DBF">
      <w:pPr>
        <w:numPr>
          <w:ilvl w:val="1"/>
          <w:numId w:val="3"/>
        </w:numPr>
        <w:rPr>
          <w:color w:val="000000" w:themeColor="text1"/>
          <w:sz w:val="22"/>
          <w:szCs w:val="22"/>
        </w:rPr>
      </w:pPr>
      <w:r w:rsidRPr="006C70FF">
        <w:rPr>
          <w:color w:val="000000" w:themeColor="text1"/>
          <w:sz w:val="22"/>
          <w:szCs w:val="22"/>
        </w:rPr>
        <w:t xml:space="preserve">The BBMR and the service provider must maintain appropriate human application licensure with the competent authority </w:t>
      </w:r>
      <w:r w:rsidR="00C0556F" w:rsidRPr="006C70FF">
        <w:rPr>
          <w:color w:val="000000" w:themeColor="text1"/>
          <w:sz w:val="22"/>
          <w:szCs w:val="22"/>
        </w:rPr>
        <w:t>e.g.,</w:t>
      </w:r>
      <w:r w:rsidRPr="006C70FF">
        <w:rPr>
          <w:color w:val="000000" w:themeColor="text1"/>
          <w:sz w:val="22"/>
          <w:szCs w:val="22"/>
        </w:rPr>
        <w:t xml:space="preserve"> Human Tissue Authority </w:t>
      </w:r>
    </w:p>
    <w:p w14:paraId="61FEA0C3" w14:textId="77777777" w:rsidR="00D44EF0" w:rsidRPr="006C70FF" w:rsidRDefault="00D44EF0" w:rsidP="00D44EF0">
      <w:pPr>
        <w:ind w:left="540"/>
        <w:rPr>
          <w:color w:val="000000" w:themeColor="text1"/>
          <w:sz w:val="22"/>
          <w:szCs w:val="22"/>
        </w:rPr>
      </w:pPr>
    </w:p>
    <w:p w14:paraId="19D558A1"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The service provider must maintain JACIE accreditation or demonstrate progress towards accreditation, and comply with pertinent World Marrow Donor Association (WMDA) standards</w:t>
      </w:r>
    </w:p>
    <w:p w14:paraId="28B5E84A" w14:textId="77777777" w:rsidR="00A81DBF" w:rsidRPr="006C70FF" w:rsidRDefault="00A81DBF" w:rsidP="00A81DBF">
      <w:pPr>
        <w:rPr>
          <w:color w:val="000000" w:themeColor="text1"/>
          <w:sz w:val="22"/>
          <w:szCs w:val="22"/>
        </w:rPr>
      </w:pPr>
    </w:p>
    <w:p w14:paraId="659D2384" w14:textId="77777777" w:rsidR="00A81DBF" w:rsidRPr="006C70FF" w:rsidRDefault="00A81DBF" w:rsidP="00A81DBF">
      <w:pPr>
        <w:numPr>
          <w:ilvl w:val="1"/>
          <w:numId w:val="3"/>
        </w:numPr>
        <w:rPr>
          <w:color w:val="000000" w:themeColor="text1"/>
          <w:sz w:val="22"/>
          <w:szCs w:val="22"/>
        </w:rPr>
      </w:pPr>
      <w:r w:rsidRPr="006C70FF">
        <w:rPr>
          <w:color w:val="000000" w:themeColor="text1"/>
          <w:sz w:val="22"/>
          <w:szCs w:val="22"/>
        </w:rPr>
        <w:t>The BBMR must maintain accreditation with the World Marrow Donor Association (WMDA).</w:t>
      </w:r>
    </w:p>
    <w:p w14:paraId="5868677A" w14:textId="77777777" w:rsidR="00A81DBF" w:rsidRPr="006C70FF" w:rsidRDefault="00A81DBF" w:rsidP="00A81DBF">
      <w:pPr>
        <w:rPr>
          <w:color w:val="000000" w:themeColor="text1"/>
          <w:sz w:val="22"/>
          <w:szCs w:val="22"/>
        </w:rPr>
      </w:pPr>
    </w:p>
    <w:p w14:paraId="38569C12" w14:textId="5C310C8E" w:rsidR="00A81DBF" w:rsidRPr="006C70FF" w:rsidRDefault="00A81DBF" w:rsidP="00A81DBF">
      <w:pPr>
        <w:numPr>
          <w:ilvl w:val="1"/>
          <w:numId w:val="3"/>
        </w:numPr>
        <w:rPr>
          <w:b/>
          <w:color w:val="000000" w:themeColor="text1"/>
          <w:sz w:val="22"/>
        </w:rPr>
      </w:pPr>
      <w:r w:rsidRPr="006C70FF">
        <w:rPr>
          <w:color w:val="000000" w:themeColor="text1"/>
          <w:sz w:val="22"/>
          <w:szCs w:val="22"/>
        </w:rPr>
        <w:t>The service provider must report pertinent serious adverse events to the HTA and to BBMR as soon as they are detected (and within 24 hours)</w:t>
      </w:r>
      <w:r w:rsidR="002A3D9E" w:rsidRPr="006C70FF">
        <w:rPr>
          <w:color w:val="000000" w:themeColor="text1"/>
          <w:sz w:val="22"/>
          <w:szCs w:val="22"/>
        </w:rPr>
        <w:t xml:space="preserve">. </w:t>
      </w:r>
      <w:r w:rsidRPr="006C70FF">
        <w:rPr>
          <w:color w:val="000000" w:themeColor="text1"/>
          <w:sz w:val="22"/>
          <w:szCs w:val="22"/>
        </w:rPr>
        <w:t xml:space="preserve">BBMR reserves the right to have final say on whether an event fits the definition of a serious adverse event and may request that an event must be reported by the service provider on to the relevant regulatory body. </w:t>
      </w:r>
    </w:p>
    <w:p w14:paraId="3D439C61" w14:textId="6363B422" w:rsidR="00F669C3" w:rsidRPr="006C70FF" w:rsidRDefault="00F669C3" w:rsidP="00A81DBF">
      <w:pPr>
        <w:rPr>
          <w:b/>
          <w:color w:val="000000" w:themeColor="text1"/>
          <w:sz w:val="22"/>
        </w:rPr>
      </w:pPr>
    </w:p>
    <w:p w14:paraId="0302772A" w14:textId="77777777" w:rsidR="008414E6" w:rsidRPr="006C70FF" w:rsidRDefault="008414E6" w:rsidP="00A81DBF">
      <w:pPr>
        <w:rPr>
          <w:b/>
          <w:color w:val="000000" w:themeColor="text1"/>
          <w:sz w:val="22"/>
        </w:rPr>
      </w:pPr>
    </w:p>
    <w:p w14:paraId="63435DC0" w14:textId="77777777" w:rsidR="00A81DBF" w:rsidRPr="006C70FF" w:rsidRDefault="00A81DBF" w:rsidP="00A81DBF">
      <w:pPr>
        <w:numPr>
          <w:ilvl w:val="0"/>
          <w:numId w:val="3"/>
        </w:numPr>
        <w:ind w:hanging="900"/>
        <w:rPr>
          <w:rFonts w:cs="Arial"/>
          <w:b/>
          <w:color w:val="000000" w:themeColor="text1"/>
          <w:sz w:val="22"/>
          <w:szCs w:val="22"/>
        </w:rPr>
      </w:pPr>
      <w:r w:rsidRPr="006C70FF">
        <w:rPr>
          <w:rFonts w:cs="Arial"/>
          <w:b/>
          <w:color w:val="000000" w:themeColor="text1"/>
          <w:sz w:val="22"/>
          <w:szCs w:val="22"/>
        </w:rPr>
        <w:t>Performance Review and Key Performance Indicators</w:t>
      </w:r>
    </w:p>
    <w:p w14:paraId="2A70769A" w14:textId="77777777" w:rsidR="00A81DBF" w:rsidRPr="006C70FF" w:rsidRDefault="00A81DBF" w:rsidP="00A81DBF">
      <w:pPr>
        <w:rPr>
          <w:rFonts w:cs="Arial"/>
          <w:b/>
          <w:color w:val="000000" w:themeColor="text1"/>
          <w:sz w:val="22"/>
          <w:szCs w:val="22"/>
        </w:rPr>
      </w:pPr>
    </w:p>
    <w:p w14:paraId="3782C258" w14:textId="77777777" w:rsidR="00A81DBF" w:rsidRPr="006C70FF" w:rsidRDefault="00A81DBF" w:rsidP="00A81DBF">
      <w:pPr>
        <w:ind w:left="900" w:hanging="540"/>
        <w:rPr>
          <w:color w:val="000000" w:themeColor="text1"/>
          <w:sz w:val="22"/>
          <w:szCs w:val="22"/>
        </w:rPr>
      </w:pPr>
      <w:r w:rsidRPr="006C70FF">
        <w:rPr>
          <w:color w:val="000000" w:themeColor="text1"/>
          <w:sz w:val="22"/>
          <w:szCs w:val="22"/>
        </w:rPr>
        <w:t>7.1</w:t>
      </w:r>
      <w:r w:rsidRPr="006C70FF">
        <w:rPr>
          <w:color w:val="000000" w:themeColor="text1"/>
          <w:sz w:val="22"/>
          <w:szCs w:val="22"/>
        </w:rPr>
        <w:tab/>
        <w:t>Performance review meetings will be held bi-annually to formally discuss the service provided against agreed auditable criteria. Secondly, to determine trends in donor provision by the BBMR and demand on the service provider.</w:t>
      </w:r>
    </w:p>
    <w:p w14:paraId="2E667FFD" w14:textId="77777777" w:rsidR="00A81DBF" w:rsidRPr="006C70FF" w:rsidRDefault="00A81DBF" w:rsidP="00A81DBF">
      <w:pPr>
        <w:ind w:left="720"/>
        <w:rPr>
          <w:color w:val="000000" w:themeColor="text1"/>
          <w:sz w:val="22"/>
          <w:szCs w:val="22"/>
        </w:rPr>
      </w:pPr>
    </w:p>
    <w:p w14:paraId="6408B8B3" w14:textId="76F10768" w:rsidR="0051615F" w:rsidRPr="006C70FF" w:rsidRDefault="00A81DBF" w:rsidP="0051615F">
      <w:pPr>
        <w:numPr>
          <w:ilvl w:val="1"/>
          <w:numId w:val="6"/>
        </w:numPr>
        <w:ind w:hanging="436"/>
        <w:rPr>
          <w:color w:val="000000" w:themeColor="text1"/>
          <w:sz w:val="22"/>
          <w:szCs w:val="22"/>
        </w:rPr>
      </w:pPr>
      <w:r w:rsidRPr="006C70FF">
        <w:rPr>
          <w:color w:val="000000" w:themeColor="text1"/>
          <w:sz w:val="22"/>
          <w:szCs w:val="22"/>
        </w:rPr>
        <w:t>Key Performance Indicators (to be collected and documented by the service provider</w:t>
      </w:r>
      <w:r w:rsidR="008675D2" w:rsidRPr="006C70FF">
        <w:rPr>
          <w:color w:val="000000" w:themeColor="text1"/>
          <w:sz w:val="22"/>
          <w:szCs w:val="22"/>
        </w:rPr>
        <w:t xml:space="preserve"> although BBMR may provide other data for discussion </w:t>
      </w:r>
      <w:r w:rsidR="00F566C1" w:rsidRPr="006C70FF">
        <w:rPr>
          <w:color w:val="000000" w:themeColor="text1"/>
          <w:sz w:val="22"/>
          <w:szCs w:val="22"/>
        </w:rPr>
        <w:t>e.g.,</w:t>
      </w:r>
      <w:r w:rsidR="008675D2" w:rsidRPr="006C70FF">
        <w:rPr>
          <w:color w:val="000000" w:themeColor="text1"/>
          <w:sz w:val="22"/>
          <w:szCs w:val="22"/>
        </w:rPr>
        <w:t xml:space="preserve"> error logs</w:t>
      </w:r>
      <w:r w:rsidRPr="006C70FF">
        <w:rPr>
          <w:color w:val="000000" w:themeColor="text1"/>
          <w:sz w:val="22"/>
          <w:szCs w:val="22"/>
        </w:rPr>
        <w:t>) will include</w:t>
      </w:r>
      <w:r w:rsidR="0051615F" w:rsidRPr="006C70FF">
        <w:rPr>
          <w:color w:val="000000" w:themeColor="text1"/>
          <w:sz w:val="22"/>
          <w:szCs w:val="22"/>
        </w:rPr>
        <w:t xml:space="preserve"> for PBSC:</w:t>
      </w:r>
    </w:p>
    <w:p w14:paraId="5E0BC4FA" w14:textId="77777777" w:rsidR="00A81DBF" w:rsidRPr="006C70FF" w:rsidRDefault="00A81DBF" w:rsidP="00A81DBF">
      <w:pPr>
        <w:rPr>
          <w:color w:val="000000" w:themeColor="text1"/>
          <w:sz w:val="22"/>
          <w:szCs w:val="22"/>
        </w:rPr>
      </w:pPr>
    </w:p>
    <w:p w14:paraId="0C5EAB22" w14:textId="47161020" w:rsidR="0051615F" w:rsidRPr="006C70FF" w:rsidRDefault="0051615F" w:rsidP="00A81DBF">
      <w:pPr>
        <w:numPr>
          <w:ilvl w:val="2"/>
          <w:numId w:val="6"/>
        </w:numPr>
        <w:rPr>
          <w:color w:val="000000" w:themeColor="text1"/>
          <w:sz w:val="22"/>
          <w:szCs w:val="22"/>
        </w:rPr>
      </w:pPr>
      <w:r w:rsidRPr="006C70FF">
        <w:rPr>
          <w:color w:val="000000" w:themeColor="text1"/>
          <w:sz w:val="22"/>
          <w:szCs w:val="22"/>
        </w:rPr>
        <w:t xml:space="preserve">Number (and %) of donors achieving yield requested by TC </w:t>
      </w:r>
    </w:p>
    <w:p w14:paraId="4C451AEF" w14:textId="61FD5175" w:rsidR="0051615F" w:rsidRPr="006C70FF" w:rsidRDefault="0051615F" w:rsidP="00A81DBF">
      <w:pPr>
        <w:numPr>
          <w:ilvl w:val="2"/>
          <w:numId w:val="6"/>
        </w:numPr>
        <w:rPr>
          <w:color w:val="000000" w:themeColor="text1"/>
          <w:sz w:val="22"/>
          <w:szCs w:val="22"/>
        </w:rPr>
      </w:pPr>
      <w:r w:rsidRPr="006C70FF">
        <w:rPr>
          <w:color w:val="000000" w:themeColor="text1"/>
          <w:sz w:val="22"/>
          <w:szCs w:val="22"/>
        </w:rPr>
        <w:t>Number (and %) of donors achieving yield &gt;= minimum transplantable dose (= 2 x 10^6 CD34/kg)</w:t>
      </w:r>
    </w:p>
    <w:p w14:paraId="6184E2EC" w14:textId="0494A071" w:rsidR="0051615F" w:rsidRPr="006C70FF" w:rsidRDefault="0051615F" w:rsidP="00A81DBF">
      <w:pPr>
        <w:numPr>
          <w:ilvl w:val="2"/>
          <w:numId w:val="6"/>
        </w:numPr>
        <w:rPr>
          <w:color w:val="000000" w:themeColor="text1"/>
          <w:sz w:val="22"/>
          <w:szCs w:val="22"/>
        </w:rPr>
      </w:pPr>
      <w:r w:rsidRPr="006C70FF">
        <w:rPr>
          <w:color w:val="000000" w:themeColor="text1"/>
          <w:sz w:val="22"/>
          <w:szCs w:val="22"/>
        </w:rPr>
        <w:t>Number (and %) of donors having one versus two-day harvests</w:t>
      </w:r>
    </w:p>
    <w:p w14:paraId="434C671D" w14:textId="42C48707" w:rsidR="0051615F" w:rsidRPr="006C70FF" w:rsidRDefault="0051615F" w:rsidP="00A81DBF">
      <w:pPr>
        <w:numPr>
          <w:ilvl w:val="2"/>
          <w:numId w:val="6"/>
        </w:numPr>
        <w:rPr>
          <w:color w:val="000000" w:themeColor="text1"/>
          <w:sz w:val="22"/>
          <w:szCs w:val="22"/>
        </w:rPr>
      </w:pPr>
      <w:r w:rsidRPr="006C70FF">
        <w:rPr>
          <w:color w:val="000000" w:themeColor="text1"/>
          <w:sz w:val="22"/>
          <w:szCs w:val="22"/>
        </w:rPr>
        <w:t>Number (and %) of donors having central lines – elective vs unplanned</w:t>
      </w:r>
    </w:p>
    <w:p w14:paraId="512DA80F" w14:textId="2564FB48" w:rsidR="0051615F" w:rsidRPr="006C70FF" w:rsidRDefault="0051615F" w:rsidP="0051615F">
      <w:pPr>
        <w:numPr>
          <w:ilvl w:val="2"/>
          <w:numId w:val="6"/>
        </w:numPr>
        <w:rPr>
          <w:color w:val="000000" w:themeColor="text1"/>
          <w:sz w:val="22"/>
          <w:szCs w:val="22"/>
        </w:rPr>
      </w:pPr>
      <w:bookmarkStart w:id="9" w:name="_Hlk63844993"/>
      <w:r w:rsidRPr="006C70FF">
        <w:rPr>
          <w:color w:val="000000" w:themeColor="text1"/>
          <w:sz w:val="22"/>
          <w:szCs w:val="22"/>
        </w:rPr>
        <w:t>Number (and %) of collections with positive microbiology</w:t>
      </w:r>
    </w:p>
    <w:bookmarkEnd w:id="9"/>
    <w:p w14:paraId="07A15A17" w14:textId="5C03142D" w:rsidR="00A81DBF" w:rsidRPr="006C70FF" w:rsidRDefault="00A81DBF" w:rsidP="0051615F">
      <w:pPr>
        <w:numPr>
          <w:ilvl w:val="2"/>
          <w:numId w:val="6"/>
        </w:numPr>
        <w:rPr>
          <w:color w:val="000000" w:themeColor="text1"/>
          <w:sz w:val="22"/>
          <w:szCs w:val="22"/>
        </w:rPr>
      </w:pPr>
      <w:r w:rsidRPr="006C70FF">
        <w:rPr>
          <w:color w:val="000000" w:themeColor="text1"/>
          <w:sz w:val="22"/>
          <w:szCs w:val="22"/>
        </w:rPr>
        <w:t>Number of quality issues (</w:t>
      </w:r>
      <w:r w:rsidR="008675D2" w:rsidRPr="006C70FF">
        <w:rPr>
          <w:color w:val="000000" w:themeColor="text1"/>
          <w:sz w:val="22"/>
          <w:szCs w:val="22"/>
        </w:rPr>
        <w:t xml:space="preserve">including </w:t>
      </w:r>
      <w:r w:rsidRPr="006C70FF">
        <w:rPr>
          <w:color w:val="000000" w:themeColor="text1"/>
          <w:sz w:val="22"/>
          <w:szCs w:val="22"/>
        </w:rPr>
        <w:t xml:space="preserve">serious adverse events, serious adverse reactions, unplanned </w:t>
      </w:r>
      <w:r w:rsidR="008675D2" w:rsidRPr="006C70FF">
        <w:rPr>
          <w:color w:val="000000" w:themeColor="text1"/>
          <w:sz w:val="22"/>
          <w:szCs w:val="22"/>
        </w:rPr>
        <w:t>deviation,</w:t>
      </w:r>
      <w:r w:rsidRPr="006C70FF">
        <w:rPr>
          <w:color w:val="000000" w:themeColor="text1"/>
          <w:sz w:val="22"/>
          <w:szCs w:val="22"/>
        </w:rPr>
        <w:t xml:space="preserve"> and planned deviations) detected or reported to BBMR (+% total).</w:t>
      </w:r>
    </w:p>
    <w:p w14:paraId="6DB5E123" w14:textId="77777777" w:rsidR="00A81DBF" w:rsidRPr="006C70FF" w:rsidRDefault="00A81DBF" w:rsidP="00A81DBF">
      <w:pPr>
        <w:rPr>
          <w:rFonts w:cs="Arial"/>
          <w:b/>
          <w:color w:val="000000" w:themeColor="text1"/>
          <w:sz w:val="22"/>
          <w:szCs w:val="22"/>
        </w:rPr>
      </w:pPr>
    </w:p>
    <w:p w14:paraId="265806C9" w14:textId="54F0A9B3" w:rsidR="0051615F" w:rsidRPr="006C70FF" w:rsidRDefault="00A81DBF" w:rsidP="0051615F">
      <w:pPr>
        <w:pStyle w:val="ListParagraph"/>
        <w:numPr>
          <w:ilvl w:val="1"/>
          <w:numId w:val="6"/>
        </w:numPr>
        <w:tabs>
          <w:tab w:val="clear" w:pos="720"/>
          <w:tab w:val="num" w:pos="993"/>
        </w:tabs>
        <w:ind w:left="851" w:hanging="567"/>
        <w:rPr>
          <w:color w:val="000000" w:themeColor="text1"/>
          <w:sz w:val="22"/>
          <w:szCs w:val="22"/>
        </w:rPr>
      </w:pPr>
      <w:r w:rsidRPr="006C70FF">
        <w:rPr>
          <w:color w:val="000000" w:themeColor="text1"/>
          <w:sz w:val="22"/>
          <w:szCs w:val="22"/>
        </w:rPr>
        <w:t xml:space="preserve">The Service </w:t>
      </w:r>
      <w:r w:rsidR="0051615F" w:rsidRPr="006C70FF">
        <w:rPr>
          <w:color w:val="000000" w:themeColor="text1"/>
          <w:sz w:val="22"/>
          <w:szCs w:val="22"/>
        </w:rPr>
        <w:t>Key Performance Indicators (to be collected and documented by the service provider) will include for bone marrow:</w:t>
      </w:r>
    </w:p>
    <w:p w14:paraId="758AE07E" w14:textId="1A090CB6" w:rsidR="00A81DBF" w:rsidRPr="006C70FF" w:rsidRDefault="00A81DBF" w:rsidP="0051615F">
      <w:pPr>
        <w:tabs>
          <w:tab w:val="num" w:pos="900"/>
        </w:tabs>
        <w:ind w:left="900"/>
        <w:rPr>
          <w:color w:val="000000" w:themeColor="text1"/>
          <w:sz w:val="22"/>
          <w:szCs w:val="22"/>
        </w:rPr>
      </w:pPr>
    </w:p>
    <w:p w14:paraId="5226B451" w14:textId="44AB2FCA" w:rsidR="0051615F" w:rsidRPr="006C70FF" w:rsidRDefault="0051615F" w:rsidP="0051615F">
      <w:pPr>
        <w:numPr>
          <w:ilvl w:val="2"/>
          <w:numId w:val="6"/>
        </w:numPr>
        <w:rPr>
          <w:color w:val="000000" w:themeColor="text1"/>
          <w:sz w:val="22"/>
          <w:szCs w:val="22"/>
        </w:rPr>
      </w:pPr>
      <w:r w:rsidRPr="006C70FF">
        <w:rPr>
          <w:color w:val="000000" w:themeColor="text1"/>
          <w:sz w:val="22"/>
          <w:szCs w:val="22"/>
        </w:rPr>
        <w:t>Number (and %) of donors achieving yield requested by TC</w:t>
      </w:r>
    </w:p>
    <w:p w14:paraId="765526E8" w14:textId="5A0FC68A" w:rsidR="0051615F" w:rsidRPr="006C70FF" w:rsidRDefault="0051615F" w:rsidP="0051615F">
      <w:pPr>
        <w:numPr>
          <w:ilvl w:val="2"/>
          <w:numId w:val="6"/>
        </w:numPr>
        <w:rPr>
          <w:color w:val="000000" w:themeColor="text1"/>
          <w:sz w:val="22"/>
          <w:szCs w:val="22"/>
        </w:rPr>
      </w:pPr>
      <w:r w:rsidRPr="006C70FF">
        <w:rPr>
          <w:color w:val="000000" w:themeColor="text1"/>
          <w:sz w:val="22"/>
          <w:szCs w:val="22"/>
        </w:rPr>
        <w:t>Number (and %) of donors achieving yield &gt;= minimum transplantable dose (=2 x 10^8 TNC/kg)</w:t>
      </w:r>
    </w:p>
    <w:p w14:paraId="2A4075D3" w14:textId="502919C7" w:rsidR="008675D2" w:rsidRPr="006C70FF" w:rsidRDefault="008675D2" w:rsidP="0051615F">
      <w:pPr>
        <w:numPr>
          <w:ilvl w:val="2"/>
          <w:numId w:val="6"/>
        </w:numPr>
        <w:rPr>
          <w:color w:val="000000" w:themeColor="text1"/>
          <w:sz w:val="22"/>
          <w:szCs w:val="22"/>
        </w:rPr>
      </w:pPr>
      <w:r w:rsidRPr="006C70FF">
        <w:rPr>
          <w:color w:val="000000" w:themeColor="text1"/>
          <w:sz w:val="22"/>
          <w:szCs w:val="22"/>
        </w:rPr>
        <w:t>Range and median cell concentration of marrows harvested (TNC/ml)</w:t>
      </w:r>
    </w:p>
    <w:p w14:paraId="1BDE7DEA" w14:textId="77777777" w:rsidR="008675D2" w:rsidRPr="006C70FF" w:rsidRDefault="008675D2" w:rsidP="008675D2">
      <w:pPr>
        <w:pStyle w:val="ListParagraph"/>
        <w:numPr>
          <w:ilvl w:val="2"/>
          <w:numId w:val="6"/>
        </w:numPr>
        <w:rPr>
          <w:color w:val="000000" w:themeColor="text1"/>
          <w:sz w:val="22"/>
          <w:szCs w:val="22"/>
        </w:rPr>
      </w:pPr>
      <w:r w:rsidRPr="006C70FF">
        <w:rPr>
          <w:color w:val="000000" w:themeColor="text1"/>
          <w:sz w:val="22"/>
          <w:szCs w:val="22"/>
        </w:rPr>
        <w:t>Number (and %) of collections with positive microbiology</w:t>
      </w:r>
    </w:p>
    <w:p w14:paraId="161387D3" w14:textId="2377346A" w:rsidR="008675D2" w:rsidRPr="006C70FF" w:rsidRDefault="008675D2" w:rsidP="008675D2">
      <w:pPr>
        <w:pStyle w:val="ListParagraph"/>
        <w:numPr>
          <w:ilvl w:val="2"/>
          <w:numId w:val="6"/>
        </w:numPr>
        <w:rPr>
          <w:color w:val="000000" w:themeColor="text1"/>
          <w:sz w:val="22"/>
          <w:szCs w:val="22"/>
        </w:rPr>
      </w:pPr>
      <w:r w:rsidRPr="006C70FF">
        <w:rPr>
          <w:color w:val="000000" w:themeColor="text1"/>
          <w:sz w:val="22"/>
          <w:szCs w:val="22"/>
        </w:rPr>
        <w:t xml:space="preserve">Number of quality issues (including serious adverse events, serious adverse reactions, unplanned </w:t>
      </w:r>
      <w:proofErr w:type="gramStart"/>
      <w:r w:rsidRPr="006C70FF">
        <w:rPr>
          <w:color w:val="000000" w:themeColor="text1"/>
          <w:sz w:val="22"/>
          <w:szCs w:val="22"/>
        </w:rPr>
        <w:t>deviation</w:t>
      </w:r>
      <w:proofErr w:type="gramEnd"/>
      <w:r w:rsidRPr="006C70FF">
        <w:rPr>
          <w:color w:val="000000" w:themeColor="text1"/>
          <w:sz w:val="22"/>
          <w:szCs w:val="22"/>
        </w:rPr>
        <w:t xml:space="preserve"> and planned deviations) detected or reported to BBMR (+% total).</w:t>
      </w:r>
    </w:p>
    <w:p w14:paraId="53CEC5A0" w14:textId="77777777" w:rsidR="008675D2" w:rsidRPr="006C70FF" w:rsidRDefault="008675D2" w:rsidP="008675D2">
      <w:pPr>
        <w:ind w:left="1440"/>
        <w:rPr>
          <w:color w:val="000000" w:themeColor="text1"/>
          <w:sz w:val="22"/>
          <w:szCs w:val="22"/>
        </w:rPr>
      </w:pPr>
    </w:p>
    <w:p w14:paraId="1E9D535A" w14:textId="77777777" w:rsidR="00A81DBF" w:rsidRPr="006C70FF" w:rsidRDefault="00A81DBF" w:rsidP="00A81DBF">
      <w:pPr>
        <w:rPr>
          <w:rFonts w:cs="Arial"/>
          <w:b/>
          <w:color w:val="000000" w:themeColor="text1"/>
          <w:sz w:val="22"/>
          <w:szCs w:val="22"/>
        </w:rPr>
      </w:pPr>
    </w:p>
    <w:p w14:paraId="14935ED1" w14:textId="77777777" w:rsidR="00A81DBF" w:rsidRPr="006C70FF" w:rsidRDefault="00A81DBF" w:rsidP="00A81DBF">
      <w:pPr>
        <w:numPr>
          <w:ilvl w:val="0"/>
          <w:numId w:val="3"/>
        </w:numPr>
        <w:ind w:hanging="900"/>
        <w:rPr>
          <w:rFonts w:cs="Arial"/>
          <w:b/>
          <w:color w:val="000000" w:themeColor="text1"/>
          <w:sz w:val="22"/>
          <w:szCs w:val="22"/>
        </w:rPr>
      </w:pPr>
      <w:r w:rsidRPr="006C70FF">
        <w:rPr>
          <w:rFonts w:cs="Arial"/>
          <w:b/>
          <w:color w:val="000000" w:themeColor="text1"/>
          <w:sz w:val="22"/>
          <w:szCs w:val="22"/>
        </w:rPr>
        <w:t>Donor Insurance</w:t>
      </w:r>
    </w:p>
    <w:p w14:paraId="74A93776" w14:textId="77777777" w:rsidR="00A81DBF" w:rsidRPr="006C70FF" w:rsidRDefault="00A81DBF" w:rsidP="00A81DBF">
      <w:pPr>
        <w:rPr>
          <w:rFonts w:cs="Arial"/>
          <w:color w:val="000000" w:themeColor="text1"/>
          <w:sz w:val="22"/>
          <w:szCs w:val="22"/>
        </w:rPr>
      </w:pPr>
    </w:p>
    <w:p w14:paraId="1AC1AB45" w14:textId="77777777" w:rsidR="00A81DBF" w:rsidRPr="006C70FF" w:rsidRDefault="00A81DBF" w:rsidP="00A81DBF">
      <w:pPr>
        <w:rPr>
          <w:color w:val="000000" w:themeColor="text1"/>
          <w:sz w:val="22"/>
          <w:szCs w:val="22"/>
        </w:rPr>
      </w:pPr>
      <w:r w:rsidRPr="006C70FF">
        <w:rPr>
          <w:color w:val="000000" w:themeColor="text1"/>
          <w:sz w:val="22"/>
          <w:szCs w:val="22"/>
        </w:rPr>
        <w:t>The BBMR will maintain a mechanism for compensating donors who suffer injury, which is not the result of negligence by the Hospital.</w:t>
      </w:r>
    </w:p>
    <w:p w14:paraId="12D44438" w14:textId="77777777" w:rsidR="00A81DBF" w:rsidRPr="006C70FF" w:rsidRDefault="00A81DBF" w:rsidP="00A81DBF">
      <w:pPr>
        <w:rPr>
          <w:color w:val="000000" w:themeColor="text1"/>
          <w:sz w:val="22"/>
          <w:szCs w:val="22"/>
        </w:rPr>
      </w:pPr>
    </w:p>
    <w:p w14:paraId="7449DD20" w14:textId="77777777" w:rsidR="00A81DBF" w:rsidRPr="006C70FF" w:rsidRDefault="00A81DBF" w:rsidP="00A81DBF">
      <w:pPr>
        <w:rPr>
          <w:rFonts w:cs="Arial"/>
          <w:b/>
          <w:color w:val="000000" w:themeColor="text1"/>
          <w:sz w:val="22"/>
        </w:rPr>
      </w:pPr>
      <w:r w:rsidRPr="006C70FF">
        <w:rPr>
          <w:rFonts w:cs="Arial"/>
          <w:b/>
          <w:color w:val="000000" w:themeColor="text1"/>
          <w:sz w:val="22"/>
        </w:rPr>
        <w:t>Appendix A - Donation Testing Requirements – Bone Marrow Harvesting</w:t>
      </w:r>
    </w:p>
    <w:p w14:paraId="50B50B16" w14:textId="77777777" w:rsidR="00A81DBF" w:rsidRPr="006C70FF" w:rsidRDefault="00A81DBF" w:rsidP="00A81DBF">
      <w:pPr>
        <w:rPr>
          <w:rFonts w:cs="Arial"/>
          <w:b/>
          <w:color w:val="000000" w:themeColor="text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2"/>
        <w:gridCol w:w="1774"/>
      </w:tblGrid>
      <w:tr w:rsidR="006C70FF" w:rsidRPr="006C70FF" w14:paraId="3E3DF346" w14:textId="77777777" w:rsidTr="00F70163">
        <w:trPr>
          <w:trHeight w:val="232"/>
          <w:jc w:val="center"/>
        </w:trPr>
        <w:tc>
          <w:tcPr>
            <w:tcW w:w="3412" w:type="dxa"/>
          </w:tcPr>
          <w:p w14:paraId="4C772B93" w14:textId="77777777" w:rsidR="00A81DBF" w:rsidRPr="006C70FF" w:rsidRDefault="00A81DBF" w:rsidP="00A81DBF">
            <w:pPr>
              <w:rPr>
                <w:rFonts w:cs="Arial"/>
                <w:b/>
                <w:color w:val="000000" w:themeColor="text1"/>
                <w:sz w:val="18"/>
                <w:szCs w:val="18"/>
              </w:rPr>
            </w:pPr>
            <w:r w:rsidRPr="006C70FF">
              <w:rPr>
                <w:rFonts w:cs="Arial"/>
                <w:b/>
                <w:color w:val="000000" w:themeColor="text1"/>
                <w:sz w:val="18"/>
                <w:szCs w:val="18"/>
              </w:rPr>
              <w:t>Test:</w:t>
            </w:r>
          </w:p>
        </w:tc>
        <w:tc>
          <w:tcPr>
            <w:tcW w:w="1774" w:type="dxa"/>
          </w:tcPr>
          <w:p w14:paraId="12CF856A" w14:textId="77777777" w:rsidR="00A81DBF" w:rsidRPr="006C70FF" w:rsidRDefault="00A81DBF" w:rsidP="00A81DBF">
            <w:pPr>
              <w:rPr>
                <w:rFonts w:cs="Arial"/>
                <w:b/>
                <w:color w:val="000000" w:themeColor="text1"/>
                <w:sz w:val="18"/>
                <w:szCs w:val="18"/>
              </w:rPr>
            </w:pPr>
            <w:r w:rsidRPr="006C70FF">
              <w:rPr>
                <w:rFonts w:cs="Arial"/>
                <w:b/>
                <w:color w:val="000000" w:themeColor="text1"/>
                <w:sz w:val="18"/>
                <w:szCs w:val="18"/>
              </w:rPr>
              <w:t>Post Collection</w:t>
            </w:r>
          </w:p>
        </w:tc>
      </w:tr>
      <w:tr w:rsidR="006C70FF" w:rsidRPr="006C70FF" w14:paraId="386EFFC7" w14:textId="77777777" w:rsidTr="00F70163">
        <w:trPr>
          <w:trHeight w:val="243"/>
          <w:jc w:val="center"/>
        </w:trPr>
        <w:tc>
          <w:tcPr>
            <w:tcW w:w="3412" w:type="dxa"/>
          </w:tcPr>
          <w:p w14:paraId="69AA8E02" w14:textId="77777777" w:rsidR="00A81DBF" w:rsidRPr="006C70FF" w:rsidRDefault="00A81DBF" w:rsidP="00A81DBF">
            <w:pPr>
              <w:rPr>
                <w:rFonts w:cs="Arial"/>
                <w:b/>
                <w:color w:val="000000" w:themeColor="text1"/>
                <w:sz w:val="18"/>
                <w:szCs w:val="18"/>
              </w:rPr>
            </w:pPr>
            <w:r w:rsidRPr="006C70FF">
              <w:rPr>
                <w:rFonts w:cs="Arial"/>
                <w:b/>
                <w:color w:val="000000" w:themeColor="text1"/>
                <w:sz w:val="18"/>
                <w:szCs w:val="18"/>
              </w:rPr>
              <w:t>Hb g/dl</w:t>
            </w:r>
          </w:p>
        </w:tc>
        <w:tc>
          <w:tcPr>
            <w:tcW w:w="1774" w:type="dxa"/>
            <w:shd w:val="pct20" w:color="auto" w:fill="FFFFFF"/>
          </w:tcPr>
          <w:p w14:paraId="4F16CACD" w14:textId="77777777" w:rsidR="00A81DBF" w:rsidRPr="006C70FF" w:rsidRDefault="00A81DBF" w:rsidP="00A81DBF">
            <w:pPr>
              <w:rPr>
                <w:rFonts w:cs="Arial"/>
                <w:b/>
                <w:color w:val="000000" w:themeColor="text1"/>
                <w:sz w:val="18"/>
                <w:szCs w:val="18"/>
              </w:rPr>
            </w:pPr>
          </w:p>
        </w:tc>
      </w:tr>
      <w:tr w:rsidR="006C70FF" w:rsidRPr="006C70FF" w14:paraId="35C27030" w14:textId="77777777" w:rsidTr="00F70163">
        <w:trPr>
          <w:trHeight w:val="232"/>
          <w:jc w:val="center"/>
        </w:trPr>
        <w:tc>
          <w:tcPr>
            <w:tcW w:w="3412" w:type="dxa"/>
          </w:tcPr>
          <w:p w14:paraId="15573EF3" w14:textId="77777777" w:rsidR="00A81DBF" w:rsidRPr="006C70FF" w:rsidRDefault="00A81DBF" w:rsidP="00A81DBF">
            <w:pPr>
              <w:rPr>
                <w:rFonts w:cs="Arial"/>
                <w:b/>
                <w:color w:val="000000" w:themeColor="text1"/>
                <w:sz w:val="18"/>
                <w:szCs w:val="18"/>
              </w:rPr>
            </w:pPr>
            <w:r w:rsidRPr="006C70FF">
              <w:rPr>
                <w:rFonts w:cs="Arial"/>
                <w:b/>
                <w:color w:val="000000" w:themeColor="text1"/>
                <w:sz w:val="18"/>
                <w:szCs w:val="18"/>
              </w:rPr>
              <w:t>WCC x10^9/l</w:t>
            </w:r>
          </w:p>
        </w:tc>
        <w:tc>
          <w:tcPr>
            <w:tcW w:w="1774" w:type="dxa"/>
            <w:shd w:val="pct20" w:color="auto" w:fill="FFFFFF"/>
          </w:tcPr>
          <w:p w14:paraId="4F16B8F5" w14:textId="77777777" w:rsidR="00A81DBF" w:rsidRPr="006C70FF" w:rsidRDefault="00A81DBF" w:rsidP="00A81DBF">
            <w:pPr>
              <w:rPr>
                <w:rFonts w:cs="Arial"/>
                <w:b/>
                <w:color w:val="000000" w:themeColor="text1"/>
                <w:sz w:val="18"/>
                <w:szCs w:val="18"/>
              </w:rPr>
            </w:pPr>
          </w:p>
        </w:tc>
      </w:tr>
      <w:tr w:rsidR="006C70FF" w:rsidRPr="006C70FF" w14:paraId="1220BBC5" w14:textId="77777777" w:rsidTr="00F70163">
        <w:trPr>
          <w:trHeight w:val="243"/>
          <w:jc w:val="center"/>
        </w:trPr>
        <w:tc>
          <w:tcPr>
            <w:tcW w:w="3412" w:type="dxa"/>
          </w:tcPr>
          <w:p w14:paraId="7F56AB77" w14:textId="77777777" w:rsidR="00A81DBF" w:rsidRPr="006C70FF" w:rsidRDefault="00A81DBF" w:rsidP="00A81DBF">
            <w:pPr>
              <w:rPr>
                <w:rFonts w:cs="Arial"/>
                <w:b/>
                <w:color w:val="000000" w:themeColor="text1"/>
                <w:sz w:val="18"/>
                <w:szCs w:val="18"/>
              </w:rPr>
            </w:pPr>
            <w:proofErr w:type="spellStart"/>
            <w:r w:rsidRPr="006C70FF">
              <w:rPr>
                <w:rFonts w:cs="Arial"/>
                <w:b/>
                <w:color w:val="000000" w:themeColor="text1"/>
                <w:sz w:val="18"/>
                <w:szCs w:val="18"/>
              </w:rPr>
              <w:lastRenderedPageBreak/>
              <w:t>Neut</w:t>
            </w:r>
            <w:proofErr w:type="spellEnd"/>
            <w:r w:rsidRPr="006C70FF">
              <w:rPr>
                <w:rFonts w:cs="Arial"/>
                <w:b/>
                <w:color w:val="000000" w:themeColor="text1"/>
                <w:sz w:val="18"/>
                <w:szCs w:val="18"/>
              </w:rPr>
              <w:t xml:space="preserve"> x10^9/l</w:t>
            </w:r>
          </w:p>
        </w:tc>
        <w:tc>
          <w:tcPr>
            <w:tcW w:w="1774" w:type="dxa"/>
            <w:shd w:val="pct20" w:color="auto" w:fill="FFFFFF"/>
          </w:tcPr>
          <w:p w14:paraId="3AFCDFC1" w14:textId="77777777" w:rsidR="00A81DBF" w:rsidRPr="006C70FF" w:rsidRDefault="00A81DBF" w:rsidP="00A81DBF">
            <w:pPr>
              <w:rPr>
                <w:rFonts w:cs="Arial"/>
                <w:b/>
                <w:color w:val="000000" w:themeColor="text1"/>
                <w:sz w:val="18"/>
                <w:szCs w:val="18"/>
              </w:rPr>
            </w:pPr>
          </w:p>
        </w:tc>
      </w:tr>
      <w:tr w:rsidR="006C70FF" w:rsidRPr="006C70FF" w14:paraId="1A74A4AE" w14:textId="77777777" w:rsidTr="00F70163">
        <w:trPr>
          <w:trHeight w:val="232"/>
          <w:jc w:val="center"/>
        </w:trPr>
        <w:tc>
          <w:tcPr>
            <w:tcW w:w="3412" w:type="dxa"/>
          </w:tcPr>
          <w:p w14:paraId="0CD02114" w14:textId="77777777" w:rsidR="00A81DBF" w:rsidRPr="006C70FF" w:rsidRDefault="00A81DBF" w:rsidP="00A81DBF">
            <w:pPr>
              <w:rPr>
                <w:rFonts w:cs="Arial"/>
                <w:b/>
                <w:color w:val="000000" w:themeColor="text1"/>
                <w:sz w:val="18"/>
                <w:szCs w:val="18"/>
              </w:rPr>
            </w:pPr>
            <w:proofErr w:type="spellStart"/>
            <w:r w:rsidRPr="006C70FF">
              <w:rPr>
                <w:rFonts w:cs="Arial"/>
                <w:b/>
                <w:color w:val="000000" w:themeColor="text1"/>
                <w:sz w:val="18"/>
                <w:szCs w:val="18"/>
              </w:rPr>
              <w:t>Lympho</w:t>
            </w:r>
            <w:proofErr w:type="spellEnd"/>
            <w:r w:rsidRPr="006C70FF">
              <w:rPr>
                <w:rFonts w:cs="Arial"/>
                <w:b/>
                <w:color w:val="000000" w:themeColor="text1"/>
                <w:sz w:val="18"/>
                <w:szCs w:val="18"/>
              </w:rPr>
              <w:t xml:space="preserve"> x10^9/l</w:t>
            </w:r>
          </w:p>
        </w:tc>
        <w:tc>
          <w:tcPr>
            <w:tcW w:w="1774" w:type="dxa"/>
            <w:shd w:val="pct20" w:color="auto" w:fill="FFFFFF"/>
          </w:tcPr>
          <w:p w14:paraId="2791ABB2" w14:textId="77777777" w:rsidR="00A81DBF" w:rsidRPr="006C70FF" w:rsidRDefault="00A81DBF" w:rsidP="00A81DBF">
            <w:pPr>
              <w:rPr>
                <w:rFonts w:cs="Arial"/>
                <w:b/>
                <w:color w:val="000000" w:themeColor="text1"/>
                <w:sz w:val="18"/>
                <w:szCs w:val="18"/>
              </w:rPr>
            </w:pPr>
          </w:p>
        </w:tc>
      </w:tr>
      <w:tr w:rsidR="006C70FF" w:rsidRPr="006C70FF" w14:paraId="4CCCCCE4" w14:textId="77777777" w:rsidTr="00F70163">
        <w:trPr>
          <w:trHeight w:val="243"/>
          <w:jc w:val="center"/>
        </w:trPr>
        <w:tc>
          <w:tcPr>
            <w:tcW w:w="3412" w:type="dxa"/>
          </w:tcPr>
          <w:p w14:paraId="07DE78F6" w14:textId="77777777" w:rsidR="00A81DBF" w:rsidRPr="006C70FF" w:rsidRDefault="00A81DBF" w:rsidP="00A81DBF">
            <w:pPr>
              <w:rPr>
                <w:rFonts w:cs="Arial"/>
                <w:b/>
                <w:color w:val="000000" w:themeColor="text1"/>
                <w:sz w:val="18"/>
                <w:szCs w:val="18"/>
              </w:rPr>
            </w:pPr>
            <w:r w:rsidRPr="006C70FF">
              <w:rPr>
                <w:rFonts w:cs="Arial"/>
                <w:b/>
                <w:color w:val="000000" w:themeColor="text1"/>
                <w:sz w:val="18"/>
                <w:szCs w:val="18"/>
              </w:rPr>
              <w:t>Mono x10^9/l</w:t>
            </w:r>
          </w:p>
        </w:tc>
        <w:tc>
          <w:tcPr>
            <w:tcW w:w="1774" w:type="dxa"/>
            <w:shd w:val="pct20" w:color="auto" w:fill="FFFFFF"/>
          </w:tcPr>
          <w:p w14:paraId="7CD32F5C" w14:textId="77777777" w:rsidR="00A81DBF" w:rsidRPr="006C70FF" w:rsidRDefault="00A81DBF" w:rsidP="00F70163">
            <w:pPr>
              <w:jc w:val="center"/>
              <w:rPr>
                <w:rFonts w:cs="Arial"/>
                <w:b/>
                <w:color w:val="000000" w:themeColor="text1"/>
                <w:sz w:val="18"/>
                <w:szCs w:val="18"/>
              </w:rPr>
            </w:pPr>
          </w:p>
        </w:tc>
      </w:tr>
      <w:tr w:rsidR="006C70FF" w:rsidRPr="006C70FF" w14:paraId="74172A08" w14:textId="77777777" w:rsidTr="00F70163">
        <w:trPr>
          <w:trHeight w:val="232"/>
          <w:jc w:val="center"/>
        </w:trPr>
        <w:tc>
          <w:tcPr>
            <w:tcW w:w="3412" w:type="dxa"/>
          </w:tcPr>
          <w:p w14:paraId="67DD1307" w14:textId="77777777" w:rsidR="00A81DBF" w:rsidRPr="006C70FF" w:rsidRDefault="00A81DBF" w:rsidP="00A81DBF">
            <w:pPr>
              <w:rPr>
                <w:rFonts w:cs="Arial"/>
                <w:b/>
                <w:color w:val="000000" w:themeColor="text1"/>
                <w:sz w:val="18"/>
                <w:szCs w:val="18"/>
              </w:rPr>
            </w:pPr>
            <w:r w:rsidRPr="006C70FF">
              <w:rPr>
                <w:rFonts w:cs="Arial"/>
                <w:b/>
                <w:color w:val="000000" w:themeColor="text1"/>
                <w:sz w:val="18"/>
                <w:szCs w:val="18"/>
              </w:rPr>
              <w:t>Plat x10^9/l</w:t>
            </w:r>
          </w:p>
        </w:tc>
        <w:tc>
          <w:tcPr>
            <w:tcW w:w="1774" w:type="dxa"/>
            <w:shd w:val="pct20" w:color="auto" w:fill="FFFFFF"/>
          </w:tcPr>
          <w:p w14:paraId="272FE955" w14:textId="77777777" w:rsidR="00A81DBF" w:rsidRPr="006C70FF" w:rsidRDefault="00A81DBF" w:rsidP="00A81DBF">
            <w:pPr>
              <w:rPr>
                <w:rFonts w:cs="Arial"/>
                <w:b/>
                <w:color w:val="000000" w:themeColor="text1"/>
                <w:sz w:val="18"/>
                <w:szCs w:val="18"/>
              </w:rPr>
            </w:pPr>
          </w:p>
        </w:tc>
      </w:tr>
    </w:tbl>
    <w:p w14:paraId="5997CAD4" w14:textId="77777777" w:rsidR="00C00368" w:rsidRPr="006C70FF" w:rsidRDefault="00C00368" w:rsidP="00A81DBF">
      <w:pPr>
        <w:rPr>
          <w:rFonts w:cs="Arial"/>
          <w:b/>
          <w:color w:val="000000" w:themeColor="text1"/>
          <w:sz w:val="22"/>
          <w:szCs w:val="22"/>
        </w:rPr>
      </w:pPr>
    </w:p>
    <w:p w14:paraId="0E3A5E87" w14:textId="77777777" w:rsidR="008675D2" w:rsidRPr="006C70FF" w:rsidRDefault="008675D2" w:rsidP="00A81DBF">
      <w:pPr>
        <w:rPr>
          <w:rFonts w:cs="Arial"/>
          <w:b/>
          <w:color w:val="000000" w:themeColor="text1"/>
          <w:sz w:val="22"/>
          <w:szCs w:val="22"/>
        </w:rPr>
      </w:pPr>
    </w:p>
    <w:p w14:paraId="7319D238" w14:textId="095147C1" w:rsidR="00A81DBF" w:rsidRPr="006C70FF" w:rsidRDefault="00A81DBF" w:rsidP="00A81DBF">
      <w:pPr>
        <w:rPr>
          <w:rFonts w:cs="Arial"/>
          <w:b/>
          <w:color w:val="000000" w:themeColor="text1"/>
          <w:sz w:val="22"/>
          <w:szCs w:val="22"/>
        </w:rPr>
      </w:pPr>
      <w:r w:rsidRPr="006C70FF">
        <w:rPr>
          <w:rFonts w:cs="Arial"/>
          <w:b/>
          <w:color w:val="000000" w:themeColor="text1"/>
          <w:sz w:val="22"/>
          <w:szCs w:val="22"/>
        </w:rPr>
        <w:t>Appendix B - Donation Testing Requirements – Apheresis Collections</w:t>
      </w:r>
    </w:p>
    <w:p w14:paraId="40A292AC" w14:textId="77777777" w:rsidR="00A81DBF" w:rsidRPr="006C70FF" w:rsidRDefault="00A81DBF" w:rsidP="00A81DBF">
      <w:pPr>
        <w:rPr>
          <w:rFonts w:cs="Arial"/>
          <w:b/>
          <w:color w:val="000000" w:themeColor="text1"/>
        </w:rPr>
      </w:pPr>
    </w:p>
    <w:p w14:paraId="6A33AC14" w14:textId="1AABDE7C" w:rsidR="00080B12" w:rsidRDefault="00F70163" w:rsidP="00080B12">
      <w:pPr>
        <w:jc w:val="center"/>
        <w:rPr>
          <w:rFonts w:cs="Arial"/>
          <w:b/>
          <w:color w:val="000000" w:themeColor="text1"/>
          <w:sz w:val="22"/>
          <w:szCs w:val="22"/>
        </w:rPr>
      </w:pPr>
      <w:r w:rsidRPr="006C70FF">
        <w:rPr>
          <w:noProof/>
          <w:color w:val="000000" w:themeColor="text1"/>
        </w:rPr>
        <w:drawing>
          <wp:inline distT="0" distB="0" distL="0" distR="0" wp14:anchorId="0261C3A5" wp14:editId="7E659902">
            <wp:extent cx="4029075" cy="3225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74152" cy="3261621"/>
                    </a:xfrm>
                    <a:prstGeom prst="rect">
                      <a:avLst/>
                    </a:prstGeom>
                  </pic:spPr>
                </pic:pic>
              </a:graphicData>
            </a:graphic>
          </wp:inline>
        </w:drawing>
      </w:r>
    </w:p>
    <w:p w14:paraId="4E82FF28" w14:textId="77777777" w:rsidR="000833BF" w:rsidRDefault="000833BF" w:rsidP="00080B12">
      <w:pPr>
        <w:jc w:val="center"/>
        <w:rPr>
          <w:rFonts w:cs="Arial"/>
          <w:b/>
          <w:color w:val="000000" w:themeColor="text1"/>
          <w:sz w:val="22"/>
          <w:szCs w:val="22"/>
        </w:rPr>
      </w:pPr>
    </w:p>
    <w:p w14:paraId="06A66A91" w14:textId="55DF14F4" w:rsidR="00A81DBF" w:rsidRPr="006C70FF" w:rsidRDefault="00A81DBF" w:rsidP="00A81DBF">
      <w:pPr>
        <w:tabs>
          <w:tab w:val="left" w:pos="0"/>
        </w:tabs>
        <w:jc w:val="both"/>
        <w:rPr>
          <w:rFonts w:cs="Arial"/>
          <w:b/>
          <w:color w:val="000000" w:themeColor="text1"/>
          <w:sz w:val="22"/>
          <w:szCs w:val="22"/>
        </w:rPr>
      </w:pPr>
      <w:r w:rsidRPr="006C70FF">
        <w:rPr>
          <w:rFonts w:cs="Arial"/>
          <w:b/>
          <w:color w:val="000000" w:themeColor="text1"/>
          <w:sz w:val="22"/>
          <w:szCs w:val="22"/>
        </w:rPr>
        <w:t xml:space="preserve">  Appendix C - Test Category</w:t>
      </w:r>
    </w:p>
    <w:p w14:paraId="3952E849" w14:textId="77777777" w:rsidR="00A81DBF" w:rsidRPr="006C70FF" w:rsidRDefault="00A81DBF" w:rsidP="00A81DBF">
      <w:pPr>
        <w:jc w:val="both"/>
        <w:rPr>
          <w:rFonts w:cs="Arial"/>
          <w:color w:val="000000" w:themeColor="text1"/>
          <w:sz w:val="12"/>
          <w:szCs w:val="12"/>
        </w:rPr>
      </w:pPr>
    </w:p>
    <w:tbl>
      <w:tblPr>
        <w:tblW w:w="8676" w:type="dxa"/>
        <w:tblInd w:w="468" w:type="dxa"/>
        <w:tblLook w:val="0000" w:firstRow="0" w:lastRow="0" w:firstColumn="0" w:lastColumn="0" w:noHBand="0" w:noVBand="0"/>
      </w:tblPr>
      <w:tblGrid>
        <w:gridCol w:w="561"/>
        <w:gridCol w:w="2510"/>
        <w:gridCol w:w="5605"/>
      </w:tblGrid>
      <w:tr w:rsidR="006C70FF" w:rsidRPr="006C70FF" w14:paraId="5411B9CB" w14:textId="77777777" w:rsidTr="00586B17">
        <w:trPr>
          <w:trHeight w:val="285"/>
        </w:trPr>
        <w:tc>
          <w:tcPr>
            <w:tcW w:w="561" w:type="dxa"/>
            <w:tcBorders>
              <w:top w:val="single" w:sz="4" w:space="0" w:color="auto"/>
              <w:left w:val="single" w:sz="4" w:space="0" w:color="auto"/>
              <w:bottom w:val="single" w:sz="4" w:space="0" w:color="auto"/>
              <w:right w:val="single" w:sz="4" w:space="0" w:color="auto"/>
            </w:tcBorders>
            <w:shd w:val="clear" w:color="auto" w:fill="auto"/>
          </w:tcPr>
          <w:p w14:paraId="3CA6076B" w14:textId="77777777" w:rsidR="00A81DBF" w:rsidRPr="006C70FF" w:rsidRDefault="00A81DBF" w:rsidP="00A81DBF">
            <w:pPr>
              <w:rPr>
                <w:rFonts w:cs="Arial"/>
                <w:b/>
                <w:bCs/>
                <w:color w:val="000000" w:themeColor="text1"/>
              </w:rPr>
            </w:pPr>
            <w:r w:rsidRPr="006C70FF">
              <w:rPr>
                <w:rFonts w:cs="Arial"/>
                <w:b/>
                <w:bCs/>
                <w:color w:val="000000" w:themeColor="text1"/>
              </w:rPr>
              <w:t> </w:t>
            </w:r>
          </w:p>
        </w:tc>
        <w:tc>
          <w:tcPr>
            <w:tcW w:w="2510" w:type="dxa"/>
            <w:tcBorders>
              <w:top w:val="single" w:sz="4" w:space="0" w:color="auto"/>
              <w:left w:val="nil"/>
              <w:bottom w:val="single" w:sz="4" w:space="0" w:color="auto"/>
              <w:right w:val="single" w:sz="4" w:space="0" w:color="auto"/>
            </w:tcBorders>
            <w:shd w:val="clear" w:color="auto" w:fill="auto"/>
          </w:tcPr>
          <w:p w14:paraId="487777FA" w14:textId="77777777" w:rsidR="00A81DBF" w:rsidRPr="006C70FF" w:rsidRDefault="00A81DBF" w:rsidP="00A81DBF">
            <w:pPr>
              <w:rPr>
                <w:rFonts w:cs="Arial"/>
                <w:b/>
                <w:bCs/>
                <w:color w:val="000000" w:themeColor="text1"/>
              </w:rPr>
            </w:pPr>
            <w:r w:rsidRPr="006C70FF">
              <w:rPr>
                <w:rFonts w:cs="Arial"/>
                <w:b/>
                <w:bCs/>
                <w:color w:val="000000" w:themeColor="text1"/>
              </w:rPr>
              <w:t>Test Category</w:t>
            </w:r>
          </w:p>
        </w:tc>
        <w:tc>
          <w:tcPr>
            <w:tcW w:w="5605" w:type="dxa"/>
            <w:tcBorders>
              <w:top w:val="single" w:sz="4" w:space="0" w:color="auto"/>
              <w:left w:val="nil"/>
              <w:bottom w:val="single" w:sz="4" w:space="0" w:color="auto"/>
              <w:right w:val="single" w:sz="4" w:space="0" w:color="auto"/>
            </w:tcBorders>
            <w:shd w:val="clear" w:color="auto" w:fill="auto"/>
          </w:tcPr>
          <w:p w14:paraId="2A427F13" w14:textId="77777777" w:rsidR="00A81DBF" w:rsidRPr="006C70FF" w:rsidRDefault="00A81DBF" w:rsidP="00A81DBF">
            <w:pPr>
              <w:rPr>
                <w:rFonts w:cs="Arial"/>
                <w:b/>
                <w:bCs/>
                <w:color w:val="000000" w:themeColor="text1"/>
              </w:rPr>
            </w:pPr>
            <w:r w:rsidRPr="006C70FF">
              <w:rPr>
                <w:rFonts w:cs="Arial"/>
                <w:b/>
                <w:bCs/>
                <w:color w:val="000000" w:themeColor="text1"/>
              </w:rPr>
              <w:t>Test Type</w:t>
            </w:r>
          </w:p>
        </w:tc>
      </w:tr>
      <w:tr w:rsidR="006C70FF" w:rsidRPr="006C70FF" w14:paraId="2E49742E"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47117BEF" w14:textId="77777777" w:rsidR="00A81DBF" w:rsidRPr="006C70FF" w:rsidRDefault="00A81DBF" w:rsidP="00A81DBF">
            <w:pPr>
              <w:jc w:val="right"/>
              <w:rPr>
                <w:rFonts w:cs="Arial"/>
                <w:b/>
                <w:bCs/>
                <w:color w:val="000000" w:themeColor="text1"/>
              </w:rPr>
            </w:pPr>
            <w:r w:rsidRPr="006C70FF">
              <w:rPr>
                <w:rFonts w:cs="Arial"/>
                <w:b/>
                <w:bCs/>
                <w:color w:val="000000" w:themeColor="text1"/>
              </w:rPr>
              <w:t>1</w:t>
            </w:r>
          </w:p>
        </w:tc>
        <w:tc>
          <w:tcPr>
            <w:tcW w:w="2510" w:type="dxa"/>
            <w:tcBorders>
              <w:top w:val="nil"/>
              <w:left w:val="nil"/>
              <w:bottom w:val="single" w:sz="4" w:space="0" w:color="auto"/>
              <w:right w:val="single" w:sz="4" w:space="0" w:color="auto"/>
            </w:tcBorders>
            <w:shd w:val="clear" w:color="auto" w:fill="auto"/>
          </w:tcPr>
          <w:p w14:paraId="04CC5BD7" w14:textId="77777777" w:rsidR="00A81DBF" w:rsidRPr="006C70FF" w:rsidRDefault="00A81DBF" w:rsidP="00A81DBF">
            <w:pPr>
              <w:rPr>
                <w:rFonts w:cs="Arial"/>
                <w:b/>
                <w:bCs/>
                <w:color w:val="000000" w:themeColor="text1"/>
              </w:rPr>
            </w:pPr>
            <w:r w:rsidRPr="006C70FF">
              <w:rPr>
                <w:rFonts w:cs="Arial"/>
                <w:b/>
                <w:bCs/>
                <w:color w:val="000000" w:themeColor="text1"/>
              </w:rPr>
              <w:t>Full Blood Count</w:t>
            </w:r>
          </w:p>
        </w:tc>
        <w:tc>
          <w:tcPr>
            <w:tcW w:w="5605" w:type="dxa"/>
            <w:tcBorders>
              <w:top w:val="nil"/>
              <w:left w:val="nil"/>
              <w:bottom w:val="single" w:sz="4" w:space="0" w:color="auto"/>
              <w:right w:val="single" w:sz="4" w:space="0" w:color="auto"/>
            </w:tcBorders>
            <w:shd w:val="clear" w:color="auto" w:fill="auto"/>
          </w:tcPr>
          <w:p w14:paraId="2EEBFCAE" w14:textId="77777777" w:rsidR="00A81DBF" w:rsidRPr="006C70FF" w:rsidRDefault="00A81DBF" w:rsidP="00A81DBF">
            <w:pPr>
              <w:rPr>
                <w:rFonts w:cs="Arial"/>
                <w:color w:val="000000" w:themeColor="text1"/>
              </w:rPr>
            </w:pPr>
            <w:r w:rsidRPr="006C70FF">
              <w:rPr>
                <w:rFonts w:cs="Arial"/>
                <w:color w:val="000000" w:themeColor="text1"/>
              </w:rPr>
              <w:t>Haemoglobin</w:t>
            </w:r>
          </w:p>
        </w:tc>
      </w:tr>
      <w:tr w:rsidR="006C70FF" w:rsidRPr="006C70FF" w14:paraId="2B4DAE6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2FAE1CD"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7DB54E2F"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2F8563AD" w14:textId="77777777" w:rsidR="00A81DBF" w:rsidRPr="006C70FF" w:rsidRDefault="00A81DBF" w:rsidP="00A81DBF">
            <w:pPr>
              <w:rPr>
                <w:rFonts w:cs="Arial"/>
                <w:color w:val="000000" w:themeColor="text1"/>
              </w:rPr>
            </w:pPr>
            <w:r w:rsidRPr="006C70FF">
              <w:rPr>
                <w:rFonts w:cs="Arial"/>
                <w:color w:val="000000" w:themeColor="text1"/>
              </w:rPr>
              <w:t>WBC</w:t>
            </w:r>
          </w:p>
        </w:tc>
      </w:tr>
      <w:tr w:rsidR="006C70FF" w:rsidRPr="006C70FF" w14:paraId="07F25C1D"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E2874FE"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511D0A5E"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622386AC" w14:textId="77777777" w:rsidR="00A81DBF" w:rsidRPr="006C70FF" w:rsidRDefault="00A81DBF" w:rsidP="00A81DBF">
            <w:pPr>
              <w:rPr>
                <w:rFonts w:cs="Arial"/>
                <w:color w:val="000000" w:themeColor="text1"/>
              </w:rPr>
            </w:pPr>
            <w:r w:rsidRPr="006C70FF">
              <w:rPr>
                <w:rFonts w:cs="Arial"/>
                <w:color w:val="000000" w:themeColor="text1"/>
              </w:rPr>
              <w:t>Platelets</w:t>
            </w:r>
          </w:p>
        </w:tc>
      </w:tr>
      <w:tr w:rsidR="006C70FF" w:rsidRPr="006C70FF" w14:paraId="1A27513A"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7C48006"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48706EEC"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1C5C409C" w14:textId="77777777" w:rsidR="00A81DBF" w:rsidRPr="006C70FF" w:rsidRDefault="00A81DBF" w:rsidP="00A81DBF">
            <w:pPr>
              <w:rPr>
                <w:rFonts w:cs="Arial"/>
                <w:color w:val="000000" w:themeColor="text1"/>
              </w:rPr>
            </w:pPr>
            <w:r w:rsidRPr="006C70FF">
              <w:rPr>
                <w:rFonts w:cs="Arial"/>
                <w:color w:val="000000" w:themeColor="text1"/>
              </w:rPr>
              <w:t>Neutrophils</w:t>
            </w:r>
          </w:p>
        </w:tc>
      </w:tr>
      <w:tr w:rsidR="006C70FF" w:rsidRPr="006C70FF" w14:paraId="72903C12"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163EC84"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21758AFA"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35615896" w14:textId="77777777" w:rsidR="00A81DBF" w:rsidRPr="006C70FF" w:rsidRDefault="00A81DBF" w:rsidP="00A81DBF">
            <w:pPr>
              <w:rPr>
                <w:rFonts w:cs="Arial"/>
                <w:color w:val="000000" w:themeColor="text1"/>
              </w:rPr>
            </w:pPr>
            <w:r w:rsidRPr="006C70FF">
              <w:rPr>
                <w:rFonts w:cs="Arial"/>
                <w:color w:val="000000" w:themeColor="text1"/>
              </w:rPr>
              <w:t>Lymphocytes</w:t>
            </w:r>
          </w:p>
        </w:tc>
      </w:tr>
      <w:tr w:rsidR="006C70FF" w:rsidRPr="006C70FF" w14:paraId="33E8ADE9"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225D669E"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74367A69"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69030521" w14:textId="77777777" w:rsidR="00A81DBF" w:rsidRPr="006C70FF" w:rsidRDefault="00A81DBF" w:rsidP="00A81DBF">
            <w:pPr>
              <w:rPr>
                <w:rFonts w:cs="Arial"/>
                <w:color w:val="000000" w:themeColor="text1"/>
              </w:rPr>
            </w:pPr>
            <w:r w:rsidRPr="006C70FF">
              <w:rPr>
                <w:rFonts w:cs="Arial"/>
                <w:color w:val="000000" w:themeColor="text1"/>
              </w:rPr>
              <w:t>Monocytes</w:t>
            </w:r>
          </w:p>
        </w:tc>
      </w:tr>
      <w:tr w:rsidR="006C70FF" w:rsidRPr="006C70FF" w14:paraId="6415824B"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0064A535"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30228266"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36F159F9" w14:textId="77777777" w:rsidR="00A81DBF" w:rsidRPr="006C70FF" w:rsidRDefault="00A81DBF" w:rsidP="00A81DBF">
            <w:pPr>
              <w:rPr>
                <w:rFonts w:cs="Arial"/>
                <w:color w:val="000000" w:themeColor="text1"/>
              </w:rPr>
            </w:pPr>
            <w:r w:rsidRPr="006C70FF">
              <w:rPr>
                <w:rFonts w:cs="Arial"/>
                <w:color w:val="000000" w:themeColor="text1"/>
              </w:rPr>
              <w:t>MCV</w:t>
            </w:r>
          </w:p>
        </w:tc>
      </w:tr>
      <w:tr w:rsidR="006C70FF" w:rsidRPr="006C70FF" w14:paraId="34BA7681"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2834531C"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7A65272B"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159CA033" w14:textId="77777777" w:rsidR="00A81DBF" w:rsidRPr="006C70FF" w:rsidRDefault="00A81DBF" w:rsidP="00A81DBF">
            <w:pPr>
              <w:rPr>
                <w:rFonts w:cs="Arial"/>
                <w:color w:val="000000" w:themeColor="text1"/>
              </w:rPr>
            </w:pPr>
            <w:r w:rsidRPr="006C70FF">
              <w:rPr>
                <w:rFonts w:cs="Arial"/>
                <w:color w:val="000000" w:themeColor="text1"/>
              </w:rPr>
              <w:t>MCH</w:t>
            </w:r>
          </w:p>
        </w:tc>
      </w:tr>
      <w:tr w:rsidR="006C70FF" w:rsidRPr="006C70FF" w14:paraId="46EABB01"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061129E"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57143CD8"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3E6F17A4" w14:textId="77777777" w:rsidR="00A81DBF" w:rsidRPr="006C70FF" w:rsidRDefault="00A81DBF" w:rsidP="00A81DBF">
            <w:pPr>
              <w:rPr>
                <w:rFonts w:cs="Arial"/>
                <w:color w:val="000000" w:themeColor="text1"/>
              </w:rPr>
            </w:pPr>
            <w:r w:rsidRPr="006C70FF">
              <w:rPr>
                <w:rFonts w:cs="Arial"/>
                <w:color w:val="000000" w:themeColor="text1"/>
              </w:rPr>
              <w:t> </w:t>
            </w:r>
          </w:p>
        </w:tc>
      </w:tr>
      <w:tr w:rsidR="006C70FF" w:rsidRPr="006C70FF" w14:paraId="250E6401"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614F9B1" w14:textId="77777777" w:rsidR="00A81DBF" w:rsidRPr="006C70FF" w:rsidRDefault="00A81DBF" w:rsidP="00A81DBF">
            <w:pPr>
              <w:jc w:val="right"/>
              <w:rPr>
                <w:rFonts w:cs="Arial"/>
                <w:b/>
                <w:bCs/>
                <w:color w:val="000000" w:themeColor="text1"/>
              </w:rPr>
            </w:pPr>
            <w:r w:rsidRPr="006C70FF">
              <w:rPr>
                <w:rFonts w:cs="Arial"/>
                <w:b/>
                <w:bCs/>
                <w:color w:val="000000" w:themeColor="text1"/>
              </w:rPr>
              <w:t>2</w:t>
            </w:r>
          </w:p>
        </w:tc>
        <w:tc>
          <w:tcPr>
            <w:tcW w:w="2510" w:type="dxa"/>
            <w:tcBorders>
              <w:top w:val="nil"/>
              <w:left w:val="nil"/>
              <w:bottom w:val="single" w:sz="4" w:space="0" w:color="auto"/>
              <w:right w:val="single" w:sz="4" w:space="0" w:color="auto"/>
            </w:tcBorders>
            <w:shd w:val="clear" w:color="auto" w:fill="auto"/>
          </w:tcPr>
          <w:p w14:paraId="5DBBDD75" w14:textId="77777777" w:rsidR="00A81DBF" w:rsidRPr="006C70FF" w:rsidRDefault="00A81DBF" w:rsidP="00A81DBF">
            <w:pPr>
              <w:rPr>
                <w:rFonts w:cs="Arial"/>
                <w:b/>
                <w:bCs/>
                <w:color w:val="000000" w:themeColor="text1"/>
              </w:rPr>
            </w:pPr>
            <w:r w:rsidRPr="006C70FF">
              <w:rPr>
                <w:rFonts w:cs="Arial"/>
                <w:b/>
                <w:bCs/>
                <w:color w:val="000000" w:themeColor="text1"/>
              </w:rPr>
              <w:t>Coagulation Screen</w:t>
            </w:r>
          </w:p>
        </w:tc>
        <w:tc>
          <w:tcPr>
            <w:tcW w:w="5605" w:type="dxa"/>
            <w:tcBorders>
              <w:top w:val="nil"/>
              <w:left w:val="nil"/>
              <w:bottom w:val="single" w:sz="4" w:space="0" w:color="auto"/>
              <w:right w:val="single" w:sz="4" w:space="0" w:color="auto"/>
            </w:tcBorders>
            <w:shd w:val="clear" w:color="auto" w:fill="auto"/>
          </w:tcPr>
          <w:p w14:paraId="0B2BA966" w14:textId="77777777" w:rsidR="00A81DBF" w:rsidRPr="006C70FF" w:rsidRDefault="00A81DBF" w:rsidP="00A81DBF">
            <w:pPr>
              <w:rPr>
                <w:rFonts w:cs="Arial"/>
                <w:color w:val="000000" w:themeColor="text1"/>
              </w:rPr>
            </w:pPr>
            <w:r w:rsidRPr="006C70FF">
              <w:rPr>
                <w:rFonts w:cs="Arial"/>
                <w:color w:val="000000" w:themeColor="text1"/>
              </w:rPr>
              <w:t>PT (Prothrombin Time)</w:t>
            </w:r>
          </w:p>
        </w:tc>
      </w:tr>
      <w:tr w:rsidR="006C70FF" w:rsidRPr="006C70FF" w14:paraId="3A0B69E8"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41F4BD0"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2FAC2F0C"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7B95B9F2" w14:textId="77777777" w:rsidR="00A81DBF" w:rsidRPr="006C70FF" w:rsidRDefault="00A81DBF" w:rsidP="00A81DBF">
            <w:pPr>
              <w:rPr>
                <w:rFonts w:cs="Arial"/>
                <w:color w:val="000000" w:themeColor="text1"/>
              </w:rPr>
            </w:pPr>
            <w:r w:rsidRPr="006C70FF">
              <w:rPr>
                <w:rFonts w:cs="Arial"/>
                <w:color w:val="000000" w:themeColor="text1"/>
              </w:rPr>
              <w:t>APTT (Activated Partial Thromboplastin Time)</w:t>
            </w:r>
          </w:p>
        </w:tc>
      </w:tr>
      <w:tr w:rsidR="006C70FF" w:rsidRPr="006C70FF" w14:paraId="62A27A48" w14:textId="77777777" w:rsidTr="00586B17">
        <w:trPr>
          <w:trHeight w:val="285"/>
        </w:trPr>
        <w:tc>
          <w:tcPr>
            <w:tcW w:w="561" w:type="dxa"/>
            <w:vMerge w:val="restart"/>
            <w:tcBorders>
              <w:top w:val="nil"/>
              <w:left w:val="single" w:sz="4" w:space="0" w:color="auto"/>
              <w:bottom w:val="single" w:sz="4" w:space="0" w:color="auto"/>
              <w:right w:val="single" w:sz="4" w:space="0" w:color="auto"/>
            </w:tcBorders>
            <w:shd w:val="clear" w:color="auto" w:fill="auto"/>
          </w:tcPr>
          <w:p w14:paraId="62EABFD2"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vMerge w:val="restart"/>
            <w:tcBorders>
              <w:top w:val="nil"/>
              <w:left w:val="single" w:sz="4" w:space="0" w:color="auto"/>
              <w:bottom w:val="single" w:sz="4" w:space="0" w:color="auto"/>
              <w:right w:val="single" w:sz="4" w:space="0" w:color="auto"/>
            </w:tcBorders>
            <w:shd w:val="clear" w:color="auto" w:fill="auto"/>
          </w:tcPr>
          <w:p w14:paraId="62CDD39F"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D3C7007" w14:textId="77777777" w:rsidR="00A81DBF" w:rsidRPr="006C70FF" w:rsidRDefault="00A81DBF" w:rsidP="00A81DBF">
            <w:pPr>
              <w:rPr>
                <w:rFonts w:cs="Arial"/>
                <w:color w:val="000000" w:themeColor="text1"/>
              </w:rPr>
            </w:pPr>
            <w:r w:rsidRPr="006C70FF">
              <w:rPr>
                <w:rFonts w:cs="Arial"/>
                <w:color w:val="000000" w:themeColor="text1"/>
              </w:rPr>
              <w:t>TT (Thrombin Time) or</w:t>
            </w:r>
          </w:p>
        </w:tc>
      </w:tr>
      <w:tr w:rsidR="006C70FF" w:rsidRPr="006C70FF" w14:paraId="09370756" w14:textId="77777777" w:rsidTr="00586B17">
        <w:trPr>
          <w:trHeight w:val="285"/>
        </w:trPr>
        <w:tc>
          <w:tcPr>
            <w:tcW w:w="561" w:type="dxa"/>
            <w:vMerge/>
            <w:tcBorders>
              <w:top w:val="nil"/>
              <w:left w:val="single" w:sz="4" w:space="0" w:color="auto"/>
              <w:bottom w:val="single" w:sz="4" w:space="0" w:color="auto"/>
              <w:right w:val="single" w:sz="4" w:space="0" w:color="auto"/>
            </w:tcBorders>
            <w:vAlign w:val="center"/>
          </w:tcPr>
          <w:p w14:paraId="0E3A0FC6" w14:textId="77777777" w:rsidR="00A81DBF" w:rsidRPr="006C70FF" w:rsidRDefault="00A81DBF" w:rsidP="00A81DBF">
            <w:pPr>
              <w:rPr>
                <w:rFonts w:cs="Arial"/>
                <w:color w:val="000000" w:themeColor="text1"/>
              </w:rPr>
            </w:pPr>
          </w:p>
        </w:tc>
        <w:tc>
          <w:tcPr>
            <w:tcW w:w="2510" w:type="dxa"/>
            <w:vMerge/>
            <w:tcBorders>
              <w:top w:val="nil"/>
              <w:left w:val="single" w:sz="4" w:space="0" w:color="auto"/>
              <w:bottom w:val="single" w:sz="4" w:space="0" w:color="auto"/>
              <w:right w:val="single" w:sz="4" w:space="0" w:color="auto"/>
            </w:tcBorders>
            <w:vAlign w:val="center"/>
          </w:tcPr>
          <w:p w14:paraId="647BDCD2"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7ED33F79" w14:textId="77777777" w:rsidR="00A81DBF" w:rsidRPr="006C70FF" w:rsidRDefault="00A81DBF" w:rsidP="00A81DBF">
            <w:pPr>
              <w:rPr>
                <w:rFonts w:cs="Arial"/>
                <w:color w:val="000000" w:themeColor="text1"/>
              </w:rPr>
            </w:pPr>
            <w:r w:rsidRPr="006C70FF">
              <w:rPr>
                <w:rFonts w:cs="Arial"/>
                <w:color w:val="000000" w:themeColor="text1"/>
              </w:rPr>
              <w:t>Fibrinogen</w:t>
            </w:r>
          </w:p>
        </w:tc>
      </w:tr>
      <w:tr w:rsidR="006C70FF" w:rsidRPr="006C70FF" w14:paraId="1B2B69E0"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1F2123D1"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5567DDE5"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CB87349" w14:textId="77777777" w:rsidR="00A81DBF" w:rsidRPr="00637586" w:rsidRDefault="00A81DBF" w:rsidP="00A81DBF">
            <w:pPr>
              <w:rPr>
                <w:rFonts w:cs="Arial"/>
                <w:color w:val="000000" w:themeColor="text1"/>
              </w:rPr>
            </w:pPr>
            <w:r w:rsidRPr="00637586">
              <w:rPr>
                <w:rFonts w:cs="Arial"/>
                <w:color w:val="000000" w:themeColor="text1"/>
              </w:rPr>
              <w:t> </w:t>
            </w:r>
          </w:p>
        </w:tc>
      </w:tr>
      <w:tr w:rsidR="006C70FF" w:rsidRPr="006C70FF" w14:paraId="2ACC631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6B896C3F" w14:textId="77777777" w:rsidR="00A81DBF" w:rsidRPr="006C70FF" w:rsidRDefault="00A81DBF" w:rsidP="00A81DBF">
            <w:pPr>
              <w:jc w:val="right"/>
              <w:rPr>
                <w:rFonts w:cs="Arial"/>
                <w:b/>
                <w:bCs/>
                <w:color w:val="000000" w:themeColor="text1"/>
              </w:rPr>
            </w:pPr>
            <w:r w:rsidRPr="006C70FF">
              <w:rPr>
                <w:rFonts w:cs="Arial"/>
                <w:b/>
                <w:bCs/>
                <w:color w:val="000000" w:themeColor="text1"/>
              </w:rPr>
              <w:t>3</w:t>
            </w:r>
          </w:p>
        </w:tc>
        <w:tc>
          <w:tcPr>
            <w:tcW w:w="2510" w:type="dxa"/>
            <w:tcBorders>
              <w:top w:val="nil"/>
              <w:left w:val="nil"/>
              <w:bottom w:val="single" w:sz="4" w:space="0" w:color="auto"/>
              <w:right w:val="single" w:sz="4" w:space="0" w:color="auto"/>
            </w:tcBorders>
            <w:shd w:val="clear" w:color="auto" w:fill="auto"/>
          </w:tcPr>
          <w:p w14:paraId="120A9DBB" w14:textId="77777777" w:rsidR="00A81DBF" w:rsidRPr="006C70FF" w:rsidRDefault="00A81DBF" w:rsidP="00A81DBF">
            <w:pPr>
              <w:rPr>
                <w:rFonts w:cs="Arial"/>
                <w:b/>
                <w:bCs/>
                <w:color w:val="000000" w:themeColor="text1"/>
              </w:rPr>
            </w:pPr>
            <w:r w:rsidRPr="006C70FF">
              <w:rPr>
                <w:rFonts w:cs="Arial"/>
                <w:b/>
                <w:bCs/>
                <w:color w:val="000000" w:themeColor="text1"/>
              </w:rPr>
              <w:t>Red Cell Phenotype</w:t>
            </w:r>
          </w:p>
        </w:tc>
        <w:tc>
          <w:tcPr>
            <w:tcW w:w="5605" w:type="dxa"/>
            <w:tcBorders>
              <w:top w:val="nil"/>
              <w:left w:val="nil"/>
              <w:bottom w:val="single" w:sz="4" w:space="0" w:color="auto"/>
              <w:right w:val="single" w:sz="4" w:space="0" w:color="auto"/>
            </w:tcBorders>
            <w:shd w:val="clear" w:color="auto" w:fill="auto"/>
          </w:tcPr>
          <w:p w14:paraId="3C51D7B1" w14:textId="1DDC1EEF" w:rsidR="00A81DBF" w:rsidRPr="00637586" w:rsidRDefault="00A81DBF" w:rsidP="00A81DBF">
            <w:pPr>
              <w:rPr>
                <w:rFonts w:cs="Arial"/>
                <w:color w:val="000000" w:themeColor="text1"/>
              </w:rPr>
            </w:pPr>
            <w:r w:rsidRPr="00637586">
              <w:rPr>
                <w:rFonts w:cs="Arial"/>
                <w:color w:val="000000" w:themeColor="text1"/>
              </w:rPr>
              <w:t>ABO and Rh</w:t>
            </w:r>
            <w:r w:rsidR="00637989" w:rsidRPr="00637586">
              <w:rPr>
                <w:rFonts w:cs="Arial"/>
                <w:color w:val="000000" w:themeColor="text1"/>
              </w:rPr>
              <w:t xml:space="preserve"> </w:t>
            </w:r>
            <w:r w:rsidR="009E3FC1" w:rsidRPr="00637586">
              <w:rPr>
                <w:rFonts w:cs="Arial"/>
                <w:color w:val="000000" w:themeColor="text1"/>
              </w:rPr>
              <w:t>(plus save serum for bone marrow donors only)</w:t>
            </w:r>
          </w:p>
        </w:tc>
      </w:tr>
      <w:tr w:rsidR="006C70FF" w:rsidRPr="006C70FF" w14:paraId="5DA245A4"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E022F43" w14:textId="77777777" w:rsidR="00A81DBF" w:rsidRPr="006C70FF" w:rsidRDefault="00A81DB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34DC093D"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785B3236" w14:textId="77777777" w:rsidR="00A81DBF" w:rsidRPr="00637586" w:rsidRDefault="00A81DBF" w:rsidP="00A81DBF">
            <w:pPr>
              <w:rPr>
                <w:rFonts w:cs="Arial"/>
                <w:color w:val="000000" w:themeColor="text1"/>
              </w:rPr>
            </w:pPr>
          </w:p>
        </w:tc>
      </w:tr>
      <w:tr w:rsidR="006C70FF" w:rsidRPr="006C70FF" w14:paraId="062B115F"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5568084" w14:textId="77777777" w:rsidR="00A81DBF" w:rsidRPr="006C70FF" w:rsidRDefault="00A81DBF" w:rsidP="00A81DBF">
            <w:pPr>
              <w:rPr>
                <w:rFonts w:cs="Arial"/>
                <w:b/>
                <w:bCs/>
                <w:color w:val="000000" w:themeColor="text1"/>
              </w:rPr>
            </w:pPr>
            <w:r w:rsidRPr="006C70FF">
              <w:rPr>
                <w:rFonts w:cs="Arial"/>
                <w:b/>
                <w:bCs/>
                <w:color w:val="000000" w:themeColor="text1"/>
              </w:rPr>
              <w:t> </w:t>
            </w:r>
          </w:p>
        </w:tc>
        <w:tc>
          <w:tcPr>
            <w:tcW w:w="2510" w:type="dxa"/>
            <w:tcBorders>
              <w:top w:val="nil"/>
              <w:left w:val="nil"/>
              <w:bottom w:val="single" w:sz="4" w:space="0" w:color="auto"/>
              <w:right w:val="single" w:sz="4" w:space="0" w:color="auto"/>
            </w:tcBorders>
            <w:shd w:val="clear" w:color="auto" w:fill="auto"/>
          </w:tcPr>
          <w:p w14:paraId="528D1CEC" w14:textId="77777777" w:rsidR="00A81DBF" w:rsidRPr="006C70FF" w:rsidRDefault="00A81DBF" w:rsidP="00A81DBF">
            <w:pPr>
              <w:rPr>
                <w:rFonts w:cs="Arial"/>
                <w:b/>
                <w:bCs/>
                <w:color w:val="000000" w:themeColor="text1"/>
              </w:rPr>
            </w:pPr>
            <w:r w:rsidRPr="006C70FF">
              <w:rPr>
                <w:rFonts w:cs="Arial"/>
                <w:b/>
                <w:bCs/>
                <w:color w:val="000000" w:themeColor="text1"/>
              </w:rPr>
              <w:t>Sickle Cell</w:t>
            </w:r>
          </w:p>
        </w:tc>
        <w:tc>
          <w:tcPr>
            <w:tcW w:w="5605" w:type="dxa"/>
            <w:tcBorders>
              <w:top w:val="nil"/>
              <w:left w:val="nil"/>
              <w:bottom w:val="single" w:sz="4" w:space="0" w:color="auto"/>
              <w:right w:val="single" w:sz="4" w:space="0" w:color="auto"/>
            </w:tcBorders>
            <w:shd w:val="clear" w:color="auto" w:fill="auto"/>
          </w:tcPr>
          <w:p w14:paraId="0A9B62D4" w14:textId="77777777" w:rsidR="00A81DBF" w:rsidRPr="00637586" w:rsidRDefault="00A81DBF" w:rsidP="00A81DBF">
            <w:pPr>
              <w:rPr>
                <w:rFonts w:cs="Arial"/>
                <w:color w:val="000000" w:themeColor="text1"/>
              </w:rPr>
            </w:pPr>
            <w:r w:rsidRPr="00637586">
              <w:rPr>
                <w:rFonts w:cs="Arial"/>
                <w:color w:val="000000" w:themeColor="text1"/>
              </w:rPr>
              <w:t xml:space="preserve">Haemoglobin Electrophoresis </w:t>
            </w:r>
          </w:p>
        </w:tc>
      </w:tr>
      <w:tr w:rsidR="006C70FF" w:rsidRPr="006C70FF" w14:paraId="79427B0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D461F63" w14:textId="77777777" w:rsidR="00A81DBF" w:rsidRPr="006C70FF" w:rsidRDefault="00A81DBF" w:rsidP="00A81DBF">
            <w:pPr>
              <w:rPr>
                <w:rFonts w:cs="Arial"/>
                <w:b/>
                <w:bCs/>
                <w:color w:val="000000" w:themeColor="text1"/>
              </w:rPr>
            </w:pPr>
            <w:r w:rsidRPr="006C70FF">
              <w:rPr>
                <w:rFonts w:cs="Arial"/>
                <w:b/>
                <w:bCs/>
                <w:color w:val="000000" w:themeColor="text1"/>
              </w:rPr>
              <w:lastRenderedPageBreak/>
              <w:t> </w:t>
            </w:r>
          </w:p>
        </w:tc>
        <w:tc>
          <w:tcPr>
            <w:tcW w:w="2510" w:type="dxa"/>
            <w:tcBorders>
              <w:top w:val="nil"/>
              <w:left w:val="nil"/>
              <w:bottom w:val="single" w:sz="4" w:space="0" w:color="auto"/>
              <w:right w:val="single" w:sz="4" w:space="0" w:color="auto"/>
            </w:tcBorders>
            <w:shd w:val="clear" w:color="auto" w:fill="auto"/>
          </w:tcPr>
          <w:p w14:paraId="462EE372" w14:textId="77777777" w:rsidR="00A81DBF" w:rsidRPr="006C70FF" w:rsidRDefault="00A81DBF" w:rsidP="00A81DBF">
            <w:pPr>
              <w:rPr>
                <w:rFonts w:cs="Arial"/>
                <w:b/>
                <w:bCs/>
                <w:color w:val="000000" w:themeColor="text1"/>
              </w:rPr>
            </w:pPr>
            <w:r w:rsidRPr="006C70FF">
              <w:rPr>
                <w:rFonts w:cs="Arial"/>
                <w:b/>
                <w:bCs/>
                <w:color w:val="000000" w:themeColor="text1"/>
              </w:rPr>
              <w:t> </w:t>
            </w:r>
          </w:p>
        </w:tc>
        <w:tc>
          <w:tcPr>
            <w:tcW w:w="5605" w:type="dxa"/>
            <w:tcBorders>
              <w:top w:val="nil"/>
              <w:left w:val="nil"/>
              <w:bottom w:val="single" w:sz="4" w:space="0" w:color="auto"/>
              <w:right w:val="single" w:sz="4" w:space="0" w:color="auto"/>
            </w:tcBorders>
            <w:shd w:val="clear" w:color="auto" w:fill="auto"/>
          </w:tcPr>
          <w:p w14:paraId="0FD85506" w14:textId="77777777" w:rsidR="00A81DBF" w:rsidRPr="00637586" w:rsidRDefault="00A81DBF" w:rsidP="00A81DBF">
            <w:pPr>
              <w:tabs>
                <w:tab w:val="left" w:pos="3060"/>
              </w:tabs>
              <w:rPr>
                <w:rFonts w:cs="Arial"/>
                <w:b/>
                <w:bCs/>
                <w:color w:val="000000" w:themeColor="text1"/>
              </w:rPr>
            </w:pPr>
            <w:r w:rsidRPr="00637586">
              <w:rPr>
                <w:rFonts w:cs="Arial"/>
                <w:b/>
                <w:bCs/>
                <w:color w:val="000000" w:themeColor="text1"/>
              </w:rPr>
              <w:tab/>
            </w:r>
          </w:p>
        </w:tc>
      </w:tr>
      <w:tr w:rsidR="006C70FF" w:rsidRPr="006C70FF" w14:paraId="575EA89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0676B00F" w14:textId="77777777" w:rsidR="00A81DBF" w:rsidRPr="006C70FF" w:rsidRDefault="00A81DBF" w:rsidP="00A81DBF">
            <w:pPr>
              <w:jc w:val="right"/>
              <w:rPr>
                <w:rFonts w:cs="Arial"/>
                <w:b/>
                <w:bCs/>
                <w:color w:val="000000" w:themeColor="text1"/>
              </w:rPr>
            </w:pPr>
            <w:r w:rsidRPr="006C70FF">
              <w:rPr>
                <w:rFonts w:cs="Arial"/>
                <w:b/>
                <w:bCs/>
                <w:color w:val="000000" w:themeColor="text1"/>
              </w:rPr>
              <w:t>4</w:t>
            </w:r>
          </w:p>
        </w:tc>
        <w:tc>
          <w:tcPr>
            <w:tcW w:w="2510" w:type="dxa"/>
            <w:tcBorders>
              <w:top w:val="nil"/>
              <w:left w:val="nil"/>
              <w:bottom w:val="single" w:sz="4" w:space="0" w:color="auto"/>
              <w:right w:val="single" w:sz="4" w:space="0" w:color="auto"/>
            </w:tcBorders>
            <w:shd w:val="clear" w:color="auto" w:fill="auto"/>
          </w:tcPr>
          <w:p w14:paraId="124CF450" w14:textId="77777777" w:rsidR="00A81DBF" w:rsidRPr="006C70FF" w:rsidRDefault="00A81DBF" w:rsidP="00A81DBF">
            <w:pPr>
              <w:rPr>
                <w:rFonts w:cs="Arial"/>
                <w:b/>
                <w:bCs/>
                <w:color w:val="000000" w:themeColor="text1"/>
              </w:rPr>
            </w:pPr>
            <w:r w:rsidRPr="006C70FF">
              <w:rPr>
                <w:rFonts w:cs="Arial"/>
                <w:b/>
                <w:bCs/>
                <w:color w:val="000000" w:themeColor="text1"/>
              </w:rPr>
              <w:t>Other tests</w:t>
            </w:r>
          </w:p>
        </w:tc>
        <w:tc>
          <w:tcPr>
            <w:tcW w:w="5605" w:type="dxa"/>
            <w:tcBorders>
              <w:top w:val="nil"/>
              <w:left w:val="nil"/>
              <w:bottom w:val="single" w:sz="4" w:space="0" w:color="auto"/>
              <w:right w:val="single" w:sz="4" w:space="0" w:color="auto"/>
            </w:tcBorders>
            <w:shd w:val="clear" w:color="auto" w:fill="auto"/>
          </w:tcPr>
          <w:p w14:paraId="2D4551C4" w14:textId="77777777" w:rsidR="00A81DBF" w:rsidRPr="00637586" w:rsidRDefault="00A81DBF" w:rsidP="00A81DBF">
            <w:pPr>
              <w:rPr>
                <w:rFonts w:cs="Arial"/>
                <w:color w:val="000000" w:themeColor="text1"/>
              </w:rPr>
            </w:pPr>
            <w:r w:rsidRPr="00637586">
              <w:rPr>
                <w:rFonts w:cs="Arial"/>
                <w:color w:val="000000" w:themeColor="text1"/>
              </w:rPr>
              <w:t>Serum ferritin</w:t>
            </w:r>
          </w:p>
        </w:tc>
      </w:tr>
      <w:tr w:rsidR="006C70FF" w:rsidRPr="006C70FF" w14:paraId="39A4E53A"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65768145" w14:textId="77777777" w:rsidR="00A81DBF" w:rsidRPr="006C70FF" w:rsidRDefault="00A81DBF" w:rsidP="00A81DBF">
            <w:pPr>
              <w:rPr>
                <w:rFonts w:cs="Arial"/>
                <w:b/>
                <w:bCs/>
                <w:color w:val="000000" w:themeColor="text1"/>
              </w:rPr>
            </w:pPr>
            <w:r w:rsidRPr="006C70FF">
              <w:rPr>
                <w:rFonts w:cs="Arial"/>
                <w:b/>
                <w:bCs/>
                <w:color w:val="000000" w:themeColor="text1"/>
              </w:rPr>
              <w:t> </w:t>
            </w:r>
          </w:p>
        </w:tc>
        <w:tc>
          <w:tcPr>
            <w:tcW w:w="2510" w:type="dxa"/>
            <w:tcBorders>
              <w:top w:val="nil"/>
              <w:left w:val="nil"/>
              <w:bottom w:val="single" w:sz="4" w:space="0" w:color="auto"/>
              <w:right w:val="single" w:sz="4" w:space="0" w:color="auto"/>
            </w:tcBorders>
            <w:shd w:val="clear" w:color="auto" w:fill="auto"/>
          </w:tcPr>
          <w:p w14:paraId="0E4A1ACC" w14:textId="77777777" w:rsidR="00A81DBF" w:rsidRPr="006C70FF" w:rsidRDefault="00A81DBF" w:rsidP="00A81DBF">
            <w:pPr>
              <w:rPr>
                <w:rFonts w:cs="Arial"/>
                <w:b/>
                <w:bCs/>
                <w:color w:val="000000" w:themeColor="text1"/>
              </w:rPr>
            </w:pPr>
            <w:r w:rsidRPr="006C70FF">
              <w:rPr>
                <w:rFonts w:cs="Arial"/>
                <w:b/>
                <w:bCs/>
                <w:color w:val="000000" w:themeColor="text1"/>
              </w:rPr>
              <w:t>Urine</w:t>
            </w:r>
          </w:p>
        </w:tc>
        <w:tc>
          <w:tcPr>
            <w:tcW w:w="5605" w:type="dxa"/>
            <w:tcBorders>
              <w:top w:val="nil"/>
              <w:left w:val="nil"/>
              <w:bottom w:val="single" w:sz="4" w:space="0" w:color="auto"/>
              <w:right w:val="single" w:sz="4" w:space="0" w:color="auto"/>
            </w:tcBorders>
            <w:shd w:val="clear" w:color="auto" w:fill="auto"/>
          </w:tcPr>
          <w:p w14:paraId="4BF2B8B5" w14:textId="16D0B6D8" w:rsidR="00A81DBF" w:rsidRPr="00637586" w:rsidRDefault="00A81DBF" w:rsidP="00A81DBF">
            <w:pPr>
              <w:rPr>
                <w:rFonts w:cs="Arial"/>
                <w:color w:val="000000" w:themeColor="text1"/>
              </w:rPr>
            </w:pPr>
            <w:r w:rsidRPr="00637586">
              <w:rPr>
                <w:rFonts w:cs="Arial"/>
                <w:color w:val="000000" w:themeColor="text1"/>
              </w:rPr>
              <w:t>Dipstick</w:t>
            </w:r>
            <w:r w:rsidR="00080B12" w:rsidRPr="00637586">
              <w:rPr>
                <w:rFonts w:cs="Arial"/>
                <w:color w:val="000000" w:themeColor="text1"/>
              </w:rPr>
              <w:t xml:space="preserve"> (see appendix G)</w:t>
            </w:r>
          </w:p>
        </w:tc>
      </w:tr>
      <w:tr w:rsidR="006C70FF" w:rsidRPr="006C70FF" w14:paraId="07D3FE9F"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05FAA403"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7B72B491"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7A8628B1" w14:textId="77777777" w:rsidR="00A81DBF" w:rsidRPr="00637586" w:rsidRDefault="00A81DBF" w:rsidP="00A81DBF">
            <w:pPr>
              <w:rPr>
                <w:rFonts w:cs="Arial"/>
                <w:color w:val="000000" w:themeColor="text1"/>
              </w:rPr>
            </w:pPr>
            <w:r w:rsidRPr="00637586">
              <w:rPr>
                <w:rFonts w:cs="Arial"/>
                <w:color w:val="000000" w:themeColor="text1"/>
              </w:rPr>
              <w:t>Pregnancy test females only of child-bearing potential and advised that adequate contraception must continue for 1-month post donation where PBSC is the method of donation.</w:t>
            </w:r>
          </w:p>
        </w:tc>
      </w:tr>
      <w:tr w:rsidR="006C70FF" w:rsidRPr="006C70FF" w14:paraId="1F6BA13A"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6280616A" w14:textId="77777777" w:rsidR="00A81DBF" w:rsidRPr="006C70FF" w:rsidRDefault="00A81DBF" w:rsidP="00A81DBF">
            <w:pPr>
              <w:jc w:val="right"/>
              <w:rPr>
                <w:rFonts w:cs="Arial"/>
                <w:b/>
                <w:bCs/>
                <w:color w:val="000000" w:themeColor="text1"/>
              </w:rPr>
            </w:pPr>
            <w:r w:rsidRPr="006C70FF">
              <w:rPr>
                <w:rFonts w:cs="Arial"/>
                <w:b/>
                <w:bCs/>
                <w:color w:val="000000" w:themeColor="text1"/>
              </w:rPr>
              <w:t>5</w:t>
            </w:r>
          </w:p>
        </w:tc>
        <w:tc>
          <w:tcPr>
            <w:tcW w:w="2510" w:type="dxa"/>
            <w:tcBorders>
              <w:top w:val="nil"/>
              <w:left w:val="nil"/>
              <w:bottom w:val="single" w:sz="4" w:space="0" w:color="auto"/>
              <w:right w:val="single" w:sz="4" w:space="0" w:color="auto"/>
            </w:tcBorders>
            <w:shd w:val="clear" w:color="auto" w:fill="auto"/>
          </w:tcPr>
          <w:p w14:paraId="72260568" w14:textId="77777777" w:rsidR="00A81DBF" w:rsidRPr="006C70FF" w:rsidRDefault="00A81DBF" w:rsidP="00A81DBF">
            <w:pPr>
              <w:rPr>
                <w:rFonts w:cs="Arial"/>
                <w:b/>
                <w:bCs/>
                <w:color w:val="000000" w:themeColor="text1"/>
              </w:rPr>
            </w:pPr>
            <w:r w:rsidRPr="006C70FF">
              <w:rPr>
                <w:rFonts w:cs="Arial"/>
                <w:b/>
                <w:bCs/>
                <w:color w:val="000000" w:themeColor="text1"/>
              </w:rPr>
              <w:t>ECG and report</w:t>
            </w:r>
          </w:p>
        </w:tc>
        <w:tc>
          <w:tcPr>
            <w:tcW w:w="5605" w:type="dxa"/>
            <w:tcBorders>
              <w:top w:val="nil"/>
              <w:left w:val="nil"/>
              <w:bottom w:val="single" w:sz="4" w:space="0" w:color="auto"/>
              <w:right w:val="single" w:sz="4" w:space="0" w:color="auto"/>
            </w:tcBorders>
            <w:shd w:val="clear" w:color="auto" w:fill="auto"/>
          </w:tcPr>
          <w:p w14:paraId="37AA682F" w14:textId="53009942" w:rsidR="00A81DBF" w:rsidRPr="006C70FF" w:rsidRDefault="00586B17" w:rsidP="00A81DBF">
            <w:pPr>
              <w:rPr>
                <w:rFonts w:cs="Arial"/>
                <w:color w:val="000000" w:themeColor="text1"/>
              </w:rPr>
            </w:pPr>
            <w:r w:rsidRPr="006C70FF">
              <w:rPr>
                <w:rFonts w:cs="Arial"/>
                <w:color w:val="000000" w:themeColor="text1"/>
              </w:rPr>
              <w:t xml:space="preserve">Mandatory for </w:t>
            </w:r>
            <w:r w:rsidR="004B2075" w:rsidRPr="006C70FF">
              <w:rPr>
                <w:rFonts w:cs="Arial"/>
                <w:color w:val="000000" w:themeColor="text1"/>
              </w:rPr>
              <w:t>all</w:t>
            </w:r>
            <w:r w:rsidR="00210A9B" w:rsidRPr="006C70FF">
              <w:rPr>
                <w:rFonts w:cs="Arial"/>
                <w:color w:val="000000" w:themeColor="text1"/>
              </w:rPr>
              <w:t xml:space="preserve">. If an ECG is abnormal, a more detailed interpretation and advice on whether any further investigation is required should be sought from a cardiologist. Clause </w:t>
            </w:r>
            <w:r w:rsidR="00210A9B" w:rsidRPr="0040659D">
              <w:rPr>
                <w:rFonts w:cs="Arial"/>
                <w:color w:val="7030A0"/>
              </w:rPr>
              <w:t>2.</w:t>
            </w:r>
            <w:r w:rsidR="0040659D" w:rsidRPr="0040659D">
              <w:rPr>
                <w:rFonts w:cs="Arial"/>
                <w:color w:val="7030A0"/>
              </w:rPr>
              <w:t>7</w:t>
            </w:r>
            <w:r w:rsidR="000833BF">
              <w:rPr>
                <w:rFonts w:cs="Arial"/>
                <w:color w:val="7030A0"/>
              </w:rPr>
              <w:t>2</w:t>
            </w:r>
            <w:r w:rsidR="00210A9B" w:rsidRPr="0040659D">
              <w:rPr>
                <w:rFonts w:cs="Arial"/>
                <w:color w:val="7030A0"/>
              </w:rPr>
              <w:t xml:space="preserve"> </w:t>
            </w:r>
            <w:r w:rsidR="00210A9B" w:rsidRPr="006C70FF">
              <w:rPr>
                <w:rFonts w:cs="Arial"/>
                <w:color w:val="000000" w:themeColor="text1"/>
              </w:rPr>
              <w:t>also applies</w:t>
            </w:r>
          </w:p>
        </w:tc>
      </w:tr>
      <w:tr w:rsidR="006C70FF" w:rsidRPr="006C70FF" w14:paraId="120E420C"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F14F2DA"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61B58BA8"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CBB8C9E" w14:textId="77777777" w:rsidR="00A81DBF" w:rsidRPr="006C70FF" w:rsidRDefault="00A81DBF" w:rsidP="00A81DBF">
            <w:pPr>
              <w:rPr>
                <w:rFonts w:cs="Arial"/>
                <w:color w:val="000000" w:themeColor="text1"/>
              </w:rPr>
            </w:pPr>
            <w:r w:rsidRPr="006C70FF">
              <w:rPr>
                <w:rFonts w:cs="Arial"/>
                <w:color w:val="000000" w:themeColor="text1"/>
              </w:rPr>
              <w:t> </w:t>
            </w:r>
          </w:p>
        </w:tc>
      </w:tr>
      <w:tr w:rsidR="006C70FF" w:rsidRPr="006C70FF" w14:paraId="6DCC2E08"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48088620" w14:textId="77777777" w:rsidR="00A81DBF" w:rsidRPr="006C70FF" w:rsidRDefault="00A81DBF" w:rsidP="00A81DBF">
            <w:pPr>
              <w:jc w:val="right"/>
              <w:rPr>
                <w:rFonts w:cs="Arial"/>
                <w:b/>
                <w:bCs/>
                <w:color w:val="000000" w:themeColor="text1"/>
              </w:rPr>
            </w:pPr>
            <w:r w:rsidRPr="006C70FF">
              <w:rPr>
                <w:rFonts w:cs="Arial"/>
                <w:b/>
                <w:bCs/>
                <w:color w:val="000000" w:themeColor="text1"/>
              </w:rPr>
              <w:t>6</w:t>
            </w:r>
          </w:p>
        </w:tc>
        <w:tc>
          <w:tcPr>
            <w:tcW w:w="2510" w:type="dxa"/>
            <w:tcBorders>
              <w:top w:val="nil"/>
              <w:left w:val="nil"/>
              <w:bottom w:val="single" w:sz="4" w:space="0" w:color="auto"/>
              <w:right w:val="single" w:sz="4" w:space="0" w:color="auto"/>
            </w:tcBorders>
            <w:shd w:val="clear" w:color="auto" w:fill="auto"/>
          </w:tcPr>
          <w:p w14:paraId="0A0E4335" w14:textId="68658929" w:rsidR="00A81DBF" w:rsidRPr="006C70FF" w:rsidRDefault="00A81DBF" w:rsidP="00A81DBF">
            <w:pPr>
              <w:rPr>
                <w:rFonts w:cs="Arial"/>
                <w:b/>
                <w:bCs/>
                <w:color w:val="000000" w:themeColor="text1"/>
              </w:rPr>
            </w:pPr>
            <w:r w:rsidRPr="006C70FF">
              <w:rPr>
                <w:rFonts w:cs="Arial"/>
                <w:b/>
                <w:bCs/>
                <w:color w:val="000000" w:themeColor="text1"/>
              </w:rPr>
              <w:t xml:space="preserve">Chest </w:t>
            </w:r>
            <w:r w:rsidR="00210A9B" w:rsidRPr="006C70FF">
              <w:rPr>
                <w:rFonts w:cs="Arial"/>
                <w:b/>
                <w:bCs/>
                <w:color w:val="000000" w:themeColor="text1"/>
              </w:rPr>
              <w:t>X</w:t>
            </w:r>
            <w:r w:rsidRPr="006C70FF">
              <w:rPr>
                <w:rFonts w:cs="Arial"/>
                <w:b/>
                <w:bCs/>
                <w:color w:val="000000" w:themeColor="text1"/>
              </w:rPr>
              <w:t xml:space="preserve"> ray and report</w:t>
            </w:r>
          </w:p>
        </w:tc>
        <w:tc>
          <w:tcPr>
            <w:tcW w:w="5605" w:type="dxa"/>
            <w:tcBorders>
              <w:top w:val="nil"/>
              <w:left w:val="nil"/>
              <w:bottom w:val="single" w:sz="4" w:space="0" w:color="auto"/>
              <w:right w:val="single" w:sz="4" w:space="0" w:color="auto"/>
            </w:tcBorders>
            <w:shd w:val="clear" w:color="auto" w:fill="auto"/>
          </w:tcPr>
          <w:p w14:paraId="1126160B" w14:textId="17862165" w:rsidR="008103A7" w:rsidRPr="008103A7" w:rsidRDefault="008103A7" w:rsidP="00A81DBF">
            <w:pPr>
              <w:rPr>
                <w:rFonts w:cs="Arial"/>
                <w:color w:val="7030A0"/>
              </w:rPr>
            </w:pPr>
            <w:r w:rsidRPr="008103A7">
              <w:rPr>
                <w:rFonts w:cs="Arial"/>
                <w:color w:val="7030A0"/>
              </w:rPr>
              <w:t xml:space="preserve">Required for donors of 50 or above </w:t>
            </w:r>
          </w:p>
          <w:p w14:paraId="0F7CD0F6" w14:textId="77777777" w:rsidR="008103A7" w:rsidRDefault="008103A7" w:rsidP="00A81DBF">
            <w:pPr>
              <w:rPr>
                <w:rFonts w:cs="Arial"/>
                <w:color w:val="000000" w:themeColor="text1"/>
              </w:rPr>
            </w:pPr>
          </w:p>
          <w:p w14:paraId="603509F7" w14:textId="6DA01BF8" w:rsidR="00A81DBF" w:rsidRPr="006C70FF" w:rsidRDefault="00586B17" w:rsidP="00A81DBF">
            <w:pPr>
              <w:rPr>
                <w:rFonts w:cs="Arial"/>
                <w:color w:val="000000" w:themeColor="text1"/>
              </w:rPr>
            </w:pPr>
            <w:r w:rsidRPr="006C70FF">
              <w:rPr>
                <w:rFonts w:cs="Arial"/>
                <w:color w:val="000000" w:themeColor="text1"/>
              </w:rPr>
              <w:t xml:space="preserve">Discretionary </w:t>
            </w:r>
            <w:r w:rsidR="008103A7">
              <w:rPr>
                <w:rFonts w:cs="Arial"/>
                <w:color w:val="7030A0"/>
              </w:rPr>
              <w:t>for donors 17-49</w:t>
            </w:r>
            <w:r w:rsidRPr="006C70FF">
              <w:rPr>
                <w:rFonts w:cs="Arial"/>
                <w:color w:val="000000" w:themeColor="text1"/>
              </w:rPr>
              <w:t>– as clinically indicated</w:t>
            </w:r>
          </w:p>
        </w:tc>
      </w:tr>
      <w:tr w:rsidR="006C70FF" w:rsidRPr="006C70FF" w14:paraId="158C673E"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4D0ED8EC"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4DA4C4DA"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4520C758" w14:textId="047ED4E8" w:rsidR="00A81DBF" w:rsidRPr="006C70FF" w:rsidRDefault="00210A9B" w:rsidP="00A81DBF">
            <w:pPr>
              <w:rPr>
                <w:rFonts w:cs="Arial"/>
                <w:color w:val="000000" w:themeColor="text1"/>
              </w:rPr>
            </w:pPr>
            <w:r w:rsidRPr="006C70FF">
              <w:rPr>
                <w:rFonts w:cs="Arial"/>
                <w:color w:val="000000" w:themeColor="text1"/>
              </w:rPr>
              <w:t xml:space="preserve">Clause </w:t>
            </w:r>
            <w:r w:rsidR="0040659D" w:rsidRPr="0040659D">
              <w:rPr>
                <w:rFonts w:cs="Arial"/>
                <w:color w:val="7030A0"/>
              </w:rPr>
              <w:t xml:space="preserve">2.71 </w:t>
            </w:r>
            <w:r w:rsidRPr="006C70FF">
              <w:rPr>
                <w:rFonts w:cs="Arial"/>
                <w:color w:val="000000" w:themeColor="text1"/>
              </w:rPr>
              <w:t>applies</w:t>
            </w:r>
          </w:p>
        </w:tc>
      </w:tr>
      <w:tr w:rsidR="006C70FF" w:rsidRPr="006C70FF" w14:paraId="75F3C97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46617B0F" w14:textId="77777777" w:rsidR="00A81DBF" w:rsidRPr="006C70FF" w:rsidRDefault="00A81DBF" w:rsidP="00A81DBF">
            <w:pPr>
              <w:jc w:val="right"/>
              <w:rPr>
                <w:rFonts w:cs="Arial"/>
                <w:b/>
                <w:bCs/>
                <w:color w:val="000000" w:themeColor="text1"/>
              </w:rPr>
            </w:pPr>
            <w:r w:rsidRPr="006C70FF">
              <w:rPr>
                <w:rFonts w:cs="Arial"/>
                <w:b/>
                <w:bCs/>
                <w:color w:val="000000" w:themeColor="text1"/>
              </w:rPr>
              <w:t>7</w:t>
            </w:r>
          </w:p>
        </w:tc>
        <w:tc>
          <w:tcPr>
            <w:tcW w:w="2510" w:type="dxa"/>
            <w:tcBorders>
              <w:top w:val="nil"/>
              <w:left w:val="nil"/>
              <w:bottom w:val="single" w:sz="4" w:space="0" w:color="auto"/>
              <w:right w:val="single" w:sz="4" w:space="0" w:color="auto"/>
            </w:tcBorders>
            <w:shd w:val="clear" w:color="auto" w:fill="auto"/>
          </w:tcPr>
          <w:p w14:paraId="24BAB782" w14:textId="77777777" w:rsidR="00A81DBF" w:rsidRPr="006C70FF" w:rsidRDefault="00A81DBF" w:rsidP="00A81DBF">
            <w:pPr>
              <w:rPr>
                <w:rFonts w:cs="Arial"/>
                <w:b/>
                <w:bCs/>
                <w:color w:val="000000" w:themeColor="text1"/>
              </w:rPr>
            </w:pPr>
            <w:r w:rsidRPr="006C70FF">
              <w:rPr>
                <w:rFonts w:cs="Arial"/>
                <w:b/>
                <w:bCs/>
                <w:color w:val="000000" w:themeColor="text1"/>
              </w:rPr>
              <w:t>Biochemistry and LFTs</w:t>
            </w:r>
          </w:p>
        </w:tc>
        <w:tc>
          <w:tcPr>
            <w:tcW w:w="5605" w:type="dxa"/>
            <w:tcBorders>
              <w:top w:val="nil"/>
              <w:left w:val="nil"/>
              <w:bottom w:val="single" w:sz="4" w:space="0" w:color="auto"/>
              <w:right w:val="single" w:sz="4" w:space="0" w:color="auto"/>
            </w:tcBorders>
            <w:shd w:val="clear" w:color="auto" w:fill="auto"/>
          </w:tcPr>
          <w:p w14:paraId="2A1EAD86" w14:textId="77777777" w:rsidR="00A81DBF" w:rsidRPr="006C70FF" w:rsidRDefault="00A81DBF" w:rsidP="00A81DBF">
            <w:pPr>
              <w:rPr>
                <w:rFonts w:cs="Arial"/>
                <w:color w:val="000000" w:themeColor="text1"/>
              </w:rPr>
            </w:pPr>
            <w:r w:rsidRPr="006C70FF">
              <w:rPr>
                <w:rFonts w:cs="Arial"/>
                <w:color w:val="000000" w:themeColor="text1"/>
              </w:rPr>
              <w:t>Na</w:t>
            </w:r>
          </w:p>
        </w:tc>
      </w:tr>
      <w:tr w:rsidR="006C70FF" w:rsidRPr="006C70FF" w14:paraId="591694DF"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2484C7A1"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14EB2676"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1C2F2E79" w14:textId="77777777" w:rsidR="00A81DBF" w:rsidRPr="006C70FF" w:rsidRDefault="00A81DBF" w:rsidP="00A81DBF">
            <w:pPr>
              <w:rPr>
                <w:rFonts w:cs="Arial"/>
                <w:color w:val="000000" w:themeColor="text1"/>
              </w:rPr>
            </w:pPr>
            <w:r w:rsidRPr="006C70FF">
              <w:rPr>
                <w:rFonts w:cs="Arial"/>
                <w:color w:val="000000" w:themeColor="text1"/>
              </w:rPr>
              <w:t>K</w:t>
            </w:r>
          </w:p>
        </w:tc>
      </w:tr>
      <w:tr w:rsidR="006C70FF" w:rsidRPr="006C70FF" w14:paraId="3E5FCDD0"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25A22B3"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66F2183F"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70992650" w14:textId="77777777" w:rsidR="00A81DBF" w:rsidRPr="006C70FF" w:rsidRDefault="00A81DBF" w:rsidP="00A81DBF">
            <w:pPr>
              <w:rPr>
                <w:rFonts w:cs="Arial"/>
                <w:color w:val="000000" w:themeColor="text1"/>
              </w:rPr>
            </w:pPr>
            <w:r w:rsidRPr="006C70FF">
              <w:rPr>
                <w:rFonts w:cs="Arial"/>
                <w:color w:val="000000" w:themeColor="text1"/>
              </w:rPr>
              <w:t>Urea</w:t>
            </w:r>
          </w:p>
        </w:tc>
      </w:tr>
      <w:tr w:rsidR="006C70FF" w:rsidRPr="006C70FF" w14:paraId="667A87F6"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C677D0D"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2935496B"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7C4E64B6" w14:textId="77777777" w:rsidR="00A81DBF" w:rsidRPr="006C70FF" w:rsidRDefault="00A81DBF" w:rsidP="00A81DBF">
            <w:pPr>
              <w:rPr>
                <w:rFonts w:cs="Arial"/>
                <w:color w:val="000000" w:themeColor="text1"/>
              </w:rPr>
            </w:pPr>
            <w:r w:rsidRPr="006C70FF">
              <w:rPr>
                <w:rFonts w:cs="Arial"/>
                <w:color w:val="000000" w:themeColor="text1"/>
              </w:rPr>
              <w:t>Ca (Corrected)</w:t>
            </w:r>
          </w:p>
        </w:tc>
      </w:tr>
      <w:tr w:rsidR="006C70FF" w:rsidRPr="006C70FF" w14:paraId="706DCCA4"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05BECD4D"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03D6A9CA"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5D3C614E" w14:textId="77777777" w:rsidR="00A81DBF" w:rsidRPr="006C70FF" w:rsidRDefault="00A81DBF" w:rsidP="00A81DBF">
            <w:pPr>
              <w:rPr>
                <w:rFonts w:cs="Arial"/>
                <w:color w:val="000000" w:themeColor="text1"/>
              </w:rPr>
            </w:pPr>
            <w:proofErr w:type="spellStart"/>
            <w:r w:rsidRPr="006C70FF">
              <w:rPr>
                <w:rFonts w:cs="Arial"/>
                <w:color w:val="000000" w:themeColor="text1"/>
              </w:rPr>
              <w:t>Creat</w:t>
            </w:r>
            <w:proofErr w:type="spellEnd"/>
            <w:r w:rsidRPr="006C70FF">
              <w:rPr>
                <w:rFonts w:cs="Arial"/>
                <w:color w:val="000000" w:themeColor="text1"/>
              </w:rPr>
              <w:t>.</w:t>
            </w:r>
          </w:p>
        </w:tc>
      </w:tr>
      <w:tr w:rsidR="006C70FF" w:rsidRPr="006C70FF" w14:paraId="1B5AD944"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F50B194"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15B95A4D"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2CA0628" w14:textId="77777777" w:rsidR="00A81DBF" w:rsidRPr="006C70FF" w:rsidRDefault="00A81DBF" w:rsidP="00A81DBF">
            <w:pPr>
              <w:rPr>
                <w:rFonts w:cs="Arial"/>
                <w:color w:val="000000" w:themeColor="text1"/>
              </w:rPr>
            </w:pPr>
            <w:r w:rsidRPr="006C70FF">
              <w:rPr>
                <w:rFonts w:cs="Arial"/>
                <w:color w:val="000000" w:themeColor="text1"/>
              </w:rPr>
              <w:t>Glucose</w:t>
            </w:r>
          </w:p>
        </w:tc>
      </w:tr>
      <w:tr w:rsidR="006C70FF" w:rsidRPr="006C70FF" w14:paraId="771EFB4B"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0EB7787"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545540D2"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65A49CC4" w14:textId="61C98291" w:rsidR="00A81DBF" w:rsidRPr="006C70FF" w:rsidRDefault="00A81DBF" w:rsidP="00A81DBF">
            <w:pPr>
              <w:rPr>
                <w:rFonts w:cs="Arial"/>
                <w:color w:val="000000" w:themeColor="text1"/>
              </w:rPr>
            </w:pPr>
            <w:r w:rsidRPr="006C70FF">
              <w:rPr>
                <w:rFonts w:cs="Arial"/>
                <w:color w:val="000000" w:themeColor="text1"/>
              </w:rPr>
              <w:t>Prot</w:t>
            </w:r>
            <w:r w:rsidRPr="0007668A">
              <w:rPr>
                <w:rFonts w:cs="Arial"/>
                <w:color w:val="7030A0"/>
              </w:rPr>
              <w:t>.</w:t>
            </w:r>
            <w:r w:rsidR="0007668A" w:rsidRPr="0007668A">
              <w:rPr>
                <w:rFonts w:cs="Arial"/>
                <w:color w:val="7030A0"/>
              </w:rPr>
              <w:t>***</w:t>
            </w:r>
          </w:p>
        </w:tc>
      </w:tr>
      <w:tr w:rsidR="006C70FF" w:rsidRPr="006C70FF" w14:paraId="1C77E009"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A9B6241"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36155B1D"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6C5538FB" w14:textId="77777777" w:rsidR="00A81DBF" w:rsidRPr="006C70FF" w:rsidRDefault="00A81DBF" w:rsidP="00A81DBF">
            <w:pPr>
              <w:rPr>
                <w:rFonts w:cs="Arial"/>
                <w:color w:val="000000" w:themeColor="text1"/>
              </w:rPr>
            </w:pPr>
            <w:r w:rsidRPr="006C70FF">
              <w:rPr>
                <w:rFonts w:cs="Arial"/>
                <w:color w:val="000000" w:themeColor="text1"/>
              </w:rPr>
              <w:t>Alb.</w:t>
            </w:r>
          </w:p>
        </w:tc>
      </w:tr>
      <w:tr w:rsidR="006C70FF" w:rsidRPr="006C70FF" w14:paraId="6D6755D6"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DDA6DA5"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7FAD2B81"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316AE887" w14:textId="77777777" w:rsidR="00A81DBF" w:rsidRPr="006C70FF" w:rsidRDefault="00A81DBF" w:rsidP="00A81DBF">
            <w:pPr>
              <w:rPr>
                <w:rFonts w:cs="Arial"/>
                <w:color w:val="000000" w:themeColor="text1"/>
              </w:rPr>
            </w:pPr>
            <w:r w:rsidRPr="006C70FF">
              <w:rPr>
                <w:rFonts w:cs="Arial"/>
                <w:color w:val="000000" w:themeColor="text1"/>
              </w:rPr>
              <w:t>Uric Acid</w:t>
            </w:r>
          </w:p>
        </w:tc>
      </w:tr>
      <w:tr w:rsidR="006C70FF" w:rsidRPr="006C70FF" w14:paraId="5646FC85"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054E7EE"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44527299"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2A0328F5" w14:textId="77777777" w:rsidR="00A81DBF" w:rsidRPr="006C70FF" w:rsidRDefault="00A81DBF" w:rsidP="00A81DBF">
            <w:pPr>
              <w:rPr>
                <w:rFonts w:cs="Arial"/>
                <w:color w:val="000000" w:themeColor="text1"/>
              </w:rPr>
            </w:pPr>
            <w:proofErr w:type="spellStart"/>
            <w:r w:rsidRPr="006C70FF">
              <w:rPr>
                <w:rFonts w:cs="Arial"/>
                <w:color w:val="000000" w:themeColor="text1"/>
              </w:rPr>
              <w:t>Alk</w:t>
            </w:r>
            <w:proofErr w:type="spellEnd"/>
            <w:r w:rsidRPr="006C70FF">
              <w:rPr>
                <w:rFonts w:cs="Arial"/>
                <w:color w:val="000000" w:themeColor="text1"/>
              </w:rPr>
              <w:t xml:space="preserve">. </w:t>
            </w:r>
            <w:proofErr w:type="spellStart"/>
            <w:r w:rsidRPr="006C70FF">
              <w:rPr>
                <w:rFonts w:cs="Arial"/>
                <w:color w:val="000000" w:themeColor="text1"/>
              </w:rPr>
              <w:t>Phos</w:t>
            </w:r>
            <w:proofErr w:type="spellEnd"/>
            <w:r w:rsidRPr="006C70FF">
              <w:rPr>
                <w:rFonts w:cs="Arial"/>
                <w:color w:val="000000" w:themeColor="text1"/>
              </w:rPr>
              <w:t>.</w:t>
            </w:r>
          </w:p>
        </w:tc>
      </w:tr>
      <w:tr w:rsidR="006C70FF" w:rsidRPr="006C70FF" w14:paraId="28E35D82"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C525906"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7E2E2BCB"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4C530B3F" w14:textId="77777777" w:rsidR="00A81DBF" w:rsidRPr="006C70FF" w:rsidRDefault="00A81DBF" w:rsidP="00A81DBF">
            <w:pPr>
              <w:rPr>
                <w:rFonts w:cs="Arial"/>
                <w:color w:val="000000" w:themeColor="text1"/>
              </w:rPr>
            </w:pPr>
            <w:r w:rsidRPr="006C70FF">
              <w:rPr>
                <w:rFonts w:cs="Arial"/>
                <w:color w:val="000000" w:themeColor="text1"/>
              </w:rPr>
              <w:t>Bilirubin</w:t>
            </w:r>
          </w:p>
        </w:tc>
      </w:tr>
      <w:tr w:rsidR="006C70FF" w:rsidRPr="006C70FF" w14:paraId="4EAB6EF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587141A"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1A1AF50D"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1737B1C4" w14:textId="77777777" w:rsidR="00A81DBF" w:rsidRPr="006C70FF" w:rsidRDefault="00A81DBF" w:rsidP="00A81DBF">
            <w:pPr>
              <w:rPr>
                <w:rFonts w:cs="Arial"/>
                <w:color w:val="000000" w:themeColor="text1"/>
              </w:rPr>
            </w:pPr>
            <w:r w:rsidRPr="006C70FF">
              <w:rPr>
                <w:rFonts w:cs="Arial"/>
                <w:color w:val="000000" w:themeColor="text1"/>
              </w:rPr>
              <w:t>ALT</w:t>
            </w:r>
          </w:p>
        </w:tc>
      </w:tr>
      <w:tr w:rsidR="006C70FF" w:rsidRPr="006C70FF" w14:paraId="32A80D0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21CCCD81"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48F48430"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677FF35C" w14:textId="77777777" w:rsidR="00A81DBF" w:rsidRPr="006C70FF" w:rsidRDefault="00A81DBF" w:rsidP="00A81DBF">
            <w:pPr>
              <w:rPr>
                <w:rFonts w:cs="Arial"/>
                <w:color w:val="000000" w:themeColor="text1"/>
              </w:rPr>
            </w:pPr>
            <w:r w:rsidRPr="006C70FF">
              <w:rPr>
                <w:rFonts w:cs="Arial"/>
                <w:color w:val="000000" w:themeColor="text1"/>
              </w:rPr>
              <w:t>AST</w:t>
            </w:r>
          </w:p>
        </w:tc>
      </w:tr>
      <w:tr w:rsidR="006C70FF" w:rsidRPr="006C70FF" w14:paraId="4014BF7B"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408A200"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0A3BDFC0"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36038511" w14:textId="77777777" w:rsidR="00A81DBF" w:rsidRPr="006C70FF" w:rsidRDefault="00A81DBF" w:rsidP="00A81DBF">
            <w:pPr>
              <w:rPr>
                <w:rFonts w:cs="Arial"/>
                <w:color w:val="000000" w:themeColor="text1"/>
              </w:rPr>
            </w:pPr>
            <w:r w:rsidRPr="006C70FF">
              <w:rPr>
                <w:rFonts w:cs="Arial"/>
                <w:color w:val="000000" w:themeColor="text1"/>
              </w:rPr>
              <w:t>GGT</w:t>
            </w:r>
          </w:p>
        </w:tc>
      </w:tr>
      <w:tr w:rsidR="006C70FF" w:rsidRPr="006C70FF" w14:paraId="76652566"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702B782"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3E46F0A9"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428B55BE" w14:textId="77777777" w:rsidR="00A81DBF" w:rsidRPr="006C70FF" w:rsidRDefault="00A81DBF" w:rsidP="00A81DBF">
            <w:pPr>
              <w:rPr>
                <w:rFonts w:cs="Arial"/>
                <w:color w:val="000000" w:themeColor="text1"/>
              </w:rPr>
            </w:pPr>
            <w:r w:rsidRPr="006C70FF">
              <w:rPr>
                <w:rFonts w:cs="Arial"/>
                <w:color w:val="000000" w:themeColor="text1"/>
              </w:rPr>
              <w:t> </w:t>
            </w:r>
          </w:p>
        </w:tc>
      </w:tr>
      <w:tr w:rsidR="006C70FF" w:rsidRPr="006C70FF" w14:paraId="11F59CCD" w14:textId="77777777" w:rsidTr="00586B17">
        <w:trPr>
          <w:trHeight w:val="257"/>
        </w:trPr>
        <w:tc>
          <w:tcPr>
            <w:tcW w:w="561" w:type="dxa"/>
            <w:tcBorders>
              <w:top w:val="single" w:sz="4" w:space="0" w:color="auto"/>
              <w:left w:val="single" w:sz="4" w:space="0" w:color="auto"/>
              <w:bottom w:val="single" w:sz="4" w:space="0" w:color="auto"/>
              <w:right w:val="single" w:sz="4" w:space="0" w:color="auto"/>
            </w:tcBorders>
            <w:shd w:val="clear" w:color="auto" w:fill="auto"/>
          </w:tcPr>
          <w:p w14:paraId="2158AFEB" w14:textId="77777777" w:rsidR="00A81DBF" w:rsidRPr="006C70FF" w:rsidRDefault="00A81DBF" w:rsidP="00A81DBF">
            <w:pPr>
              <w:rPr>
                <w:rFonts w:cs="Arial"/>
                <w:b/>
                <w:bCs/>
                <w:color w:val="000000" w:themeColor="text1"/>
              </w:rPr>
            </w:pPr>
            <w:r w:rsidRPr="006C70FF">
              <w:rPr>
                <w:rFonts w:cs="Arial"/>
                <w:b/>
                <w:bCs/>
                <w:color w:val="000000" w:themeColor="text1"/>
              </w:rPr>
              <w:t>8.a</w:t>
            </w:r>
          </w:p>
        </w:tc>
        <w:tc>
          <w:tcPr>
            <w:tcW w:w="2510" w:type="dxa"/>
            <w:tcBorders>
              <w:top w:val="single" w:sz="4" w:space="0" w:color="auto"/>
              <w:left w:val="nil"/>
              <w:bottom w:val="single" w:sz="4" w:space="0" w:color="auto"/>
              <w:right w:val="single" w:sz="4" w:space="0" w:color="auto"/>
            </w:tcBorders>
            <w:shd w:val="clear" w:color="auto" w:fill="auto"/>
          </w:tcPr>
          <w:p w14:paraId="62619992" w14:textId="3500A3B5" w:rsidR="00A81DBF" w:rsidRPr="006C70FF" w:rsidRDefault="00A81DBF" w:rsidP="00A81DBF">
            <w:pPr>
              <w:rPr>
                <w:rFonts w:cs="Arial"/>
                <w:b/>
                <w:bCs/>
                <w:color w:val="000000" w:themeColor="text1"/>
              </w:rPr>
            </w:pPr>
            <w:r w:rsidRPr="006C70FF">
              <w:rPr>
                <w:rFonts w:cs="Arial"/>
                <w:b/>
                <w:bCs/>
                <w:color w:val="000000" w:themeColor="text1"/>
              </w:rPr>
              <w:t>Virology</w:t>
            </w:r>
            <w:r w:rsidR="008244D1" w:rsidRPr="008244D1">
              <w:rPr>
                <w:rFonts w:cs="Arial"/>
                <w:b/>
                <w:bCs/>
                <w:color w:val="7030A0"/>
              </w:rPr>
              <w:t>**</w:t>
            </w:r>
          </w:p>
        </w:tc>
        <w:tc>
          <w:tcPr>
            <w:tcW w:w="5605" w:type="dxa"/>
            <w:tcBorders>
              <w:top w:val="single" w:sz="4" w:space="0" w:color="auto"/>
              <w:left w:val="nil"/>
              <w:bottom w:val="single" w:sz="4" w:space="0" w:color="auto"/>
              <w:right w:val="single" w:sz="4" w:space="0" w:color="auto"/>
            </w:tcBorders>
            <w:shd w:val="clear" w:color="auto" w:fill="auto"/>
          </w:tcPr>
          <w:p w14:paraId="554D4FA7" w14:textId="77777777" w:rsidR="00A81DBF" w:rsidRPr="006C70FF" w:rsidRDefault="00A81DBF" w:rsidP="00A81DBF">
            <w:pPr>
              <w:rPr>
                <w:rFonts w:cs="Arial"/>
                <w:color w:val="000000" w:themeColor="text1"/>
              </w:rPr>
            </w:pPr>
            <w:r w:rsidRPr="006C70FF">
              <w:rPr>
                <w:rFonts w:cs="Arial"/>
                <w:color w:val="000000" w:themeColor="text1"/>
              </w:rPr>
              <w:t>HIV 1&amp;2 combined Ab and P24 Ag screen</w:t>
            </w:r>
          </w:p>
        </w:tc>
      </w:tr>
      <w:tr w:rsidR="006C70FF" w:rsidRPr="006C70FF" w14:paraId="2F535B96"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168D23DD"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3FA5A263"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50538648" w14:textId="77777777" w:rsidR="00A81DBF" w:rsidRPr="006C70FF" w:rsidRDefault="00A81DBF" w:rsidP="00A81DBF">
            <w:pPr>
              <w:rPr>
                <w:rFonts w:cs="Arial"/>
                <w:color w:val="000000" w:themeColor="text1"/>
              </w:rPr>
            </w:pPr>
            <w:r w:rsidRPr="006C70FF">
              <w:rPr>
                <w:rFonts w:cs="Arial"/>
                <w:color w:val="000000" w:themeColor="text1"/>
              </w:rPr>
              <w:t>HTLV 1 / 2</w:t>
            </w:r>
          </w:p>
        </w:tc>
      </w:tr>
      <w:tr w:rsidR="006C70FF" w:rsidRPr="006C70FF" w14:paraId="4123881D"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2BED64C2"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4D3F2318"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A32278A" w14:textId="77777777" w:rsidR="00A81DBF" w:rsidRPr="006C70FF" w:rsidRDefault="00A81DBF" w:rsidP="00A81DBF">
            <w:pPr>
              <w:rPr>
                <w:rFonts w:cs="Arial"/>
                <w:color w:val="000000" w:themeColor="text1"/>
              </w:rPr>
            </w:pPr>
            <w:r w:rsidRPr="006C70FF">
              <w:rPr>
                <w:rFonts w:cs="Arial"/>
                <w:color w:val="000000" w:themeColor="text1"/>
              </w:rPr>
              <w:t>HIV 1 &amp; 2 NAT/PCR</w:t>
            </w:r>
          </w:p>
        </w:tc>
      </w:tr>
      <w:tr w:rsidR="006C70FF" w:rsidRPr="006C70FF" w14:paraId="0FBA63EC"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0B29961B"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55704DEB"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506A0E7B" w14:textId="77777777" w:rsidR="00A81DBF" w:rsidRPr="006C70FF" w:rsidRDefault="00A81DBF" w:rsidP="00A81DBF">
            <w:pPr>
              <w:rPr>
                <w:rFonts w:cs="Arial"/>
                <w:color w:val="000000" w:themeColor="text1"/>
              </w:rPr>
            </w:pPr>
            <w:r w:rsidRPr="006C70FF">
              <w:rPr>
                <w:rFonts w:cs="Arial"/>
                <w:color w:val="000000" w:themeColor="text1"/>
              </w:rPr>
              <w:t>Syphilis Serologic Test</w:t>
            </w:r>
          </w:p>
        </w:tc>
      </w:tr>
      <w:tr w:rsidR="006C70FF" w:rsidRPr="006C70FF" w14:paraId="7482D69B"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C980309"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6EB97A36"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5C9252E4" w14:textId="16D8C9F8" w:rsidR="00A81DBF" w:rsidRPr="006C70FF" w:rsidRDefault="00A81DBF" w:rsidP="00A81DBF">
            <w:pPr>
              <w:rPr>
                <w:rFonts w:cs="Arial"/>
                <w:color w:val="000000" w:themeColor="text1"/>
              </w:rPr>
            </w:pPr>
            <w:r w:rsidRPr="006C70FF">
              <w:rPr>
                <w:rFonts w:cs="Arial"/>
                <w:color w:val="000000" w:themeColor="text1"/>
              </w:rPr>
              <w:t>HBV NAT</w:t>
            </w:r>
            <w:r w:rsidR="00D016AF" w:rsidRPr="006C70FF">
              <w:rPr>
                <w:rFonts w:cs="Arial"/>
                <w:color w:val="000000" w:themeColor="text1"/>
              </w:rPr>
              <w:t>/PCR</w:t>
            </w:r>
            <w:r w:rsidRPr="006C70FF">
              <w:rPr>
                <w:rFonts w:cs="Arial"/>
                <w:color w:val="000000" w:themeColor="text1"/>
              </w:rPr>
              <w:t xml:space="preserve"> </w:t>
            </w:r>
          </w:p>
        </w:tc>
      </w:tr>
      <w:tr w:rsidR="006C70FF" w:rsidRPr="006C70FF" w14:paraId="51BF026B"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A6FFA15"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14D9E88C"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6BB1270" w14:textId="77777777" w:rsidR="00A81DBF" w:rsidRPr="006C70FF" w:rsidRDefault="00A81DBF" w:rsidP="00A81DBF">
            <w:pPr>
              <w:rPr>
                <w:rFonts w:cs="Arial"/>
                <w:color w:val="000000" w:themeColor="text1"/>
              </w:rPr>
            </w:pPr>
            <w:r w:rsidRPr="006C70FF">
              <w:rPr>
                <w:rFonts w:cs="Arial"/>
                <w:color w:val="000000" w:themeColor="text1"/>
              </w:rPr>
              <w:t>HBsAg</w:t>
            </w:r>
          </w:p>
        </w:tc>
      </w:tr>
      <w:tr w:rsidR="006C70FF" w:rsidRPr="006C70FF" w14:paraId="37992CB0"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27CC9166" w14:textId="77777777" w:rsidR="00A81DBF" w:rsidRPr="006C70FF" w:rsidRDefault="00A81DB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6DF2B751"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136F8049" w14:textId="40AE74BD" w:rsidR="00D016AF" w:rsidRPr="006C70FF" w:rsidRDefault="00A81DBF" w:rsidP="00A81DBF">
            <w:pPr>
              <w:rPr>
                <w:rFonts w:cs="Arial"/>
                <w:color w:val="000000" w:themeColor="text1"/>
              </w:rPr>
            </w:pPr>
            <w:r w:rsidRPr="006C70FF">
              <w:rPr>
                <w:rFonts w:cs="Arial"/>
                <w:color w:val="000000" w:themeColor="text1"/>
              </w:rPr>
              <w:t>HEV NAT</w:t>
            </w:r>
            <w:r w:rsidR="00D016AF" w:rsidRPr="006C70FF">
              <w:rPr>
                <w:rFonts w:cs="Arial"/>
                <w:color w:val="000000" w:themeColor="text1"/>
              </w:rPr>
              <w:t>/PCR</w:t>
            </w:r>
            <w:r w:rsidRPr="006C70FF">
              <w:rPr>
                <w:rFonts w:cs="Arial"/>
                <w:color w:val="000000" w:themeColor="text1"/>
              </w:rPr>
              <w:t xml:space="preserve"> </w:t>
            </w:r>
          </w:p>
        </w:tc>
      </w:tr>
      <w:tr w:rsidR="006C70FF" w:rsidRPr="006C70FF" w14:paraId="0A17E1B0"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0A54304F"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5ACE0E67"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2E0B7F1A" w14:textId="77777777" w:rsidR="00A81DBF" w:rsidRPr="006C70FF" w:rsidRDefault="00A81DBF" w:rsidP="00A81DBF">
            <w:pPr>
              <w:rPr>
                <w:rFonts w:cs="Arial"/>
                <w:color w:val="000000" w:themeColor="text1"/>
              </w:rPr>
            </w:pPr>
            <w:r w:rsidRPr="006C70FF">
              <w:rPr>
                <w:rFonts w:cs="Arial"/>
                <w:color w:val="000000" w:themeColor="text1"/>
              </w:rPr>
              <w:t xml:space="preserve">HB Core Ab </w:t>
            </w:r>
          </w:p>
        </w:tc>
      </w:tr>
      <w:tr w:rsidR="006C70FF" w:rsidRPr="006C70FF" w14:paraId="0A78B059"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139DD3A"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33E8CE11"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5362D68" w14:textId="77777777" w:rsidR="00A81DBF" w:rsidRPr="006C70FF" w:rsidRDefault="00A81DBF" w:rsidP="00A81DBF">
            <w:pPr>
              <w:rPr>
                <w:rFonts w:cs="Arial"/>
                <w:color w:val="000000" w:themeColor="text1"/>
              </w:rPr>
            </w:pPr>
            <w:r w:rsidRPr="006C70FF">
              <w:rPr>
                <w:rFonts w:cs="Arial"/>
                <w:color w:val="000000" w:themeColor="text1"/>
              </w:rPr>
              <w:t>HCV Ab</w:t>
            </w:r>
          </w:p>
        </w:tc>
      </w:tr>
      <w:tr w:rsidR="006C70FF" w:rsidRPr="006C70FF" w14:paraId="2D777DF4"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311F756"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734A7023"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9BCDD03" w14:textId="77777777" w:rsidR="00A81DBF" w:rsidRPr="006C70FF" w:rsidRDefault="00A81DBF" w:rsidP="00A81DBF">
            <w:pPr>
              <w:rPr>
                <w:rFonts w:cs="Arial"/>
                <w:color w:val="000000" w:themeColor="text1"/>
              </w:rPr>
            </w:pPr>
            <w:r w:rsidRPr="006C70FF">
              <w:rPr>
                <w:rFonts w:cs="Arial"/>
                <w:color w:val="000000" w:themeColor="text1"/>
              </w:rPr>
              <w:t xml:space="preserve">HCV NAT/PCR </w:t>
            </w:r>
          </w:p>
        </w:tc>
      </w:tr>
      <w:tr w:rsidR="006C70FF" w:rsidRPr="006C70FF" w14:paraId="17FB41ED"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C27C684" w14:textId="77777777" w:rsidR="00A81DBF" w:rsidRPr="006C70FF" w:rsidRDefault="00A81DB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7CF79DBA"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426AD85D" w14:textId="77777777" w:rsidR="00A81DBF" w:rsidRPr="006C70FF" w:rsidRDefault="00A81DBF" w:rsidP="00A81DBF">
            <w:pPr>
              <w:rPr>
                <w:rFonts w:cs="Arial"/>
                <w:color w:val="000000" w:themeColor="text1"/>
              </w:rPr>
            </w:pPr>
            <w:r w:rsidRPr="006C70FF">
              <w:rPr>
                <w:rFonts w:cs="Arial"/>
                <w:color w:val="000000" w:themeColor="text1"/>
              </w:rPr>
              <w:t>EBV IgG and IgM (EBV PCR to be performed if IgM reactive or IgM equivocal)</w:t>
            </w:r>
          </w:p>
        </w:tc>
      </w:tr>
      <w:tr w:rsidR="006C70FF" w:rsidRPr="006C70FF" w14:paraId="6A5F9FCC"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1D1CE848" w14:textId="77777777" w:rsidR="00A81DBF" w:rsidRPr="006C70FF" w:rsidRDefault="00A81DB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7907DB0F"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3D6BC489" w14:textId="77777777" w:rsidR="00A81DBF" w:rsidRPr="006C70FF" w:rsidRDefault="00A81DBF" w:rsidP="00A81DBF">
            <w:pPr>
              <w:rPr>
                <w:rFonts w:cs="Arial"/>
                <w:color w:val="000000" w:themeColor="text1"/>
              </w:rPr>
            </w:pPr>
            <w:r w:rsidRPr="006C70FF">
              <w:rPr>
                <w:rFonts w:cs="Arial"/>
                <w:color w:val="000000" w:themeColor="text1"/>
              </w:rPr>
              <w:t>Toxoplasma IgG</w:t>
            </w:r>
          </w:p>
        </w:tc>
      </w:tr>
      <w:tr w:rsidR="006C70FF" w:rsidRPr="006C70FF" w14:paraId="1484811D"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18241C1" w14:textId="77777777" w:rsidR="00A81DBF" w:rsidRPr="006C70FF" w:rsidRDefault="00A81DB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2D21717D"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770BA34C" w14:textId="77777777" w:rsidR="00A81DBF" w:rsidRPr="006C70FF" w:rsidRDefault="00A81DBF" w:rsidP="00A81DBF">
            <w:pPr>
              <w:rPr>
                <w:rFonts w:cs="Arial"/>
                <w:color w:val="000000" w:themeColor="text1"/>
              </w:rPr>
            </w:pPr>
            <w:r w:rsidRPr="006C70FF">
              <w:rPr>
                <w:rFonts w:cs="Arial"/>
                <w:color w:val="000000" w:themeColor="text1"/>
              </w:rPr>
              <w:t>Toxoplasma IgM</w:t>
            </w:r>
          </w:p>
        </w:tc>
      </w:tr>
      <w:tr w:rsidR="006C70FF" w:rsidRPr="006C70FF" w14:paraId="1B5FD2F3"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A59FB98"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2915C9B1"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43E74C1D" w14:textId="3E17A802" w:rsidR="00A81DBF" w:rsidRPr="006C70FF" w:rsidRDefault="00A81DBF" w:rsidP="00A81DBF">
            <w:pPr>
              <w:rPr>
                <w:rFonts w:cs="Arial"/>
                <w:color w:val="000000" w:themeColor="text1"/>
              </w:rPr>
            </w:pPr>
            <w:r w:rsidRPr="006C70FF">
              <w:rPr>
                <w:rFonts w:cs="Arial"/>
                <w:color w:val="000000" w:themeColor="text1"/>
              </w:rPr>
              <w:t xml:space="preserve">CMV IgG and IgM (CMV </w:t>
            </w:r>
            <w:r w:rsidR="00D016AF" w:rsidRPr="006C70FF">
              <w:rPr>
                <w:rFonts w:cs="Arial"/>
                <w:color w:val="000000" w:themeColor="text1"/>
              </w:rPr>
              <w:t>NAT/</w:t>
            </w:r>
            <w:r w:rsidRPr="006C70FF">
              <w:rPr>
                <w:rFonts w:cs="Arial"/>
                <w:color w:val="000000" w:themeColor="text1"/>
              </w:rPr>
              <w:t>PCR to be performed if IgM reactive or IgM equivocal)</w:t>
            </w:r>
          </w:p>
        </w:tc>
      </w:tr>
      <w:tr w:rsidR="006C70FF" w:rsidRPr="006C70FF" w14:paraId="7B902109"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1232DB40" w14:textId="77777777" w:rsidR="00D016AF" w:rsidRPr="006C70FF" w:rsidRDefault="00D016A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4411DA53" w14:textId="77777777" w:rsidR="00D016AF" w:rsidRPr="006C70FF" w:rsidRDefault="00D016A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7BF18534" w14:textId="2557C68D" w:rsidR="00D016AF" w:rsidRPr="006C70FF" w:rsidRDefault="00D016AF" w:rsidP="00A81DBF">
            <w:pPr>
              <w:rPr>
                <w:rFonts w:cs="Arial"/>
                <w:color w:val="000000" w:themeColor="text1"/>
              </w:rPr>
            </w:pPr>
            <w:r w:rsidRPr="006C70FF">
              <w:rPr>
                <w:rFonts w:cs="Arial"/>
                <w:color w:val="000000" w:themeColor="text1"/>
              </w:rPr>
              <w:t xml:space="preserve">SARS-COV-2 </w:t>
            </w:r>
            <w:r w:rsidR="004B2075" w:rsidRPr="006C70FF">
              <w:rPr>
                <w:rFonts w:cs="Arial"/>
                <w:color w:val="000000" w:themeColor="text1"/>
              </w:rPr>
              <w:t xml:space="preserve">(COVID-19) </w:t>
            </w:r>
            <w:r w:rsidRPr="006C70FF">
              <w:rPr>
                <w:rFonts w:cs="Arial"/>
                <w:color w:val="000000" w:themeColor="text1"/>
              </w:rPr>
              <w:t>NAT</w:t>
            </w:r>
            <w:r w:rsidR="00210A9B" w:rsidRPr="006C70FF">
              <w:rPr>
                <w:rFonts w:cs="Arial"/>
                <w:color w:val="000000" w:themeColor="text1"/>
              </w:rPr>
              <w:t xml:space="preserve"> </w:t>
            </w:r>
            <w:r w:rsidRPr="006C70FF">
              <w:rPr>
                <w:rFonts w:cs="Arial"/>
                <w:color w:val="000000" w:themeColor="text1"/>
              </w:rPr>
              <w:t>/</w:t>
            </w:r>
            <w:r w:rsidR="00210A9B" w:rsidRPr="006C70FF">
              <w:rPr>
                <w:rFonts w:cs="Arial"/>
                <w:color w:val="000000" w:themeColor="text1"/>
              </w:rPr>
              <w:t xml:space="preserve"> </w:t>
            </w:r>
            <w:r w:rsidRPr="006C70FF">
              <w:rPr>
                <w:rFonts w:cs="Arial"/>
                <w:color w:val="000000" w:themeColor="text1"/>
              </w:rPr>
              <w:t xml:space="preserve">PCR to be performed on Upper respiratory Tract swab </w:t>
            </w:r>
            <w:r w:rsidR="00210A9B" w:rsidRPr="006C70FF">
              <w:rPr>
                <w:rFonts w:cs="Arial"/>
                <w:color w:val="000000" w:themeColor="text1"/>
              </w:rPr>
              <w:t xml:space="preserve">sample </w:t>
            </w:r>
            <w:r w:rsidR="00836E13">
              <w:rPr>
                <w:rFonts w:cs="Arial"/>
                <w:color w:val="7030A0"/>
              </w:rPr>
              <w:t>at medical</w:t>
            </w:r>
          </w:p>
        </w:tc>
      </w:tr>
      <w:tr w:rsidR="006C70FF" w:rsidRPr="006C70FF" w14:paraId="763A752B"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462C62A8" w14:textId="77777777" w:rsidR="00A81DBF" w:rsidRPr="006C70FF" w:rsidRDefault="00A81DBF" w:rsidP="00A81DBF">
            <w:pPr>
              <w:rPr>
                <w:rFonts w:cs="Arial"/>
                <w:b/>
                <w:color w:val="000000" w:themeColor="text1"/>
              </w:rPr>
            </w:pPr>
            <w:r w:rsidRPr="006C70FF">
              <w:rPr>
                <w:rFonts w:cs="Arial"/>
                <w:b/>
                <w:color w:val="000000" w:themeColor="text1"/>
              </w:rPr>
              <w:lastRenderedPageBreak/>
              <w:t> 8.b</w:t>
            </w:r>
          </w:p>
        </w:tc>
        <w:tc>
          <w:tcPr>
            <w:tcW w:w="2510" w:type="dxa"/>
            <w:tcBorders>
              <w:top w:val="nil"/>
              <w:left w:val="nil"/>
              <w:bottom w:val="single" w:sz="4" w:space="0" w:color="auto"/>
              <w:right w:val="single" w:sz="4" w:space="0" w:color="auto"/>
            </w:tcBorders>
            <w:shd w:val="clear" w:color="auto" w:fill="auto"/>
          </w:tcPr>
          <w:p w14:paraId="2FD1B195" w14:textId="77777777" w:rsidR="00A81DBF" w:rsidRPr="006C70FF" w:rsidRDefault="00A81DBF" w:rsidP="00A81DBF">
            <w:pPr>
              <w:rPr>
                <w:rFonts w:cs="Arial"/>
                <w:b/>
                <w:color w:val="000000" w:themeColor="text1"/>
              </w:rPr>
            </w:pPr>
            <w:r w:rsidRPr="006C70FF">
              <w:rPr>
                <w:rFonts w:cs="Arial"/>
                <w:color w:val="000000" w:themeColor="text1"/>
              </w:rPr>
              <w:t> </w:t>
            </w:r>
            <w:r w:rsidRPr="006C70FF">
              <w:rPr>
                <w:rFonts w:cs="Arial"/>
                <w:b/>
                <w:color w:val="000000" w:themeColor="text1"/>
              </w:rPr>
              <w:t>Microbiology</w:t>
            </w:r>
          </w:p>
        </w:tc>
        <w:tc>
          <w:tcPr>
            <w:tcW w:w="5605" w:type="dxa"/>
            <w:tcBorders>
              <w:top w:val="nil"/>
              <w:left w:val="nil"/>
              <w:bottom w:val="single" w:sz="4" w:space="0" w:color="auto"/>
              <w:right w:val="single" w:sz="4" w:space="0" w:color="auto"/>
            </w:tcBorders>
            <w:shd w:val="clear" w:color="auto" w:fill="auto"/>
          </w:tcPr>
          <w:p w14:paraId="1A965FD9" w14:textId="77777777" w:rsidR="00A81DBF" w:rsidRPr="006C70FF" w:rsidRDefault="00A81DBF" w:rsidP="00A81DBF">
            <w:pPr>
              <w:rPr>
                <w:rFonts w:cs="Arial"/>
                <w:color w:val="000000" w:themeColor="text1"/>
                <w:shd w:val="clear" w:color="auto" w:fill="FFFFFF"/>
              </w:rPr>
            </w:pPr>
            <w:r w:rsidRPr="006C70FF">
              <w:rPr>
                <w:rFonts w:cs="Arial"/>
                <w:color w:val="000000" w:themeColor="text1"/>
              </w:rPr>
              <w:t>Sterility s</w:t>
            </w:r>
            <w:r w:rsidRPr="006C70FF">
              <w:rPr>
                <w:rFonts w:cs="Arial"/>
                <w:color w:val="000000" w:themeColor="text1"/>
                <w:shd w:val="clear" w:color="auto" w:fill="FFFFFF"/>
              </w:rPr>
              <w:t>creening of products for bacteria and fungi, employing aerobic and anaerobic conditions.</w:t>
            </w:r>
          </w:p>
          <w:p w14:paraId="15E7BC96" w14:textId="77777777" w:rsidR="00A81DBF" w:rsidRPr="006C70FF" w:rsidRDefault="00A81DBF" w:rsidP="00A81DBF">
            <w:pPr>
              <w:rPr>
                <w:rFonts w:cs="Arial"/>
                <w:color w:val="000000" w:themeColor="text1"/>
              </w:rPr>
            </w:pPr>
            <w:r w:rsidRPr="006C70FF">
              <w:rPr>
                <w:rFonts w:cs="Arial"/>
                <w:color w:val="000000" w:themeColor="text1"/>
                <w:shd w:val="clear" w:color="auto" w:fill="FFFFFF"/>
              </w:rPr>
              <w:t>Collection centres not linked to a NHSBT SCI laboratory must forward copies of sterility results (positive or negative) at completion of testing.</w:t>
            </w:r>
          </w:p>
        </w:tc>
      </w:tr>
      <w:tr w:rsidR="006C70FF" w:rsidRPr="006C70FF" w14:paraId="1941017D" w14:textId="77777777" w:rsidTr="00586B17">
        <w:trPr>
          <w:trHeight w:val="285"/>
        </w:trPr>
        <w:tc>
          <w:tcPr>
            <w:tcW w:w="8676" w:type="dxa"/>
            <w:gridSpan w:val="3"/>
            <w:tcBorders>
              <w:top w:val="nil"/>
              <w:left w:val="nil"/>
              <w:bottom w:val="nil"/>
            </w:tcBorders>
            <w:shd w:val="clear" w:color="auto" w:fill="auto"/>
            <w:noWrap/>
            <w:vAlign w:val="bottom"/>
          </w:tcPr>
          <w:p w14:paraId="3BADF90B" w14:textId="77777777" w:rsidR="00A81DBF" w:rsidRPr="006C70FF" w:rsidRDefault="00A81DBF" w:rsidP="00A81DBF">
            <w:pPr>
              <w:autoSpaceDE w:val="0"/>
              <w:autoSpaceDN w:val="0"/>
              <w:adjustRightInd w:val="0"/>
              <w:rPr>
                <w:rFonts w:cs="Arial"/>
                <w:color w:val="000000" w:themeColor="text1"/>
                <w:sz w:val="12"/>
                <w:szCs w:val="12"/>
              </w:rPr>
            </w:pPr>
          </w:p>
          <w:p w14:paraId="1C37EFBE" w14:textId="20899508" w:rsidR="00A81DBF" w:rsidRDefault="008244D1" w:rsidP="00A81DBF">
            <w:pPr>
              <w:autoSpaceDE w:val="0"/>
              <w:autoSpaceDN w:val="0"/>
              <w:adjustRightInd w:val="0"/>
              <w:rPr>
                <w:rFonts w:cs="Arial"/>
                <w:color w:val="000000" w:themeColor="text1"/>
              </w:rPr>
            </w:pPr>
            <w:r w:rsidRPr="00637586">
              <w:rPr>
                <w:rFonts w:cs="Arial"/>
                <w:b/>
                <w:bCs/>
                <w:color w:val="000000" w:themeColor="text1"/>
              </w:rPr>
              <w:t>**</w:t>
            </w:r>
            <w:r w:rsidR="00D016AF" w:rsidRPr="00637586">
              <w:rPr>
                <w:rFonts w:cs="Arial"/>
                <w:b/>
                <w:bCs/>
                <w:color w:val="000000" w:themeColor="text1"/>
              </w:rPr>
              <w:t>IMPORTANT</w:t>
            </w:r>
            <w:r w:rsidR="00715DF4" w:rsidRPr="00637586">
              <w:rPr>
                <w:rFonts w:cs="Arial"/>
                <w:b/>
                <w:bCs/>
                <w:color w:val="000000" w:themeColor="text1"/>
              </w:rPr>
              <w:t>:</w:t>
            </w:r>
            <w:r w:rsidR="00D016AF" w:rsidRPr="00637586">
              <w:rPr>
                <w:rFonts w:cs="Arial"/>
                <w:color w:val="000000" w:themeColor="text1"/>
              </w:rPr>
              <w:t xml:space="preserve"> </w:t>
            </w:r>
            <w:r w:rsidR="00A81DBF" w:rsidRPr="00637586">
              <w:rPr>
                <w:rFonts w:cs="Arial"/>
                <w:color w:val="000000" w:themeColor="text1"/>
              </w:rPr>
              <w:t xml:space="preserve">All </w:t>
            </w:r>
            <w:r w:rsidR="00C00368" w:rsidRPr="00637586">
              <w:rPr>
                <w:rFonts w:cs="Arial"/>
                <w:color w:val="000000" w:themeColor="text1"/>
              </w:rPr>
              <w:t xml:space="preserve">product </w:t>
            </w:r>
            <w:r w:rsidR="00A81DBF" w:rsidRPr="00637586">
              <w:rPr>
                <w:rFonts w:cs="Arial"/>
                <w:color w:val="000000" w:themeColor="text1"/>
              </w:rPr>
              <w:t xml:space="preserve">collections must have the tests listed in the virology section 8.a above performed </w:t>
            </w:r>
            <w:r w:rsidR="009E3FC1" w:rsidRPr="00637586">
              <w:rPr>
                <w:rFonts w:cs="Arial"/>
                <w:color w:val="000000" w:themeColor="text1"/>
              </w:rPr>
              <w:t xml:space="preserve">at medical </w:t>
            </w:r>
            <w:r w:rsidR="009E3FC1" w:rsidRPr="00637586">
              <w:rPr>
                <w:rFonts w:cs="Arial"/>
                <w:b/>
                <w:bCs/>
                <w:color w:val="000000" w:themeColor="text1"/>
              </w:rPr>
              <w:t>and</w:t>
            </w:r>
            <w:r w:rsidR="009E3FC1" w:rsidRPr="00637586">
              <w:rPr>
                <w:rFonts w:cs="Arial"/>
                <w:color w:val="000000" w:themeColor="text1"/>
              </w:rPr>
              <w:t xml:space="preserve"> </w:t>
            </w:r>
            <w:r w:rsidR="00A81DBF" w:rsidRPr="00637586">
              <w:rPr>
                <w:rFonts w:cs="Arial"/>
                <w:color w:val="000000" w:themeColor="text1"/>
              </w:rPr>
              <w:t xml:space="preserve">on the </w:t>
            </w:r>
            <w:r w:rsidR="00C00368" w:rsidRPr="00637586">
              <w:rPr>
                <w:rFonts w:cs="Arial"/>
                <w:color w:val="000000" w:themeColor="text1"/>
              </w:rPr>
              <w:t xml:space="preserve">first day </w:t>
            </w:r>
            <w:r w:rsidR="00A81DBF" w:rsidRPr="00637586">
              <w:rPr>
                <w:rFonts w:cs="Arial"/>
                <w:color w:val="000000" w:themeColor="text1"/>
              </w:rPr>
              <w:t>of collection)</w:t>
            </w:r>
          </w:p>
          <w:p w14:paraId="5927220E" w14:textId="38874D09" w:rsidR="00F566C1" w:rsidRDefault="00F566C1" w:rsidP="00A81DBF">
            <w:pPr>
              <w:autoSpaceDE w:val="0"/>
              <w:autoSpaceDN w:val="0"/>
              <w:adjustRightInd w:val="0"/>
              <w:rPr>
                <w:rFonts w:cs="Arial"/>
                <w:color w:val="7030A0"/>
              </w:rPr>
            </w:pPr>
            <w:r w:rsidRPr="00F22EEF">
              <w:rPr>
                <w:rFonts w:cs="Arial"/>
                <w:color w:val="7030A0"/>
              </w:rPr>
              <w:t xml:space="preserve">EBV, CMV and Toxoplasma </w:t>
            </w:r>
            <w:r w:rsidR="00F22EEF">
              <w:rPr>
                <w:rFonts w:cs="Arial"/>
                <w:color w:val="7030A0"/>
              </w:rPr>
              <w:t>testing is</w:t>
            </w:r>
            <w:r w:rsidRPr="00F566C1">
              <w:rPr>
                <w:rFonts w:cs="Arial"/>
                <w:color w:val="7030A0"/>
              </w:rPr>
              <w:t xml:space="preserve"> not to be performed</w:t>
            </w:r>
            <w:r w:rsidR="0004352C">
              <w:rPr>
                <w:rFonts w:cs="Arial"/>
                <w:color w:val="7030A0"/>
              </w:rPr>
              <w:t xml:space="preserve"> </w:t>
            </w:r>
            <w:r w:rsidR="008F7904">
              <w:rPr>
                <w:rFonts w:cs="Arial"/>
                <w:color w:val="7030A0"/>
              </w:rPr>
              <w:t xml:space="preserve">on the day </w:t>
            </w:r>
            <w:r w:rsidRPr="00F566C1">
              <w:rPr>
                <w:rFonts w:cs="Arial"/>
                <w:color w:val="7030A0"/>
              </w:rPr>
              <w:t>of collection</w:t>
            </w:r>
            <w:r w:rsidR="0007668A">
              <w:rPr>
                <w:rFonts w:cs="Arial"/>
                <w:color w:val="7030A0"/>
              </w:rPr>
              <w:t xml:space="preserve"> however</w:t>
            </w:r>
            <w:r>
              <w:rPr>
                <w:rFonts w:cs="Arial"/>
                <w:color w:val="7030A0"/>
              </w:rPr>
              <w:t xml:space="preserve">, unless explicit instructions to do so are received. </w:t>
            </w:r>
          </w:p>
          <w:p w14:paraId="23B6C5AB" w14:textId="35CA0019" w:rsidR="0007668A" w:rsidRDefault="0007668A" w:rsidP="00A81DBF">
            <w:pPr>
              <w:autoSpaceDE w:val="0"/>
              <w:autoSpaceDN w:val="0"/>
              <w:adjustRightInd w:val="0"/>
              <w:rPr>
                <w:rFonts w:cs="Arial"/>
                <w:color w:val="000000" w:themeColor="text1"/>
              </w:rPr>
            </w:pPr>
          </w:p>
          <w:p w14:paraId="486F3FAE" w14:textId="36918977" w:rsidR="0007668A" w:rsidRPr="0007668A" w:rsidRDefault="0007668A" w:rsidP="0007668A">
            <w:pPr>
              <w:autoSpaceDE w:val="0"/>
              <w:autoSpaceDN w:val="0"/>
              <w:adjustRightInd w:val="0"/>
              <w:rPr>
                <w:rFonts w:cs="Arial"/>
                <w:color w:val="7030A0"/>
              </w:rPr>
            </w:pPr>
            <w:r w:rsidRPr="0007668A">
              <w:rPr>
                <w:rFonts w:cs="Arial"/>
                <w:color w:val="7030A0"/>
              </w:rPr>
              <w:t xml:space="preserve">***: </w:t>
            </w:r>
            <w:r>
              <w:rPr>
                <w:rFonts w:cs="Arial"/>
                <w:color w:val="7030A0"/>
              </w:rPr>
              <w:t>S</w:t>
            </w:r>
            <w:r w:rsidRPr="0007668A">
              <w:rPr>
                <w:rFonts w:cs="Arial"/>
                <w:color w:val="7030A0"/>
              </w:rPr>
              <w:t>erum protein electrophoresis (SPE)</w:t>
            </w:r>
            <w:r>
              <w:rPr>
                <w:rFonts w:cs="Arial"/>
                <w:color w:val="7030A0"/>
              </w:rPr>
              <w:t xml:space="preserve"> is to be performed urgently i</w:t>
            </w:r>
            <w:r w:rsidRPr="0007668A">
              <w:rPr>
                <w:rFonts w:cs="Arial"/>
                <w:color w:val="7030A0"/>
              </w:rPr>
              <w:t xml:space="preserve">f total protein </w:t>
            </w:r>
            <w:r>
              <w:rPr>
                <w:rFonts w:cs="Arial"/>
                <w:color w:val="7030A0"/>
              </w:rPr>
              <w:t xml:space="preserve">is </w:t>
            </w:r>
            <w:r w:rsidRPr="0007668A">
              <w:rPr>
                <w:rFonts w:cs="Arial"/>
                <w:color w:val="7030A0"/>
              </w:rPr>
              <w:t>89 g/l or more or if globulin (where performed)</w:t>
            </w:r>
            <w:r>
              <w:rPr>
                <w:rFonts w:cs="Arial"/>
                <w:color w:val="7030A0"/>
              </w:rPr>
              <w:t xml:space="preserve"> is</w:t>
            </w:r>
            <w:r w:rsidRPr="0007668A">
              <w:rPr>
                <w:rFonts w:cs="Arial"/>
                <w:color w:val="7030A0"/>
              </w:rPr>
              <w:t xml:space="preserve"> 3g/l or more above </w:t>
            </w:r>
            <w:r w:rsidR="00CE1B30">
              <w:rPr>
                <w:rFonts w:cs="Arial"/>
                <w:color w:val="7030A0"/>
              </w:rPr>
              <w:t xml:space="preserve">local </w:t>
            </w:r>
            <w:r w:rsidRPr="0007668A">
              <w:rPr>
                <w:rFonts w:cs="Arial"/>
                <w:color w:val="7030A0"/>
              </w:rPr>
              <w:t>upper limit of normal.</w:t>
            </w:r>
          </w:p>
          <w:p w14:paraId="62563705" w14:textId="77777777" w:rsidR="00F566C1" w:rsidRDefault="00F566C1" w:rsidP="00A81DBF">
            <w:pPr>
              <w:autoSpaceDE w:val="0"/>
              <w:autoSpaceDN w:val="0"/>
              <w:adjustRightInd w:val="0"/>
              <w:rPr>
                <w:rFonts w:cs="Arial"/>
                <w:color w:val="000000" w:themeColor="text1"/>
              </w:rPr>
            </w:pPr>
          </w:p>
          <w:p w14:paraId="5C7BA655" w14:textId="06C22D73" w:rsidR="00A81DBF" w:rsidRPr="00637586" w:rsidRDefault="00A81DBF" w:rsidP="00A81DBF">
            <w:pPr>
              <w:autoSpaceDE w:val="0"/>
              <w:autoSpaceDN w:val="0"/>
              <w:adjustRightInd w:val="0"/>
              <w:rPr>
                <w:rFonts w:cs="Arial"/>
                <w:color w:val="000000" w:themeColor="text1"/>
              </w:rPr>
            </w:pPr>
            <w:r w:rsidRPr="00637586">
              <w:rPr>
                <w:rFonts w:cs="Arial"/>
                <w:color w:val="000000" w:themeColor="text1"/>
              </w:rPr>
              <w:t xml:space="preserve">N.B. As per Royal College of Pathologists Guidelines: The retention and storage of pathological records and specimens - See more at: </w:t>
            </w:r>
            <w:hyperlink r:id="rId23" w:anchor="sthash.LhTr7Phr.dpuf" w:history="1">
              <w:r w:rsidRPr="00637586">
                <w:rPr>
                  <w:rFonts w:cs="Arial"/>
                  <w:color w:val="000000" w:themeColor="text1"/>
                  <w:u w:val="single"/>
                </w:rPr>
                <w:t>https://www.rcpath.org/resourceLibrary/the-retention-and-storage-of-pathological-records-and-specimens--5th-edition-.html#sthash.LhTr7Phr.dpuf</w:t>
              </w:r>
            </w:hyperlink>
            <w:r w:rsidRPr="00637586">
              <w:rPr>
                <w:rFonts w:cs="Arial"/>
                <w:color w:val="000000" w:themeColor="text1"/>
              </w:rPr>
              <w:t xml:space="preserve">   </w:t>
            </w:r>
          </w:p>
          <w:p w14:paraId="0EA8E5FF" w14:textId="77777777" w:rsidR="00A81DBF" w:rsidRPr="00637586" w:rsidRDefault="00A81DBF" w:rsidP="00A81DBF">
            <w:pPr>
              <w:autoSpaceDE w:val="0"/>
              <w:autoSpaceDN w:val="0"/>
              <w:adjustRightInd w:val="0"/>
              <w:rPr>
                <w:rFonts w:cs="Arial"/>
                <w:color w:val="000000" w:themeColor="text1"/>
              </w:rPr>
            </w:pPr>
          </w:p>
          <w:p w14:paraId="6CB49CE9" w14:textId="5E56A095" w:rsidR="00A81DBF" w:rsidRPr="00637586" w:rsidRDefault="00E432F2" w:rsidP="00A81DBF">
            <w:pPr>
              <w:autoSpaceDE w:val="0"/>
              <w:autoSpaceDN w:val="0"/>
              <w:adjustRightInd w:val="0"/>
              <w:rPr>
                <w:rFonts w:cs="Arial"/>
                <w:color w:val="000000" w:themeColor="text1"/>
              </w:rPr>
            </w:pPr>
            <w:r w:rsidRPr="00637586">
              <w:rPr>
                <w:rFonts w:cs="Arial"/>
                <w:color w:val="000000" w:themeColor="text1"/>
              </w:rPr>
              <w:t>A minimum of 1.8 ml of r</w:t>
            </w:r>
            <w:r w:rsidR="00A81DBF" w:rsidRPr="00637586">
              <w:rPr>
                <w:rFonts w:cs="Arial"/>
                <w:color w:val="000000" w:themeColor="text1"/>
              </w:rPr>
              <w:t xml:space="preserve">esidual donor serum or plasma left over following </w:t>
            </w:r>
            <w:r w:rsidRPr="00637586">
              <w:rPr>
                <w:rFonts w:cs="Arial"/>
                <w:color w:val="000000" w:themeColor="text1"/>
              </w:rPr>
              <w:t>virological</w:t>
            </w:r>
            <w:r w:rsidR="00A81DBF" w:rsidRPr="00637586">
              <w:rPr>
                <w:rFonts w:cs="Arial"/>
                <w:color w:val="000000" w:themeColor="text1"/>
              </w:rPr>
              <w:t xml:space="preserve"> investigations </w:t>
            </w:r>
            <w:r w:rsidRPr="00637586">
              <w:rPr>
                <w:rFonts w:cs="Arial"/>
                <w:color w:val="000000" w:themeColor="text1"/>
              </w:rPr>
              <w:t xml:space="preserve">at medical </w:t>
            </w:r>
            <w:r w:rsidRPr="00637586">
              <w:rPr>
                <w:rFonts w:cs="Arial"/>
                <w:b/>
                <w:bCs/>
                <w:color w:val="000000" w:themeColor="text1"/>
              </w:rPr>
              <w:t>and</w:t>
            </w:r>
            <w:r w:rsidRPr="00637586">
              <w:rPr>
                <w:rFonts w:cs="Arial"/>
                <w:color w:val="000000" w:themeColor="text1"/>
              </w:rPr>
              <w:t xml:space="preserve"> on the first day of collection</w:t>
            </w:r>
            <w:r w:rsidR="00A81DBF" w:rsidRPr="00637586">
              <w:rPr>
                <w:rFonts w:cs="Arial"/>
                <w:color w:val="000000" w:themeColor="text1"/>
              </w:rPr>
              <w:t>, are to be stored (</w:t>
            </w:r>
            <w:r w:rsidR="00395D9D" w:rsidRPr="00637586">
              <w:rPr>
                <w:rFonts w:cs="Arial"/>
                <w:color w:val="000000" w:themeColor="text1"/>
              </w:rPr>
              <w:t>i.e.,</w:t>
            </w:r>
            <w:r w:rsidR="00A81DBF" w:rsidRPr="00637586">
              <w:rPr>
                <w:rFonts w:cs="Arial"/>
                <w:color w:val="000000" w:themeColor="text1"/>
              </w:rPr>
              <w:t xml:space="preserve"> frozen)</w:t>
            </w:r>
            <w:r w:rsidRPr="00637586">
              <w:rPr>
                <w:rFonts w:cs="Arial"/>
                <w:color w:val="000000" w:themeColor="text1"/>
              </w:rPr>
              <w:t xml:space="preserve"> </w:t>
            </w:r>
            <w:r w:rsidR="00A81DBF" w:rsidRPr="00637586">
              <w:rPr>
                <w:rFonts w:cs="Arial"/>
                <w:color w:val="000000" w:themeColor="text1"/>
              </w:rPr>
              <w:t>in a manner as to preserve the specimens for further investigations (should they be needed)</w:t>
            </w:r>
            <w:r w:rsidRPr="00637586">
              <w:rPr>
                <w:rFonts w:cs="Arial"/>
                <w:color w:val="000000" w:themeColor="text1"/>
              </w:rPr>
              <w:t>,</w:t>
            </w:r>
            <w:r w:rsidR="00A81DBF" w:rsidRPr="00637586">
              <w:rPr>
                <w:rFonts w:cs="Arial"/>
                <w:color w:val="000000" w:themeColor="text1"/>
              </w:rPr>
              <w:t xml:space="preserve"> for at least 10 years. </w:t>
            </w:r>
          </w:p>
          <w:p w14:paraId="2C7FBDB0" w14:textId="77777777" w:rsidR="00395D9D" w:rsidRPr="00637586" w:rsidRDefault="00395D9D" w:rsidP="00A81DBF">
            <w:pPr>
              <w:autoSpaceDE w:val="0"/>
              <w:autoSpaceDN w:val="0"/>
              <w:adjustRightInd w:val="0"/>
              <w:rPr>
                <w:rFonts w:cs="Arial"/>
                <w:color w:val="000000" w:themeColor="text1"/>
              </w:rPr>
            </w:pPr>
          </w:p>
          <w:p w14:paraId="008C1652" w14:textId="620A2501" w:rsidR="00395D9D" w:rsidRPr="006C70FF" w:rsidRDefault="00395D9D" w:rsidP="00A81DBF">
            <w:pPr>
              <w:autoSpaceDE w:val="0"/>
              <w:autoSpaceDN w:val="0"/>
              <w:adjustRightInd w:val="0"/>
              <w:rPr>
                <w:rFonts w:cs="Arial"/>
                <w:color w:val="000000" w:themeColor="text1"/>
              </w:rPr>
            </w:pPr>
            <w:r w:rsidRPr="00637586">
              <w:rPr>
                <w:rFonts w:cs="Arial"/>
                <w:b/>
                <w:bCs/>
                <w:color w:val="000000" w:themeColor="text1"/>
              </w:rPr>
              <w:t xml:space="preserve">Special instructions for NHSBT Stem Cell / CMT laboratories only – </w:t>
            </w:r>
            <w:r w:rsidRPr="00637586">
              <w:rPr>
                <w:rFonts w:cs="Arial"/>
                <w:color w:val="000000" w:themeColor="text1"/>
              </w:rPr>
              <w:t xml:space="preserve">Please inform BBMR of all cases when registry donor Infectious disease testing results are issued under concession.  Furthermore, if received on a Friday; infectious disease </w:t>
            </w:r>
            <w:r w:rsidRPr="006C70FF">
              <w:rPr>
                <w:rFonts w:cs="Arial"/>
                <w:color w:val="000000" w:themeColor="text1"/>
              </w:rPr>
              <w:t>testing samples are to be centrifuged and refrigerated and held back from transporting to the testing laboratory until the following Monday</w:t>
            </w:r>
          </w:p>
        </w:tc>
      </w:tr>
      <w:tr w:rsidR="006C70FF" w:rsidRPr="006C70FF" w14:paraId="4C7E29B0" w14:textId="77777777" w:rsidTr="00586B17">
        <w:trPr>
          <w:trHeight w:val="285"/>
        </w:trPr>
        <w:tc>
          <w:tcPr>
            <w:tcW w:w="8676" w:type="dxa"/>
            <w:gridSpan w:val="3"/>
            <w:tcBorders>
              <w:top w:val="nil"/>
              <w:left w:val="nil"/>
              <w:bottom w:val="nil"/>
              <w:right w:val="nil"/>
            </w:tcBorders>
            <w:shd w:val="clear" w:color="auto" w:fill="auto"/>
            <w:noWrap/>
            <w:vAlign w:val="bottom"/>
          </w:tcPr>
          <w:p w14:paraId="68DA753E" w14:textId="77777777" w:rsidR="00080B12" w:rsidRDefault="00080B12" w:rsidP="00A81DBF">
            <w:pPr>
              <w:rPr>
                <w:rFonts w:cs="Arial"/>
                <w:b/>
                <w:bCs/>
                <w:color w:val="000000" w:themeColor="text1"/>
                <w:u w:val="single"/>
              </w:rPr>
            </w:pPr>
          </w:p>
          <w:p w14:paraId="6DCF8069" w14:textId="4A7AECC7" w:rsidR="00A81DBF" w:rsidRPr="006C70FF" w:rsidRDefault="00A81DBF" w:rsidP="00A81DBF">
            <w:pPr>
              <w:rPr>
                <w:rFonts w:cs="Arial"/>
                <w:b/>
                <w:bCs/>
                <w:color w:val="000000" w:themeColor="text1"/>
                <w:u w:val="single"/>
              </w:rPr>
            </w:pPr>
            <w:r w:rsidRPr="006C70FF">
              <w:rPr>
                <w:rFonts w:cs="Arial"/>
                <w:b/>
                <w:bCs/>
                <w:color w:val="000000" w:themeColor="text1"/>
                <w:u w:val="single"/>
              </w:rPr>
              <w:t>Additional tests requested by the Transplant Centre or indicated in the Donor Health Check.</w:t>
            </w:r>
          </w:p>
        </w:tc>
      </w:tr>
      <w:tr w:rsidR="006C70FF" w:rsidRPr="006C70FF" w14:paraId="0477C2A3" w14:textId="77777777" w:rsidTr="00586B17">
        <w:trPr>
          <w:trHeight w:val="285"/>
        </w:trPr>
        <w:tc>
          <w:tcPr>
            <w:tcW w:w="3071" w:type="dxa"/>
            <w:gridSpan w:val="2"/>
            <w:tcBorders>
              <w:top w:val="nil"/>
              <w:left w:val="nil"/>
              <w:bottom w:val="nil"/>
              <w:right w:val="nil"/>
            </w:tcBorders>
            <w:shd w:val="clear" w:color="auto" w:fill="auto"/>
            <w:noWrap/>
            <w:vAlign w:val="bottom"/>
          </w:tcPr>
          <w:p w14:paraId="1F12345C" w14:textId="77777777" w:rsidR="00A81DBF" w:rsidRPr="006C70FF" w:rsidRDefault="00A81DBF" w:rsidP="00A81DBF">
            <w:pPr>
              <w:rPr>
                <w:rFonts w:cs="Arial"/>
                <w:color w:val="000000" w:themeColor="text1"/>
              </w:rPr>
            </w:pPr>
            <w:r w:rsidRPr="006C70FF">
              <w:rPr>
                <w:rFonts w:cs="Arial"/>
                <w:color w:val="000000" w:themeColor="text1"/>
              </w:rPr>
              <w:t xml:space="preserve">Tick as appropriate </w:t>
            </w:r>
            <w:r w:rsidRPr="006C70FF">
              <w:rPr>
                <w:rFonts w:ascii="Marlett" w:hAnsi="Marlett" w:cs="Arial"/>
                <w:color w:val="000000" w:themeColor="text1"/>
              </w:rPr>
              <w:t></w:t>
            </w:r>
          </w:p>
        </w:tc>
        <w:tc>
          <w:tcPr>
            <w:tcW w:w="5605" w:type="dxa"/>
            <w:tcBorders>
              <w:top w:val="single" w:sz="4" w:space="0" w:color="auto"/>
              <w:left w:val="single" w:sz="4" w:space="0" w:color="auto"/>
              <w:bottom w:val="single" w:sz="4" w:space="0" w:color="auto"/>
              <w:right w:val="single" w:sz="4" w:space="0" w:color="auto"/>
            </w:tcBorders>
            <w:shd w:val="clear" w:color="auto" w:fill="auto"/>
          </w:tcPr>
          <w:p w14:paraId="186F64B9" w14:textId="77777777" w:rsidR="00A81DBF" w:rsidRPr="006C70FF" w:rsidRDefault="00A81DBF" w:rsidP="00A81DBF">
            <w:pPr>
              <w:rPr>
                <w:rFonts w:cs="Arial"/>
                <w:b/>
                <w:bCs/>
                <w:color w:val="000000" w:themeColor="text1"/>
              </w:rPr>
            </w:pPr>
            <w:r w:rsidRPr="006C70FF">
              <w:rPr>
                <w:rFonts w:cs="Arial"/>
                <w:b/>
                <w:bCs/>
                <w:color w:val="000000" w:themeColor="text1"/>
              </w:rPr>
              <w:t>Details</w:t>
            </w:r>
          </w:p>
        </w:tc>
      </w:tr>
      <w:tr w:rsidR="006C70FF" w:rsidRPr="006C70FF" w14:paraId="7654F1A9" w14:textId="77777777" w:rsidTr="00586B17">
        <w:trPr>
          <w:trHeight w:val="411"/>
        </w:trPr>
        <w:tc>
          <w:tcPr>
            <w:tcW w:w="561" w:type="dxa"/>
            <w:tcBorders>
              <w:top w:val="single" w:sz="4" w:space="0" w:color="auto"/>
              <w:left w:val="single" w:sz="4" w:space="0" w:color="auto"/>
              <w:bottom w:val="single" w:sz="4" w:space="0" w:color="auto"/>
              <w:right w:val="single" w:sz="4" w:space="0" w:color="auto"/>
            </w:tcBorders>
            <w:shd w:val="clear" w:color="auto" w:fill="auto"/>
          </w:tcPr>
          <w:p w14:paraId="017287E3" w14:textId="77777777" w:rsidR="00A81DBF" w:rsidRPr="006C70FF" w:rsidRDefault="00A81DBF" w:rsidP="00A81DBF">
            <w:pPr>
              <w:rPr>
                <w:rFonts w:cs="Arial"/>
                <w:b/>
                <w:bCs/>
                <w:color w:val="000000" w:themeColor="text1"/>
              </w:rPr>
            </w:pPr>
            <w:r w:rsidRPr="006C70FF">
              <w:rPr>
                <w:rFonts w:cs="Arial"/>
                <w:b/>
                <w:bCs/>
                <w:color w:val="000000" w:themeColor="text1"/>
              </w:rPr>
              <w:t>8.c</w:t>
            </w:r>
          </w:p>
        </w:tc>
        <w:tc>
          <w:tcPr>
            <w:tcW w:w="2510" w:type="dxa"/>
            <w:tcBorders>
              <w:top w:val="single" w:sz="4" w:space="0" w:color="auto"/>
              <w:left w:val="nil"/>
              <w:bottom w:val="single" w:sz="4" w:space="0" w:color="auto"/>
              <w:right w:val="single" w:sz="4" w:space="0" w:color="auto"/>
            </w:tcBorders>
            <w:shd w:val="clear" w:color="auto" w:fill="auto"/>
          </w:tcPr>
          <w:p w14:paraId="21D3CA70" w14:textId="77777777" w:rsidR="00A81DBF" w:rsidRPr="006C70FF" w:rsidRDefault="00A81DBF" w:rsidP="00A81DBF">
            <w:pPr>
              <w:rPr>
                <w:rFonts w:cs="Arial"/>
                <w:b/>
                <w:bCs/>
                <w:color w:val="000000" w:themeColor="text1"/>
              </w:rPr>
            </w:pPr>
            <w:r w:rsidRPr="006C70FF">
              <w:rPr>
                <w:rFonts w:cs="Arial"/>
                <w:b/>
                <w:bCs/>
                <w:color w:val="000000" w:themeColor="text1"/>
              </w:rPr>
              <w:t>Additional Tests</w:t>
            </w:r>
          </w:p>
        </w:tc>
        <w:tc>
          <w:tcPr>
            <w:tcW w:w="5605" w:type="dxa"/>
            <w:tcBorders>
              <w:top w:val="nil"/>
              <w:left w:val="nil"/>
              <w:bottom w:val="single" w:sz="4" w:space="0" w:color="auto"/>
              <w:right w:val="single" w:sz="4" w:space="0" w:color="auto"/>
            </w:tcBorders>
            <w:shd w:val="clear" w:color="auto" w:fill="auto"/>
          </w:tcPr>
          <w:p w14:paraId="5509DC4A" w14:textId="77777777" w:rsidR="00A81DBF" w:rsidRPr="006C70FF" w:rsidRDefault="00A81DBF" w:rsidP="00A81DBF">
            <w:pPr>
              <w:rPr>
                <w:rFonts w:cs="Arial"/>
                <w:color w:val="000000" w:themeColor="text1"/>
              </w:rPr>
            </w:pPr>
            <w:r w:rsidRPr="006C70FF">
              <w:rPr>
                <w:rFonts w:cs="Arial"/>
                <w:color w:val="000000" w:themeColor="text1"/>
              </w:rPr>
              <w:t>Herpes Simplex</w:t>
            </w:r>
          </w:p>
        </w:tc>
      </w:tr>
      <w:tr w:rsidR="006C70FF" w:rsidRPr="006C70FF" w14:paraId="2A4C3C78"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3C7E2C5"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16537B82"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1BB5D8D6" w14:textId="77777777" w:rsidR="00A81DBF" w:rsidRPr="006C70FF" w:rsidRDefault="00A81DBF" w:rsidP="00A81DBF">
            <w:pPr>
              <w:rPr>
                <w:rFonts w:cs="Arial"/>
                <w:color w:val="000000" w:themeColor="text1"/>
              </w:rPr>
            </w:pPr>
            <w:r w:rsidRPr="006C70FF">
              <w:rPr>
                <w:rFonts w:cs="Arial"/>
                <w:color w:val="000000" w:themeColor="text1"/>
              </w:rPr>
              <w:t>VZV</w:t>
            </w:r>
          </w:p>
        </w:tc>
      </w:tr>
      <w:tr w:rsidR="006C70FF" w:rsidRPr="006C70FF" w14:paraId="787BA1AA"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02F724CA"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5E4B012B" w14:textId="77777777" w:rsidR="00A81DBF" w:rsidRPr="006C70FF" w:rsidRDefault="00A81DBF" w:rsidP="00A81DBF">
            <w:pPr>
              <w:rPr>
                <w:rFonts w:cs="Arial"/>
                <w:color w:val="000000" w:themeColor="text1"/>
              </w:rPr>
            </w:pPr>
            <w:r w:rsidRPr="006C70FF">
              <w:rPr>
                <w:rFonts w:cs="Arial"/>
                <w:color w:val="000000" w:themeColor="text1"/>
              </w:rPr>
              <w:t xml:space="preserve">Test if indicated </w:t>
            </w:r>
          </w:p>
        </w:tc>
        <w:tc>
          <w:tcPr>
            <w:tcW w:w="5605" w:type="dxa"/>
            <w:tcBorders>
              <w:top w:val="nil"/>
              <w:left w:val="nil"/>
              <w:bottom w:val="single" w:sz="4" w:space="0" w:color="auto"/>
              <w:right w:val="single" w:sz="4" w:space="0" w:color="auto"/>
            </w:tcBorders>
            <w:shd w:val="clear" w:color="auto" w:fill="auto"/>
          </w:tcPr>
          <w:p w14:paraId="7E78B9C4" w14:textId="77777777" w:rsidR="00A81DBF" w:rsidRPr="006C70FF" w:rsidRDefault="00A81DBF" w:rsidP="00A81DBF">
            <w:pPr>
              <w:rPr>
                <w:rFonts w:cs="Arial"/>
                <w:color w:val="000000" w:themeColor="text1"/>
              </w:rPr>
            </w:pPr>
            <w:r w:rsidRPr="006C70FF">
              <w:rPr>
                <w:rFonts w:cs="Arial"/>
                <w:color w:val="000000" w:themeColor="text1"/>
              </w:rPr>
              <w:t>West Nile Virus</w:t>
            </w:r>
          </w:p>
        </w:tc>
      </w:tr>
      <w:tr w:rsidR="006C70FF" w:rsidRPr="006C70FF" w14:paraId="3A69A1CF"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9F5F490"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2BB41141"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3606B565" w14:textId="77777777" w:rsidR="00A81DBF" w:rsidRPr="006C70FF" w:rsidRDefault="00A81DBF" w:rsidP="00A81DBF">
            <w:pPr>
              <w:rPr>
                <w:rFonts w:cs="Arial"/>
                <w:color w:val="000000" w:themeColor="text1"/>
              </w:rPr>
            </w:pPr>
            <w:r w:rsidRPr="006C70FF">
              <w:rPr>
                <w:rFonts w:cs="Arial"/>
                <w:color w:val="000000" w:themeColor="text1"/>
              </w:rPr>
              <w:t>Malaria Ab</w:t>
            </w:r>
          </w:p>
        </w:tc>
      </w:tr>
      <w:tr w:rsidR="006C70FF" w:rsidRPr="006C70FF" w14:paraId="7C7287BC"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01714BEF"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727AB91B"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691C443B" w14:textId="77777777" w:rsidR="00A81DBF" w:rsidRPr="006C70FF" w:rsidRDefault="00A81DBF" w:rsidP="00A81DBF">
            <w:pPr>
              <w:rPr>
                <w:rFonts w:cs="Arial"/>
                <w:color w:val="000000" w:themeColor="text1"/>
              </w:rPr>
            </w:pPr>
            <w:r w:rsidRPr="006C70FF">
              <w:rPr>
                <w:rFonts w:cs="Arial"/>
                <w:color w:val="000000" w:themeColor="text1"/>
              </w:rPr>
              <w:t xml:space="preserve">Trypanosoma </w:t>
            </w:r>
            <w:proofErr w:type="spellStart"/>
            <w:r w:rsidRPr="006C70FF">
              <w:rPr>
                <w:rFonts w:cs="Arial"/>
                <w:color w:val="000000" w:themeColor="text1"/>
              </w:rPr>
              <w:t>Cruzi</w:t>
            </w:r>
            <w:proofErr w:type="spellEnd"/>
          </w:p>
        </w:tc>
      </w:tr>
      <w:tr w:rsidR="006C70FF" w:rsidRPr="006C70FF" w14:paraId="61C7F85D"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0CE449C"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142B04B1"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515FC2FB" w14:textId="77777777" w:rsidR="00A81DBF" w:rsidRPr="006C70FF" w:rsidRDefault="00A81DBF" w:rsidP="00A81DBF">
            <w:pPr>
              <w:rPr>
                <w:rFonts w:cs="Arial"/>
                <w:color w:val="000000" w:themeColor="text1"/>
              </w:rPr>
            </w:pPr>
            <w:r w:rsidRPr="006C70FF">
              <w:rPr>
                <w:rFonts w:cs="Arial"/>
                <w:color w:val="000000" w:themeColor="text1"/>
              </w:rPr>
              <w:t>CMV PCR (if CMV IgM reactive or equivocal)</w:t>
            </w:r>
          </w:p>
        </w:tc>
      </w:tr>
      <w:tr w:rsidR="006C70FF" w:rsidRPr="006C70FF" w14:paraId="23DBF0C3"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4F8FF82D"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6130C1DE"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268A5497" w14:textId="77777777" w:rsidR="00A81DBF" w:rsidRPr="006C70FF" w:rsidRDefault="00A81DBF" w:rsidP="00A81DBF">
            <w:pPr>
              <w:rPr>
                <w:rFonts w:cs="Arial"/>
                <w:color w:val="000000" w:themeColor="text1"/>
              </w:rPr>
            </w:pPr>
            <w:r w:rsidRPr="006C70FF">
              <w:rPr>
                <w:rFonts w:cs="Arial"/>
                <w:color w:val="000000" w:themeColor="text1"/>
              </w:rPr>
              <w:t>EBV PCR (if EBV IgM reactive or equivocal or if EBV IgG is reactive or equivocal and the product is destined for a Transplant Centre in France)</w:t>
            </w:r>
          </w:p>
        </w:tc>
      </w:tr>
      <w:tr w:rsidR="006C70FF" w:rsidRPr="006C70FF" w14:paraId="78CC6162" w14:textId="77777777" w:rsidTr="00586B17">
        <w:trPr>
          <w:trHeight w:val="510"/>
        </w:trPr>
        <w:tc>
          <w:tcPr>
            <w:tcW w:w="561" w:type="dxa"/>
            <w:tcBorders>
              <w:top w:val="nil"/>
              <w:left w:val="single" w:sz="4" w:space="0" w:color="auto"/>
              <w:bottom w:val="single" w:sz="4" w:space="0" w:color="auto"/>
              <w:right w:val="single" w:sz="4" w:space="0" w:color="auto"/>
            </w:tcBorders>
            <w:shd w:val="clear" w:color="auto" w:fill="auto"/>
          </w:tcPr>
          <w:p w14:paraId="47B01C64" w14:textId="77777777" w:rsidR="00A81DBF" w:rsidRPr="006C70FF" w:rsidRDefault="00A81DBF" w:rsidP="00A81DBF">
            <w:pPr>
              <w:jc w:val="right"/>
              <w:rPr>
                <w:rFonts w:cs="Arial"/>
                <w:b/>
                <w:bCs/>
                <w:color w:val="000000" w:themeColor="text1"/>
              </w:rPr>
            </w:pPr>
            <w:r w:rsidRPr="006C70FF">
              <w:rPr>
                <w:rFonts w:cs="Arial"/>
                <w:b/>
                <w:bCs/>
                <w:color w:val="000000" w:themeColor="text1"/>
              </w:rPr>
              <w:t>9</w:t>
            </w:r>
          </w:p>
        </w:tc>
        <w:tc>
          <w:tcPr>
            <w:tcW w:w="2510" w:type="dxa"/>
            <w:tcBorders>
              <w:top w:val="nil"/>
              <w:left w:val="nil"/>
              <w:bottom w:val="single" w:sz="4" w:space="0" w:color="auto"/>
              <w:right w:val="single" w:sz="4" w:space="0" w:color="auto"/>
            </w:tcBorders>
            <w:shd w:val="clear" w:color="auto" w:fill="auto"/>
          </w:tcPr>
          <w:p w14:paraId="4A3E00F8" w14:textId="77777777" w:rsidR="00A81DBF" w:rsidRPr="006C70FF" w:rsidRDefault="00A81DBF" w:rsidP="00A81DBF">
            <w:pPr>
              <w:rPr>
                <w:rFonts w:cs="Arial"/>
                <w:b/>
                <w:bCs/>
                <w:color w:val="000000" w:themeColor="text1"/>
              </w:rPr>
            </w:pPr>
            <w:r w:rsidRPr="006C70FF">
              <w:rPr>
                <w:rFonts w:cs="Arial"/>
                <w:b/>
                <w:bCs/>
                <w:color w:val="000000" w:themeColor="text1"/>
              </w:rPr>
              <w:t>Non-standard tests to be costed.</w:t>
            </w:r>
          </w:p>
        </w:tc>
        <w:tc>
          <w:tcPr>
            <w:tcW w:w="5605" w:type="dxa"/>
            <w:tcBorders>
              <w:top w:val="nil"/>
              <w:left w:val="nil"/>
              <w:bottom w:val="single" w:sz="4" w:space="0" w:color="auto"/>
              <w:right w:val="single" w:sz="4" w:space="0" w:color="auto"/>
            </w:tcBorders>
            <w:shd w:val="clear" w:color="auto" w:fill="auto"/>
          </w:tcPr>
          <w:p w14:paraId="47B7FF5D" w14:textId="77777777" w:rsidR="00A81DBF" w:rsidRPr="006C70FF" w:rsidRDefault="00A81DBF" w:rsidP="00A81DBF">
            <w:pPr>
              <w:rPr>
                <w:rFonts w:cs="Arial"/>
                <w:color w:val="000000" w:themeColor="text1"/>
              </w:rPr>
            </w:pPr>
            <w:r w:rsidRPr="006C70FF">
              <w:rPr>
                <w:rFonts w:cs="Arial"/>
                <w:color w:val="000000" w:themeColor="text1"/>
              </w:rPr>
              <w:t>Echocardiogram and report</w:t>
            </w:r>
          </w:p>
        </w:tc>
      </w:tr>
      <w:tr w:rsidR="006C70FF" w:rsidRPr="006C70FF" w14:paraId="00AF2BFA"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3C0DB32"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28A5EAE7"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00315C50" w14:textId="77777777" w:rsidR="00A81DBF" w:rsidRPr="006C70FF" w:rsidRDefault="00A81DBF" w:rsidP="00A81DBF">
            <w:pPr>
              <w:rPr>
                <w:rFonts w:cs="Arial"/>
                <w:color w:val="000000" w:themeColor="text1"/>
              </w:rPr>
            </w:pPr>
            <w:r w:rsidRPr="006C70FF">
              <w:rPr>
                <w:rFonts w:cs="Arial"/>
                <w:color w:val="000000" w:themeColor="text1"/>
              </w:rPr>
              <w:t>Unconjugated Bilirubin</w:t>
            </w:r>
          </w:p>
        </w:tc>
      </w:tr>
      <w:tr w:rsidR="006C70FF" w:rsidRPr="006C70FF" w14:paraId="614EB4AF"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B36D12A"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61031B13"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4F328CC1" w14:textId="77777777" w:rsidR="00A81DBF" w:rsidRPr="006C70FF" w:rsidRDefault="00A81DBF" w:rsidP="00A81DBF">
            <w:pPr>
              <w:rPr>
                <w:rFonts w:cs="Arial"/>
                <w:color w:val="000000" w:themeColor="text1"/>
              </w:rPr>
            </w:pPr>
            <w:r w:rsidRPr="006C70FF">
              <w:rPr>
                <w:rFonts w:cs="Arial"/>
                <w:color w:val="000000" w:themeColor="text1"/>
              </w:rPr>
              <w:t>Liver ultrasound and report</w:t>
            </w:r>
          </w:p>
        </w:tc>
      </w:tr>
      <w:tr w:rsidR="006C70FF" w:rsidRPr="006C70FF" w14:paraId="46420526"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23767EFC"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13F2421F"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4FDF580F" w14:textId="77777777" w:rsidR="00A81DBF" w:rsidRPr="006C70FF" w:rsidRDefault="00A81DBF" w:rsidP="00A81DBF">
            <w:pPr>
              <w:rPr>
                <w:rFonts w:cs="Arial"/>
                <w:color w:val="000000" w:themeColor="text1"/>
              </w:rPr>
            </w:pPr>
            <w:r w:rsidRPr="006C70FF">
              <w:rPr>
                <w:rFonts w:cs="Arial"/>
                <w:color w:val="000000" w:themeColor="text1"/>
              </w:rPr>
              <w:t>Anaesthetic opinion for donors with a BMI of &gt; 35</w:t>
            </w:r>
          </w:p>
        </w:tc>
      </w:tr>
      <w:tr w:rsidR="006C70FF" w:rsidRPr="006C70FF" w14:paraId="1DB3C835"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6DCC6A81" w14:textId="77777777" w:rsidR="00A81DBF" w:rsidRPr="006C70FF" w:rsidRDefault="00A81DBF" w:rsidP="00A81DBF">
            <w:pPr>
              <w:jc w:val="right"/>
              <w:rPr>
                <w:rFonts w:cs="Arial"/>
                <w:b/>
                <w:bCs/>
                <w:color w:val="000000" w:themeColor="text1"/>
              </w:rPr>
            </w:pPr>
          </w:p>
        </w:tc>
        <w:tc>
          <w:tcPr>
            <w:tcW w:w="2510" w:type="dxa"/>
            <w:tcBorders>
              <w:top w:val="nil"/>
              <w:left w:val="nil"/>
              <w:bottom w:val="single" w:sz="4" w:space="0" w:color="auto"/>
              <w:right w:val="single" w:sz="4" w:space="0" w:color="auto"/>
            </w:tcBorders>
            <w:shd w:val="clear" w:color="auto" w:fill="auto"/>
          </w:tcPr>
          <w:p w14:paraId="561EBFB0" w14:textId="77777777" w:rsidR="00A81DBF" w:rsidRPr="006C70FF" w:rsidRDefault="00A81DBF" w:rsidP="00A81DBF">
            <w:pPr>
              <w:rPr>
                <w:rFonts w:cs="Arial"/>
                <w:b/>
                <w:bCs/>
                <w:color w:val="000000" w:themeColor="text1"/>
              </w:rPr>
            </w:pPr>
          </w:p>
        </w:tc>
        <w:tc>
          <w:tcPr>
            <w:tcW w:w="5605" w:type="dxa"/>
            <w:tcBorders>
              <w:top w:val="nil"/>
              <w:left w:val="nil"/>
              <w:bottom w:val="single" w:sz="4" w:space="0" w:color="auto"/>
              <w:right w:val="single" w:sz="4" w:space="0" w:color="auto"/>
            </w:tcBorders>
            <w:shd w:val="clear" w:color="auto" w:fill="auto"/>
          </w:tcPr>
          <w:p w14:paraId="74ACA145" w14:textId="77777777" w:rsidR="00A81DBF" w:rsidRPr="006C70FF" w:rsidRDefault="00A81DBF" w:rsidP="00A81DBF">
            <w:pPr>
              <w:rPr>
                <w:rFonts w:cs="Arial"/>
                <w:color w:val="000000" w:themeColor="text1"/>
              </w:rPr>
            </w:pPr>
          </w:p>
        </w:tc>
      </w:tr>
      <w:tr w:rsidR="006C70FF" w:rsidRPr="006C70FF" w14:paraId="391D8C0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151461B6" w14:textId="77777777" w:rsidR="00A81DBF" w:rsidRPr="006C70FF" w:rsidRDefault="00A81DBF" w:rsidP="00A81DBF">
            <w:pPr>
              <w:jc w:val="right"/>
              <w:rPr>
                <w:rFonts w:cs="Arial"/>
                <w:b/>
                <w:bCs/>
                <w:color w:val="000000" w:themeColor="text1"/>
              </w:rPr>
            </w:pPr>
          </w:p>
        </w:tc>
        <w:tc>
          <w:tcPr>
            <w:tcW w:w="2510" w:type="dxa"/>
            <w:tcBorders>
              <w:top w:val="nil"/>
              <w:left w:val="nil"/>
              <w:bottom w:val="single" w:sz="4" w:space="0" w:color="auto"/>
              <w:right w:val="single" w:sz="4" w:space="0" w:color="auto"/>
            </w:tcBorders>
            <w:shd w:val="clear" w:color="auto" w:fill="auto"/>
          </w:tcPr>
          <w:p w14:paraId="49F54F65" w14:textId="77777777" w:rsidR="00A81DBF" w:rsidRPr="006C70FF" w:rsidRDefault="00A81DBF" w:rsidP="00A81DBF">
            <w:pPr>
              <w:rPr>
                <w:rFonts w:cs="Arial"/>
                <w:bCs/>
                <w:color w:val="000000" w:themeColor="text1"/>
              </w:rPr>
            </w:pPr>
            <w:r w:rsidRPr="006C70FF">
              <w:rPr>
                <w:rFonts w:cs="Arial"/>
                <w:bCs/>
                <w:color w:val="000000" w:themeColor="text1"/>
              </w:rPr>
              <w:t>Red Cell Phenotype</w:t>
            </w:r>
          </w:p>
        </w:tc>
        <w:tc>
          <w:tcPr>
            <w:tcW w:w="5605" w:type="dxa"/>
            <w:tcBorders>
              <w:top w:val="nil"/>
              <w:left w:val="nil"/>
              <w:bottom w:val="single" w:sz="4" w:space="0" w:color="auto"/>
              <w:right w:val="single" w:sz="4" w:space="0" w:color="auto"/>
            </w:tcBorders>
            <w:shd w:val="clear" w:color="auto" w:fill="auto"/>
          </w:tcPr>
          <w:p w14:paraId="62F3AC15" w14:textId="77777777" w:rsidR="00A81DBF" w:rsidRPr="006C70FF" w:rsidRDefault="00A81DBF" w:rsidP="00A81DBF">
            <w:pPr>
              <w:rPr>
                <w:rFonts w:cs="Arial"/>
                <w:color w:val="000000" w:themeColor="text1"/>
              </w:rPr>
            </w:pPr>
            <w:r w:rsidRPr="006C70FF">
              <w:rPr>
                <w:rFonts w:cs="Arial"/>
                <w:color w:val="000000" w:themeColor="text1"/>
              </w:rPr>
              <w:t>Kell / Kidd / Duffy MNS type</w:t>
            </w:r>
          </w:p>
        </w:tc>
      </w:tr>
      <w:tr w:rsidR="006C70FF" w:rsidRPr="006C70FF" w14:paraId="41ED503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3D91BFAF"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1B737FEF"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38FFA1C2" w14:textId="77777777" w:rsidR="00A81DBF" w:rsidRPr="006C70FF" w:rsidRDefault="00A81DBF" w:rsidP="00A81DBF">
            <w:pPr>
              <w:rPr>
                <w:rFonts w:cs="Arial"/>
                <w:color w:val="000000" w:themeColor="text1"/>
              </w:rPr>
            </w:pPr>
            <w:r w:rsidRPr="006C70FF">
              <w:rPr>
                <w:rFonts w:cs="Arial"/>
                <w:color w:val="000000" w:themeColor="text1"/>
              </w:rPr>
              <w:t>Red Cell Ab screen</w:t>
            </w:r>
          </w:p>
        </w:tc>
      </w:tr>
      <w:tr w:rsidR="006C70FF" w:rsidRPr="006C70FF" w14:paraId="36AD0C3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482B256C"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3A47791A"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62FD9E41" w14:textId="77777777" w:rsidR="00A81DBF" w:rsidRPr="006C70FF" w:rsidRDefault="00A81DBF" w:rsidP="00A81DBF">
            <w:pPr>
              <w:rPr>
                <w:rFonts w:cs="Arial"/>
                <w:color w:val="000000" w:themeColor="text1"/>
              </w:rPr>
            </w:pPr>
            <w:r w:rsidRPr="006C70FF">
              <w:rPr>
                <w:rFonts w:cs="Arial"/>
                <w:color w:val="000000" w:themeColor="text1"/>
              </w:rPr>
              <w:t xml:space="preserve">Anti A Anti B </w:t>
            </w:r>
            <w:proofErr w:type="spellStart"/>
            <w:r w:rsidRPr="006C70FF">
              <w:rPr>
                <w:rFonts w:cs="Arial"/>
                <w:color w:val="000000" w:themeColor="text1"/>
              </w:rPr>
              <w:t>Heamolysin</w:t>
            </w:r>
            <w:proofErr w:type="spellEnd"/>
            <w:r w:rsidRPr="006C70FF">
              <w:rPr>
                <w:rFonts w:cs="Arial"/>
                <w:color w:val="000000" w:themeColor="text1"/>
              </w:rPr>
              <w:t xml:space="preserve"> Titres</w:t>
            </w:r>
          </w:p>
        </w:tc>
      </w:tr>
      <w:tr w:rsidR="006C70FF" w:rsidRPr="006C70FF" w14:paraId="3FCEA218"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27BA6356" w14:textId="77777777" w:rsidR="00A81DBF" w:rsidRPr="006C70FF" w:rsidRDefault="00A81DBF" w:rsidP="00A81DBF">
            <w:pPr>
              <w:rPr>
                <w:rFonts w:cs="Arial"/>
                <w:color w:val="000000" w:themeColor="text1"/>
              </w:rPr>
            </w:pPr>
            <w:r w:rsidRPr="006C70FF">
              <w:rPr>
                <w:rFonts w:cs="Arial"/>
                <w:color w:val="000000" w:themeColor="text1"/>
              </w:rPr>
              <w:t> </w:t>
            </w:r>
          </w:p>
        </w:tc>
        <w:tc>
          <w:tcPr>
            <w:tcW w:w="2510" w:type="dxa"/>
            <w:tcBorders>
              <w:top w:val="nil"/>
              <w:left w:val="nil"/>
              <w:bottom w:val="single" w:sz="4" w:space="0" w:color="auto"/>
              <w:right w:val="single" w:sz="4" w:space="0" w:color="auto"/>
            </w:tcBorders>
            <w:shd w:val="clear" w:color="auto" w:fill="auto"/>
          </w:tcPr>
          <w:p w14:paraId="3481AD6A" w14:textId="77777777" w:rsidR="00A81DBF" w:rsidRPr="006C70FF" w:rsidRDefault="00A81DBF" w:rsidP="00A81DBF">
            <w:pPr>
              <w:rPr>
                <w:rFonts w:cs="Arial"/>
                <w:color w:val="000000" w:themeColor="text1"/>
              </w:rPr>
            </w:pPr>
            <w:r w:rsidRPr="006C70FF">
              <w:rPr>
                <w:rFonts w:cs="Arial"/>
                <w:color w:val="000000" w:themeColor="text1"/>
              </w:rPr>
              <w:t> </w:t>
            </w:r>
          </w:p>
        </w:tc>
        <w:tc>
          <w:tcPr>
            <w:tcW w:w="5605" w:type="dxa"/>
            <w:tcBorders>
              <w:top w:val="nil"/>
              <w:left w:val="nil"/>
              <w:bottom w:val="single" w:sz="4" w:space="0" w:color="auto"/>
              <w:right w:val="single" w:sz="4" w:space="0" w:color="auto"/>
            </w:tcBorders>
            <w:shd w:val="clear" w:color="auto" w:fill="auto"/>
          </w:tcPr>
          <w:p w14:paraId="6DE686CF" w14:textId="77777777" w:rsidR="00A81DBF" w:rsidRPr="006C70FF" w:rsidRDefault="00A81DBF" w:rsidP="00A81DBF">
            <w:pPr>
              <w:rPr>
                <w:rFonts w:cs="Arial"/>
                <w:color w:val="000000" w:themeColor="text1"/>
              </w:rPr>
            </w:pPr>
          </w:p>
        </w:tc>
      </w:tr>
      <w:tr w:rsidR="006C70FF" w:rsidRPr="006C70FF" w14:paraId="2F86A04B"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752D45F6" w14:textId="77777777" w:rsidR="00A81DBF" w:rsidRPr="006C70FF" w:rsidRDefault="00A81DB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64E1E700" w14:textId="77777777" w:rsidR="00A81DBF" w:rsidRPr="006C70FF" w:rsidRDefault="00A81DBF" w:rsidP="00A81DBF">
            <w:pPr>
              <w:rPr>
                <w:rFonts w:cs="Arial"/>
                <w:color w:val="000000" w:themeColor="text1"/>
              </w:rPr>
            </w:pPr>
            <w:r w:rsidRPr="006C70FF">
              <w:rPr>
                <w:rFonts w:cs="Arial"/>
                <w:color w:val="000000" w:themeColor="text1"/>
              </w:rPr>
              <w:t>Iron Studies</w:t>
            </w:r>
          </w:p>
        </w:tc>
        <w:tc>
          <w:tcPr>
            <w:tcW w:w="5605" w:type="dxa"/>
            <w:tcBorders>
              <w:top w:val="nil"/>
              <w:left w:val="nil"/>
              <w:bottom w:val="single" w:sz="4" w:space="0" w:color="auto"/>
              <w:right w:val="single" w:sz="4" w:space="0" w:color="auto"/>
            </w:tcBorders>
            <w:shd w:val="clear" w:color="auto" w:fill="auto"/>
          </w:tcPr>
          <w:p w14:paraId="4967D5EC" w14:textId="77777777" w:rsidR="00A81DBF" w:rsidRPr="006C70FF" w:rsidRDefault="00A81DBF" w:rsidP="00A81DBF">
            <w:pPr>
              <w:rPr>
                <w:rFonts w:cs="Arial"/>
                <w:color w:val="000000" w:themeColor="text1"/>
              </w:rPr>
            </w:pPr>
            <w:r w:rsidRPr="006C70FF">
              <w:rPr>
                <w:rFonts w:cs="Arial"/>
                <w:color w:val="000000" w:themeColor="text1"/>
              </w:rPr>
              <w:t>Serum Iron</w:t>
            </w:r>
          </w:p>
        </w:tc>
      </w:tr>
      <w:tr w:rsidR="006C70FF" w:rsidRPr="006C70FF" w14:paraId="6330AAB7"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AC023C1" w14:textId="77777777" w:rsidR="00A81DBF" w:rsidRPr="006C70FF" w:rsidRDefault="00A81DB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18287A08"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63DE535B" w14:textId="77777777" w:rsidR="00A81DBF" w:rsidRPr="006C70FF" w:rsidRDefault="00A81DBF" w:rsidP="00A81DBF">
            <w:pPr>
              <w:rPr>
                <w:rFonts w:cs="Arial"/>
                <w:color w:val="000000" w:themeColor="text1"/>
              </w:rPr>
            </w:pPr>
            <w:r w:rsidRPr="006C70FF">
              <w:rPr>
                <w:rFonts w:cs="Arial"/>
                <w:color w:val="000000" w:themeColor="text1"/>
              </w:rPr>
              <w:t>(Serum Ferritin)</w:t>
            </w:r>
          </w:p>
        </w:tc>
      </w:tr>
      <w:tr w:rsidR="00535391" w:rsidRPr="006C70FF" w14:paraId="07E8360E" w14:textId="77777777" w:rsidTr="00586B17">
        <w:trPr>
          <w:trHeight w:val="285"/>
        </w:trPr>
        <w:tc>
          <w:tcPr>
            <w:tcW w:w="561" w:type="dxa"/>
            <w:tcBorders>
              <w:top w:val="nil"/>
              <w:left w:val="single" w:sz="4" w:space="0" w:color="auto"/>
              <w:bottom w:val="single" w:sz="4" w:space="0" w:color="auto"/>
              <w:right w:val="single" w:sz="4" w:space="0" w:color="auto"/>
            </w:tcBorders>
            <w:shd w:val="clear" w:color="auto" w:fill="auto"/>
          </w:tcPr>
          <w:p w14:paraId="5D121475" w14:textId="77777777" w:rsidR="00A81DBF" w:rsidRPr="006C70FF" w:rsidRDefault="00A81DBF" w:rsidP="00A81DBF">
            <w:pPr>
              <w:rPr>
                <w:rFonts w:cs="Arial"/>
                <w:color w:val="000000" w:themeColor="text1"/>
              </w:rPr>
            </w:pPr>
          </w:p>
        </w:tc>
        <w:tc>
          <w:tcPr>
            <w:tcW w:w="2510" w:type="dxa"/>
            <w:tcBorders>
              <w:top w:val="nil"/>
              <w:left w:val="nil"/>
              <w:bottom w:val="single" w:sz="4" w:space="0" w:color="auto"/>
              <w:right w:val="single" w:sz="4" w:space="0" w:color="auto"/>
            </w:tcBorders>
            <w:shd w:val="clear" w:color="auto" w:fill="auto"/>
          </w:tcPr>
          <w:p w14:paraId="19A7AE83" w14:textId="77777777" w:rsidR="00A81DBF" w:rsidRPr="006C70FF" w:rsidRDefault="00A81DBF" w:rsidP="00A81DBF">
            <w:pPr>
              <w:rPr>
                <w:rFonts w:cs="Arial"/>
                <w:color w:val="000000" w:themeColor="text1"/>
              </w:rPr>
            </w:pPr>
          </w:p>
        </w:tc>
        <w:tc>
          <w:tcPr>
            <w:tcW w:w="5605" w:type="dxa"/>
            <w:tcBorders>
              <w:top w:val="nil"/>
              <w:left w:val="nil"/>
              <w:bottom w:val="single" w:sz="4" w:space="0" w:color="auto"/>
              <w:right w:val="single" w:sz="4" w:space="0" w:color="auto"/>
            </w:tcBorders>
            <w:shd w:val="clear" w:color="auto" w:fill="auto"/>
          </w:tcPr>
          <w:p w14:paraId="50DEA18B" w14:textId="77777777" w:rsidR="00A81DBF" w:rsidRPr="006C70FF" w:rsidRDefault="00A81DBF" w:rsidP="00A81DBF">
            <w:pPr>
              <w:rPr>
                <w:rFonts w:cs="Arial"/>
                <w:color w:val="000000" w:themeColor="text1"/>
              </w:rPr>
            </w:pPr>
            <w:r w:rsidRPr="006C70FF">
              <w:rPr>
                <w:rFonts w:cs="Arial"/>
                <w:color w:val="000000" w:themeColor="text1"/>
              </w:rPr>
              <w:t>Total Iron-Binding Capacity</w:t>
            </w:r>
          </w:p>
        </w:tc>
      </w:tr>
    </w:tbl>
    <w:p w14:paraId="6AB29B64" w14:textId="77777777" w:rsidR="00A81DBF" w:rsidRPr="006C70FF" w:rsidRDefault="00A81DBF" w:rsidP="00A81DBF">
      <w:pPr>
        <w:tabs>
          <w:tab w:val="center" w:pos="4153"/>
          <w:tab w:val="right" w:pos="8306"/>
        </w:tabs>
        <w:spacing w:after="120"/>
        <w:ind w:hanging="720"/>
        <w:rPr>
          <w:rFonts w:cs="Arial"/>
          <w:b/>
          <w:color w:val="000000" w:themeColor="text1"/>
          <w:sz w:val="8"/>
          <w:szCs w:val="8"/>
          <w:lang w:val="en-US"/>
        </w:rPr>
      </w:pPr>
    </w:p>
    <w:p w14:paraId="014E6E1C" w14:textId="77777777" w:rsidR="00CE1B30" w:rsidRDefault="00CE1B30" w:rsidP="00A81DBF">
      <w:pPr>
        <w:tabs>
          <w:tab w:val="center" w:pos="4153"/>
          <w:tab w:val="right" w:pos="8306"/>
        </w:tabs>
        <w:spacing w:after="120"/>
        <w:ind w:left="360"/>
        <w:rPr>
          <w:rFonts w:cs="Arial"/>
          <w:b/>
          <w:color w:val="000000" w:themeColor="text1"/>
          <w:sz w:val="22"/>
          <w:szCs w:val="22"/>
          <w:lang w:val="en-US"/>
        </w:rPr>
      </w:pPr>
    </w:p>
    <w:p w14:paraId="61003979" w14:textId="08535E1F" w:rsidR="00A81DBF" w:rsidRPr="006C70FF" w:rsidRDefault="00A81DBF" w:rsidP="00A81DBF">
      <w:pPr>
        <w:tabs>
          <w:tab w:val="center" w:pos="4153"/>
          <w:tab w:val="right" w:pos="8306"/>
        </w:tabs>
        <w:spacing w:after="120"/>
        <w:ind w:left="360"/>
        <w:rPr>
          <w:rFonts w:cs="Arial"/>
          <w:b/>
          <w:color w:val="000000" w:themeColor="text1"/>
          <w:sz w:val="22"/>
          <w:szCs w:val="22"/>
        </w:rPr>
      </w:pPr>
      <w:r w:rsidRPr="006C70FF">
        <w:rPr>
          <w:rFonts w:cs="Arial"/>
          <w:b/>
          <w:color w:val="000000" w:themeColor="text1"/>
          <w:sz w:val="22"/>
          <w:szCs w:val="22"/>
          <w:lang w:val="en-US"/>
        </w:rPr>
        <w:t xml:space="preserve">Appendix D (formerly BBMR POL128) - </w:t>
      </w:r>
      <w:r w:rsidRPr="006C70FF">
        <w:rPr>
          <w:rFonts w:cs="Arial"/>
          <w:b/>
          <w:color w:val="000000" w:themeColor="text1"/>
          <w:sz w:val="22"/>
          <w:szCs w:val="22"/>
        </w:rPr>
        <w:t>Clinical Management of BBMR Donors with Abnormal LFTs found at Final Donor Assessment.</w:t>
      </w:r>
    </w:p>
    <w:p w14:paraId="60A9B13E" w14:textId="77777777" w:rsidR="00A81DBF" w:rsidRPr="006C70FF" w:rsidRDefault="00A81DBF" w:rsidP="00A81DBF">
      <w:pPr>
        <w:ind w:left="360"/>
        <w:rPr>
          <w:b/>
          <w:color w:val="000000" w:themeColor="text1"/>
          <w:sz w:val="22"/>
          <w:szCs w:val="22"/>
        </w:rPr>
      </w:pPr>
      <w:r w:rsidRPr="006C70FF">
        <w:rPr>
          <w:b/>
          <w:color w:val="000000" w:themeColor="text1"/>
          <w:sz w:val="22"/>
          <w:szCs w:val="22"/>
        </w:rPr>
        <w:t xml:space="preserve">General guidance regarding eligibility. Eligibility decisions will also be guided by the individual clinical assessment of each donor. </w:t>
      </w:r>
    </w:p>
    <w:p w14:paraId="69019301" w14:textId="77777777" w:rsidR="00A81DBF" w:rsidRPr="006C70FF" w:rsidRDefault="00A81DBF" w:rsidP="00A81DBF">
      <w:pPr>
        <w:ind w:left="360"/>
        <w:rPr>
          <w:b/>
          <w:color w:val="000000" w:themeColor="text1"/>
          <w:sz w:val="22"/>
          <w:szCs w:val="22"/>
        </w:rPr>
      </w:pPr>
    </w:p>
    <w:p w14:paraId="7C717463" w14:textId="77777777" w:rsidR="00A81DBF" w:rsidRPr="006C70FF" w:rsidRDefault="00A81DBF" w:rsidP="00A81DBF">
      <w:pPr>
        <w:ind w:left="360"/>
        <w:jc w:val="both"/>
        <w:rPr>
          <w:b/>
          <w:color w:val="000000" w:themeColor="text1"/>
          <w:sz w:val="22"/>
          <w:szCs w:val="22"/>
        </w:rPr>
      </w:pPr>
      <w:r w:rsidRPr="006C70FF">
        <w:rPr>
          <w:b/>
          <w:color w:val="000000" w:themeColor="text1"/>
          <w:sz w:val="22"/>
          <w:szCs w:val="22"/>
        </w:rPr>
        <w:t>NB: Discuss with Consultant Hepatologist if any uncertainty</w:t>
      </w:r>
    </w:p>
    <w:p w14:paraId="278AF0CE" w14:textId="77777777" w:rsidR="00A81DBF" w:rsidRPr="006C70FF" w:rsidRDefault="00A81DBF" w:rsidP="00A81DBF">
      <w:pPr>
        <w:ind w:left="360"/>
        <w:jc w:val="both"/>
        <w:rPr>
          <w:b/>
          <w:color w:val="000000" w:themeColor="text1"/>
          <w:sz w:val="22"/>
          <w:szCs w:val="22"/>
        </w:rPr>
      </w:pPr>
    </w:p>
    <w:p w14:paraId="1844C59C" w14:textId="77777777" w:rsidR="00A81DBF" w:rsidRPr="006C70FF" w:rsidRDefault="00A81DBF" w:rsidP="00A81DBF">
      <w:pPr>
        <w:ind w:left="360"/>
        <w:jc w:val="both"/>
        <w:rPr>
          <w:b/>
          <w:color w:val="000000" w:themeColor="text1"/>
          <w:sz w:val="22"/>
          <w:szCs w:val="22"/>
          <w:u w:val="single"/>
        </w:rPr>
      </w:pPr>
      <w:r w:rsidRPr="006C70FF">
        <w:rPr>
          <w:b/>
          <w:color w:val="000000" w:themeColor="text1"/>
          <w:sz w:val="22"/>
          <w:szCs w:val="22"/>
          <w:u w:val="single"/>
        </w:rPr>
        <w:t>Isolated increased bilirubin level</w:t>
      </w:r>
    </w:p>
    <w:p w14:paraId="215DC30C" w14:textId="77777777" w:rsidR="00A81DBF" w:rsidRPr="006C70FF" w:rsidRDefault="00A81DBF" w:rsidP="00A81DBF">
      <w:pPr>
        <w:rPr>
          <w:color w:val="000000" w:themeColor="text1"/>
          <w:sz w:val="22"/>
          <w:szCs w:val="22"/>
        </w:rPr>
      </w:pPr>
    </w:p>
    <w:p w14:paraId="251060E1" w14:textId="656D537C" w:rsidR="00A81DBF" w:rsidRPr="006C70FF" w:rsidRDefault="00A81DBF" w:rsidP="00A81DBF">
      <w:pPr>
        <w:ind w:left="360"/>
        <w:jc w:val="both"/>
        <w:rPr>
          <w:color w:val="000000" w:themeColor="text1"/>
          <w:sz w:val="22"/>
          <w:szCs w:val="22"/>
        </w:rPr>
      </w:pPr>
      <w:r w:rsidRPr="006C70FF">
        <w:rPr>
          <w:noProof/>
          <w:color w:val="000000" w:themeColor="text1"/>
          <w:sz w:val="22"/>
          <w:szCs w:val="22"/>
        </w:rPr>
        <w:t>Me</w:t>
      </w:r>
      <w:proofErr w:type="spellStart"/>
      <w:r w:rsidR="0046672E" w:rsidRPr="006C70FF">
        <w:rPr>
          <w:color w:val="000000" w:themeColor="text1"/>
          <w:sz w:val="22"/>
          <w:szCs w:val="22"/>
        </w:rPr>
        <w:t>a</w:t>
      </w:r>
      <w:r w:rsidRPr="006C70FF">
        <w:rPr>
          <w:color w:val="000000" w:themeColor="text1"/>
          <w:sz w:val="22"/>
          <w:szCs w:val="22"/>
        </w:rPr>
        <w:t>sure</w:t>
      </w:r>
      <w:proofErr w:type="spellEnd"/>
      <w:r w:rsidRPr="006C70FF">
        <w:rPr>
          <w:color w:val="000000" w:themeColor="text1"/>
          <w:sz w:val="22"/>
          <w:szCs w:val="22"/>
        </w:rPr>
        <w:t xml:space="preserve"> unconjugated bilirubin – if normal level of conjugated bilirubin, assume Gilberts.            </w:t>
      </w:r>
    </w:p>
    <w:p w14:paraId="00615017" w14:textId="77777777" w:rsidR="00A81DBF" w:rsidRPr="006C70FF" w:rsidRDefault="00A81DBF" w:rsidP="00A81DBF">
      <w:pPr>
        <w:ind w:left="360"/>
        <w:jc w:val="both"/>
        <w:rPr>
          <w:color w:val="000000" w:themeColor="text1"/>
          <w:sz w:val="22"/>
          <w:szCs w:val="22"/>
        </w:rPr>
      </w:pPr>
    </w:p>
    <w:p w14:paraId="304A263F" w14:textId="77777777" w:rsidR="00A81DBF" w:rsidRPr="006C70FF" w:rsidRDefault="00A81DBF" w:rsidP="00A81DBF">
      <w:pPr>
        <w:ind w:left="360"/>
        <w:jc w:val="both"/>
        <w:rPr>
          <w:color w:val="000000" w:themeColor="text1"/>
          <w:sz w:val="22"/>
          <w:szCs w:val="22"/>
        </w:rPr>
      </w:pPr>
      <w:proofErr w:type="gramStart"/>
      <w:r w:rsidRPr="006C70FF">
        <w:rPr>
          <w:color w:val="000000" w:themeColor="text1"/>
          <w:sz w:val="22"/>
          <w:szCs w:val="22"/>
        </w:rPr>
        <w:t>Accept</w:t>
      </w:r>
      <w:proofErr w:type="gramEnd"/>
      <w:r w:rsidRPr="006C70FF">
        <w:rPr>
          <w:color w:val="000000" w:themeColor="text1"/>
          <w:sz w:val="22"/>
          <w:szCs w:val="22"/>
        </w:rPr>
        <w:t xml:space="preserve"> for donation</w:t>
      </w:r>
    </w:p>
    <w:p w14:paraId="27AA18F4" w14:textId="77777777" w:rsidR="00A81DBF" w:rsidRPr="006C70FF" w:rsidRDefault="00A81DBF" w:rsidP="00A81DBF">
      <w:pPr>
        <w:ind w:left="360"/>
        <w:jc w:val="both"/>
        <w:rPr>
          <w:color w:val="000000" w:themeColor="text1"/>
          <w:sz w:val="22"/>
          <w:szCs w:val="22"/>
        </w:rPr>
      </w:pPr>
    </w:p>
    <w:p w14:paraId="438C173E" w14:textId="77777777" w:rsidR="00A81DBF" w:rsidRPr="006C70FF" w:rsidRDefault="00A81DBF" w:rsidP="00A81DBF">
      <w:pPr>
        <w:ind w:left="360"/>
        <w:jc w:val="both"/>
        <w:rPr>
          <w:color w:val="000000" w:themeColor="text1"/>
          <w:sz w:val="22"/>
          <w:szCs w:val="22"/>
        </w:rPr>
      </w:pPr>
      <w:r w:rsidRPr="006C70FF">
        <w:rPr>
          <w:color w:val="000000" w:themeColor="text1"/>
          <w:sz w:val="22"/>
          <w:szCs w:val="22"/>
        </w:rPr>
        <w:t xml:space="preserve">Note: when total bilirubin is elevated but below 30 </w:t>
      </w:r>
      <w:r w:rsidRPr="006C70FF">
        <w:rPr>
          <w:rFonts w:cs="Arial"/>
          <w:color w:val="000000" w:themeColor="text1"/>
          <w:sz w:val="22"/>
          <w:szCs w:val="22"/>
        </w:rPr>
        <w:t>µ</w:t>
      </w:r>
      <w:r w:rsidRPr="006C70FF">
        <w:rPr>
          <w:color w:val="000000" w:themeColor="text1"/>
          <w:sz w:val="22"/>
          <w:szCs w:val="22"/>
        </w:rPr>
        <w:t>mol/L and conjugated bilirubin cannot be accurately measured then can only assume Gilberts if ALP, GGT and other liver enzymes normal.</w:t>
      </w:r>
    </w:p>
    <w:p w14:paraId="70646DC0" w14:textId="77777777" w:rsidR="00A81DBF" w:rsidRPr="006C70FF" w:rsidRDefault="00A81DBF" w:rsidP="00A81DBF">
      <w:pPr>
        <w:jc w:val="both"/>
        <w:rPr>
          <w:color w:val="000000" w:themeColor="text1"/>
          <w:sz w:val="22"/>
          <w:szCs w:val="22"/>
        </w:rPr>
      </w:pPr>
    </w:p>
    <w:p w14:paraId="57D362D9" w14:textId="77777777" w:rsidR="00A81DBF" w:rsidRPr="006C70FF" w:rsidRDefault="00A81DBF" w:rsidP="00A81DBF">
      <w:pPr>
        <w:ind w:left="360"/>
        <w:jc w:val="both"/>
        <w:rPr>
          <w:b/>
          <w:color w:val="000000" w:themeColor="text1"/>
          <w:sz w:val="22"/>
          <w:szCs w:val="22"/>
          <w:u w:val="single"/>
        </w:rPr>
      </w:pPr>
      <w:r w:rsidRPr="006C70FF">
        <w:rPr>
          <w:b/>
          <w:color w:val="000000" w:themeColor="text1"/>
          <w:sz w:val="22"/>
          <w:szCs w:val="22"/>
          <w:u w:val="single"/>
        </w:rPr>
        <w:t>Increased liver enzymes up to twice upper limit of reference range</w:t>
      </w:r>
    </w:p>
    <w:p w14:paraId="638401A9" w14:textId="77777777" w:rsidR="00A81DBF" w:rsidRPr="006C70FF" w:rsidRDefault="00A81DBF" w:rsidP="00A81DBF">
      <w:pPr>
        <w:jc w:val="both"/>
        <w:rPr>
          <w:b/>
          <w:color w:val="000000" w:themeColor="text1"/>
          <w:sz w:val="22"/>
          <w:szCs w:val="22"/>
          <w:u w:val="single"/>
        </w:rPr>
      </w:pPr>
    </w:p>
    <w:p w14:paraId="5A40A0A3" w14:textId="77777777" w:rsidR="00A81DBF" w:rsidRPr="006C70FF" w:rsidRDefault="00A81DBF" w:rsidP="00A81DBF">
      <w:pPr>
        <w:ind w:left="360"/>
        <w:jc w:val="both"/>
        <w:rPr>
          <w:color w:val="000000" w:themeColor="text1"/>
          <w:sz w:val="22"/>
          <w:szCs w:val="22"/>
        </w:rPr>
      </w:pPr>
      <w:r w:rsidRPr="006C70FF">
        <w:rPr>
          <w:color w:val="000000" w:themeColor="text1"/>
          <w:sz w:val="22"/>
          <w:szCs w:val="22"/>
        </w:rPr>
        <w:t>May accept if raised single enzyme only and otherwise well.</w:t>
      </w:r>
    </w:p>
    <w:p w14:paraId="7C5F6ACC" w14:textId="77777777" w:rsidR="00A81DBF" w:rsidRPr="006C70FF" w:rsidRDefault="00A81DBF" w:rsidP="00A81DBF">
      <w:pPr>
        <w:jc w:val="both"/>
        <w:rPr>
          <w:color w:val="000000" w:themeColor="text1"/>
          <w:sz w:val="22"/>
          <w:szCs w:val="22"/>
        </w:rPr>
      </w:pPr>
    </w:p>
    <w:p w14:paraId="73910F4A" w14:textId="77777777" w:rsidR="00A81DBF" w:rsidRPr="006C70FF" w:rsidRDefault="00A81DBF" w:rsidP="00A81DBF">
      <w:pPr>
        <w:ind w:left="360"/>
        <w:jc w:val="both"/>
        <w:rPr>
          <w:color w:val="000000" w:themeColor="text1"/>
          <w:sz w:val="22"/>
          <w:szCs w:val="22"/>
        </w:rPr>
      </w:pPr>
      <w:r w:rsidRPr="006C70FF">
        <w:rPr>
          <w:color w:val="000000" w:themeColor="text1"/>
          <w:sz w:val="22"/>
          <w:szCs w:val="22"/>
        </w:rPr>
        <w:t>Generally, defer and advise GP if more than one enzyme raised but discretionary clinical acceptance.</w:t>
      </w:r>
    </w:p>
    <w:p w14:paraId="1F047B67" w14:textId="77777777" w:rsidR="00A81DBF" w:rsidRPr="006C70FF" w:rsidRDefault="00A81DBF" w:rsidP="00A81DBF">
      <w:pPr>
        <w:rPr>
          <w:color w:val="000000" w:themeColor="text1"/>
          <w:sz w:val="22"/>
          <w:szCs w:val="22"/>
        </w:rPr>
      </w:pPr>
    </w:p>
    <w:p w14:paraId="09FED917" w14:textId="2E291FA0" w:rsidR="00A81DBF" w:rsidRPr="006C70FF" w:rsidRDefault="00A81DBF" w:rsidP="00A81DBF">
      <w:pPr>
        <w:ind w:left="360"/>
        <w:rPr>
          <w:color w:val="000000" w:themeColor="text1"/>
          <w:sz w:val="22"/>
          <w:szCs w:val="22"/>
        </w:rPr>
      </w:pPr>
      <w:r w:rsidRPr="006C70FF">
        <w:rPr>
          <w:color w:val="000000" w:themeColor="text1"/>
          <w:sz w:val="22"/>
          <w:szCs w:val="22"/>
        </w:rPr>
        <w:t xml:space="preserve">Consider repeating LFTs after around 10 days alcohol abstention if sufficient time available and relevant history </w:t>
      </w:r>
      <w:r w:rsidR="00E432F2" w:rsidRPr="006C70FF">
        <w:rPr>
          <w:color w:val="000000" w:themeColor="text1"/>
          <w:sz w:val="22"/>
          <w:szCs w:val="22"/>
        </w:rPr>
        <w:t>e.g.,</w:t>
      </w:r>
      <w:r w:rsidRPr="006C70FF">
        <w:rPr>
          <w:color w:val="000000" w:themeColor="text1"/>
          <w:sz w:val="22"/>
          <w:szCs w:val="22"/>
        </w:rPr>
        <w:t xml:space="preserve"> significant alcohol consumption.</w:t>
      </w:r>
    </w:p>
    <w:p w14:paraId="10DB0373" w14:textId="77777777" w:rsidR="00A81DBF" w:rsidRPr="006C70FF" w:rsidRDefault="00A81DBF" w:rsidP="00A81DBF">
      <w:pPr>
        <w:ind w:left="360"/>
        <w:rPr>
          <w:color w:val="000000" w:themeColor="text1"/>
          <w:sz w:val="22"/>
          <w:szCs w:val="22"/>
        </w:rPr>
      </w:pPr>
    </w:p>
    <w:p w14:paraId="3D20202E" w14:textId="77777777" w:rsidR="00A81DBF" w:rsidRPr="006C70FF" w:rsidRDefault="00A81DBF" w:rsidP="00A81DBF">
      <w:pPr>
        <w:ind w:left="360"/>
        <w:jc w:val="both"/>
        <w:rPr>
          <w:b/>
          <w:color w:val="000000" w:themeColor="text1"/>
          <w:sz w:val="22"/>
          <w:szCs w:val="22"/>
          <w:u w:val="single"/>
        </w:rPr>
      </w:pPr>
      <w:r w:rsidRPr="006C70FF">
        <w:rPr>
          <w:b/>
          <w:color w:val="000000" w:themeColor="text1"/>
          <w:sz w:val="22"/>
          <w:szCs w:val="22"/>
          <w:u w:val="single"/>
        </w:rPr>
        <w:t>Increased liver enzymes greater or equal to twice upper limit of reference range</w:t>
      </w:r>
    </w:p>
    <w:p w14:paraId="147F508B" w14:textId="77777777" w:rsidR="00A81DBF" w:rsidRPr="006C70FF" w:rsidRDefault="00A81DBF" w:rsidP="00A81DBF">
      <w:pPr>
        <w:ind w:left="360"/>
        <w:rPr>
          <w:color w:val="000000" w:themeColor="text1"/>
          <w:sz w:val="22"/>
          <w:szCs w:val="22"/>
        </w:rPr>
      </w:pPr>
    </w:p>
    <w:p w14:paraId="73419113" w14:textId="77777777" w:rsidR="00A81DBF" w:rsidRPr="006C70FF" w:rsidRDefault="00A81DBF" w:rsidP="00A81DBF">
      <w:pPr>
        <w:ind w:left="360"/>
        <w:rPr>
          <w:color w:val="000000" w:themeColor="text1"/>
          <w:sz w:val="22"/>
          <w:szCs w:val="22"/>
        </w:rPr>
      </w:pPr>
      <w:r w:rsidRPr="006C70FF">
        <w:rPr>
          <w:color w:val="000000" w:themeColor="text1"/>
          <w:sz w:val="22"/>
          <w:szCs w:val="22"/>
        </w:rPr>
        <w:t>Reject donor</w:t>
      </w:r>
    </w:p>
    <w:p w14:paraId="35678907" w14:textId="77777777" w:rsidR="00A81DBF" w:rsidRPr="006C70FF" w:rsidRDefault="00A81DBF" w:rsidP="00A81DBF">
      <w:pPr>
        <w:ind w:left="360"/>
        <w:rPr>
          <w:color w:val="000000" w:themeColor="text1"/>
          <w:sz w:val="22"/>
          <w:szCs w:val="22"/>
        </w:rPr>
      </w:pPr>
      <w:r w:rsidRPr="006C70FF">
        <w:rPr>
          <w:color w:val="000000" w:themeColor="text1"/>
          <w:sz w:val="22"/>
          <w:szCs w:val="22"/>
        </w:rPr>
        <w:t>Advise GP to repeat liver function tests and refer to Hepatologist if required.</w:t>
      </w:r>
    </w:p>
    <w:p w14:paraId="20ABE64D" w14:textId="77777777" w:rsidR="003C68FA" w:rsidRPr="006C70FF" w:rsidRDefault="003C68FA" w:rsidP="00A81DBF">
      <w:pPr>
        <w:rPr>
          <w:rFonts w:cs="Arial"/>
          <w:b/>
          <w:color w:val="000000" w:themeColor="text1"/>
          <w:sz w:val="22"/>
          <w:szCs w:val="22"/>
        </w:rPr>
      </w:pPr>
    </w:p>
    <w:p w14:paraId="6000A696" w14:textId="76596202" w:rsidR="00A81DBF" w:rsidRPr="006C70FF" w:rsidRDefault="00A81DBF" w:rsidP="00A81DBF">
      <w:pPr>
        <w:rPr>
          <w:b/>
          <w:color w:val="000000" w:themeColor="text1"/>
          <w:sz w:val="22"/>
          <w:szCs w:val="22"/>
        </w:rPr>
      </w:pPr>
      <w:r w:rsidRPr="006C70FF">
        <w:rPr>
          <w:rFonts w:cs="Arial"/>
          <w:b/>
          <w:color w:val="000000" w:themeColor="text1"/>
          <w:sz w:val="22"/>
          <w:szCs w:val="22"/>
        </w:rPr>
        <w:t xml:space="preserve">Appendix E (formerly BBMR DAT319) - </w:t>
      </w:r>
      <w:r w:rsidRPr="006C70FF">
        <w:rPr>
          <w:b/>
          <w:color w:val="000000" w:themeColor="text1"/>
          <w:sz w:val="22"/>
          <w:szCs w:val="22"/>
        </w:rPr>
        <w:t>Full Dosage G-CSF Administration Schedule</w:t>
      </w:r>
    </w:p>
    <w:p w14:paraId="1403A88E" w14:textId="77777777" w:rsidR="00A81DBF" w:rsidRPr="006C70FF" w:rsidRDefault="00A81DBF" w:rsidP="00A81DBF">
      <w:pPr>
        <w:rPr>
          <w:color w:val="000000" w:themeColor="text1"/>
          <w:sz w:val="22"/>
        </w:rPr>
      </w:pPr>
    </w:p>
    <w:tbl>
      <w:tblPr>
        <w:tblW w:w="8555" w:type="dxa"/>
        <w:jc w:val="center"/>
        <w:tblLayout w:type="fixed"/>
        <w:tblCellMar>
          <w:left w:w="0" w:type="dxa"/>
          <w:right w:w="0" w:type="dxa"/>
        </w:tblCellMar>
        <w:tblLook w:val="04A0" w:firstRow="1" w:lastRow="0" w:firstColumn="1" w:lastColumn="0" w:noHBand="0" w:noVBand="1"/>
      </w:tblPr>
      <w:tblGrid>
        <w:gridCol w:w="1468"/>
        <w:gridCol w:w="1268"/>
        <w:gridCol w:w="1095"/>
        <w:gridCol w:w="2315"/>
        <w:gridCol w:w="2409"/>
      </w:tblGrid>
      <w:tr w:rsidR="00FA21F9" w:rsidRPr="004E493E" w14:paraId="6C7DAE67" w14:textId="77777777" w:rsidTr="00583BF5">
        <w:trPr>
          <w:trHeight w:val="387"/>
          <w:jc w:val="center"/>
        </w:trPr>
        <w:tc>
          <w:tcPr>
            <w:tcW w:w="1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90EF1B"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 xml:space="preserve">Donor Weight </w:t>
            </w:r>
          </w:p>
          <w:p w14:paraId="30319788"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Range (kg)</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8F0323"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Daily Dose (mcg)</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784D09"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Daily Dose MU</w:t>
            </w:r>
          </w:p>
        </w:tc>
        <w:tc>
          <w:tcPr>
            <w:tcW w:w="23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30497A"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Number of syringes</w:t>
            </w:r>
          </w:p>
          <w:p w14:paraId="1F7FCD3A"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Zarzio Z30 (300mcg/30MU)</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0DFDF"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Number of syringes</w:t>
            </w:r>
          </w:p>
          <w:p w14:paraId="27C93186"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Zarzio Z48 (480mcg/48MU)</w:t>
            </w:r>
          </w:p>
        </w:tc>
      </w:tr>
      <w:tr w:rsidR="00FA21F9" w:rsidRPr="004E493E" w14:paraId="148DB85B" w14:textId="77777777" w:rsidTr="00583BF5">
        <w:trPr>
          <w:jc w:val="center"/>
        </w:trPr>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98A59F"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47-53</w:t>
            </w: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77169681"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480</w:t>
            </w:r>
          </w:p>
        </w:tc>
        <w:tc>
          <w:tcPr>
            <w:tcW w:w="1095" w:type="dxa"/>
            <w:tcBorders>
              <w:top w:val="nil"/>
              <w:left w:val="nil"/>
              <w:bottom w:val="single" w:sz="8" w:space="0" w:color="auto"/>
              <w:right w:val="single" w:sz="8" w:space="0" w:color="auto"/>
            </w:tcBorders>
            <w:tcMar>
              <w:top w:w="0" w:type="dxa"/>
              <w:left w:w="108" w:type="dxa"/>
              <w:bottom w:w="0" w:type="dxa"/>
              <w:right w:w="108" w:type="dxa"/>
            </w:tcMar>
          </w:tcPr>
          <w:p w14:paraId="3898D996"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48</w:t>
            </w: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14:paraId="5AE019BF"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0</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2488E73"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1</w:t>
            </w:r>
          </w:p>
        </w:tc>
      </w:tr>
      <w:tr w:rsidR="00FA21F9" w:rsidRPr="004E493E" w14:paraId="72867895" w14:textId="77777777" w:rsidTr="00583BF5">
        <w:trPr>
          <w:jc w:val="center"/>
        </w:trPr>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E64816"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54-68</w:t>
            </w: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C684357"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600</w:t>
            </w:r>
          </w:p>
        </w:tc>
        <w:tc>
          <w:tcPr>
            <w:tcW w:w="1095" w:type="dxa"/>
            <w:tcBorders>
              <w:top w:val="nil"/>
              <w:left w:val="nil"/>
              <w:bottom w:val="single" w:sz="8" w:space="0" w:color="auto"/>
              <w:right w:val="single" w:sz="8" w:space="0" w:color="auto"/>
            </w:tcBorders>
            <w:tcMar>
              <w:top w:w="0" w:type="dxa"/>
              <w:left w:w="108" w:type="dxa"/>
              <w:bottom w:w="0" w:type="dxa"/>
              <w:right w:w="108" w:type="dxa"/>
            </w:tcMar>
          </w:tcPr>
          <w:p w14:paraId="76EC4827"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60</w:t>
            </w: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14:paraId="61990191"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DE0C30"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0</w:t>
            </w:r>
          </w:p>
        </w:tc>
      </w:tr>
      <w:tr w:rsidR="00FA21F9" w:rsidRPr="004E493E" w14:paraId="611A14B1" w14:textId="77777777" w:rsidTr="00583BF5">
        <w:trPr>
          <w:jc w:val="center"/>
        </w:trPr>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CE298"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69-84</w:t>
            </w: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E1D9B70"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780</w:t>
            </w:r>
          </w:p>
        </w:tc>
        <w:tc>
          <w:tcPr>
            <w:tcW w:w="1095" w:type="dxa"/>
            <w:tcBorders>
              <w:top w:val="nil"/>
              <w:left w:val="nil"/>
              <w:bottom w:val="single" w:sz="8" w:space="0" w:color="auto"/>
              <w:right w:val="single" w:sz="8" w:space="0" w:color="auto"/>
            </w:tcBorders>
            <w:tcMar>
              <w:top w:w="0" w:type="dxa"/>
              <w:left w:w="108" w:type="dxa"/>
              <w:bottom w:w="0" w:type="dxa"/>
              <w:right w:w="108" w:type="dxa"/>
            </w:tcMar>
          </w:tcPr>
          <w:p w14:paraId="00E0F6B3"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78</w:t>
            </w: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14:paraId="5164F0CA"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8766554"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1</w:t>
            </w:r>
          </w:p>
        </w:tc>
      </w:tr>
      <w:tr w:rsidR="00FA21F9" w:rsidRPr="004E493E" w14:paraId="7A0E601A" w14:textId="77777777" w:rsidTr="00583BF5">
        <w:trPr>
          <w:jc w:val="center"/>
        </w:trPr>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98A796"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85-92</w:t>
            </w: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3B6204CD"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900</w:t>
            </w:r>
          </w:p>
        </w:tc>
        <w:tc>
          <w:tcPr>
            <w:tcW w:w="1095" w:type="dxa"/>
            <w:tcBorders>
              <w:top w:val="nil"/>
              <w:left w:val="nil"/>
              <w:bottom w:val="single" w:sz="8" w:space="0" w:color="auto"/>
              <w:right w:val="single" w:sz="8" w:space="0" w:color="auto"/>
            </w:tcBorders>
            <w:tcMar>
              <w:top w:w="0" w:type="dxa"/>
              <w:left w:w="108" w:type="dxa"/>
              <w:bottom w:w="0" w:type="dxa"/>
              <w:right w:w="108" w:type="dxa"/>
            </w:tcMar>
          </w:tcPr>
          <w:p w14:paraId="3A5F081C"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90</w:t>
            </w: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14:paraId="6AC6F9A1"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37F0F"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0</w:t>
            </w:r>
          </w:p>
        </w:tc>
      </w:tr>
      <w:tr w:rsidR="00FA21F9" w:rsidRPr="004E493E" w14:paraId="15DD67F4" w14:textId="77777777" w:rsidTr="00583BF5">
        <w:trPr>
          <w:jc w:val="center"/>
        </w:trPr>
        <w:tc>
          <w:tcPr>
            <w:tcW w:w="1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89B6D1"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93+</w:t>
            </w:r>
          </w:p>
        </w:tc>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371CA9"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960</w:t>
            </w:r>
          </w:p>
        </w:tc>
        <w:tc>
          <w:tcPr>
            <w:tcW w:w="1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343BB"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96</w:t>
            </w:r>
          </w:p>
        </w:tc>
        <w:tc>
          <w:tcPr>
            <w:tcW w:w="2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5A2996"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0</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FA495E" w14:textId="77777777" w:rsidR="00FA21F9" w:rsidRPr="00637586" w:rsidRDefault="00FA21F9" w:rsidP="00586AAA">
            <w:pPr>
              <w:pStyle w:val="2GreenSubHead"/>
              <w:spacing w:line="256" w:lineRule="auto"/>
              <w:rPr>
                <w:b w:val="0"/>
                <w:color w:val="000000" w:themeColor="text1"/>
                <w:sz w:val="22"/>
                <w:szCs w:val="22"/>
              </w:rPr>
            </w:pPr>
            <w:r w:rsidRPr="00637586">
              <w:rPr>
                <w:b w:val="0"/>
                <w:color w:val="000000" w:themeColor="text1"/>
                <w:sz w:val="22"/>
                <w:szCs w:val="22"/>
              </w:rPr>
              <w:t>2</w:t>
            </w:r>
          </w:p>
        </w:tc>
      </w:tr>
    </w:tbl>
    <w:p w14:paraId="7130800B" w14:textId="77777777" w:rsidR="00A81DBF" w:rsidRPr="006C70FF" w:rsidRDefault="00A81DBF" w:rsidP="00A81DBF">
      <w:pPr>
        <w:rPr>
          <w:color w:val="000000" w:themeColor="text1"/>
          <w:sz w:val="22"/>
          <w:szCs w:val="22"/>
        </w:rPr>
      </w:pPr>
    </w:p>
    <w:p w14:paraId="4A8819B9" w14:textId="77777777" w:rsidR="00A81DBF" w:rsidRPr="006C70FF" w:rsidRDefault="00A81DBF" w:rsidP="00A81DBF">
      <w:pPr>
        <w:rPr>
          <w:color w:val="000000" w:themeColor="text1"/>
          <w:sz w:val="22"/>
        </w:rPr>
      </w:pPr>
    </w:p>
    <w:p w14:paraId="624FB322" w14:textId="77777777" w:rsidR="00A81DBF" w:rsidRPr="006C70FF" w:rsidRDefault="00A81DBF" w:rsidP="00A81DBF">
      <w:pPr>
        <w:keepNext/>
        <w:outlineLvl w:val="1"/>
        <w:rPr>
          <w:b/>
          <w:color w:val="000000" w:themeColor="text1"/>
          <w:sz w:val="22"/>
          <w:szCs w:val="22"/>
        </w:rPr>
      </w:pPr>
      <w:r w:rsidRPr="006C70FF">
        <w:rPr>
          <w:rFonts w:cs="Arial"/>
          <w:b/>
          <w:color w:val="000000" w:themeColor="text1"/>
          <w:sz w:val="22"/>
          <w:szCs w:val="22"/>
        </w:rPr>
        <w:t xml:space="preserve">Appendix F (formerly BBMR DAT326) </w:t>
      </w:r>
      <w:r w:rsidRPr="006C70FF">
        <w:rPr>
          <w:b/>
          <w:color w:val="000000" w:themeColor="text1"/>
          <w:sz w:val="22"/>
          <w:szCs w:val="22"/>
        </w:rPr>
        <w:t>HSC Donation Eligibility Criteria</w:t>
      </w:r>
    </w:p>
    <w:p w14:paraId="269812E5" w14:textId="77777777" w:rsidR="00A81DBF" w:rsidRPr="006C70FF" w:rsidRDefault="00A81DBF" w:rsidP="00A81DBF">
      <w:pPr>
        <w:rPr>
          <w:color w:val="000000" w:themeColor="text1"/>
          <w:sz w:val="22"/>
          <w:szCs w:val="22"/>
        </w:rPr>
      </w:pPr>
    </w:p>
    <w:p w14:paraId="3319921D" w14:textId="77777777" w:rsidR="00A81DBF" w:rsidRPr="006C70FF" w:rsidRDefault="00A81DBF" w:rsidP="00A81DBF">
      <w:pPr>
        <w:rPr>
          <w:color w:val="000000" w:themeColor="text1"/>
          <w:sz w:val="22"/>
          <w:szCs w:val="22"/>
        </w:rPr>
      </w:pPr>
      <w:r w:rsidRPr="006C70FF">
        <w:rPr>
          <w:color w:val="000000" w:themeColor="text1"/>
          <w:sz w:val="22"/>
          <w:szCs w:val="22"/>
        </w:rPr>
        <w:t>The following specific eligibility and exclusion criteria will apply</w:t>
      </w:r>
    </w:p>
    <w:p w14:paraId="770741D7" w14:textId="77777777" w:rsidR="00A81DBF" w:rsidRPr="006C70FF" w:rsidRDefault="00A81DBF" w:rsidP="00A81DBF">
      <w:pPr>
        <w:rPr>
          <w:color w:val="000000" w:themeColor="text1"/>
          <w:sz w:val="22"/>
          <w:szCs w:val="22"/>
        </w:rPr>
      </w:pPr>
    </w:p>
    <w:tbl>
      <w:tblPr>
        <w:tblpPr w:leftFromText="180" w:rightFromText="180" w:vertAnchor="text" w:tblpY="1"/>
        <w:tblOverlap w:val="never"/>
        <w:tblW w:w="8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0"/>
        <w:gridCol w:w="1984"/>
        <w:gridCol w:w="2126"/>
        <w:gridCol w:w="3119"/>
      </w:tblGrid>
      <w:tr w:rsidR="006C70FF" w:rsidRPr="006C70FF" w14:paraId="5F640803" w14:textId="77777777" w:rsidTr="00535391">
        <w:tc>
          <w:tcPr>
            <w:tcW w:w="1560" w:type="dxa"/>
          </w:tcPr>
          <w:p w14:paraId="6C75D71B" w14:textId="77777777" w:rsidR="00A81DBF" w:rsidRPr="006C70FF" w:rsidRDefault="00A81DBF" w:rsidP="00535391">
            <w:pPr>
              <w:rPr>
                <w:color w:val="000000" w:themeColor="text1"/>
                <w:sz w:val="22"/>
                <w:szCs w:val="22"/>
              </w:rPr>
            </w:pPr>
            <w:r w:rsidRPr="006C70FF">
              <w:rPr>
                <w:color w:val="000000" w:themeColor="text1"/>
                <w:sz w:val="22"/>
                <w:szCs w:val="22"/>
              </w:rPr>
              <w:t>Excluded from Both Methods of Donation</w:t>
            </w:r>
          </w:p>
        </w:tc>
        <w:tc>
          <w:tcPr>
            <w:tcW w:w="1984" w:type="dxa"/>
          </w:tcPr>
          <w:p w14:paraId="7FCA0657" w14:textId="77777777" w:rsidR="00A81DBF" w:rsidRPr="006C70FF" w:rsidRDefault="00A81DBF" w:rsidP="00535391">
            <w:pPr>
              <w:rPr>
                <w:color w:val="000000" w:themeColor="text1"/>
                <w:sz w:val="22"/>
                <w:szCs w:val="22"/>
              </w:rPr>
            </w:pPr>
            <w:r w:rsidRPr="006C70FF">
              <w:rPr>
                <w:color w:val="000000" w:themeColor="text1"/>
                <w:sz w:val="22"/>
                <w:szCs w:val="22"/>
              </w:rPr>
              <w:t>Acceptable for BM Only</w:t>
            </w:r>
          </w:p>
        </w:tc>
        <w:tc>
          <w:tcPr>
            <w:tcW w:w="2126" w:type="dxa"/>
          </w:tcPr>
          <w:p w14:paraId="0462283A" w14:textId="77777777" w:rsidR="00A81DBF" w:rsidRPr="006C70FF" w:rsidRDefault="00A81DBF" w:rsidP="00535391">
            <w:pPr>
              <w:rPr>
                <w:color w:val="000000" w:themeColor="text1"/>
                <w:sz w:val="22"/>
                <w:szCs w:val="22"/>
              </w:rPr>
            </w:pPr>
            <w:r w:rsidRPr="006C70FF">
              <w:rPr>
                <w:color w:val="000000" w:themeColor="text1"/>
                <w:sz w:val="22"/>
                <w:szCs w:val="22"/>
              </w:rPr>
              <w:t>Acceptable for PBSC Only</w:t>
            </w:r>
          </w:p>
        </w:tc>
        <w:tc>
          <w:tcPr>
            <w:tcW w:w="3119" w:type="dxa"/>
          </w:tcPr>
          <w:p w14:paraId="44ADECD9" w14:textId="77777777" w:rsidR="00A81DBF" w:rsidRPr="006C70FF" w:rsidRDefault="00A81DBF" w:rsidP="00535391">
            <w:pPr>
              <w:rPr>
                <w:color w:val="000000" w:themeColor="text1"/>
                <w:sz w:val="22"/>
                <w:szCs w:val="22"/>
              </w:rPr>
            </w:pPr>
            <w:r w:rsidRPr="006C70FF">
              <w:rPr>
                <w:color w:val="000000" w:themeColor="text1"/>
                <w:sz w:val="22"/>
                <w:szCs w:val="22"/>
              </w:rPr>
              <w:t>Individual Donor Review Required</w:t>
            </w:r>
          </w:p>
        </w:tc>
      </w:tr>
      <w:tr w:rsidR="006C70FF" w:rsidRPr="006C70FF" w14:paraId="71223FA9" w14:textId="77777777" w:rsidTr="00535391">
        <w:tc>
          <w:tcPr>
            <w:tcW w:w="1560" w:type="dxa"/>
          </w:tcPr>
          <w:p w14:paraId="1B944A5C" w14:textId="77777777" w:rsidR="00A81DBF" w:rsidRPr="006C70FF" w:rsidRDefault="00A81DBF" w:rsidP="00535391">
            <w:pPr>
              <w:rPr>
                <w:color w:val="000000" w:themeColor="text1"/>
                <w:sz w:val="22"/>
                <w:szCs w:val="22"/>
              </w:rPr>
            </w:pPr>
            <w:r w:rsidRPr="006C70FF">
              <w:rPr>
                <w:color w:val="000000" w:themeColor="text1"/>
                <w:sz w:val="22"/>
                <w:szCs w:val="22"/>
              </w:rPr>
              <w:t>Pregnancy or breast feeding</w:t>
            </w:r>
          </w:p>
        </w:tc>
        <w:tc>
          <w:tcPr>
            <w:tcW w:w="1984" w:type="dxa"/>
          </w:tcPr>
          <w:p w14:paraId="22F57B26" w14:textId="77777777" w:rsidR="00A81DBF" w:rsidRPr="006C70FF" w:rsidRDefault="00A81DBF" w:rsidP="00535391">
            <w:pPr>
              <w:rPr>
                <w:color w:val="000000" w:themeColor="text1"/>
                <w:sz w:val="22"/>
                <w:szCs w:val="22"/>
              </w:rPr>
            </w:pPr>
            <w:r w:rsidRPr="006C70FF">
              <w:rPr>
                <w:color w:val="000000" w:themeColor="text1"/>
                <w:sz w:val="22"/>
                <w:szCs w:val="22"/>
              </w:rPr>
              <w:t>History of episcleritis or iritis</w:t>
            </w:r>
          </w:p>
        </w:tc>
        <w:tc>
          <w:tcPr>
            <w:tcW w:w="2126" w:type="dxa"/>
          </w:tcPr>
          <w:p w14:paraId="3E821E79" w14:textId="77777777" w:rsidR="00A81DBF" w:rsidRPr="006C70FF" w:rsidRDefault="00A81DBF" w:rsidP="00535391">
            <w:pPr>
              <w:rPr>
                <w:color w:val="000000" w:themeColor="text1"/>
                <w:sz w:val="22"/>
                <w:szCs w:val="22"/>
              </w:rPr>
            </w:pPr>
          </w:p>
        </w:tc>
        <w:tc>
          <w:tcPr>
            <w:tcW w:w="3119" w:type="dxa"/>
          </w:tcPr>
          <w:p w14:paraId="20D7CE3E" w14:textId="77777777" w:rsidR="00A81DBF" w:rsidRPr="006C70FF" w:rsidRDefault="00A81DBF" w:rsidP="00535391">
            <w:pPr>
              <w:rPr>
                <w:color w:val="000000" w:themeColor="text1"/>
                <w:sz w:val="22"/>
                <w:szCs w:val="22"/>
              </w:rPr>
            </w:pPr>
            <w:r w:rsidRPr="006C70FF">
              <w:rPr>
                <w:color w:val="000000" w:themeColor="text1"/>
                <w:sz w:val="22"/>
                <w:szCs w:val="22"/>
              </w:rPr>
              <w:t xml:space="preserve">Pre-existing back problem subject to individual risk assessment for BM and PBSC </w:t>
            </w:r>
          </w:p>
          <w:p w14:paraId="120FE28A" w14:textId="77777777" w:rsidR="00A81DBF" w:rsidRPr="006C70FF" w:rsidRDefault="00A81DBF" w:rsidP="00535391">
            <w:pPr>
              <w:rPr>
                <w:color w:val="000000" w:themeColor="text1"/>
                <w:sz w:val="22"/>
                <w:szCs w:val="22"/>
              </w:rPr>
            </w:pPr>
          </w:p>
          <w:p w14:paraId="06727C96" w14:textId="77777777" w:rsidR="00A81DBF" w:rsidRPr="006C70FF" w:rsidRDefault="00A81DBF" w:rsidP="00535391">
            <w:pPr>
              <w:rPr>
                <w:color w:val="000000" w:themeColor="text1"/>
                <w:sz w:val="22"/>
                <w:szCs w:val="22"/>
              </w:rPr>
            </w:pPr>
            <w:r w:rsidRPr="006C70FF">
              <w:rPr>
                <w:color w:val="000000" w:themeColor="text1"/>
                <w:sz w:val="22"/>
                <w:szCs w:val="22"/>
              </w:rPr>
              <w:t>Latex allergy subject to individual risk assessment and availability of latex free HSC collection facility.</w:t>
            </w:r>
          </w:p>
        </w:tc>
      </w:tr>
      <w:tr w:rsidR="006C70FF" w:rsidRPr="006C70FF" w14:paraId="20223CE5" w14:textId="77777777" w:rsidTr="00535391">
        <w:tc>
          <w:tcPr>
            <w:tcW w:w="1560" w:type="dxa"/>
          </w:tcPr>
          <w:p w14:paraId="49F126F0" w14:textId="77777777" w:rsidR="00A81DBF" w:rsidRPr="006C70FF" w:rsidRDefault="00A81DBF" w:rsidP="00535391">
            <w:pPr>
              <w:rPr>
                <w:color w:val="000000" w:themeColor="text1"/>
                <w:sz w:val="22"/>
                <w:szCs w:val="22"/>
              </w:rPr>
            </w:pPr>
            <w:r w:rsidRPr="006C70FF">
              <w:rPr>
                <w:color w:val="000000" w:themeColor="text1"/>
                <w:sz w:val="22"/>
                <w:szCs w:val="22"/>
              </w:rPr>
              <w:t>Does not meet BBMR Medical Advisory Group Recommendation for Evaluating Hypertension in Prospective Bone Marrow Donors</w:t>
            </w:r>
          </w:p>
        </w:tc>
        <w:tc>
          <w:tcPr>
            <w:tcW w:w="1984" w:type="dxa"/>
          </w:tcPr>
          <w:p w14:paraId="436F986F" w14:textId="77777777" w:rsidR="00A81DBF" w:rsidRPr="006C70FF" w:rsidRDefault="00A81DBF" w:rsidP="00535391">
            <w:pPr>
              <w:rPr>
                <w:color w:val="000000" w:themeColor="text1"/>
                <w:sz w:val="22"/>
                <w:szCs w:val="22"/>
              </w:rPr>
            </w:pPr>
            <w:r w:rsidRPr="006C70FF">
              <w:rPr>
                <w:color w:val="000000" w:themeColor="text1"/>
                <w:sz w:val="22"/>
                <w:szCs w:val="22"/>
              </w:rPr>
              <w:t>Previous sensitivity to G-CSF</w:t>
            </w:r>
          </w:p>
        </w:tc>
        <w:tc>
          <w:tcPr>
            <w:tcW w:w="2126" w:type="dxa"/>
          </w:tcPr>
          <w:p w14:paraId="2B37AC99" w14:textId="77777777" w:rsidR="00A81DBF" w:rsidRPr="006C70FF" w:rsidRDefault="00A81DBF" w:rsidP="00535391">
            <w:pPr>
              <w:rPr>
                <w:color w:val="000000" w:themeColor="text1"/>
                <w:sz w:val="22"/>
                <w:szCs w:val="22"/>
              </w:rPr>
            </w:pPr>
            <w:r w:rsidRPr="006C70FF">
              <w:rPr>
                <w:color w:val="000000" w:themeColor="text1"/>
                <w:sz w:val="22"/>
                <w:szCs w:val="22"/>
              </w:rPr>
              <w:t>Body Mass Index (BMI) presents as an anaesthetic risk also subject to individual assessment for venous access.</w:t>
            </w:r>
          </w:p>
        </w:tc>
        <w:tc>
          <w:tcPr>
            <w:tcW w:w="3119" w:type="dxa"/>
          </w:tcPr>
          <w:p w14:paraId="11E52DFF" w14:textId="77777777" w:rsidR="00A81DBF" w:rsidRPr="006C70FF" w:rsidRDefault="00A81DBF" w:rsidP="00535391">
            <w:pPr>
              <w:rPr>
                <w:color w:val="000000" w:themeColor="text1"/>
                <w:sz w:val="22"/>
                <w:szCs w:val="22"/>
              </w:rPr>
            </w:pPr>
            <w:r w:rsidRPr="006C70FF">
              <w:rPr>
                <w:color w:val="000000" w:themeColor="text1"/>
                <w:sz w:val="22"/>
                <w:szCs w:val="22"/>
              </w:rPr>
              <w:t>Body Mass Index (BMI) presents as an anaesthetic risk also subject to individual assessment of venous access.</w:t>
            </w:r>
          </w:p>
        </w:tc>
      </w:tr>
    </w:tbl>
    <w:p w14:paraId="48C1371E" w14:textId="39A3272A" w:rsidR="00836E13" w:rsidRPr="008F7904" w:rsidRDefault="00535391" w:rsidP="00A81DBF">
      <w:pPr>
        <w:rPr>
          <w:b/>
          <w:color w:val="7030A0"/>
          <w:sz w:val="22"/>
          <w:szCs w:val="22"/>
        </w:rPr>
      </w:pPr>
      <w:r w:rsidRPr="006C70FF">
        <w:rPr>
          <w:b/>
          <w:color w:val="000000" w:themeColor="text1"/>
          <w:sz w:val="22"/>
          <w:szCs w:val="22"/>
        </w:rPr>
        <w:br w:type="textWrapping" w:clear="all"/>
      </w:r>
    </w:p>
    <w:p w14:paraId="153F8E14" w14:textId="77777777" w:rsidR="008F7904" w:rsidRDefault="008F7904" w:rsidP="00A81DBF">
      <w:pPr>
        <w:rPr>
          <w:rFonts w:cs="Arial"/>
          <w:b/>
          <w:color w:val="000000" w:themeColor="text1"/>
          <w:sz w:val="22"/>
          <w:szCs w:val="22"/>
        </w:rPr>
      </w:pPr>
    </w:p>
    <w:p w14:paraId="51530F34" w14:textId="77777777" w:rsidR="008F7904" w:rsidRDefault="008F7904" w:rsidP="00A81DBF">
      <w:pPr>
        <w:rPr>
          <w:rFonts w:cs="Arial"/>
          <w:b/>
          <w:color w:val="000000" w:themeColor="text1"/>
          <w:sz w:val="22"/>
          <w:szCs w:val="22"/>
        </w:rPr>
      </w:pPr>
    </w:p>
    <w:p w14:paraId="5FCB8CC9" w14:textId="77777777" w:rsidR="008F7904" w:rsidRDefault="008F7904" w:rsidP="00A81DBF">
      <w:pPr>
        <w:rPr>
          <w:rFonts w:cs="Arial"/>
          <w:b/>
          <w:color w:val="000000" w:themeColor="text1"/>
          <w:sz w:val="22"/>
          <w:szCs w:val="22"/>
        </w:rPr>
      </w:pPr>
    </w:p>
    <w:p w14:paraId="4CACC33F" w14:textId="77777777" w:rsidR="008F7904" w:rsidRDefault="008F7904" w:rsidP="00A81DBF">
      <w:pPr>
        <w:rPr>
          <w:rFonts w:cs="Arial"/>
          <w:b/>
          <w:color w:val="000000" w:themeColor="text1"/>
          <w:sz w:val="22"/>
          <w:szCs w:val="22"/>
        </w:rPr>
      </w:pPr>
    </w:p>
    <w:p w14:paraId="001E541F" w14:textId="77777777" w:rsidR="008F7904" w:rsidRDefault="008F7904" w:rsidP="00A81DBF">
      <w:pPr>
        <w:rPr>
          <w:rFonts w:cs="Arial"/>
          <w:b/>
          <w:color w:val="000000" w:themeColor="text1"/>
          <w:sz w:val="22"/>
          <w:szCs w:val="22"/>
        </w:rPr>
      </w:pPr>
    </w:p>
    <w:p w14:paraId="2D037D32" w14:textId="77777777" w:rsidR="008F7904" w:rsidRDefault="008F7904" w:rsidP="00A81DBF">
      <w:pPr>
        <w:rPr>
          <w:rFonts w:cs="Arial"/>
          <w:b/>
          <w:color w:val="000000" w:themeColor="text1"/>
          <w:sz w:val="22"/>
          <w:szCs w:val="22"/>
        </w:rPr>
      </w:pPr>
    </w:p>
    <w:p w14:paraId="21737879" w14:textId="77777777" w:rsidR="008F7904" w:rsidRDefault="008F7904" w:rsidP="00A81DBF">
      <w:pPr>
        <w:rPr>
          <w:rFonts w:cs="Arial"/>
          <w:b/>
          <w:color w:val="000000" w:themeColor="text1"/>
          <w:sz w:val="22"/>
          <w:szCs w:val="22"/>
        </w:rPr>
      </w:pPr>
    </w:p>
    <w:p w14:paraId="169CF111" w14:textId="77777777" w:rsidR="008F7904" w:rsidRDefault="008F7904" w:rsidP="00A81DBF">
      <w:pPr>
        <w:rPr>
          <w:rFonts w:cs="Arial"/>
          <w:b/>
          <w:color w:val="000000" w:themeColor="text1"/>
          <w:sz w:val="22"/>
          <w:szCs w:val="22"/>
        </w:rPr>
      </w:pPr>
    </w:p>
    <w:p w14:paraId="1FF3C291" w14:textId="77777777" w:rsidR="008F7904" w:rsidRDefault="008F7904" w:rsidP="00A81DBF">
      <w:pPr>
        <w:rPr>
          <w:rFonts w:cs="Arial"/>
          <w:b/>
          <w:color w:val="000000" w:themeColor="text1"/>
          <w:sz w:val="22"/>
          <w:szCs w:val="22"/>
        </w:rPr>
      </w:pPr>
    </w:p>
    <w:p w14:paraId="62263C8E" w14:textId="77777777" w:rsidR="008F7904" w:rsidRDefault="008F7904" w:rsidP="00A81DBF">
      <w:pPr>
        <w:rPr>
          <w:rFonts w:cs="Arial"/>
          <w:b/>
          <w:color w:val="000000" w:themeColor="text1"/>
          <w:sz w:val="22"/>
          <w:szCs w:val="22"/>
        </w:rPr>
      </w:pPr>
    </w:p>
    <w:p w14:paraId="19ED4FE7" w14:textId="77777777" w:rsidR="008F7904" w:rsidRDefault="008F7904" w:rsidP="00A81DBF">
      <w:pPr>
        <w:rPr>
          <w:rFonts w:cs="Arial"/>
          <w:b/>
          <w:color w:val="000000" w:themeColor="text1"/>
          <w:sz w:val="22"/>
          <w:szCs w:val="22"/>
        </w:rPr>
      </w:pPr>
    </w:p>
    <w:p w14:paraId="05A43291" w14:textId="77777777" w:rsidR="008F7904" w:rsidRDefault="008F7904" w:rsidP="00A81DBF">
      <w:pPr>
        <w:rPr>
          <w:rFonts w:cs="Arial"/>
          <w:b/>
          <w:color w:val="000000" w:themeColor="text1"/>
          <w:sz w:val="22"/>
          <w:szCs w:val="22"/>
        </w:rPr>
      </w:pPr>
    </w:p>
    <w:p w14:paraId="09788DED" w14:textId="77777777" w:rsidR="008F7904" w:rsidRDefault="008F7904" w:rsidP="00A81DBF">
      <w:pPr>
        <w:rPr>
          <w:rFonts w:cs="Arial"/>
          <w:b/>
          <w:color w:val="000000" w:themeColor="text1"/>
          <w:sz w:val="22"/>
          <w:szCs w:val="22"/>
        </w:rPr>
      </w:pPr>
    </w:p>
    <w:p w14:paraId="491FEB96" w14:textId="77777777" w:rsidR="008F7904" w:rsidRDefault="008F7904" w:rsidP="00A81DBF">
      <w:pPr>
        <w:rPr>
          <w:rFonts w:cs="Arial"/>
          <w:b/>
          <w:color w:val="000000" w:themeColor="text1"/>
          <w:sz w:val="22"/>
          <w:szCs w:val="22"/>
        </w:rPr>
      </w:pPr>
    </w:p>
    <w:p w14:paraId="07D57472" w14:textId="77777777" w:rsidR="008F7904" w:rsidRDefault="008F7904" w:rsidP="00A81DBF">
      <w:pPr>
        <w:rPr>
          <w:rFonts w:cs="Arial"/>
          <w:b/>
          <w:color w:val="000000" w:themeColor="text1"/>
          <w:sz w:val="22"/>
          <w:szCs w:val="22"/>
        </w:rPr>
      </w:pPr>
    </w:p>
    <w:p w14:paraId="2CBB582C" w14:textId="77777777" w:rsidR="008F7904" w:rsidRDefault="008F7904" w:rsidP="00A81DBF">
      <w:pPr>
        <w:rPr>
          <w:rFonts w:cs="Arial"/>
          <w:b/>
          <w:color w:val="000000" w:themeColor="text1"/>
          <w:sz w:val="22"/>
          <w:szCs w:val="22"/>
        </w:rPr>
      </w:pPr>
    </w:p>
    <w:p w14:paraId="66164EBE" w14:textId="77777777" w:rsidR="008F7904" w:rsidRDefault="008F7904" w:rsidP="00A81DBF">
      <w:pPr>
        <w:rPr>
          <w:rFonts w:cs="Arial"/>
          <w:b/>
          <w:color w:val="000000" w:themeColor="text1"/>
          <w:sz w:val="22"/>
          <w:szCs w:val="22"/>
        </w:rPr>
      </w:pPr>
    </w:p>
    <w:p w14:paraId="70640AB1" w14:textId="77777777" w:rsidR="008F7904" w:rsidRDefault="008F7904" w:rsidP="00A81DBF">
      <w:pPr>
        <w:rPr>
          <w:rFonts w:cs="Arial"/>
          <w:b/>
          <w:color w:val="000000" w:themeColor="text1"/>
          <w:sz w:val="22"/>
          <w:szCs w:val="22"/>
        </w:rPr>
      </w:pPr>
    </w:p>
    <w:p w14:paraId="62CCE27F" w14:textId="77777777" w:rsidR="008F7904" w:rsidRDefault="008F7904" w:rsidP="00A81DBF">
      <w:pPr>
        <w:rPr>
          <w:rFonts w:cs="Arial"/>
          <w:b/>
          <w:color w:val="000000" w:themeColor="text1"/>
          <w:sz w:val="22"/>
          <w:szCs w:val="22"/>
        </w:rPr>
      </w:pPr>
    </w:p>
    <w:p w14:paraId="28AD2BE9" w14:textId="77777777" w:rsidR="008F7904" w:rsidRDefault="008F7904" w:rsidP="00A81DBF">
      <w:pPr>
        <w:rPr>
          <w:rFonts w:cs="Arial"/>
          <w:b/>
          <w:color w:val="000000" w:themeColor="text1"/>
          <w:sz w:val="22"/>
          <w:szCs w:val="22"/>
        </w:rPr>
      </w:pPr>
    </w:p>
    <w:p w14:paraId="6F0E0BD0" w14:textId="77777777" w:rsidR="008F7904" w:rsidRDefault="008F7904" w:rsidP="00A81DBF">
      <w:pPr>
        <w:rPr>
          <w:rFonts w:cs="Arial"/>
          <w:b/>
          <w:color w:val="000000" w:themeColor="text1"/>
          <w:sz w:val="22"/>
          <w:szCs w:val="22"/>
        </w:rPr>
      </w:pPr>
    </w:p>
    <w:p w14:paraId="4BFFE6EC" w14:textId="77777777" w:rsidR="008F7904" w:rsidRDefault="008F7904" w:rsidP="00A81DBF">
      <w:pPr>
        <w:rPr>
          <w:rFonts w:cs="Arial"/>
          <w:b/>
          <w:color w:val="000000" w:themeColor="text1"/>
          <w:sz w:val="22"/>
          <w:szCs w:val="22"/>
        </w:rPr>
      </w:pPr>
    </w:p>
    <w:p w14:paraId="5476A200" w14:textId="77777777" w:rsidR="008F7904" w:rsidRDefault="008F7904" w:rsidP="00A81DBF">
      <w:pPr>
        <w:rPr>
          <w:rFonts w:cs="Arial"/>
          <w:b/>
          <w:color w:val="000000" w:themeColor="text1"/>
          <w:sz w:val="22"/>
          <w:szCs w:val="22"/>
        </w:rPr>
      </w:pPr>
    </w:p>
    <w:p w14:paraId="1B00F9F6" w14:textId="77777777" w:rsidR="008F7904" w:rsidRDefault="008F7904" w:rsidP="00A81DBF">
      <w:pPr>
        <w:rPr>
          <w:rFonts w:cs="Arial"/>
          <w:b/>
          <w:color w:val="000000" w:themeColor="text1"/>
          <w:sz w:val="22"/>
          <w:szCs w:val="22"/>
        </w:rPr>
      </w:pPr>
    </w:p>
    <w:p w14:paraId="158086B4" w14:textId="6631AE84" w:rsidR="00E432F2" w:rsidRPr="00637586" w:rsidRDefault="00080B12" w:rsidP="00A81DBF">
      <w:pPr>
        <w:rPr>
          <w:b/>
          <w:color w:val="000000" w:themeColor="text1"/>
          <w:sz w:val="22"/>
          <w:szCs w:val="22"/>
        </w:rPr>
      </w:pPr>
      <w:r w:rsidRPr="00637586">
        <w:rPr>
          <w:rFonts w:cs="Arial"/>
          <w:b/>
          <w:color w:val="000000" w:themeColor="text1"/>
          <w:sz w:val="22"/>
          <w:szCs w:val="22"/>
        </w:rPr>
        <w:lastRenderedPageBreak/>
        <w:t>Appendix G - Urinalysis Algorithm</w:t>
      </w:r>
    </w:p>
    <w:p w14:paraId="1A7B2DE2" w14:textId="6E1043A2" w:rsidR="00E432F2" w:rsidRDefault="00080B12" w:rsidP="00A81DBF">
      <w:pPr>
        <w:rPr>
          <w:b/>
          <w:color w:val="000000" w:themeColor="text1"/>
          <w:sz w:val="22"/>
          <w:szCs w:val="22"/>
        </w:rPr>
      </w:pPr>
      <w:r>
        <w:rPr>
          <w:noProof/>
        </w:rPr>
        <w:drawing>
          <wp:inline distT="0" distB="0" distL="0" distR="0" wp14:anchorId="00FF9A63" wp14:editId="117758AA">
            <wp:extent cx="6301105" cy="3995420"/>
            <wp:effectExtent l="0" t="0" r="444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01105" cy="3995420"/>
                    </a:xfrm>
                    <a:prstGeom prst="rect">
                      <a:avLst/>
                    </a:prstGeom>
                  </pic:spPr>
                </pic:pic>
              </a:graphicData>
            </a:graphic>
          </wp:inline>
        </w:drawing>
      </w:r>
    </w:p>
    <w:p w14:paraId="3603D917" w14:textId="77777777" w:rsidR="00E432F2" w:rsidRDefault="00E432F2" w:rsidP="00A81DBF">
      <w:pPr>
        <w:rPr>
          <w:b/>
          <w:color w:val="000000" w:themeColor="text1"/>
          <w:sz w:val="22"/>
          <w:szCs w:val="22"/>
        </w:rPr>
      </w:pPr>
    </w:p>
    <w:p w14:paraId="3F1652B8" w14:textId="029C01F6" w:rsidR="00A81DBF" w:rsidRPr="006C70FF" w:rsidRDefault="00A81DBF" w:rsidP="00A81DBF">
      <w:pPr>
        <w:rPr>
          <w:b/>
          <w:color w:val="000000" w:themeColor="text1"/>
          <w:sz w:val="22"/>
          <w:szCs w:val="22"/>
        </w:rPr>
      </w:pPr>
      <w:r w:rsidRPr="006C70FF">
        <w:rPr>
          <w:b/>
          <w:color w:val="000000" w:themeColor="text1"/>
          <w:sz w:val="22"/>
          <w:szCs w:val="22"/>
        </w:rPr>
        <w:t>Appendix H (Formerly DAT323) - Guidelines for G-CSF Dose Reduction</w:t>
      </w:r>
    </w:p>
    <w:p w14:paraId="56703256" w14:textId="77777777" w:rsidR="00A81DBF" w:rsidRPr="006C70FF" w:rsidRDefault="00A81DBF" w:rsidP="00A81DBF">
      <w:pPr>
        <w:rPr>
          <w:color w:val="000000" w:themeColor="text1"/>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2"/>
        <w:gridCol w:w="2840"/>
        <w:gridCol w:w="3248"/>
      </w:tblGrid>
      <w:tr w:rsidR="006C70FF" w:rsidRPr="006C70FF" w14:paraId="6CE0912A" w14:textId="77777777" w:rsidTr="00015655">
        <w:tc>
          <w:tcPr>
            <w:tcW w:w="2732" w:type="dxa"/>
          </w:tcPr>
          <w:p w14:paraId="2947F0C0" w14:textId="77777777" w:rsidR="00A81DBF" w:rsidRPr="006C70FF" w:rsidRDefault="00A81DBF" w:rsidP="00A81DBF">
            <w:pPr>
              <w:rPr>
                <w:color w:val="000000" w:themeColor="text1"/>
              </w:rPr>
            </w:pPr>
            <w:r w:rsidRPr="006C70FF">
              <w:rPr>
                <w:color w:val="000000" w:themeColor="text1"/>
              </w:rPr>
              <w:t>Symptoms</w:t>
            </w:r>
          </w:p>
        </w:tc>
        <w:tc>
          <w:tcPr>
            <w:tcW w:w="2840" w:type="dxa"/>
          </w:tcPr>
          <w:p w14:paraId="47EBB19E" w14:textId="77777777" w:rsidR="00A81DBF" w:rsidRPr="006C70FF" w:rsidRDefault="00A81DBF" w:rsidP="00A81DBF">
            <w:pPr>
              <w:rPr>
                <w:color w:val="000000" w:themeColor="text1"/>
              </w:rPr>
            </w:pPr>
            <w:r w:rsidRPr="006C70FF">
              <w:rPr>
                <w:color w:val="000000" w:themeColor="text1"/>
              </w:rPr>
              <w:t>Severity</w:t>
            </w:r>
          </w:p>
        </w:tc>
        <w:tc>
          <w:tcPr>
            <w:tcW w:w="3248" w:type="dxa"/>
          </w:tcPr>
          <w:p w14:paraId="3809D942" w14:textId="77777777" w:rsidR="00A81DBF" w:rsidRPr="006C70FF" w:rsidRDefault="00A81DBF" w:rsidP="00A81DBF">
            <w:pPr>
              <w:rPr>
                <w:color w:val="000000" w:themeColor="text1"/>
              </w:rPr>
            </w:pPr>
            <w:r w:rsidRPr="006C70FF">
              <w:rPr>
                <w:color w:val="000000" w:themeColor="text1"/>
              </w:rPr>
              <w:t>Action</w:t>
            </w:r>
          </w:p>
        </w:tc>
      </w:tr>
      <w:tr w:rsidR="006C70FF" w:rsidRPr="006C70FF" w14:paraId="278EA015" w14:textId="77777777" w:rsidTr="00015655">
        <w:tc>
          <w:tcPr>
            <w:tcW w:w="2732" w:type="dxa"/>
          </w:tcPr>
          <w:p w14:paraId="7E2DF070" w14:textId="77777777" w:rsidR="00A81DBF" w:rsidRPr="006C70FF" w:rsidRDefault="00A81DBF" w:rsidP="00A81DBF">
            <w:pPr>
              <w:rPr>
                <w:color w:val="000000" w:themeColor="text1"/>
              </w:rPr>
            </w:pPr>
            <w:r w:rsidRPr="006C70FF">
              <w:rPr>
                <w:color w:val="000000" w:themeColor="text1"/>
              </w:rPr>
              <w:t>Nausea/Vomiting</w:t>
            </w:r>
          </w:p>
        </w:tc>
        <w:tc>
          <w:tcPr>
            <w:tcW w:w="2840" w:type="dxa"/>
          </w:tcPr>
          <w:p w14:paraId="436E0661" w14:textId="77777777" w:rsidR="00A81DBF" w:rsidRPr="006C70FF" w:rsidRDefault="00A81DBF" w:rsidP="00A81DBF">
            <w:pPr>
              <w:rPr>
                <w:color w:val="000000" w:themeColor="text1"/>
              </w:rPr>
            </w:pPr>
            <w:r w:rsidRPr="006C70FF">
              <w:rPr>
                <w:color w:val="000000" w:themeColor="text1"/>
              </w:rPr>
              <w:t>No significant fluid intake, or more than 5 episodes in 24 hours</w:t>
            </w:r>
          </w:p>
        </w:tc>
        <w:tc>
          <w:tcPr>
            <w:tcW w:w="3248" w:type="dxa"/>
          </w:tcPr>
          <w:p w14:paraId="6EF77D4B" w14:textId="77777777" w:rsidR="00A81DBF" w:rsidRPr="006C70FF" w:rsidRDefault="00A81DBF" w:rsidP="00A81DBF">
            <w:pPr>
              <w:rPr>
                <w:color w:val="000000" w:themeColor="text1"/>
              </w:rPr>
            </w:pPr>
            <w:r w:rsidRPr="006C70FF">
              <w:rPr>
                <w:color w:val="000000" w:themeColor="text1"/>
              </w:rPr>
              <w:t>Stop G-CSF</w:t>
            </w:r>
          </w:p>
        </w:tc>
      </w:tr>
      <w:tr w:rsidR="006C70FF" w:rsidRPr="006C70FF" w14:paraId="73D3959F" w14:textId="77777777" w:rsidTr="00015655">
        <w:tc>
          <w:tcPr>
            <w:tcW w:w="2732" w:type="dxa"/>
            <w:tcBorders>
              <w:bottom w:val="nil"/>
            </w:tcBorders>
          </w:tcPr>
          <w:p w14:paraId="25A00698" w14:textId="77777777" w:rsidR="00A81DBF" w:rsidRPr="006C70FF" w:rsidRDefault="00A81DBF" w:rsidP="00A81DBF">
            <w:pPr>
              <w:rPr>
                <w:color w:val="000000" w:themeColor="text1"/>
              </w:rPr>
            </w:pPr>
            <w:r w:rsidRPr="006C70FF">
              <w:rPr>
                <w:color w:val="000000" w:themeColor="text1"/>
              </w:rPr>
              <w:t>Pain or Headache</w:t>
            </w:r>
          </w:p>
        </w:tc>
        <w:tc>
          <w:tcPr>
            <w:tcW w:w="2840" w:type="dxa"/>
            <w:tcBorders>
              <w:bottom w:val="nil"/>
            </w:tcBorders>
          </w:tcPr>
          <w:p w14:paraId="0729BB35" w14:textId="77777777" w:rsidR="00A81DBF" w:rsidRPr="006C70FF" w:rsidRDefault="00A81DBF" w:rsidP="00A81DBF">
            <w:pPr>
              <w:rPr>
                <w:color w:val="000000" w:themeColor="text1"/>
              </w:rPr>
            </w:pPr>
            <w:r w:rsidRPr="006C70FF">
              <w:rPr>
                <w:color w:val="000000" w:themeColor="text1"/>
              </w:rPr>
              <w:t>Unbearable</w:t>
            </w:r>
          </w:p>
        </w:tc>
        <w:tc>
          <w:tcPr>
            <w:tcW w:w="3248" w:type="dxa"/>
            <w:tcBorders>
              <w:bottom w:val="nil"/>
            </w:tcBorders>
          </w:tcPr>
          <w:p w14:paraId="66FF8664" w14:textId="77777777" w:rsidR="00A81DBF" w:rsidRPr="006C70FF" w:rsidRDefault="00A81DBF" w:rsidP="00A81DBF">
            <w:pPr>
              <w:rPr>
                <w:color w:val="000000" w:themeColor="text1"/>
              </w:rPr>
            </w:pPr>
            <w:r w:rsidRPr="006C70FF">
              <w:rPr>
                <w:color w:val="000000" w:themeColor="text1"/>
              </w:rPr>
              <w:t>Stop G-CSF.</w:t>
            </w:r>
          </w:p>
        </w:tc>
      </w:tr>
      <w:tr w:rsidR="006C70FF" w:rsidRPr="006C70FF" w14:paraId="63BAF1AB" w14:textId="77777777" w:rsidTr="00015655">
        <w:tc>
          <w:tcPr>
            <w:tcW w:w="2732" w:type="dxa"/>
          </w:tcPr>
          <w:p w14:paraId="171FF92A" w14:textId="77777777" w:rsidR="00A81DBF" w:rsidRPr="006C70FF" w:rsidRDefault="00A81DBF" w:rsidP="00A81DBF">
            <w:pPr>
              <w:rPr>
                <w:color w:val="000000" w:themeColor="text1"/>
              </w:rPr>
            </w:pPr>
            <w:r w:rsidRPr="006C70FF">
              <w:rPr>
                <w:color w:val="000000" w:themeColor="text1"/>
              </w:rPr>
              <w:t>Pain or Headache</w:t>
            </w:r>
          </w:p>
        </w:tc>
        <w:tc>
          <w:tcPr>
            <w:tcW w:w="2840" w:type="dxa"/>
          </w:tcPr>
          <w:p w14:paraId="40A6723C" w14:textId="77777777" w:rsidR="00A81DBF" w:rsidRPr="006C70FF" w:rsidRDefault="00A81DBF" w:rsidP="00A81DBF">
            <w:pPr>
              <w:rPr>
                <w:color w:val="000000" w:themeColor="text1"/>
              </w:rPr>
            </w:pPr>
            <w:r w:rsidRPr="006C70FF">
              <w:rPr>
                <w:color w:val="000000" w:themeColor="text1"/>
              </w:rPr>
              <w:t>Severe and unrelenting</w:t>
            </w:r>
          </w:p>
        </w:tc>
        <w:tc>
          <w:tcPr>
            <w:tcW w:w="3248" w:type="dxa"/>
          </w:tcPr>
          <w:p w14:paraId="4C79478E" w14:textId="77777777" w:rsidR="00A81DBF" w:rsidRPr="006C70FF" w:rsidRDefault="00A81DBF" w:rsidP="00A81DBF">
            <w:pPr>
              <w:rPr>
                <w:color w:val="000000" w:themeColor="text1"/>
              </w:rPr>
            </w:pPr>
            <w:r w:rsidRPr="006C70FF">
              <w:rPr>
                <w:color w:val="000000" w:themeColor="text1"/>
              </w:rPr>
              <w:t xml:space="preserve">Halve dose, if no improvement after 24 hours </w:t>
            </w:r>
            <w:proofErr w:type="gramStart"/>
            <w:r w:rsidRPr="006C70FF">
              <w:rPr>
                <w:color w:val="000000" w:themeColor="text1"/>
              </w:rPr>
              <w:t>withhold</w:t>
            </w:r>
            <w:proofErr w:type="gramEnd"/>
            <w:r w:rsidRPr="006C70FF">
              <w:rPr>
                <w:color w:val="000000" w:themeColor="text1"/>
              </w:rPr>
              <w:t xml:space="preserve"> G-CSF.</w:t>
            </w:r>
          </w:p>
        </w:tc>
      </w:tr>
      <w:tr w:rsidR="006C70FF" w:rsidRPr="006C70FF" w14:paraId="0D2A1285" w14:textId="77777777" w:rsidTr="00015655">
        <w:tc>
          <w:tcPr>
            <w:tcW w:w="2732" w:type="dxa"/>
            <w:tcBorders>
              <w:bottom w:val="nil"/>
            </w:tcBorders>
          </w:tcPr>
          <w:p w14:paraId="15D61A38" w14:textId="77777777" w:rsidR="00A81DBF" w:rsidRPr="006C70FF" w:rsidRDefault="00A81DBF" w:rsidP="00A81DBF">
            <w:pPr>
              <w:rPr>
                <w:color w:val="000000" w:themeColor="text1"/>
              </w:rPr>
            </w:pPr>
            <w:r w:rsidRPr="006C70FF">
              <w:rPr>
                <w:color w:val="000000" w:themeColor="text1"/>
              </w:rPr>
              <w:t>White Cell Count</w:t>
            </w:r>
          </w:p>
        </w:tc>
        <w:tc>
          <w:tcPr>
            <w:tcW w:w="2840" w:type="dxa"/>
            <w:tcBorders>
              <w:bottom w:val="nil"/>
            </w:tcBorders>
          </w:tcPr>
          <w:p w14:paraId="51B89BCD" w14:textId="77777777" w:rsidR="00A81DBF" w:rsidRPr="006C70FF" w:rsidRDefault="00A81DBF" w:rsidP="00A81DBF">
            <w:pPr>
              <w:rPr>
                <w:color w:val="000000" w:themeColor="text1"/>
              </w:rPr>
            </w:pPr>
            <w:r w:rsidRPr="006C70FF">
              <w:rPr>
                <w:color w:val="000000" w:themeColor="text1"/>
              </w:rPr>
              <w:sym w:font="Symbol" w:char="F0B3"/>
            </w:r>
            <w:r w:rsidRPr="006C70FF">
              <w:rPr>
                <w:color w:val="000000" w:themeColor="text1"/>
              </w:rPr>
              <w:t xml:space="preserve"> 70 x 10^9/L</w:t>
            </w:r>
          </w:p>
        </w:tc>
        <w:tc>
          <w:tcPr>
            <w:tcW w:w="3248" w:type="dxa"/>
            <w:tcBorders>
              <w:bottom w:val="nil"/>
            </w:tcBorders>
          </w:tcPr>
          <w:p w14:paraId="323DEFED" w14:textId="77777777" w:rsidR="00A81DBF" w:rsidRPr="006C70FF" w:rsidRDefault="00A81DBF" w:rsidP="00A81DBF">
            <w:pPr>
              <w:rPr>
                <w:color w:val="000000" w:themeColor="text1"/>
              </w:rPr>
            </w:pPr>
            <w:r w:rsidRPr="006C70FF">
              <w:rPr>
                <w:color w:val="000000" w:themeColor="text1"/>
              </w:rPr>
              <w:t>Stop G-CSF</w:t>
            </w:r>
          </w:p>
        </w:tc>
      </w:tr>
      <w:tr w:rsidR="00A81DBF" w:rsidRPr="006C70FF" w14:paraId="6C6142D2" w14:textId="77777777" w:rsidTr="00015655">
        <w:tc>
          <w:tcPr>
            <w:tcW w:w="2732" w:type="dxa"/>
          </w:tcPr>
          <w:p w14:paraId="22152D5E" w14:textId="77777777" w:rsidR="00A81DBF" w:rsidRPr="006C70FF" w:rsidRDefault="00A81DBF" w:rsidP="00A81DBF">
            <w:pPr>
              <w:rPr>
                <w:color w:val="000000" w:themeColor="text1"/>
              </w:rPr>
            </w:pPr>
            <w:r w:rsidRPr="006C70FF">
              <w:rPr>
                <w:color w:val="000000" w:themeColor="text1"/>
              </w:rPr>
              <w:t>Splenic Pain</w:t>
            </w:r>
          </w:p>
        </w:tc>
        <w:tc>
          <w:tcPr>
            <w:tcW w:w="2840" w:type="dxa"/>
          </w:tcPr>
          <w:p w14:paraId="217A39B4" w14:textId="77777777" w:rsidR="00A81DBF" w:rsidRPr="006C70FF" w:rsidRDefault="00A81DBF" w:rsidP="00A81DBF">
            <w:pPr>
              <w:rPr>
                <w:color w:val="000000" w:themeColor="text1"/>
              </w:rPr>
            </w:pPr>
            <w:r w:rsidRPr="006C70FF">
              <w:rPr>
                <w:color w:val="000000" w:themeColor="text1"/>
              </w:rPr>
              <w:t>Any</w:t>
            </w:r>
          </w:p>
        </w:tc>
        <w:tc>
          <w:tcPr>
            <w:tcW w:w="3248" w:type="dxa"/>
          </w:tcPr>
          <w:p w14:paraId="69047DF6" w14:textId="77777777" w:rsidR="00A81DBF" w:rsidRPr="006C70FF" w:rsidRDefault="00A81DBF" w:rsidP="00A81DBF">
            <w:pPr>
              <w:rPr>
                <w:color w:val="000000" w:themeColor="text1"/>
              </w:rPr>
            </w:pPr>
            <w:r w:rsidRPr="006C70FF">
              <w:rPr>
                <w:color w:val="000000" w:themeColor="text1"/>
              </w:rPr>
              <w:t>Stop G-CSF</w:t>
            </w:r>
          </w:p>
        </w:tc>
      </w:tr>
    </w:tbl>
    <w:p w14:paraId="6A4D672D" w14:textId="77777777" w:rsidR="00A81DBF" w:rsidRPr="006C70FF" w:rsidRDefault="00A81DBF" w:rsidP="00A81DBF">
      <w:pPr>
        <w:rPr>
          <w:color w:val="000000" w:themeColor="text1"/>
        </w:rPr>
      </w:pPr>
    </w:p>
    <w:p w14:paraId="367C10F9" w14:textId="77777777" w:rsidR="00A81DBF" w:rsidRPr="006C70FF" w:rsidRDefault="00A81DBF" w:rsidP="00A81DBF">
      <w:pPr>
        <w:rPr>
          <w:color w:val="000000" w:themeColor="text1"/>
        </w:rPr>
      </w:pPr>
      <w:r w:rsidRPr="006C70FF">
        <w:rPr>
          <w:color w:val="000000" w:themeColor="text1"/>
        </w:rPr>
        <w:t>Where the dosage is to be adjusted or stopped because the symptoms experienced by the donor are severe, this must be discussed with the prescribing Consultant and the BBMR Medical Director or their Deputy.</w:t>
      </w:r>
    </w:p>
    <w:p w14:paraId="50A40250" w14:textId="77777777" w:rsidR="00A81DBF" w:rsidRPr="006C70FF" w:rsidRDefault="00A81DBF" w:rsidP="00A81DBF">
      <w:pPr>
        <w:rPr>
          <w:color w:val="000000" w:themeColor="text1"/>
        </w:rPr>
      </w:pPr>
    </w:p>
    <w:p w14:paraId="77529CC3" w14:textId="77777777" w:rsidR="00132E0D" w:rsidRDefault="00132E0D" w:rsidP="00A81DBF">
      <w:pPr>
        <w:rPr>
          <w:b/>
          <w:color w:val="000000" w:themeColor="text1"/>
          <w:sz w:val="22"/>
          <w:szCs w:val="22"/>
        </w:rPr>
      </w:pPr>
    </w:p>
    <w:p w14:paraId="3EF99972" w14:textId="709DF87C" w:rsidR="00A81DBF" w:rsidRPr="006C70FF" w:rsidRDefault="00A81DBF" w:rsidP="00A81DBF">
      <w:pPr>
        <w:rPr>
          <w:b/>
          <w:color w:val="000000" w:themeColor="text1"/>
          <w:sz w:val="22"/>
          <w:szCs w:val="22"/>
        </w:rPr>
      </w:pPr>
      <w:r w:rsidRPr="006C70FF">
        <w:rPr>
          <w:b/>
          <w:color w:val="000000" w:themeColor="text1"/>
          <w:sz w:val="22"/>
          <w:szCs w:val="22"/>
        </w:rPr>
        <w:t>Appendix I (Formerly DAT324) - G-CSF Mobilisation Advisory Action Plan</w:t>
      </w:r>
    </w:p>
    <w:p w14:paraId="427604C8" w14:textId="77777777" w:rsidR="00A81DBF" w:rsidRPr="006C70FF" w:rsidRDefault="00A81DBF" w:rsidP="00A81DBF">
      <w:pPr>
        <w:rPr>
          <w:rFonts w:ascii="Palatino" w:hAnsi="Palatino"/>
          <w:color w:val="000000" w:themeColor="text1"/>
          <w:sz w:val="24"/>
          <w:lang w:val="en-US"/>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27"/>
        <w:gridCol w:w="2552"/>
        <w:gridCol w:w="3036"/>
      </w:tblGrid>
      <w:tr w:rsidR="006C70FF" w:rsidRPr="006C70FF" w14:paraId="432E706A" w14:textId="77777777" w:rsidTr="00A4249B">
        <w:tc>
          <w:tcPr>
            <w:tcW w:w="3227" w:type="dxa"/>
          </w:tcPr>
          <w:p w14:paraId="44A23F3A" w14:textId="77777777" w:rsidR="00A81DBF" w:rsidRPr="006C70FF" w:rsidRDefault="00A81DBF" w:rsidP="00A81DBF">
            <w:pPr>
              <w:rPr>
                <w:b/>
                <w:bCs/>
                <w:color w:val="000000" w:themeColor="text1"/>
                <w:sz w:val="22"/>
              </w:rPr>
            </w:pPr>
            <w:r w:rsidRPr="006C70FF">
              <w:rPr>
                <w:b/>
                <w:bCs/>
                <w:color w:val="000000" w:themeColor="text1"/>
                <w:sz w:val="22"/>
              </w:rPr>
              <w:t>CD34+ Cell Yield Based Upon Recipient Weight</w:t>
            </w:r>
          </w:p>
        </w:tc>
        <w:tc>
          <w:tcPr>
            <w:tcW w:w="2552" w:type="dxa"/>
          </w:tcPr>
          <w:p w14:paraId="1F60745B" w14:textId="77777777" w:rsidR="00A81DBF" w:rsidRPr="006C70FF" w:rsidRDefault="00A81DBF" w:rsidP="00A81DBF">
            <w:pPr>
              <w:rPr>
                <w:b/>
                <w:bCs/>
                <w:color w:val="000000" w:themeColor="text1"/>
                <w:sz w:val="22"/>
              </w:rPr>
            </w:pPr>
            <w:r w:rsidRPr="006C70FF">
              <w:rPr>
                <w:b/>
                <w:bCs/>
                <w:color w:val="000000" w:themeColor="text1"/>
                <w:sz w:val="22"/>
              </w:rPr>
              <w:t xml:space="preserve">Action </w:t>
            </w:r>
          </w:p>
        </w:tc>
        <w:tc>
          <w:tcPr>
            <w:tcW w:w="3036" w:type="dxa"/>
          </w:tcPr>
          <w:p w14:paraId="525C8A32" w14:textId="77777777" w:rsidR="00A81DBF" w:rsidRPr="006C70FF" w:rsidRDefault="00A81DBF" w:rsidP="00A81DBF">
            <w:pPr>
              <w:rPr>
                <w:b/>
                <w:bCs/>
                <w:color w:val="000000" w:themeColor="text1"/>
                <w:sz w:val="22"/>
              </w:rPr>
            </w:pPr>
            <w:r w:rsidRPr="006C70FF">
              <w:rPr>
                <w:b/>
                <w:bCs/>
                <w:color w:val="000000" w:themeColor="text1"/>
                <w:sz w:val="22"/>
              </w:rPr>
              <w:t xml:space="preserve">Emergency Planning/Action </w:t>
            </w:r>
          </w:p>
        </w:tc>
      </w:tr>
      <w:tr w:rsidR="006C70FF" w:rsidRPr="006C70FF" w14:paraId="3490A149" w14:textId="77777777" w:rsidTr="00A4249B">
        <w:tc>
          <w:tcPr>
            <w:tcW w:w="3227" w:type="dxa"/>
            <w:tcBorders>
              <w:bottom w:val="single" w:sz="6" w:space="0" w:color="000000"/>
            </w:tcBorders>
          </w:tcPr>
          <w:p w14:paraId="679B5A96" w14:textId="77777777" w:rsidR="00A81DBF" w:rsidRPr="006C70FF" w:rsidRDefault="00A81DBF" w:rsidP="00A81DBF">
            <w:pPr>
              <w:rPr>
                <w:color w:val="000000" w:themeColor="text1"/>
                <w:sz w:val="22"/>
              </w:rPr>
            </w:pPr>
            <w:r w:rsidRPr="006C70FF">
              <w:rPr>
                <w:color w:val="000000" w:themeColor="text1"/>
                <w:sz w:val="22"/>
              </w:rPr>
              <w:t>Equal to or more than the target CD34+ cells/kg on Apheresis Day 1</w:t>
            </w:r>
          </w:p>
        </w:tc>
        <w:tc>
          <w:tcPr>
            <w:tcW w:w="2552" w:type="dxa"/>
            <w:tcBorders>
              <w:bottom w:val="single" w:sz="6" w:space="0" w:color="000000"/>
            </w:tcBorders>
          </w:tcPr>
          <w:p w14:paraId="4DEF22A7" w14:textId="77777777" w:rsidR="00A81DBF" w:rsidRPr="006C70FF" w:rsidRDefault="00A81DBF" w:rsidP="00A81DBF">
            <w:pPr>
              <w:rPr>
                <w:color w:val="000000" w:themeColor="text1"/>
                <w:sz w:val="22"/>
              </w:rPr>
            </w:pPr>
            <w:r w:rsidRPr="006C70FF">
              <w:rPr>
                <w:color w:val="000000" w:themeColor="text1"/>
                <w:sz w:val="22"/>
              </w:rPr>
              <w:t>Collection adequate, despatch to TC.</w:t>
            </w:r>
          </w:p>
        </w:tc>
        <w:tc>
          <w:tcPr>
            <w:tcW w:w="3036" w:type="dxa"/>
            <w:tcBorders>
              <w:bottom w:val="single" w:sz="6" w:space="0" w:color="000000"/>
            </w:tcBorders>
          </w:tcPr>
          <w:p w14:paraId="6A114BAA" w14:textId="77777777" w:rsidR="00A81DBF" w:rsidRPr="006C70FF" w:rsidRDefault="00A81DBF" w:rsidP="00A81DBF">
            <w:pPr>
              <w:rPr>
                <w:color w:val="000000" w:themeColor="text1"/>
                <w:sz w:val="22"/>
              </w:rPr>
            </w:pPr>
          </w:p>
        </w:tc>
      </w:tr>
      <w:tr w:rsidR="006C70FF" w:rsidRPr="006C70FF" w14:paraId="401C70EE" w14:textId="77777777" w:rsidTr="00A4249B">
        <w:tc>
          <w:tcPr>
            <w:tcW w:w="3227" w:type="dxa"/>
            <w:shd w:val="clear" w:color="auto" w:fill="auto"/>
          </w:tcPr>
          <w:p w14:paraId="2B882FE8" w14:textId="77777777" w:rsidR="00A81DBF" w:rsidRPr="006C70FF" w:rsidRDefault="00A81DBF" w:rsidP="00A81DBF">
            <w:pPr>
              <w:rPr>
                <w:color w:val="000000" w:themeColor="text1"/>
                <w:sz w:val="22"/>
              </w:rPr>
            </w:pPr>
            <w:r w:rsidRPr="006C70FF">
              <w:rPr>
                <w:color w:val="000000" w:themeColor="text1"/>
                <w:sz w:val="22"/>
              </w:rPr>
              <w:t>≥90% of the target CD34+ cells/kg on Apheresis Day 1.</w:t>
            </w:r>
          </w:p>
        </w:tc>
        <w:tc>
          <w:tcPr>
            <w:tcW w:w="2552" w:type="dxa"/>
            <w:shd w:val="clear" w:color="auto" w:fill="auto"/>
          </w:tcPr>
          <w:p w14:paraId="22A2AE93" w14:textId="77777777" w:rsidR="00A81DBF" w:rsidRPr="006C70FF" w:rsidRDefault="00A81DBF" w:rsidP="00A81DBF">
            <w:pPr>
              <w:rPr>
                <w:color w:val="000000" w:themeColor="text1"/>
                <w:sz w:val="22"/>
              </w:rPr>
            </w:pPr>
            <w:r w:rsidRPr="006C70FF">
              <w:rPr>
                <w:color w:val="000000" w:themeColor="text1"/>
                <w:sz w:val="22"/>
              </w:rPr>
              <w:t>Collection adequate, despatch to TC.</w:t>
            </w:r>
          </w:p>
        </w:tc>
        <w:tc>
          <w:tcPr>
            <w:tcW w:w="3036" w:type="dxa"/>
            <w:shd w:val="clear" w:color="auto" w:fill="auto"/>
          </w:tcPr>
          <w:p w14:paraId="56100854" w14:textId="77777777" w:rsidR="00A81DBF" w:rsidRPr="006C70FF" w:rsidRDefault="00A81DBF" w:rsidP="00A81DBF">
            <w:pPr>
              <w:rPr>
                <w:color w:val="000000" w:themeColor="text1"/>
                <w:sz w:val="22"/>
              </w:rPr>
            </w:pPr>
          </w:p>
        </w:tc>
      </w:tr>
      <w:tr w:rsidR="006C70FF" w:rsidRPr="006C70FF" w14:paraId="1DF8FF06" w14:textId="77777777" w:rsidTr="00A4249B">
        <w:tc>
          <w:tcPr>
            <w:tcW w:w="3227" w:type="dxa"/>
            <w:shd w:val="clear" w:color="auto" w:fill="auto"/>
          </w:tcPr>
          <w:p w14:paraId="1E254250" w14:textId="77777777" w:rsidR="00A81DBF" w:rsidRPr="006C70FF" w:rsidRDefault="00A81DBF" w:rsidP="00A81DBF">
            <w:pPr>
              <w:rPr>
                <w:color w:val="000000" w:themeColor="text1"/>
                <w:sz w:val="22"/>
              </w:rPr>
            </w:pPr>
            <w:r w:rsidRPr="006C70FF">
              <w:rPr>
                <w:color w:val="000000" w:themeColor="text1"/>
                <w:sz w:val="22"/>
              </w:rPr>
              <w:lastRenderedPageBreak/>
              <w:t>&lt;90% of the target CD34 + cells/kg on Apheresis Day 1</w:t>
            </w:r>
          </w:p>
        </w:tc>
        <w:tc>
          <w:tcPr>
            <w:tcW w:w="2552" w:type="dxa"/>
          </w:tcPr>
          <w:p w14:paraId="166DC777" w14:textId="77777777" w:rsidR="00A81DBF" w:rsidRPr="006C70FF" w:rsidRDefault="00A81DBF" w:rsidP="00A81DBF">
            <w:pPr>
              <w:rPr>
                <w:color w:val="000000" w:themeColor="text1"/>
                <w:sz w:val="22"/>
              </w:rPr>
            </w:pPr>
            <w:r w:rsidRPr="006C70FF">
              <w:rPr>
                <w:color w:val="000000" w:themeColor="text1"/>
                <w:sz w:val="22"/>
              </w:rPr>
              <w:t>Proceed with second apheresis if donor can tolerate and blood tests are acceptable.</w:t>
            </w:r>
          </w:p>
        </w:tc>
        <w:tc>
          <w:tcPr>
            <w:tcW w:w="3036" w:type="dxa"/>
          </w:tcPr>
          <w:p w14:paraId="0C89CFE3" w14:textId="77777777" w:rsidR="00A81DBF" w:rsidRPr="006C70FF" w:rsidRDefault="00A81DBF" w:rsidP="00A81DBF">
            <w:pPr>
              <w:rPr>
                <w:color w:val="000000" w:themeColor="text1"/>
                <w:sz w:val="22"/>
              </w:rPr>
            </w:pPr>
          </w:p>
        </w:tc>
      </w:tr>
      <w:tr w:rsidR="006C70FF" w:rsidRPr="006C70FF" w14:paraId="1E176B37" w14:textId="77777777" w:rsidTr="00A4249B">
        <w:tc>
          <w:tcPr>
            <w:tcW w:w="3227" w:type="dxa"/>
            <w:tcBorders>
              <w:bottom w:val="single" w:sz="4" w:space="0" w:color="auto"/>
            </w:tcBorders>
          </w:tcPr>
          <w:p w14:paraId="745C4E8F" w14:textId="77777777" w:rsidR="00A81DBF" w:rsidRPr="006C70FF" w:rsidRDefault="00A81DBF" w:rsidP="00A81DBF">
            <w:pPr>
              <w:rPr>
                <w:color w:val="000000" w:themeColor="text1"/>
                <w:sz w:val="22"/>
              </w:rPr>
            </w:pPr>
            <w:r w:rsidRPr="006C70FF">
              <w:rPr>
                <w:rFonts w:ascii="Lucida Console" w:hAnsi="Lucida Console" w:cs="Lucida Console"/>
                <w:color w:val="000000" w:themeColor="text1"/>
                <w:sz w:val="22"/>
              </w:rPr>
              <w:t>&lt;</w:t>
            </w:r>
            <w:r w:rsidRPr="006C70FF">
              <w:rPr>
                <w:color w:val="000000" w:themeColor="text1"/>
                <w:sz w:val="22"/>
              </w:rPr>
              <w:t>1.0 x 10</w:t>
            </w:r>
            <w:r w:rsidRPr="006C70FF">
              <w:rPr>
                <w:color w:val="000000" w:themeColor="text1"/>
                <w:sz w:val="22"/>
                <w:vertAlign w:val="superscript"/>
              </w:rPr>
              <w:t>6</w:t>
            </w:r>
            <w:r w:rsidRPr="006C70FF">
              <w:rPr>
                <w:color w:val="000000" w:themeColor="text1"/>
                <w:sz w:val="22"/>
              </w:rPr>
              <w:t xml:space="preserve"> CD34+ cells/kg (Apheresis Day 1)</w:t>
            </w:r>
          </w:p>
        </w:tc>
        <w:tc>
          <w:tcPr>
            <w:tcW w:w="2552" w:type="dxa"/>
            <w:tcBorders>
              <w:bottom w:val="single" w:sz="4" w:space="0" w:color="auto"/>
            </w:tcBorders>
          </w:tcPr>
          <w:p w14:paraId="143ECBCC" w14:textId="77777777" w:rsidR="00A81DBF" w:rsidRPr="006C70FF" w:rsidRDefault="00A81DBF" w:rsidP="00A81DBF">
            <w:pPr>
              <w:rPr>
                <w:color w:val="000000" w:themeColor="text1"/>
                <w:sz w:val="22"/>
              </w:rPr>
            </w:pPr>
            <w:r w:rsidRPr="006C70FF">
              <w:rPr>
                <w:color w:val="000000" w:themeColor="text1"/>
                <w:sz w:val="22"/>
              </w:rPr>
              <w:t xml:space="preserve">Advise DMP and BBMR Medical Director (or Deputy) </w:t>
            </w:r>
          </w:p>
        </w:tc>
        <w:tc>
          <w:tcPr>
            <w:tcW w:w="3036" w:type="dxa"/>
            <w:tcBorders>
              <w:bottom w:val="single" w:sz="4" w:space="0" w:color="auto"/>
            </w:tcBorders>
          </w:tcPr>
          <w:p w14:paraId="481D10B9" w14:textId="77777777" w:rsidR="00A81DBF" w:rsidRPr="006C70FF" w:rsidRDefault="00A81DBF" w:rsidP="00A81DBF">
            <w:pPr>
              <w:rPr>
                <w:color w:val="000000" w:themeColor="text1"/>
                <w:sz w:val="22"/>
              </w:rPr>
            </w:pPr>
            <w:r w:rsidRPr="006C70FF">
              <w:rPr>
                <w:color w:val="000000" w:themeColor="text1"/>
                <w:sz w:val="22"/>
              </w:rPr>
              <w:t>Consider Back-up Bone Marrow harvest planning.</w:t>
            </w:r>
          </w:p>
        </w:tc>
      </w:tr>
      <w:tr w:rsidR="00A81DBF" w:rsidRPr="006C70FF" w14:paraId="1771F3EB" w14:textId="77777777" w:rsidTr="00A4249B">
        <w:trPr>
          <w:trHeight w:val="1528"/>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78E6F0" w14:textId="77777777" w:rsidR="00A81DBF" w:rsidRPr="006C70FF" w:rsidRDefault="00A81DBF" w:rsidP="00A81DBF">
            <w:pPr>
              <w:rPr>
                <w:color w:val="000000" w:themeColor="text1"/>
                <w:sz w:val="22"/>
              </w:rPr>
            </w:pPr>
            <w:r w:rsidRPr="006C70FF">
              <w:rPr>
                <w:color w:val="000000" w:themeColor="text1"/>
                <w:sz w:val="22"/>
              </w:rPr>
              <w:t>&lt;1.0 x 10</w:t>
            </w:r>
            <w:r w:rsidRPr="006C70FF">
              <w:rPr>
                <w:color w:val="000000" w:themeColor="text1"/>
                <w:sz w:val="22"/>
                <w:vertAlign w:val="superscript"/>
              </w:rPr>
              <w:t xml:space="preserve">6 </w:t>
            </w:r>
            <w:r w:rsidRPr="006C70FF">
              <w:rPr>
                <w:color w:val="000000" w:themeColor="text1"/>
                <w:sz w:val="22"/>
              </w:rPr>
              <w:t xml:space="preserve">CD34+ cells/kg </w:t>
            </w:r>
          </w:p>
          <w:p w14:paraId="50404361" w14:textId="7F155251" w:rsidR="00A81DBF" w:rsidRPr="006C70FF" w:rsidRDefault="00A81DBF" w:rsidP="00A81DBF">
            <w:pPr>
              <w:rPr>
                <w:color w:val="000000" w:themeColor="text1"/>
                <w:sz w:val="22"/>
              </w:rPr>
            </w:pPr>
            <w:r w:rsidRPr="006C70FF">
              <w:rPr>
                <w:color w:val="000000" w:themeColor="text1"/>
                <w:sz w:val="22"/>
              </w:rPr>
              <w:t>(</w:t>
            </w:r>
            <w:r w:rsidR="00E432F2" w:rsidRPr="006C70FF">
              <w:rPr>
                <w:color w:val="000000" w:themeColor="text1"/>
                <w:sz w:val="22"/>
              </w:rPr>
              <w:t>Combined</w:t>
            </w:r>
            <w:r w:rsidRPr="006C70FF">
              <w:rPr>
                <w:color w:val="000000" w:themeColor="text1"/>
                <w:sz w:val="22"/>
              </w:rPr>
              <w:t xml:space="preserve"> Apheresis Days 1 and 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65B0F0" w14:textId="77777777" w:rsidR="00A81DBF" w:rsidRPr="006C70FF" w:rsidRDefault="00A81DBF" w:rsidP="00A81DBF">
            <w:pPr>
              <w:rPr>
                <w:color w:val="000000" w:themeColor="text1"/>
                <w:sz w:val="22"/>
              </w:rPr>
            </w:pPr>
            <w:r w:rsidRPr="006C70FF">
              <w:rPr>
                <w:color w:val="000000" w:themeColor="text1"/>
                <w:sz w:val="22"/>
              </w:rPr>
              <w:t xml:space="preserve">Advise DMP and BBMR Medical Director (or Deputy) </w:t>
            </w:r>
          </w:p>
        </w:tc>
        <w:tc>
          <w:tcPr>
            <w:tcW w:w="3036" w:type="dxa"/>
            <w:tcBorders>
              <w:top w:val="single" w:sz="4" w:space="0" w:color="auto"/>
              <w:left w:val="single" w:sz="4" w:space="0" w:color="auto"/>
              <w:bottom w:val="single" w:sz="4" w:space="0" w:color="auto"/>
              <w:right w:val="single" w:sz="4" w:space="0" w:color="auto"/>
            </w:tcBorders>
            <w:shd w:val="clear" w:color="auto" w:fill="auto"/>
          </w:tcPr>
          <w:p w14:paraId="7441B2B6" w14:textId="77777777" w:rsidR="00A81DBF" w:rsidRPr="006C70FF" w:rsidRDefault="00A81DBF" w:rsidP="00A81DBF">
            <w:pPr>
              <w:rPr>
                <w:color w:val="000000" w:themeColor="text1"/>
                <w:sz w:val="22"/>
              </w:rPr>
            </w:pPr>
            <w:r w:rsidRPr="006C70FF">
              <w:rPr>
                <w:color w:val="000000" w:themeColor="text1"/>
                <w:sz w:val="22"/>
              </w:rPr>
              <w:t>Implement Back-up Bone Marrow harvest planning or consider third apheresis.  Document the count and agree action with BBMR Medical Director (or Deputy).</w:t>
            </w:r>
          </w:p>
        </w:tc>
      </w:tr>
    </w:tbl>
    <w:p w14:paraId="09A74555" w14:textId="36EC736D" w:rsidR="00A81DBF" w:rsidRPr="006C70FF" w:rsidRDefault="00A81DBF" w:rsidP="00A81DBF">
      <w:pPr>
        <w:rPr>
          <w:color w:val="000000" w:themeColor="text1"/>
          <w:sz w:val="22"/>
        </w:rPr>
      </w:pPr>
    </w:p>
    <w:p w14:paraId="683FFD14" w14:textId="77777777" w:rsidR="00A81DBF" w:rsidRPr="006C70FF" w:rsidRDefault="00A81DBF" w:rsidP="00A81DBF">
      <w:pPr>
        <w:rPr>
          <w:color w:val="000000" w:themeColor="text1"/>
          <w:sz w:val="22"/>
        </w:rPr>
      </w:pPr>
      <w:r w:rsidRPr="006C70FF">
        <w:rPr>
          <w:color w:val="000000" w:themeColor="text1"/>
          <w:sz w:val="22"/>
        </w:rPr>
        <w:t xml:space="preserve">1. The TC and BBMR </w:t>
      </w:r>
      <w:r w:rsidRPr="006C70FF">
        <w:rPr>
          <w:b/>
          <w:bCs/>
          <w:color w:val="000000" w:themeColor="text1"/>
          <w:sz w:val="22"/>
        </w:rPr>
        <w:t>must</w:t>
      </w:r>
      <w:r w:rsidRPr="006C70FF">
        <w:rPr>
          <w:color w:val="000000" w:themeColor="text1"/>
          <w:sz w:val="22"/>
        </w:rPr>
        <w:t xml:space="preserve"> be advised when a backup BM harvest is being considered. The views of the TC physician and BBMR Medical Director </w:t>
      </w:r>
      <w:r w:rsidRPr="006C70FF">
        <w:rPr>
          <w:b/>
          <w:bCs/>
          <w:color w:val="000000" w:themeColor="text1"/>
          <w:sz w:val="22"/>
        </w:rPr>
        <w:t>must</w:t>
      </w:r>
      <w:r w:rsidRPr="006C70FF">
        <w:rPr>
          <w:color w:val="000000" w:themeColor="text1"/>
          <w:sz w:val="22"/>
        </w:rPr>
        <w:t xml:space="preserve"> be considered in the strategy adopted.</w:t>
      </w:r>
    </w:p>
    <w:p w14:paraId="79DCE013" w14:textId="77777777" w:rsidR="00A81DBF" w:rsidRPr="006C70FF" w:rsidRDefault="00A81DBF" w:rsidP="00A81DBF">
      <w:pPr>
        <w:rPr>
          <w:color w:val="000000" w:themeColor="text1"/>
          <w:sz w:val="22"/>
        </w:rPr>
      </w:pPr>
    </w:p>
    <w:p w14:paraId="298D23C0" w14:textId="5731B955" w:rsidR="00A81DBF" w:rsidRPr="006C70FF" w:rsidRDefault="00A81DBF" w:rsidP="00A81DBF">
      <w:pPr>
        <w:rPr>
          <w:color w:val="000000" w:themeColor="text1"/>
          <w:sz w:val="22"/>
        </w:rPr>
      </w:pPr>
      <w:r w:rsidRPr="006C70FF">
        <w:rPr>
          <w:color w:val="000000" w:themeColor="text1"/>
          <w:sz w:val="22"/>
        </w:rPr>
        <w:t>2. If a PBSC donor fails to mobilise</w:t>
      </w:r>
      <w:r w:rsidR="00D16F0D">
        <w:rPr>
          <w:color w:val="000000" w:themeColor="text1"/>
          <w:sz w:val="22"/>
        </w:rPr>
        <w:t>,</w:t>
      </w:r>
      <w:r w:rsidRPr="006C70FF">
        <w:rPr>
          <w:color w:val="000000" w:themeColor="text1"/>
          <w:sz w:val="22"/>
        </w:rPr>
        <w:t xml:space="preserve"> a limited volume, </w:t>
      </w:r>
      <w:r w:rsidR="00F40BE9" w:rsidRPr="006C70FF">
        <w:rPr>
          <w:color w:val="000000" w:themeColor="text1"/>
          <w:sz w:val="22"/>
        </w:rPr>
        <w:t>i.e.,</w:t>
      </w:r>
      <w:r w:rsidRPr="006C70FF">
        <w:rPr>
          <w:color w:val="000000" w:themeColor="text1"/>
          <w:sz w:val="22"/>
        </w:rPr>
        <w:t xml:space="preserve"> up to a maximum of 1000ml, back-up bone marrow collection may be scheduled.</w:t>
      </w:r>
    </w:p>
    <w:p w14:paraId="0EC165CF" w14:textId="77777777" w:rsidR="00F40BE9" w:rsidRPr="006C70FF" w:rsidRDefault="00F40BE9" w:rsidP="00A81DBF">
      <w:pPr>
        <w:rPr>
          <w:b/>
          <w:color w:val="000000" w:themeColor="text1"/>
          <w:sz w:val="22"/>
          <w:szCs w:val="22"/>
        </w:rPr>
      </w:pPr>
    </w:p>
    <w:p w14:paraId="16A62EFA" w14:textId="699185A8" w:rsidR="00A81DBF" w:rsidRPr="006C70FF" w:rsidRDefault="00A81DBF" w:rsidP="00A81DBF">
      <w:pPr>
        <w:rPr>
          <w:b/>
          <w:color w:val="000000" w:themeColor="text1"/>
          <w:sz w:val="22"/>
          <w:szCs w:val="22"/>
        </w:rPr>
      </w:pPr>
      <w:r w:rsidRPr="006C70FF">
        <w:rPr>
          <w:b/>
          <w:color w:val="000000" w:themeColor="text1"/>
          <w:sz w:val="22"/>
          <w:szCs w:val="22"/>
        </w:rPr>
        <w:t xml:space="preserve">Appendix J (Formerly MPD159): Central Venous Catheter Insertion and PBSC Donor Care </w:t>
      </w:r>
    </w:p>
    <w:p w14:paraId="0064FB20" w14:textId="77777777" w:rsidR="00A81DBF" w:rsidRPr="006C70FF" w:rsidRDefault="00A81DBF" w:rsidP="00A81DBF">
      <w:pPr>
        <w:rPr>
          <w:color w:val="000000" w:themeColor="text1"/>
          <w:sz w:val="22"/>
          <w:szCs w:val="22"/>
        </w:rPr>
      </w:pPr>
    </w:p>
    <w:p w14:paraId="3D02A6FC" w14:textId="77777777" w:rsidR="00A81DBF" w:rsidRPr="006C70FF" w:rsidRDefault="00A81DBF" w:rsidP="00A81DBF">
      <w:pPr>
        <w:rPr>
          <w:b/>
          <w:color w:val="000000" w:themeColor="text1"/>
          <w:sz w:val="22"/>
          <w:szCs w:val="22"/>
        </w:rPr>
      </w:pPr>
      <w:bookmarkStart w:id="10" w:name="_Hlk498589173"/>
      <w:r w:rsidRPr="006C70FF">
        <w:rPr>
          <w:b/>
          <w:color w:val="000000" w:themeColor="text1"/>
          <w:sz w:val="22"/>
          <w:szCs w:val="22"/>
        </w:rPr>
        <w:t>1.</w:t>
      </w:r>
      <w:r w:rsidRPr="006C70FF">
        <w:rPr>
          <w:b/>
          <w:color w:val="000000" w:themeColor="text1"/>
          <w:sz w:val="22"/>
          <w:szCs w:val="22"/>
        </w:rPr>
        <w:tab/>
        <w:t>Standard venous assessment</w:t>
      </w:r>
    </w:p>
    <w:p w14:paraId="29CCD968"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1.1</w:t>
      </w:r>
      <w:r w:rsidRPr="006C70FF">
        <w:rPr>
          <w:color w:val="000000" w:themeColor="text1"/>
          <w:sz w:val="22"/>
          <w:szCs w:val="22"/>
        </w:rPr>
        <w:tab/>
        <w:t>Every potential PBSC donor should have venous access assessed by competent Apheresis unit staff as part of the elective planning of PBSC collections.</w:t>
      </w:r>
    </w:p>
    <w:p w14:paraId="32BD3410" w14:textId="77777777" w:rsidR="00A81DBF" w:rsidRPr="006C70FF" w:rsidRDefault="00A81DBF" w:rsidP="00A81DBF">
      <w:pPr>
        <w:rPr>
          <w:color w:val="000000" w:themeColor="text1"/>
          <w:sz w:val="22"/>
          <w:szCs w:val="22"/>
        </w:rPr>
      </w:pPr>
      <w:r w:rsidRPr="006C70FF">
        <w:rPr>
          <w:color w:val="000000" w:themeColor="text1"/>
          <w:sz w:val="22"/>
          <w:szCs w:val="22"/>
        </w:rPr>
        <w:t>1.2</w:t>
      </w:r>
      <w:r w:rsidRPr="006C70FF">
        <w:rPr>
          <w:color w:val="000000" w:themeColor="text1"/>
          <w:sz w:val="22"/>
          <w:szCs w:val="22"/>
        </w:rPr>
        <w:tab/>
        <w:t>One Good ‘</w:t>
      </w:r>
      <w:proofErr w:type="gramStart"/>
      <w:r w:rsidRPr="006C70FF">
        <w:rPr>
          <w:color w:val="000000" w:themeColor="text1"/>
          <w:sz w:val="22"/>
          <w:szCs w:val="22"/>
        </w:rPr>
        <w:t>access’</w:t>
      </w:r>
      <w:proofErr w:type="gramEnd"/>
      <w:r w:rsidRPr="006C70FF">
        <w:rPr>
          <w:color w:val="000000" w:themeColor="text1"/>
          <w:sz w:val="22"/>
          <w:szCs w:val="22"/>
        </w:rPr>
        <w:t xml:space="preserve"> and ‘return’ peripheral vein in the contra lateral arm is required.</w:t>
      </w:r>
    </w:p>
    <w:p w14:paraId="1F831604" w14:textId="7344707B" w:rsidR="00A81DBF" w:rsidRPr="006C70FF" w:rsidRDefault="00A81DBF" w:rsidP="00A81DBF">
      <w:pPr>
        <w:ind w:left="709" w:hanging="709"/>
        <w:rPr>
          <w:color w:val="000000" w:themeColor="text1"/>
          <w:sz w:val="22"/>
          <w:szCs w:val="22"/>
        </w:rPr>
      </w:pPr>
      <w:r w:rsidRPr="006C70FF">
        <w:rPr>
          <w:color w:val="000000" w:themeColor="text1"/>
          <w:sz w:val="22"/>
          <w:szCs w:val="22"/>
        </w:rPr>
        <w:t>1.3</w:t>
      </w:r>
      <w:r w:rsidRPr="006C70FF">
        <w:rPr>
          <w:color w:val="000000" w:themeColor="text1"/>
          <w:sz w:val="22"/>
          <w:szCs w:val="22"/>
        </w:rPr>
        <w:tab/>
        <w:t xml:space="preserve">The ‘access’ peripheral vein must be adequate to sustain flow </w:t>
      </w:r>
      <w:r w:rsidR="004B2075" w:rsidRPr="006C70FF">
        <w:rPr>
          <w:color w:val="000000" w:themeColor="text1"/>
          <w:sz w:val="22"/>
          <w:szCs w:val="22"/>
        </w:rPr>
        <w:t xml:space="preserve">as per </w:t>
      </w:r>
      <w:proofErr w:type="spellStart"/>
      <w:r w:rsidR="004B2075" w:rsidRPr="006C70FF">
        <w:rPr>
          <w:color w:val="000000" w:themeColor="text1"/>
          <w:sz w:val="22"/>
          <w:szCs w:val="22"/>
        </w:rPr>
        <w:t>Optia</w:t>
      </w:r>
      <w:proofErr w:type="spellEnd"/>
      <w:r w:rsidR="004B2075" w:rsidRPr="006C70FF">
        <w:rPr>
          <w:color w:val="000000" w:themeColor="text1"/>
          <w:sz w:val="22"/>
          <w:szCs w:val="22"/>
        </w:rPr>
        <w:t xml:space="preserve"> settings</w:t>
      </w:r>
      <w:r w:rsidRPr="006C70FF">
        <w:rPr>
          <w:color w:val="000000" w:themeColor="text1"/>
          <w:sz w:val="22"/>
          <w:szCs w:val="22"/>
        </w:rPr>
        <w:t xml:space="preserve"> and suitable for a 16-17G metal needle or cannula. The ‘return’ peripheral vein must be suitable for the placement of a 19G metal needle or </w:t>
      </w:r>
      <w:r w:rsidR="004B2075" w:rsidRPr="006C70FF">
        <w:rPr>
          <w:color w:val="000000" w:themeColor="text1"/>
          <w:sz w:val="22"/>
          <w:szCs w:val="22"/>
        </w:rPr>
        <w:t xml:space="preserve">20G </w:t>
      </w:r>
      <w:r w:rsidRPr="006C70FF">
        <w:rPr>
          <w:color w:val="000000" w:themeColor="text1"/>
          <w:sz w:val="22"/>
          <w:szCs w:val="22"/>
        </w:rPr>
        <w:t>cannula.</w:t>
      </w:r>
    </w:p>
    <w:p w14:paraId="02F066E2"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1.4</w:t>
      </w:r>
      <w:r w:rsidRPr="006C70FF">
        <w:rPr>
          <w:color w:val="000000" w:themeColor="text1"/>
          <w:sz w:val="22"/>
          <w:szCs w:val="22"/>
        </w:rPr>
        <w:tab/>
        <w:t>The assessment should be undertaken by a practising and competent therapeutic apheresis specialist nurse trained in venepuncture, including vein assessment.</w:t>
      </w:r>
    </w:p>
    <w:p w14:paraId="5BA78DE5"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1.5</w:t>
      </w:r>
      <w:r w:rsidRPr="006C70FF">
        <w:rPr>
          <w:color w:val="000000" w:themeColor="text1"/>
          <w:sz w:val="22"/>
          <w:szCs w:val="22"/>
        </w:rPr>
        <w:tab/>
        <w:t>Where the competent Healthcare practitioner determines that a donor has poor peripheral venous access and CVC placement is required to support a PBSC donation, the Medical Consultant or Associate Specialist responsible for the donor must be informed and the assessment reviewed.</w:t>
      </w:r>
    </w:p>
    <w:p w14:paraId="45FB60F6"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1.6</w:t>
      </w:r>
      <w:r w:rsidRPr="006C70FF">
        <w:rPr>
          <w:color w:val="000000" w:themeColor="text1"/>
          <w:sz w:val="22"/>
          <w:szCs w:val="22"/>
        </w:rPr>
        <w:tab/>
        <w:t>The BBMR Consultant must be informed of all donors for whom CVC placement is necessary and authorise.</w:t>
      </w:r>
    </w:p>
    <w:p w14:paraId="57C394E2" w14:textId="0AEF7F37" w:rsidR="00A81DBF" w:rsidRPr="006C70FF" w:rsidRDefault="00A81DBF" w:rsidP="00A81DBF">
      <w:pPr>
        <w:ind w:left="709" w:hanging="709"/>
        <w:rPr>
          <w:color w:val="000000" w:themeColor="text1"/>
          <w:sz w:val="22"/>
          <w:szCs w:val="22"/>
        </w:rPr>
      </w:pPr>
    </w:p>
    <w:p w14:paraId="113B5ACE" w14:textId="77777777" w:rsidR="004B2075" w:rsidRPr="006C70FF" w:rsidRDefault="004B2075" w:rsidP="00A81DBF">
      <w:pPr>
        <w:ind w:left="709" w:hanging="709"/>
        <w:rPr>
          <w:color w:val="000000" w:themeColor="text1"/>
          <w:sz w:val="22"/>
          <w:szCs w:val="22"/>
        </w:rPr>
      </w:pPr>
    </w:p>
    <w:p w14:paraId="053381F0" w14:textId="77777777" w:rsidR="00A81DBF" w:rsidRPr="006C70FF" w:rsidRDefault="00A81DBF" w:rsidP="00A81DBF">
      <w:pPr>
        <w:numPr>
          <w:ilvl w:val="0"/>
          <w:numId w:val="7"/>
        </w:numPr>
        <w:rPr>
          <w:b/>
          <w:color w:val="000000" w:themeColor="text1"/>
          <w:sz w:val="22"/>
        </w:rPr>
      </w:pPr>
      <w:r w:rsidRPr="006C70FF">
        <w:rPr>
          <w:b/>
          <w:color w:val="000000" w:themeColor="text1"/>
          <w:sz w:val="22"/>
        </w:rPr>
        <w:t>Informed Consent</w:t>
      </w:r>
    </w:p>
    <w:p w14:paraId="240C93E1" w14:textId="77777777" w:rsidR="00A81DBF" w:rsidRPr="006C70FF" w:rsidRDefault="00A81DBF" w:rsidP="00A81DBF">
      <w:pPr>
        <w:spacing w:after="120"/>
        <w:ind w:left="709"/>
        <w:rPr>
          <w:color w:val="000000" w:themeColor="text1"/>
          <w:sz w:val="22"/>
        </w:rPr>
      </w:pPr>
      <w:r w:rsidRPr="006C70FF">
        <w:rPr>
          <w:color w:val="000000" w:themeColor="text1"/>
          <w:sz w:val="22"/>
        </w:rPr>
        <w:t>Informed consent is required for all HSC donations. Informed consent is obtained at the donor counselling session. The CVC insertion and care procedure must be explained, and informed consent obtained.</w:t>
      </w:r>
    </w:p>
    <w:p w14:paraId="1191E15A" w14:textId="77777777" w:rsidR="00A81DBF" w:rsidRPr="006C70FF" w:rsidRDefault="00A81DBF" w:rsidP="00A81DBF">
      <w:pPr>
        <w:numPr>
          <w:ilvl w:val="1"/>
          <w:numId w:val="8"/>
        </w:numPr>
        <w:rPr>
          <w:color w:val="000000" w:themeColor="text1"/>
          <w:sz w:val="22"/>
        </w:rPr>
      </w:pPr>
      <w:r w:rsidRPr="006C70FF">
        <w:rPr>
          <w:color w:val="000000" w:themeColor="text1"/>
          <w:sz w:val="22"/>
        </w:rPr>
        <w:t xml:space="preserve">    Donors will be counselled that additional donor consent may be required by the     </w:t>
      </w:r>
    </w:p>
    <w:p w14:paraId="247EFF88" w14:textId="77777777" w:rsidR="00A81DBF" w:rsidRPr="006C70FF" w:rsidRDefault="00A81DBF" w:rsidP="00A81DBF">
      <w:pPr>
        <w:rPr>
          <w:color w:val="000000" w:themeColor="text1"/>
          <w:sz w:val="22"/>
        </w:rPr>
      </w:pPr>
      <w:r w:rsidRPr="006C70FF">
        <w:rPr>
          <w:color w:val="000000" w:themeColor="text1"/>
          <w:sz w:val="22"/>
        </w:rPr>
        <w:t xml:space="preserve">           Hospital on the day of line placement.</w:t>
      </w:r>
    </w:p>
    <w:p w14:paraId="371DC2F9" w14:textId="77777777" w:rsidR="00A81DBF" w:rsidRPr="006C70FF" w:rsidRDefault="00A81DBF" w:rsidP="00A81DBF">
      <w:pPr>
        <w:numPr>
          <w:ilvl w:val="1"/>
          <w:numId w:val="22"/>
        </w:numPr>
        <w:rPr>
          <w:color w:val="000000" w:themeColor="text1"/>
          <w:sz w:val="22"/>
        </w:rPr>
      </w:pPr>
      <w:r w:rsidRPr="006C70FF">
        <w:rPr>
          <w:color w:val="000000" w:themeColor="text1"/>
          <w:sz w:val="22"/>
        </w:rPr>
        <w:t xml:space="preserve">     Donors must have had a venous assessment performed prior to informed consent.</w:t>
      </w:r>
    </w:p>
    <w:p w14:paraId="0BCD97A3" w14:textId="77777777" w:rsidR="00A81DBF" w:rsidRPr="006C70FF" w:rsidRDefault="00A81DBF" w:rsidP="00A81DBF">
      <w:pPr>
        <w:numPr>
          <w:ilvl w:val="1"/>
          <w:numId w:val="22"/>
        </w:numPr>
        <w:rPr>
          <w:color w:val="000000" w:themeColor="text1"/>
          <w:sz w:val="22"/>
        </w:rPr>
      </w:pPr>
      <w:r w:rsidRPr="006C70FF">
        <w:rPr>
          <w:color w:val="000000" w:themeColor="text1"/>
          <w:sz w:val="22"/>
        </w:rPr>
        <w:t xml:space="preserve">     The donor’s GP must be informed when final donor clearance is given that the        </w:t>
      </w:r>
    </w:p>
    <w:p w14:paraId="693EFF23" w14:textId="77777777" w:rsidR="00A81DBF" w:rsidRPr="006C70FF" w:rsidRDefault="00A81DBF" w:rsidP="00A81DBF">
      <w:pPr>
        <w:rPr>
          <w:color w:val="000000" w:themeColor="text1"/>
          <w:sz w:val="22"/>
        </w:rPr>
      </w:pPr>
      <w:r w:rsidRPr="006C70FF">
        <w:rPr>
          <w:color w:val="000000" w:themeColor="text1"/>
          <w:sz w:val="22"/>
        </w:rPr>
        <w:t xml:space="preserve">           collection will require a CVC to facilitate post-donation care planning.</w:t>
      </w:r>
    </w:p>
    <w:bookmarkEnd w:id="10"/>
    <w:p w14:paraId="30CEC106" w14:textId="376C5B15" w:rsidR="00A81DBF" w:rsidRDefault="00A81DBF" w:rsidP="00A81DBF">
      <w:pPr>
        <w:rPr>
          <w:color w:val="000000" w:themeColor="text1"/>
          <w:sz w:val="22"/>
        </w:rPr>
      </w:pPr>
    </w:p>
    <w:p w14:paraId="52EEFEA8" w14:textId="35AC5E8E" w:rsidR="00836E13" w:rsidRDefault="00836E13" w:rsidP="00A81DBF">
      <w:pPr>
        <w:rPr>
          <w:color w:val="000000" w:themeColor="text1"/>
          <w:sz w:val="22"/>
        </w:rPr>
      </w:pPr>
    </w:p>
    <w:p w14:paraId="30B43A2A" w14:textId="77777777" w:rsidR="00836E13" w:rsidRPr="006C70FF" w:rsidRDefault="00836E13" w:rsidP="00A81DBF">
      <w:pPr>
        <w:rPr>
          <w:color w:val="000000" w:themeColor="text1"/>
          <w:sz w:val="22"/>
        </w:rPr>
      </w:pPr>
    </w:p>
    <w:p w14:paraId="06CFDED2" w14:textId="77777777" w:rsidR="00A81DBF" w:rsidRPr="006C70FF" w:rsidRDefault="00A81DBF" w:rsidP="00A81DBF">
      <w:pPr>
        <w:numPr>
          <w:ilvl w:val="0"/>
          <w:numId w:val="7"/>
        </w:numPr>
        <w:rPr>
          <w:b/>
          <w:color w:val="000000" w:themeColor="text1"/>
          <w:sz w:val="22"/>
        </w:rPr>
      </w:pPr>
      <w:r w:rsidRPr="006C70FF">
        <w:rPr>
          <w:b/>
          <w:color w:val="000000" w:themeColor="text1"/>
          <w:sz w:val="22"/>
        </w:rPr>
        <w:lastRenderedPageBreak/>
        <w:t>Donor Management and Elective Line Placement</w:t>
      </w:r>
    </w:p>
    <w:p w14:paraId="132EF9A4" w14:textId="0B1BEBCB" w:rsidR="00A81DBF" w:rsidRPr="006C70FF" w:rsidRDefault="00A81DBF" w:rsidP="00132E0D">
      <w:pPr>
        <w:ind w:left="709"/>
        <w:rPr>
          <w:color w:val="000000" w:themeColor="text1"/>
          <w:sz w:val="22"/>
          <w:szCs w:val="22"/>
        </w:rPr>
      </w:pPr>
      <w:r w:rsidRPr="006C70FF">
        <w:rPr>
          <w:color w:val="000000" w:themeColor="text1"/>
          <w:sz w:val="22"/>
          <w:szCs w:val="22"/>
        </w:rPr>
        <w:t>The placing of central catheters should only be undertaken in hospital facilities with access to intensive care and radiology facilities by highly trained staff who regularly perform this procedure and a suitably trained doctor must be immediately available on the premises at all times. As stated in the Guidelines for the Blood Transfusion Services in the UK Section, Chapter 22.</w:t>
      </w:r>
      <w:r w:rsidR="00132E0D">
        <w:rPr>
          <w:color w:val="000000" w:themeColor="text1"/>
          <w:sz w:val="22"/>
          <w:szCs w:val="22"/>
        </w:rPr>
        <w:t xml:space="preserve">  </w:t>
      </w:r>
      <w:r w:rsidRPr="006C70FF">
        <w:rPr>
          <w:color w:val="000000" w:themeColor="text1"/>
          <w:sz w:val="22"/>
          <w:szCs w:val="22"/>
        </w:rPr>
        <w:t>Secondly, ensure access to 2-d imaging ultrasound guidance equipment. NICE Guidelines (2002) reviewed (2016) “Guidance on the use of ultrasound locating devices for placing central venous catheters”</w:t>
      </w:r>
    </w:p>
    <w:p w14:paraId="0C2BD396" w14:textId="77777777" w:rsidR="00A81DBF" w:rsidRPr="006C70FF" w:rsidRDefault="00A81DBF" w:rsidP="00A81DBF">
      <w:pPr>
        <w:ind w:left="360"/>
        <w:rPr>
          <w:b/>
          <w:color w:val="000000" w:themeColor="text1"/>
          <w:sz w:val="22"/>
          <w:szCs w:val="22"/>
        </w:rPr>
      </w:pPr>
    </w:p>
    <w:p w14:paraId="0860CE27"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3.1</w:t>
      </w:r>
      <w:r w:rsidRPr="006C70FF">
        <w:rPr>
          <w:color w:val="000000" w:themeColor="text1"/>
          <w:sz w:val="22"/>
          <w:szCs w:val="22"/>
        </w:rPr>
        <w:tab/>
        <w:t>Responsibility for donor management and line placement should be a Consultant Intervention Cardiologist, Anaesthetist or Radiologist.</w:t>
      </w:r>
    </w:p>
    <w:p w14:paraId="04D16B8A" w14:textId="77777777" w:rsidR="00A81DBF" w:rsidRPr="006C70FF" w:rsidRDefault="00A81DBF" w:rsidP="00A81DBF">
      <w:pPr>
        <w:numPr>
          <w:ilvl w:val="1"/>
          <w:numId w:val="9"/>
        </w:numPr>
        <w:tabs>
          <w:tab w:val="clear" w:pos="360"/>
          <w:tab w:val="num" w:pos="709"/>
        </w:tabs>
        <w:ind w:left="709" w:hanging="709"/>
        <w:rPr>
          <w:color w:val="000000" w:themeColor="text1"/>
          <w:sz w:val="22"/>
          <w:szCs w:val="22"/>
        </w:rPr>
      </w:pPr>
      <w:r w:rsidRPr="006C70FF">
        <w:rPr>
          <w:color w:val="000000" w:themeColor="text1"/>
          <w:sz w:val="22"/>
          <w:szCs w:val="22"/>
        </w:rPr>
        <w:t>This should be done in a hospital-based service in accordance with local procedures as agreed with the BBMR.</w:t>
      </w:r>
    </w:p>
    <w:p w14:paraId="7117378A" w14:textId="0BE33BB2" w:rsidR="00A81DBF" w:rsidRPr="006C70FF" w:rsidRDefault="00A81DBF" w:rsidP="00A81DBF">
      <w:pPr>
        <w:numPr>
          <w:ilvl w:val="1"/>
          <w:numId w:val="9"/>
        </w:numPr>
        <w:tabs>
          <w:tab w:val="clear" w:pos="360"/>
          <w:tab w:val="num" w:pos="709"/>
        </w:tabs>
        <w:ind w:left="709" w:hanging="709"/>
        <w:rPr>
          <w:color w:val="000000" w:themeColor="text1"/>
          <w:sz w:val="22"/>
          <w:szCs w:val="22"/>
        </w:rPr>
      </w:pPr>
      <w:r w:rsidRPr="006C70FF">
        <w:rPr>
          <w:color w:val="000000" w:themeColor="text1"/>
          <w:sz w:val="22"/>
          <w:szCs w:val="22"/>
        </w:rPr>
        <w:t>Competent hospital staff with expertise must place and remove the line</w:t>
      </w:r>
      <w:r w:rsidR="004B2075" w:rsidRPr="006C70FF">
        <w:rPr>
          <w:color w:val="000000" w:themeColor="text1"/>
          <w:sz w:val="22"/>
          <w:szCs w:val="22"/>
        </w:rPr>
        <w:t xml:space="preserve"> (trained and competent Therapeutic Apheresis team staff can also </w:t>
      </w:r>
      <w:r w:rsidR="00D04776" w:rsidRPr="006C70FF">
        <w:rPr>
          <w:color w:val="000000" w:themeColor="text1"/>
          <w:sz w:val="22"/>
          <w:szCs w:val="22"/>
        </w:rPr>
        <w:t>remove lines)</w:t>
      </w:r>
      <w:r w:rsidRPr="006C70FF">
        <w:rPr>
          <w:color w:val="000000" w:themeColor="text1"/>
          <w:sz w:val="22"/>
          <w:szCs w:val="22"/>
        </w:rPr>
        <w:t>.</w:t>
      </w:r>
    </w:p>
    <w:p w14:paraId="22BAA1FF" w14:textId="70058AFE" w:rsidR="00A81DBF" w:rsidRPr="006C70FF" w:rsidRDefault="00A81DBF" w:rsidP="00A81DBF">
      <w:pPr>
        <w:numPr>
          <w:ilvl w:val="1"/>
          <w:numId w:val="9"/>
        </w:numPr>
        <w:tabs>
          <w:tab w:val="clear" w:pos="360"/>
          <w:tab w:val="num" w:pos="709"/>
        </w:tabs>
        <w:ind w:left="709" w:hanging="709"/>
        <w:rPr>
          <w:color w:val="000000" w:themeColor="text1"/>
          <w:sz w:val="22"/>
          <w:szCs w:val="22"/>
        </w:rPr>
      </w:pPr>
      <w:r w:rsidRPr="006C70FF">
        <w:rPr>
          <w:color w:val="000000" w:themeColor="text1"/>
          <w:sz w:val="22"/>
          <w:szCs w:val="22"/>
        </w:rPr>
        <w:t xml:space="preserve">Suitably trained staff with expertise/competence are required to manage donors </w:t>
      </w:r>
      <w:r w:rsidR="00073836" w:rsidRPr="006C70FF">
        <w:rPr>
          <w:color w:val="000000" w:themeColor="text1"/>
          <w:sz w:val="22"/>
          <w:szCs w:val="22"/>
        </w:rPr>
        <w:t>e.g.,</w:t>
      </w:r>
      <w:r w:rsidRPr="006C70FF">
        <w:rPr>
          <w:color w:val="000000" w:themeColor="text1"/>
          <w:sz w:val="22"/>
          <w:szCs w:val="22"/>
        </w:rPr>
        <w:t xml:space="preserve"> appropriate recognised courses and training.</w:t>
      </w:r>
    </w:p>
    <w:p w14:paraId="6CE566A9" w14:textId="77777777" w:rsidR="00A81DBF" w:rsidRPr="006C70FF" w:rsidRDefault="00A81DBF" w:rsidP="00A81DBF">
      <w:pPr>
        <w:numPr>
          <w:ilvl w:val="1"/>
          <w:numId w:val="9"/>
        </w:numPr>
        <w:tabs>
          <w:tab w:val="clear" w:pos="360"/>
          <w:tab w:val="num" w:pos="709"/>
        </w:tabs>
        <w:ind w:left="709" w:hanging="709"/>
        <w:rPr>
          <w:color w:val="000000" w:themeColor="text1"/>
          <w:sz w:val="22"/>
          <w:szCs w:val="22"/>
        </w:rPr>
      </w:pPr>
      <w:r w:rsidRPr="006C70FF">
        <w:rPr>
          <w:color w:val="000000" w:themeColor="text1"/>
          <w:sz w:val="22"/>
          <w:szCs w:val="22"/>
        </w:rPr>
        <w:t>All Hospitals must maintain standard operating procedures.</w:t>
      </w:r>
    </w:p>
    <w:p w14:paraId="37A055FC" w14:textId="77777777" w:rsidR="00A81DBF" w:rsidRPr="006C70FF" w:rsidRDefault="00A81DBF" w:rsidP="00A81DBF">
      <w:pPr>
        <w:ind w:left="709" w:hanging="709"/>
        <w:rPr>
          <w:color w:val="000000" w:themeColor="text1"/>
          <w:sz w:val="22"/>
          <w:szCs w:val="22"/>
        </w:rPr>
      </w:pPr>
    </w:p>
    <w:p w14:paraId="1D0F704D" w14:textId="77777777" w:rsidR="00A81DBF" w:rsidRPr="006C70FF" w:rsidRDefault="00A81DBF" w:rsidP="00A81DBF">
      <w:pPr>
        <w:rPr>
          <w:b/>
          <w:color w:val="000000" w:themeColor="text1"/>
          <w:sz w:val="22"/>
        </w:rPr>
      </w:pPr>
      <w:r w:rsidRPr="006C70FF">
        <w:rPr>
          <w:b/>
          <w:color w:val="000000" w:themeColor="text1"/>
          <w:sz w:val="22"/>
        </w:rPr>
        <w:t>4. Logistics of Central Venous Catheter placement in Hospital setting</w:t>
      </w:r>
    </w:p>
    <w:p w14:paraId="500D2DE2" w14:textId="36FD04C5" w:rsidR="00015655" w:rsidRPr="006C70FF" w:rsidRDefault="00A81DBF" w:rsidP="00AC31DC">
      <w:pPr>
        <w:ind w:left="709" w:hanging="708"/>
        <w:rPr>
          <w:color w:val="000000" w:themeColor="text1"/>
          <w:sz w:val="22"/>
        </w:rPr>
      </w:pPr>
      <w:r w:rsidRPr="006C70FF">
        <w:rPr>
          <w:color w:val="000000" w:themeColor="text1"/>
          <w:sz w:val="22"/>
        </w:rPr>
        <w:t>4.1</w:t>
      </w:r>
      <w:r w:rsidRPr="006C70FF">
        <w:rPr>
          <w:color w:val="000000" w:themeColor="text1"/>
          <w:sz w:val="22"/>
        </w:rPr>
        <w:tab/>
        <w:t>Donor to be referred to the care of a Consultant Anaesthetist, Radiologist or Cardiologist with appropriate experience.</w:t>
      </w:r>
    </w:p>
    <w:p w14:paraId="56751C29" w14:textId="5E79D7DA" w:rsidR="00A81DBF" w:rsidRPr="006C70FF" w:rsidRDefault="00A81DBF" w:rsidP="00AC31DC">
      <w:pPr>
        <w:numPr>
          <w:ilvl w:val="1"/>
          <w:numId w:val="10"/>
        </w:numPr>
        <w:tabs>
          <w:tab w:val="clear" w:pos="420"/>
        </w:tabs>
        <w:ind w:left="709" w:hanging="708"/>
        <w:rPr>
          <w:color w:val="000000" w:themeColor="text1"/>
          <w:sz w:val="22"/>
        </w:rPr>
      </w:pPr>
      <w:r w:rsidRPr="006C70FF">
        <w:rPr>
          <w:color w:val="000000" w:themeColor="text1"/>
          <w:sz w:val="22"/>
        </w:rPr>
        <w:t>CVC must be placed in accordance with the hospital local policy in conjunction with this appendix.</w:t>
      </w:r>
    </w:p>
    <w:p w14:paraId="65C6257D" w14:textId="77777777" w:rsidR="00A81DBF" w:rsidRPr="006C70FF" w:rsidRDefault="00A81DBF" w:rsidP="00AC31DC">
      <w:pPr>
        <w:numPr>
          <w:ilvl w:val="1"/>
          <w:numId w:val="10"/>
        </w:numPr>
        <w:tabs>
          <w:tab w:val="clear" w:pos="420"/>
        </w:tabs>
        <w:ind w:left="709" w:hanging="708"/>
        <w:rPr>
          <w:color w:val="000000" w:themeColor="text1"/>
          <w:sz w:val="22"/>
        </w:rPr>
      </w:pPr>
      <w:r w:rsidRPr="006C70FF">
        <w:rPr>
          <w:color w:val="000000" w:themeColor="text1"/>
          <w:sz w:val="22"/>
        </w:rPr>
        <w:t>Additional donor consent may be obtained by the Hospital.</w:t>
      </w:r>
    </w:p>
    <w:p w14:paraId="7D990905" w14:textId="77777777" w:rsidR="00A81DBF" w:rsidRPr="006C70FF" w:rsidRDefault="00A81DBF" w:rsidP="00AC31DC">
      <w:pPr>
        <w:numPr>
          <w:ilvl w:val="1"/>
          <w:numId w:val="10"/>
        </w:numPr>
        <w:tabs>
          <w:tab w:val="clear" w:pos="420"/>
        </w:tabs>
        <w:ind w:left="709" w:hanging="708"/>
        <w:rPr>
          <w:color w:val="000000" w:themeColor="text1"/>
          <w:sz w:val="22"/>
        </w:rPr>
      </w:pPr>
      <w:r w:rsidRPr="006C70FF">
        <w:rPr>
          <w:color w:val="000000" w:themeColor="text1"/>
          <w:sz w:val="22"/>
        </w:rPr>
        <w:t>A policy on the safe transportation of donors with CVCs in situ must be agreed and adhered to by all centres and hospital/transplant centres.</w:t>
      </w:r>
    </w:p>
    <w:p w14:paraId="72FBF222" w14:textId="77777777" w:rsidR="00A81DBF" w:rsidRPr="006C70FF" w:rsidRDefault="00A81DBF" w:rsidP="00AC31DC">
      <w:pPr>
        <w:numPr>
          <w:ilvl w:val="1"/>
          <w:numId w:val="10"/>
        </w:numPr>
        <w:tabs>
          <w:tab w:val="clear" w:pos="420"/>
        </w:tabs>
        <w:ind w:left="709" w:hanging="708"/>
        <w:rPr>
          <w:color w:val="000000" w:themeColor="text1"/>
          <w:sz w:val="22"/>
        </w:rPr>
      </w:pPr>
      <w:r w:rsidRPr="006C70FF">
        <w:rPr>
          <w:color w:val="000000" w:themeColor="text1"/>
          <w:sz w:val="22"/>
        </w:rPr>
        <w:t>The BBMR with the Hospital must define the method of transport and escort required where the transfer of the donor is required. This policy must determine the mechanism for transferring responsibility for the patient between NHS units, as appropriate.</w:t>
      </w:r>
    </w:p>
    <w:p w14:paraId="46850327" w14:textId="77777777" w:rsidR="00A81DBF" w:rsidRPr="006C70FF" w:rsidRDefault="00A81DBF" w:rsidP="00AC31DC">
      <w:pPr>
        <w:numPr>
          <w:ilvl w:val="1"/>
          <w:numId w:val="10"/>
        </w:numPr>
        <w:tabs>
          <w:tab w:val="clear" w:pos="420"/>
        </w:tabs>
        <w:ind w:left="709" w:hanging="708"/>
        <w:rPr>
          <w:color w:val="000000" w:themeColor="text1"/>
          <w:sz w:val="22"/>
        </w:rPr>
      </w:pPr>
      <w:r w:rsidRPr="006C70FF">
        <w:rPr>
          <w:color w:val="000000" w:themeColor="text1"/>
          <w:sz w:val="22"/>
        </w:rPr>
        <w:t>Dialysis dual lumen CVCs suitable for PBSC should be used to maintain constant high blood flow rates during the collection.</w:t>
      </w:r>
    </w:p>
    <w:p w14:paraId="77D6D24C" w14:textId="77777777" w:rsidR="00A81DBF" w:rsidRPr="006C70FF" w:rsidRDefault="00A81DBF" w:rsidP="00AC31DC">
      <w:pPr>
        <w:numPr>
          <w:ilvl w:val="1"/>
          <w:numId w:val="10"/>
        </w:numPr>
        <w:tabs>
          <w:tab w:val="clear" w:pos="420"/>
        </w:tabs>
        <w:ind w:left="709" w:hanging="708"/>
        <w:rPr>
          <w:color w:val="000000" w:themeColor="text1"/>
          <w:sz w:val="22"/>
        </w:rPr>
      </w:pPr>
      <w:r w:rsidRPr="006C70FF">
        <w:rPr>
          <w:color w:val="000000" w:themeColor="text1"/>
          <w:sz w:val="22"/>
        </w:rPr>
        <w:t>Ambulance services used to transport the donors must be dedicated.</w:t>
      </w:r>
    </w:p>
    <w:p w14:paraId="074E935E" w14:textId="77777777" w:rsidR="00A81DBF" w:rsidRPr="006C70FF" w:rsidRDefault="00A81DBF" w:rsidP="00A81DBF">
      <w:pPr>
        <w:ind w:left="709" w:hanging="709"/>
        <w:rPr>
          <w:color w:val="000000" w:themeColor="text1"/>
          <w:sz w:val="22"/>
          <w:szCs w:val="22"/>
        </w:rPr>
      </w:pPr>
    </w:p>
    <w:p w14:paraId="6C782409" w14:textId="77777777" w:rsidR="00A81DBF" w:rsidRPr="006C70FF" w:rsidRDefault="00A81DBF" w:rsidP="00A81DBF">
      <w:pPr>
        <w:numPr>
          <w:ilvl w:val="0"/>
          <w:numId w:val="11"/>
        </w:numPr>
        <w:rPr>
          <w:b/>
          <w:color w:val="000000" w:themeColor="text1"/>
          <w:sz w:val="22"/>
        </w:rPr>
      </w:pPr>
      <w:r w:rsidRPr="006C70FF">
        <w:rPr>
          <w:b/>
          <w:color w:val="000000" w:themeColor="text1"/>
          <w:sz w:val="22"/>
        </w:rPr>
        <w:t>Management of the donor on the Apheresis Unit</w:t>
      </w:r>
    </w:p>
    <w:p w14:paraId="580B5186" w14:textId="77777777" w:rsidR="00A81DBF" w:rsidRPr="006C70FF" w:rsidRDefault="00A81DBF" w:rsidP="00AC31DC">
      <w:pPr>
        <w:ind w:left="709"/>
        <w:rPr>
          <w:b/>
          <w:color w:val="000000" w:themeColor="text1"/>
          <w:sz w:val="22"/>
        </w:rPr>
      </w:pPr>
      <w:r w:rsidRPr="006C70FF">
        <w:rPr>
          <w:color w:val="000000" w:themeColor="text1"/>
          <w:sz w:val="22"/>
        </w:rPr>
        <w:t xml:space="preserve">A suitably trained doctor must be immediately available on the premises at all times. (Guidelines for the Blood Transfusion Services in the UK Section Chapter 22.7). </w:t>
      </w:r>
    </w:p>
    <w:p w14:paraId="45435D04" w14:textId="77777777" w:rsidR="00A81DBF" w:rsidRPr="006C70FF" w:rsidRDefault="00A81DBF" w:rsidP="00AC31DC">
      <w:pPr>
        <w:numPr>
          <w:ilvl w:val="1"/>
          <w:numId w:val="12"/>
        </w:numPr>
        <w:tabs>
          <w:tab w:val="clear" w:pos="420"/>
        </w:tabs>
        <w:ind w:left="709" w:hanging="709"/>
        <w:rPr>
          <w:color w:val="000000" w:themeColor="text1"/>
          <w:sz w:val="22"/>
        </w:rPr>
      </w:pPr>
      <w:r w:rsidRPr="006C70FF">
        <w:rPr>
          <w:color w:val="000000" w:themeColor="text1"/>
          <w:sz w:val="22"/>
        </w:rPr>
        <w:t>Local policies on donor safety and infection control to be readily available to staff.</w:t>
      </w:r>
    </w:p>
    <w:p w14:paraId="44544C67" w14:textId="77777777" w:rsidR="00A81DBF" w:rsidRPr="006C70FF" w:rsidRDefault="00A81DBF" w:rsidP="00AC31DC">
      <w:pPr>
        <w:numPr>
          <w:ilvl w:val="1"/>
          <w:numId w:val="12"/>
        </w:numPr>
        <w:tabs>
          <w:tab w:val="clear" w:pos="420"/>
        </w:tabs>
        <w:ind w:left="709" w:hanging="709"/>
        <w:rPr>
          <w:color w:val="000000" w:themeColor="text1"/>
          <w:sz w:val="22"/>
        </w:rPr>
      </w:pPr>
      <w:r w:rsidRPr="006C70FF">
        <w:rPr>
          <w:color w:val="000000" w:themeColor="text1"/>
          <w:sz w:val="22"/>
        </w:rPr>
        <w:t>Access to emergency services in the event of adverse reactions must be available.</w:t>
      </w:r>
    </w:p>
    <w:p w14:paraId="7103DF1C" w14:textId="77777777" w:rsidR="00A81DBF" w:rsidRPr="006C70FF" w:rsidRDefault="00A81DBF" w:rsidP="00A81DBF">
      <w:pPr>
        <w:ind w:left="709" w:hanging="709"/>
        <w:rPr>
          <w:color w:val="000000" w:themeColor="text1"/>
          <w:sz w:val="22"/>
          <w:szCs w:val="22"/>
        </w:rPr>
      </w:pPr>
    </w:p>
    <w:p w14:paraId="3C933141" w14:textId="77777777" w:rsidR="00A81DBF" w:rsidRPr="006C70FF" w:rsidRDefault="00A81DBF" w:rsidP="00A81DBF">
      <w:pPr>
        <w:numPr>
          <w:ilvl w:val="0"/>
          <w:numId w:val="11"/>
        </w:numPr>
        <w:rPr>
          <w:b/>
          <w:color w:val="000000" w:themeColor="text1"/>
          <w:sz w:val="22"/>
        </w:rPr>
      </w:pPr>
      <w:r w:rsidRPr="006C70FF">
        <w:rPr>
          <w:b/>
          <w:color w:val="000000" w:themeColor="text1"/>
          <w:sz w:val="22"/>
        </w:rPr>
        <w:t>Management of Donor Discharge</w:t>
      </w:r>
    </w:p>
    <w:p w14:paraId="75D55CA8" w14:textId="77777777" w:rsidR="00A81DBF" w:rsidRPr="006C70FF" w:rsidRDefault="00A81DBF" w:rsidP="00AC31DC">
      <w:pPr>
        <w:ind w:left="709"/>
        <w:rPr>
          <w:color w:val="000000" w:themeColor="text1"/>
          <w:sz w:val="22"/>
        </w:rPr>
      </w:pPr>
      <w:r w:rsidRPr="006C70FF">
        <w:rPr>
          <w:color w:val="000000" w:themeColor="text1"/>
          <w:sz w:val="22"/>
        </w:rPr>
        <w:t>To ensure the safe removal of the CVC post donation and for the donor to be fit to travel home without complications from exit site.</w:t>
      </w:r>
    </w:p>
    <w:p w14:paraId="15509544"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t>CVC must be removed in the hospital setting by appropriately trained practitioner when the collection is complete.</w:t>
      </w:r>
    </w:p>
    <w:p w14:paraId="4F7B0B79"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t>The Hospital must ensure the safe transport and escort back to hospital for removal of CVC.</w:t>
      </w:r>
    </w:p>
    <w:p w14:paraId="3E73FC85"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t xml:space="preserve">CVC will need to remain </w:t>
      </w:r>
      <w:proofErr w:type="spellStart"/>
      <w:r w:rsidRPr="006C70FF">
        <w:rPr>
          <w:color w:val="000000" w:themeColor="text1"/>
          <w:sz w:val="22"/>
        </w:rPr>
        <w:t>insitu</w:t>
      </w:r>
      <w:proofErr w:type="spellEnd"/>
      <w:r w:rsidRPr="006C70FF">
        <w:rPr>
          <w:color w:val="000000" w:themeColor="text1"/>
          <w:sz w:val="22"/>
        </w:rPr>
        <w:t xml:space="preserve"> overnight in the event of second collection day. In this case, overnight accommodation should be arranged.</w:t>
      </w:r>
    </w:p>
    <w:p w14:paraId="02AB52D0"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t>Safe transport and escort back to hospital for overnight care.</w:t>
      </w:r>
    </w:p>
    <w:p w14:paraId="01949689"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t>Safe transport back to Apheresis unit the following day for second collection.</w:t>
      </w:r>
    </w:p>
    <w:p w14:paraId="3C5FB640"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t>Safe transport and escort back to hospital for removal of CVC after second apheresis.</w:t>
      </w:r>
    </w:p>
    <w:p w14:paraId="3EDF93BB"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lastRenderedPageBreak/>
        <w:t>Care of the donor to ensure the wound heals without bleeding must be in accordance with Hospital procedures.</w:t>
      </w:r>
    </w:p>
    <w:p w14:paraId="2233358B"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t>Donor may or will be required to stay overnight to ensure that the CVC placement is not complicated by bleeding, bruising and/or apparent infection.</w:t>
      </w:r>
    </w:p>
    <w:p w14:paraId="2199C959" w14:textId="77777777" w:rsidR="00A81DBF" w:rsidRPr="006C70FF" w:rsidRDefault="00A81DBF" w:rsidP="00AC31DC">
      <w:pPr>
        <w:numPr>
          <w:ilvl w:val="1"/>
          <w:numId w:val="13"/>
        </w:numPr>
        <w:tabs>
          <w:tab w:val="clear" w:pos="420"/>
        </w:tabs>
        <w:ind w:left="709" w:hanging="709"/>
        <w:rPr>
          <w:color w:val="000000" w:themeColor="text1"/>
          <w:sz w:val="22"/>
        </w:rPr>
      </w:pPr>
      <w:r w:rsidRPr="006C70FF">
        <w:rPr>
          <w:color w:val="000000" w:themeColor="text1"/>
          <w:sz w:val="22"/>
        </w:rPr>
        <w:t>Donors must be given appropriate information regarding wound / dressing management.</w:t>
      </w:r>
    </w:p>
    <w:p w14:paraId="23CE297C" w14:textId="77777777" w:rsidR="00A81DBF" w:rsidRPr="006C70FF" w:rsidRDefault="00A81DBF" w:rsidP="00AC31DC">
      <w:pPr>
        <w:numPr>
          <w:ilvl w:val="1"/>
          <w:numId w:val="13"/>
        </w:numPr>
        <w:tabs>
          <w:tab w:val="clear" w:pos="420"/>
          <w:tab w:val="num" w:pos="851"/>
        </w:tabs>
        <w:ind w:left="709" w:hanging="709"/>
        <w:rPr>
          <w:color w:val="000000" w:themeColor="text1"/>
          <w:sz w:val="22"/>
        </w:rPr>
      </w:pPr>
      <w:r w:rsidRPr="006C70FF">
        <w:rPr>
          <w:color w:val="000000" w:themeColor="text1"/>
          <w:sz w:val="22"/>
        </w:rPr>
        <w:t>Advice/contact information can be sought from BBMR Medical Director</w:t>
      </w:r>
    </w:p>
    <w:p w14:paraId="371A3ED5" w14:textId="77777777" w:rsidR="00A81DBF" w:rsidRPr="006C70FF" w:rsidRDefault="00A81DBF" w:rsidP="00AC31DC">
      <w:pPr>
        <w:ind w:left="567" w:hanging="709"/>
        <w:rPr>
          <w:color w:val="000000" w:themeColor="text1"/>
          <w:sz w:val="22"/>
          <w:szCs w:val="22"/>
        </w:rPr>
      </w:pPr>
    </w:p>
    <w:p w14:paraId="62DD43D2" w14:textId="77777777" w:rsidR="003C68FA" w:rsidRPr="006C70FF" w:rsidRDefault="003C68FA" w:rsidP="00A81DBF">
      <w:pPr>
        <w:ind w:left="709" w:hanging="709"/>
        <w:rPr>
          <w:b/>
          <w:color w:val="000000" w:themeColor="text1"/>
          <w:sz w:val="22"/>
          <w:szCs w:val="22"/>
        </w:rPr>
      </w:pPr>
    </w:p>
    <w:p w14:paraId="04E9417B" w14:textId="5EB863E5" w:rsidR="00A81DBF" w:rsidRPr="006C70FF" w:rsidRDefault="00A81DBF" w:rsidP="00A81DBF">
      <w:pPr>
        <w:ind w:left="709" w:hanging="709"/>
        <w:rPr>
          <w:b/>
          <w:color w:val="000000" w:themeColor="text1"/>
          <w:sz w:val="22"/>
          <w:szCs w:val="22"/>
        </w:rPr>
      </w:pPr>
      <w:r w:rsidRPr="006C70FF">
        <w:rPr>
          <w:b/>
          <w:color w:val="000000" w:themeColor="text1"/>
          <w:sz w:val="22"/>
          <w:szCs w:val="22"/>
        </w:rPr>
        <w:t>Appendix K (Formerly POL176) - Evaluating Hypertension in Prospective HSC Donors</w:t>
      </w:r>
    </w:p>
    <w:p w14:paraId="0381C5D5" w14:textId="77777777" w:rsidR="00A81DBF" w:rsidRPr="006C70FF" w:rsidRDefault="00A81DBF" w:rsidP="00A81DBF">
      <w:pPr>
        <w:ind w:left="709" w:hanging="709"/>
        <w:rPr>
          <w:color w:val="000000" w:themeColor="text1"/>
          <w:sz w:val="22"/>
          <w:szCs w:val="22"/>
        </w:rPr>
      </w:pPr>
    </w:p>
    <w:p w14:paraId="248F2E0F"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1.</w:t>
      </w:r>
      <w:r w:rsidRPr="006C70FF">
        <w:rPr>
          <w:color w:val="000000" w:themeColor="text1"/>
          <w:sz w:val="22"/>
          <w:szCs w:val="22"/>
        </w:rPr>
        <w:tab/>
        <w:t>Any donor under investigation for the cause of hypertension must not donate.</w:t>
      </w:r>
    </w:p>
    <w:p w14:paraId="23E6B956" w14:textId="77777777" w:rsidR="00A81DBF" w:rsidRPr="006C70FF" w:rsidRDefault="00A81DBF" w:rsidP="00A81DBF">
      <w:pPr>
        <w:ind w:left="709" w:hanging="851"/>
        <w:rPr>
          <w:color w:val="000000" w:themeColor="text1"/>
          <w:sz w:val="22"/>
          <w:szCs w:val="22"/>
        </w:rPr>
      </w:pPr>
    </w:p>
    <w:p w14:paraId="6560E172" w14:textId="24638911" w:rsidR="00A81DBF" w:rsidRPr="006C70FF" w:rsidRDefault="00A81DBF" w:rsidP="00A81DBF">
      <w:pPr>
        <w:ind w:left="709" w:hanging="709"/>
        <w:rPr>
          <w:color w:val="000000" w:themeColor="text1"/>
          <w:sz w:val="22"/>
          <w:szCs w:val="22"/>
        </w:rPr>
      </w:pPr>
      <w:r w:rsidRPr="006C70FF">
        <w:rPr>
          <w:color w:val="000000" w:themeColor="text1"/>
          <w:sz w:val="22"/>
          <w:szCs w:val="22"/>
        </w:rPr>
        <w:t>2.</w:t>
      </w:r>
      <w:r w:rsidRPr="006C70FF">
        <w:rPr>
          <w:color w:val="000000" w:themeColor="text1"/>
          <w:sz w:val="22"/>
          <w:szCs w:val="22"/>
        </w:rPr>
        <w:tab/>
        <w:t>A blood pressure threshold of 150/95 mm Hg is set at donor work-up. High blood pressure recordings should be repeated at least twice to eliminate labile blood pressures associated with stress and anxiety. If the recorded blood pressure is consistently above 150/95 mm Hg the donor should be deferred</w:t>
      </w:r>
      <w:r w:rsidR="00A9041C" w:rsidRPr="006C70FF">
        <w:rPr>
          <w:color w:val="000000" w:themeColor="text1"/>
          <w:sz w:val="22"/>
          <w:szCs w:val="22"/>
        </w:rPr>
        <w:t xml:space="preserve"> only if agreed after consultation with BBMR as per main clause 2.10</w:t>
      </w:r>
      <w:r w:rsidRPr="006C70FF">
        <w:rPr>
          <w:color w:val="000000" w:themeColor="text1"/>
          <w:sz w:val="22"/>
          <w:szCs w:val="22"/>
        </w:rPr>
        <w:t>, and the hypertension investigated.</w:t>
      </w:r>
    </w:p>
    <w:p w14:paraId="50B5BE03" w14:textId="77777777" w:rsidR="00A81DBF" w:rsidRPr="006C70FF" w:rsidRDefault="00A81DBF" w:rsidP="00A81DBF">
      <w:pPr>
        <w:ind w:left="709" w:hanging="851"/>
        <w:rPr>
          <w:color w:val="000000" w:themeColor="text1"/>
          <w:sz w:val="22"/>
          <w:szCs w:val="22"/>
        </w:rPr>
      </w:pPr>
    </w:p>
    <w:p w14:paraId="67474CA2" w14:textId="1A9E3EBA" w:rsidR="00A81DBF" w:rsidRPr="006C70FF" w:rsidRDefault="00A81DBF" w:rsidP="00A81DBF">
      <w:pPr>
        <w:ind w:left="709" w:hanging="709"/>
        <w:rPr>
          <w:color w:val="000000" w:themeColor="text1"/>
          <w:sz w:val="22"/>
          <w:szCs w:val="22"/>
        </w:rPr>
      </w:pPr>
      <w:r w:rsidRPr="006C70FF">
        <w:rPr>
          <w:color w:val="000000" w:themeColor="text1"/>
          <w:sz w:val="22"/>
          <w:szCs w:val="22"/>
        </w:rPr>
        <w:t>3.</w:t>
      </w:r>
      <w:r w:rsidRPr="006C70FF">
        <w:rPr>
          <w:color w:val="000000" w:themeColor="text1"/>
          <w:sz w:val="22"/>
          <w:szCs w:val="22"/>
        </w:rPr>
        <w:tab/>
        <w:t xml:space="preserve">Donors receiving treatment for hypertension are excluded if the dose or type of their medication has been altered in the last 4 weeks. If they are stable on </w:t>
      </w:r>
      <w:r w:rsidR="00492A08" w:rsidRPr="006C70FF">
        <w:rPr>
          <w:color w:val="000000" w:themeColor="text1"/>
          <w:sz w:val="22"/>
          <w:szCs w:val="22"/>
        </w:rPr>
        <w:t>medication,</w:t>
      </w:r>
      <w:r w:rsidRPr="006C70FF">
        <w:rPr>
          <w:color w:val="000000" w:themeColor="text1"/>
          <w:sz w:val="22"/>
          <w:szCs w:val="22"/>
        </w:rPr>
        <w:t xml:space="preserve"> they can be accepted.</w:t>
      </w:r>
    </w:p>
    <w:p w14:paraId="3553D0FF"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4.</w:t>
      </w:r>
      <w:r w:rsidRPr="006C70FF">
        <w:rPr>
          <w:color w:val="000000" w:themeColor="text1"/>
          <w:sz w:val="22"/>
          <w:szCs w:val="22"/>
        </w:rPr>
        <w:tab/>
        <w:t>Any donors with physical symptoms or signs or radiological or ECG signs consistent with significant hypertension are not acceptable. Donors who have had heart failure or renal impairment requiring follow-up must not donate.</w:t>
      </w:r>
    </w:p>
    <w:p w14:paraId="007B7938"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5.</w:t>
      </w:r>
      <w:r w:rsidRPr="006C70FF">
        <w:rPr>
          <w:color w:val="000000" w:themeColor="text1"/>
          <w:sz w:val="22"/>
          <w:szCs w:val="22"/>
        </w:rPr>
        <w:tab/>
        <w:t>Donors feeling faint or giddy on their medication should be deferred.</w:t>
      </w:r>
    </w:p>
    <w:p w14:paraId="1BE61A02" w14:textId="77777777" w:rsidR="00A81DBF" w:rsidRPr="006C70FF" w:rsidRDefault="00A81DBF" w:rsidP="00A81DBF">
      <w:pPr>
        <w:ind w:left="709" w:hanging="851"/>
        <w:rPr>
          <w:color w:val="000000" w:themeColor="text1"/>
          <w:sz w:val="22"/>
          <w:szCs w:val="22"/>
        </w:rPr>
      </w:pPr>
    </w:p>
    <w:p w14:paraId="65808F33"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6.</w:t>
      </w:r>
      <w:r w:rsidRPr="006C70FF">
        <w:rPr>
          <w:color w:val="000000" w:themeColor="text1"/>
          <w:sz w:val="22"/>
          <w:szCs w:val="22"/>
        </w:rPr>
        <w:tab/>
        <w:t>Doctors assessing donors should be aware that their medical input is on a continuum from initial donor assessment to stem cell harvest.</w:t>
      </w:r>
    </w:p>
    <w:p w14:paraId="10028005" w14:textId="77777777" w:rsidR="00A81DBF" w:rsidRPr="006C70FF" w:rsidRDefault="00A81DBF" w:rsidP="00A81DBF">
      <w:pPr>
        <w:ind w:left="709" w:hanging="851"/>
        <w:rPr>
          <w:color w:val="000000" w:themeColor="text1"/>
          <w:sz w:val="22"/>
          <w:szCs w:val="22"/>
        </w:rPr>
      </w:pPr>
    </w:p>
    <w:p w14:paraId="4AF5EB93"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7.</w:t>
      </w:r>
      <w:r w:rsidRPr="006C70FF">
        <w:rPr>
          <w:color w:val="000000" w:themeColor="text1"/>
          <w:sz w:val="22"/>
          <w:szCs w:val="22"/>
        </w:rPr>
        <w:tab/>
        <w:t>If the donor’s blood pressure is found to be above 150/95 mm Hg at the time of G-CSF injection or 180/100 mm Hg at attendance for HSC collection the G-CSF administration nurses or collection centre medical officer should discuss with the BBMR Medical Director or Deputy. It may be useful to discuss their management with a Consultant Cardiologist.</w:t>
      </w:r>
    </w:p>
    <w:p w14:paraId="575B433D" w14:textId="77777777" w:rsidR="00A81DBF" w:rsidRPr="006C70FF" w:rsidRDefault="00A81DBF" w:rsidP="00A81DBF">
      <w:pPr>
        <w:ind w:left="709" w:hanging="709"/>
        <w:rPr>
          <w:color w:val="000000" w:themeColor="text1"/>
          <w:sz w:val="22"/>
          <w:szCs w:val="22"/>
        </w:rPr>
      </w:pPr>
    </w:p>
    <w:p w14:paraId="632F5705" w14:textId="77777777" w:rsidR="00A81DBF" w:rsidRPr="006C70FF" w:rsidRDefault="00A81DBF" w:rsidP="00A81DBF">
      <w:pPr>
        <w:ind w:left="709" w:hanging="709"/>
        <w:rPr>
          <w:b/>
          <w:color w:val="000000" w:themeColor="text1"/>
          <w:sz w:val="22"/>
          <w:szCs w:val="22"/>
        </w:rPr>
      </w:pPr>
      <w:r w:rsidRPr="006C70FF">
        <w:rPr>
          <w:b/>
          <w:color w:val="000000" w:themeColor="text1"/>
          <w:sz w:val="22"/>
          <w:szCs w:val="22"/>
        </w:rPr>
        <w:t>Appendix L (Formerly SOP631) Preventing Post-Operative Anaemia in Bone Marrow Donors</w:t>
      </w:r>
    </w:p>
    <w:p w14:paraId="2A2A4F2F" w14:textId="77777777" w:rsidR="00A81DBF" w:rsidRPr="006C70FF" w:rsidRDefault="00A81DBF" w:rsidP="00A81DBF">
      <w:pPr>
        <w:ind w:left="709" w:hanging="709"/>
        <w:rPr>
          <w:b/>
          <w:color w:val="000000" w:themeColor="text1"/>
          <w:sz w:val="22"/>
          <w:szCs w:val="22"/>
        </w:rPr>
      </w:pPr>
    </w:p>
    <w:p w14:paraId="342C74EC" w14:textId="6B640201" w:rsidR="00A81DBF" w:rsidRPr="006C70FF" w:rsidRDefault="00A81DBF" w:rsidP="00A81DBF">
      <w:pPr>
        <w:numPr>
          <w:ilvl w:val="0"/>
          <w:numId w:val="14"/>
        </w:numPr>
        <w:ind w:left="709" w:hanging="709"/>
        <w:rPr>
          <w:color w:val="000000" w:themeColor="text1"/>
          <w:sz w:val="22"/>
          <w:szCs w:val="22"/>
        </w:rPr>
      </w:pPr>
      <w:r w:rsidRPr="006C70FF">
        <w:rPr>
          <w:color w:val="000000" w:themeColor="text1"/>
          <w:sz w:val="22"/>
          <w:szCs w:val="22"/>
        </w:rPr>
        <w:t xml:space="preserve">Oral Iron may be prescribed to any donor not only females of </w:t>
      </w:r>
      <w:r w:rsidR="002439B3" w:rsidRPr="006C70FF">
        <w:rPr>
          <w:color w:val="000000" w:themeColor="text1"/>
          <w:sz w:val="22"/>
          <w:szCs w:val="22"/>
        </w:rPr>
        <w:t>childbearing</w:t>
      </w:r>
      <w:r w:rsidRPr="006C70FF">
        <w:rPr>
          <w:color w:val="000000" w:themeColor="text1"/>
          <w:sz w:val="22"/>
          <w:szCs w:val="22"/>
        </w:rPr>
        <w:t xml:space="preserve"> potential or on low iron diet</w:t>
      </w:r>
    </w:p>
    <w:p w14:paraId="78226AA8" w14:textId="77777777" w:rsidR="00A81DBF" w:rsidRPr="006C70FF" w:rsidRDefault="00A81DBF" w:rsidP="00A81DBF">
      <w:pPr>
        <w:numPr>
          <w:ilvl w:val="0"/>
          <w:numId w:val="14"/>
        </w:numPr>
        <w:ind w:left="709" w:hanging="709"/>
        <w:rPr>
          <w:color w:val="000000" w:themeColor="text1"/>
          <w:sz w:val="22"/>
          <w:szCs w:val="22"/>
        </w:rPr>
      </w:pPr>
      <w:r w:rsidRPr="006C70FF">
        <w:rPr>
          <w:color w:val="000000" w:themeColor="text1"/>
          <w:sz w:val="22"/>
          <w:szCs w:val="22"/>
        </w:rPr>
        <w:t>To prevent anaemia in BM donors a maximum volume of 20mL/kg donor weight or 1500mL can be harvested. This includes peripheral blood samples requested by the TC on the BM prescription form. On average, a 20ml/kg bone marrow harvest drops the haemoglobin by about 40-50 g/l (NMDP data)</w:t>
      </w:r>
    </w:p>
    <w:p w14:paraId="5B62B47A" w14:textId="77777777" w:rsidR="00A81DBF" w:rsidRPr="006C70FF" w:rsidRDefault="00A81DBF" w:rsidP="00A81DBF">
      <w:pPr>
        <w:numPr>
          <w:ilvl w:val="0"/>
          <w:numId w:val="14"/>
        </w:numPr>
        <w:ind w:left="709" w:hanging="709"/>
        <w:rPr>
          <w:color w:val="000000" w:themeColor="text1"/>
          <w:sz w:val="22"/>
          <w:szCs w:val="22"/>
        </w:rPr>
      </w:pPr>
      <w:r w:rsidRPr="006C70FF">
        <w:rPr>
          <w:color w:val="000000" w:themeColor="text1"/>
          <w:sz w:val="22"/>
          <w:szCs w:val="22"/>
        </w:rPr>
        <w:t>Based on donor’s weight; evaluate whether the total of the estimated marrow volume and peripheral blood requested can be taken.</w:t>
      </w:r>
    </w:p>
    <w:p w14:paraId="74B2997D" w14:textId="77777777" w:rsidR="00A81DBF" w:rsidRPr="006C70FF" w:rsidRDefault="00A81DBF" w:rsidP="00A81DBF">
      <w:pPr>
        <w:numPr>
          <w:ilvl w:val="0"/>
          <w:numId w:val="14"/>
        </w:numPr>
        <w:ind w:left="709" w:hanging="709"/>
        <w:rPr>
          <w:color w:val="000000" w:themeColor="text1"/>
          <w:sz w:val="22"/>
          <w:szCs w:val="22"/>
        </w:rPr>
      </w:pPr>
      <w:r w:rsidRPr="006C70FF">
        <w:rPr>
          <w:color w:val="000000" w:themeColor="text1"/>
          <w:sz w:val="22"/>
        </w:rPr>
        <w:t>Inform BBMR office of the maximum collection volume that can be taken.</w:t>
      </w:r>
    </w:p>
    <w:p w14:paraId="02B74334" w14:textId="77777777" w:rsidR="00A81DBF" w:rsidRPr="006C70FF" w:rsidRDefault="00A81DBF" w:rsidP="00A81DBF">
      <w:pPr>
        <w:rPr>
          <w:color w:val="000000" w:themeColor="text1"/>
          <w:sz w:val="22"/>
          <w:szCs w:val="22"/>
        </w:rPr>
      </w:pPr>
    </w:p>
    <w:p w14:paraId="4B99DFDB" w14:textId="77777777" w:rsidR="00A81DBF" w:rsidRPr="006C70FF" w:rsidRDefault="00A81DBF" w:rsidP="00A81DBF">
      <w:pPr>
        <w:rPr>
          <w:color w:val="000000" w:themeColor="text1"/>
          <w:sz w:val="22"/>
          <w:szCs w:val="22"/>
        </w:rPr>
      </w:pPr>
    </w:p>
    <w:p w14:paraId="692DB6B7" w14:textId="77777777" w:rsidR="00A81DBF" w:rsidRPr="006C70FF" w:rsidRDefault="00A81DBF" w:rsidP="00A81DBF">
      <w:pPr>
        <w:rPr>
          <w:b/>
          <w:color w:val="000000" w:themeColor="text1"/>
          <w:sz w:val="22"/>
          <w:szCs w:val="22"/>
        </w:rPr>
      </w:pPr>
      <w:r w:rsidRPr="006C70FF">
        <w:rPr>
          <w:b/>
          <w:color w:val="000000" w:themeColor="text1"/>
          <w:sz w:val="22"/>
          <w:szCs w:val="22"/>
        </w:rPr>
        <w:br w:type="page"/>
      </w:r>
      <w:r w:rsidRPr="006C70FF">
        <w:rPr>
          <w:b/>
          <w:color w:val="000000" w:themeColor="text1"/>
          <w:sz w:val="22"/>
          <w:szCs w:val="22"/>
        </w:rPr>
        <w:lastRenderedPageBreak/>
        <w:t>Appendix M Management of PBSC Donors with Thrombocytopenia</w:t>
      </w:r>
    </w:p>
    <w:p w14:paraId="19C77961" w14:textId="77777777" w:rsidR="00A81DBF" w:rsidRPr="006C70FF" w:rsidRDefault="00A81DBF" w:rsidP="00A81DBF">
      <w:pPr>
        <w:rPr>
          <w:b/>
          <w:color w:val="000000" w:themeColor="text1"/>
          <w:sz w:val="22"/>
          <w:szCs w:val="22"/>
        </w:rPr>
      </w:pPr>
    </w:p>
    <w:p w14:paraId="14882B20" w14:textId="77777777" w:rsidR="00A81DBF" w:rsidRPr="006C70FF" w:rsidRDefault="00A81DBF" w:rsidP="00A81DBF">
      <w:pPr>
        <w:rPr>
          <w:b/>
          <w:color w:val="000000" w:themeColor="text1"/>
          <w:sz w:val="22"/>
          <w:szCs w:val="22"/>
        </w:rPr>
      </w:pPr>
      <w:r w:rsidRPr="006C70FF">
        <w:rPr>
          <w:b/>
          <w:color w:val="000000" w:themeColor="text1"/>
          <w:sz w:val="22"/>
          <w:szCs w:val="22"/>
        </w:rPr>
        <w:t>1.</w:t>
      </w:r>
      <w:r w:rsidRPr="006C70FF">
        <w:rPr>
          <w:b/>
          <w:color w:val="000000" w:themeColor="text1"/>
          <w:sz w:val="22"/>
          <w:szCs w:val="22"/>
        </w:rPr>
        <w:tab/>
        <w:t>Platelet Count after PBSC Collection</w:t>
      </w:r>
    </w:p>
    <w:p w14:paraId="46EB1688" w14:textId="77777777" w:rsidR="00A81DBF" w:rsidRPr="006C70FF" w:rsidRDefault="00A81DBF" w:rsidP="00A81DBF">
      <w:pPr>
        <w:tabs>
          <w:tab w:val="left" w:pos="900"/>
        </w:tabs>
        <w:ind w:left="709" w:hanging="709"/>
        <w:rPr>
          <w:color w:val="000000" w:themeColor="text1"/>
          <w:sz w:val="22"/>
          <w:szCs w:val="22"/>
        </w:rPr>
      </w:pPr>
      <w:r w:rsidRPr="006C70FF">
        <w:rPr>
          <w:color w:val="000000" w:themeColor="text1"/>
          <w:sz w:val="22"/>
          <w:szCs w:val="22"/>
        </w:rPr>
        <w:t>1.1</w:t>
      </w:r>
      <w:r w:rsidRPr="006C70FF">
        <w:rPr>
          <w:color w:val="000000" w:themeColor="text1"/>
          <w:sz w:val="22"/>
          <w:szCs w:val="22"/>
        </w:rPr>
        <w:tab/>
        <w:t>The service provider shall take a full blood count after each day of PBSC Collection and shall inform the Donor of the result.</w:t>
      </w:r>
    </w:p>
    <w:p w14:paraId="43CC4A2E" w14:textId="77777777" w:rsidR="00A81DBF" w:rsidRPr="006C70FF" w:rsidRDefault="00A81DBF" w:rsidP="00A81DBF">
      <w:pPr>
        <w:numPr>
          <w:ilvl w:val="1"/>
          <w:numId w:val="15"/>
        </w:numPr>
        <w:ind w:left="709" w:hanging="709"/>
        <w:rPr>
          <w:color w:val="000000" w:themeColor="text1"/>
          <w:sz w:val="22"/>
          <w:szCs w:val="22"/>
        </w:rPr>
      </w:pPr>
      <w:r w:rsidRPr="006C70FF">
        <w:rPr>
          <w:color w:val="000000" w:themeColor="text1"/>
          <w:sz w:val="22"/>
          <w:szCs w:val="22"/>
        </w:rPr>
        <w:t>A Donor with a platelet count ≥80 x10</w:t>
      </w:r>
      <w:r w:rsidRPr="006C70FF">
        <w:rPr>
          <w:color w:val="000000" w:themeColor="text1"/>
          <w:sz w:val="22"/>
          <w:szCs w:val="22"/>
          <w:vertAlign w:val="superscript"/>
        </w:rPr>
        <w:t>9</w:t>
      </w:r>
      <w:r w:rsidRPr="006C70FF">
        <w:rPr>
          <w:color w:val="000000" w:themeColor="text1"/>
          <w:sz w:val="22"/>
          <w:szCs w:val="22"/>
        </w:rPr>
        <w:t>/L is not at increased risk of spontaneous or traumatic bleeding and does not require a follow-up platelet count.</w:t>
      </w:r>
    </w:p>
    <w:p w14:paraId="0F469A56" w14:textId="77777777" w:rsidR="00A81DBF" w:rsidRPr="006C70FF" w:rsidRDefault="00A81DBF" w:rsidP="00A81DBF">
      <w:pPr>
        <w:rPr>
          <w:color w:val="000000" w:themeColor="text1"/>
          <w:sz w:val="22"/>
          <w:szCs w:val="22"/>
        </w:rPr>
      </w:pPr>
    </w:p>
    <w:p w14:paraId="229B7DA1" w14:textId="77777777" w:rsidR="00A81DBF" w:rsidRPr="006C70FF" w:rsidRDefault="00A81DBF" w:rsidP="00A81DBF">
      <w:pPr>
        <w:numPr>
          <w:ilvl w:val="0"/>
          <w:numId w:val="16"/>
        </w:numPr>
        <w:ind w:left="709" w:hanging="709"/>
        <w:rPr>
          <w:b/>
          <w:color w:val="000000" w:themeColor="text1"/>
          <w:sz w:val="22"/>
          <w:szCs w:val="22"/>
        </w:rPr>
      </w:pPr>
      <w:r w:rsidRPr="006C70FF">
        <w:rPr>
          <w:b/>
          <w:bCs/>
          <w:color w:val="000000" w:themeColor="text1"/>
          <w:sz w:val="22"/>
          <w:szCs w:val="22"/>
          <w:lang w:val="en"/>
        </w:rPr>
        <w:t>Platelet count &lt;80 x10</w:t>
      </w:r>
      <w:r w:rsidRPr="006C70FF">
        <w:rPr>
          <w:b/>
          <w:bCs/>
          <w:color w:val="000000" w:themeColor="text1"/>
          <w:sz w:val="22"/>
          <w:szCs w:val="22"/>
          <w:vertAlign w:val="superscript"/>
          <w:lang w:val="en"/>
        </w:rPr>
        <w:t>9</w:t>
      </w:r>
      <w:r w:rsidRPr="006C70FF">
        <w:rPr>
          <w:b/>
          <w:bCs/>
          <w:color w:val="000000" w:themeColor="text1"/>
          <w:sz w:val="22"/>
          <w:szCs w:val="22"/>
          <w:lang w:val="en"/>
        </w:rPr>
        <w:t>/L but ≥30 x 10</w:t>
      </w:r>
      <w:r w:rsidRPr="006C70FF">
        <w:rPr>
          <w:b/>
          <w:bCs/>
          <w:color w:val="000000" w:themeColor="text1"/>
          <w:sz w:val="22"/>
          <w:szCs w:val="22"/>
          <w:vertAlign w:val="superscript"/>
          <w:lang w:val="en"/>
        </w:rPr>
        <w:t>9</w:t>
      </w:r>
      <w:r w:rsidRPr="006C70FF">
        <w:rPr>
          <w:b/>
          <w:bCs/>
          <w:color w:val="000000" w:themeColor="text1"/>
          <w:sz w:val="22"/>
          <w:szCs w:val="22"/>
          <w:lang w:val="en"/>
        </w:rPr>
        <w:t>/L – Matters to be explained to the Donor</w:t>
      </w:r>
    </w:p>
    <w:p w14:paraId="422F5FA8" w14:textId="77777777" w:rsidR="00A81DBF" w:rsidRPr="006C70FF" w:rsidRDefault="00A81DBF" w:rsidP="00A81DBF">
      <w:pPr>
        <w:ind w:left="709"/>
        <w:rPr>
          <w:color w:val="000000" w:themeColor="text1"/>
          <w:sz w:val="22"/>
          <w:szCs w:val="22"/>
        </w:rPr>
      </w:pPr>
      <w:r w:rsidRPr="006C70FF">
        <w:rPr>
          <w:color w:val="000000" w:themeColor="text1"/>
          <w:sz w:val="22"/>
          <w:szCs w:val="22"/>
        </w:rPr>
        <w:t>If a Donor has a platelet count &lt;80 x/10</w:t>
      </w:r>
      <w:r w:rsidRPr="006C70FF">
        <w:rPr>
          <w:color w:val="000000" w:themeColor="text1"/>
          <w:sz w:val="22"/>
          <w:szCs w:val="22"/>
          <w:vertAlign w:val="superscript"/>
        </w:rPr>
        <w:t>9</w:t>
      </w:r>
      <w:r w:rsidRPr="006C70FF">
        <w:rPr>
          <w:color w:val="000000" w:themeColor="text1"/>
          <w:sz w:val="22"/>
          <w:szCs w:val="22"/>
        </w:rPr>
        <w:t>/L but ≥30 x10</w:t>
      </w:r>
      <w:r w:rsidRPr="006C70FF">
        <w:rPr>
          <w:color w:val="000000" w:themeColor="text1"/>
          <w:sz w:val="22"/>
          <w:szCs w:val="22"/>
          <w:vertAlign w:val="superscript"/>
        </w:rPr>
        <w:t>9</w:t>
      </w:r>
      <w:r w:rsidRPr="006C70FF">
        <w:rPr>
          <w:color w:val="000000" w:themeColor="text1"/>
          <w:sz w:val="22"/>
          <w:szCs w:val="22"/>
        </w:rPr>
        <w:t>/L, the service provider shall explain the following matters to the Donor</w:t>
      </w:r>
    </w:p>
    <w:p w14:paraId="2E758587" w14:textId="40D05BF2" w:rsidR="00A81DBF" w:rsidRPr="006C70FF" w:rsidRDefault="00AC31DC" w:rsidP="00A81DBF">
      <w:pPr>
        <w:numPr>
          <w:ilvl w:val="1"/>
          <w:numId w:val="17"/>
        </w:numPr>
        <w:tabs>
          <w:tab w:val="num" w:pos="709"/>
        </w:tabs>
        <w:ind w:left="709" w:hanging="709"/>
        <w:rPr>
          <w:color w:val="000000" w:themeColor="text1"/>
          <w:sz w:val="22"/>
        </w:rPr>
      </w:pPr>
      <w:r w:rsidRPr="006C70FF">
        <w:rPr>
          <w:color w:val="000000" w:themeColor="text1"/>
          <w:sz w:val="22"/>
          <w:lang w:val="en"/>
        </w:rPr>
        <w:t xml:space="preserve">     </w:t>
      </w:r>
      <w:r w:rsidR="00A81DBF" w:rsidRPr="006C70FF">
        <w:rPr>
          <w:color w:val="000000" w:themeColor="text1"/>
          <w:sz w:val="22"/>
          <w:lang w:val="en"/>
        </w:rPr>
        <w:t>As a result of the low platelet count, the Donor has a slightly increased risk of heavy bleeding or bruising if injured. Accordingly, if the Donor suffers a head injury, however trivial, such Donor shall go to an Accident and Emergency Department as soon as possible.</w:t>
      </w:r>
      <w:r w:rsidR="00A81DBF" w:rsidRPr="006C70FF">
        <w:rPr>
          <w:color w:val="000000" w:themeColor="text1"/>
          <w:sz w:val="22"/>
        </w:rPr>
        <w:t xml:space="preserve"> </w:t>
      </w:r>
    </w:p>
    <w:p w14:paraId="6D90492F" w14:textId="77777777" w:rsidR="00A81DBF" w:rsidRPr="006C70FF" w:rsidRDefault="00A81DBF" w:rsidP="00A81DBF">
      <w:pPr>
        <w:numPr>
          <w:ilvl w:val="1"/>
          <w:numId w:val="18"/>
        </w:numPr>
        <w:rPr>
          <w:color w:val="000000" w:themeColor="text1"/>
          <w:sz w:val="22"/>
        </w:rPr>
      </w:pPr>
      <w:r w:rsidRPr="006C70FF">
        <w:rPr>
          <w:color w:val="000000" w:themeColor="text1"/>
          <w:sz w:val="22"/>
        </w:rPr>
        <w:t xml:space="preserve">      Female Donors may have heavy or prolonged menstruation.</w:t>
      </w:r>
    </w:p>
    <w:p w14:paraId="5354724E" w14:textId="77777777" w:rsidR="00A81DBF" w:rsidRPr="006C70FF" w:rsidRDefault="00A81DBF" w:rsidP="00A81DBF">
      <w:pPr>
        <w:ind w:left="709" w:hanging="709"/>
        <w:rPr>
          <w:color w:val="000000" w:themeColor="text1"/>
          <w:sz w:val="22"/>
        </w:rPr>
      </w:pPr>
      <w:r w:rsidRPr="006C70FF">
        <w:rPr>
          <w:color w:val="000000" w:themeColor="text1"/>
          <w:sz w:val="22"/>
        </w:rPr>
        <w:t xml:space="preserve">2.3       Donor should not take oral aspirin, ibuprofen, </w:t>
      </w:r>
      <w:proofErr w:type="gramStart"/>
      <w:r w:rsidRPr="006C70FF">
        <w:rPr>
          <w:color w:val="000000" w:themeColor="text1"/>
          <w:sz w:val="22"/>
        </w:rPr>
        <w:t>diclofenac</w:t>
      </w:r>
      <w:proofErr w:type="gramEnd"/>
      <w:r w:rsidRPr="006C70FF">
        <w:rPr>
          <w:color w:val="000000" w:themeColor="text1"/>
          <w:sz w:val="22"/>
        </w:rPr>
        <w:t xml:space="preserve"> or any other non-steroidal anti-inflammatory drug for one week after PBSC Donation, although topical treatments, paracetamol and codeine-based painkillers are acceptable.</w:t>
      </w:r>
    </w:p>
    <w:p w14:paraId="69B1F945" w14:textId="77777777" w:rsidR="00A81DBF" w:rsidRPr="006C70FF" w:rsidRDefault="00A81DBF" w:rsidP="00A81DBF">
      <w:pPr>
        <w:ind w:left="709" w:hanging="709"/>
        <w:rPr>
          <w:color w:val="000000" w:themeColor="text1"/>
          <w:sz w:val="22"/>
        </w:rPr>
      </w:pPr>
      <w:r w:rsidRPr="006C70FF">
        <w:rPr>
          <w:color w:val="000000" w:themeColor="text1"/>
          <w:sz w:val="22"/>
        </w:rPr>
        <w:t>2.4       The Donor should abstain from alcohol for 48 hours after any PBSC Donation</w:t>
      </w:r>
    </w:p>
    <w:p w14:paraId="6BB4AB39" w14:textId="77777777" w:rsidR="00A81DBF" w:rsidRPr="006C70FF" w:rsidRDefault="00A81DBF" w:rsidP="00A81DBF">
      <w:pPr>
        <w:ind w:left="709" w:hanging="709"/>
        <w:rPr>
          <w:color w:val="000000" w:themeColor="text1"/>
          <w:sz w:val="22"/>
        </w:rPr>
      </w:pPr>
      <w:r w:rsidRPr="006C70FF">
        <w:rPr>
          <w:color w:val="000000" w:themeColor="text1"/>
          <w:sz w:val="22"/>
        </w:rPr>
        <w:t>2.5       The Donor does not need to alter his or her travel arrangements.</w:t>
      </w:r>
    </w:p>
    <w:p w14:paraId="0D199DC6" w14:textId="77777777" w:rsidR="00A81DBF" w:rsidRPr="006C70FF" w:rsidRDefault="00A81DBF" w:rsidP="00A81DBF">
      <w:pPr>
        <w:ind w:left="709" w:hanging="709"/>
        <w:rPr>
          <w:color w:val="000000" w:themeColor="text1"/>
          <w:sz w:val="22"/>
        </w:rPr>
      </w:pPr>
      <w:r w:rsidRPr="006C70FF">
        <w:rPr>
          <w:color w:val="000000" w:themeColor="text1"/>
          <w:sz w:val="22"/>
        </w:rPr>
        <w:t>2.6       The service provider shall not carry out allogeneic platelet transfusion unless the Donor suffers severe bleeding. If platelet transfusion is required, the written or oral consent shall be recorded in the Donor’s medical notes.</w:t>
      </w:r>
    </w:p>
    <w:p w14:paraId="2AC67658" w14:textId="77777777" w:rsidR="00A81DBF" w:rsidRPr="006C70FF" w:rsidRDefault="00A81DBF" w:rsidP="00A81DBF">
      <w:pPr>
        <w:ind w:left="709" w:hanging="709"/>
        <w:rPr>
          <w:color w:val="000000" w:themeColor="text1"/>
          <w:sz w:val="22"/>
        </w:rPr>
      </w:pPr>
      <w:r w:rsidRPr="006C70FF">
        <w:rPr>
          <w:color w:val="000000" w:themeColor="text1"/>
          <w:sz w:val="22"/>
        </w:rPr>
        <w:t>2.7      The Donor must see a GP, as soon as possible, if such Donor has any unexplained or prolonged bleeding or bruising more than 48 hours after PBSC Donation</w:t>
      </w:r>
    </w:p>
    <w:p w14:paraId="1AB6D767" w14:textId="77777777" w:rsidR="00A81DBF" w:rsidRPr="006C70FF" w:rsidRDefault="00A81DBF" w:rsidP="00A81DBF">
      <w:pPr>
        <w:rPr>
          <w:color w:val="000000" w:themeColor="text1"/>
          <w:sz w:val="22"/>
          <w:szCs w:val="22"/>
        </w:rPr>
      </w:pPr>
    </w:p>
    <w:p w14:paraId="73723E31" w14:textId="77777777" w:rsidR="00A81DBF" w:rsidRPr="006C70FF" w:rsidRDefault="00A81DBF" w:rsidP="00A81DBF">
      <w:pPr>
        <w:numPr>
          <w:ilvl w:val="0"/>
          <w:numId w:val="16"/>
        </w:numPr>
        <w:ind w:left="709" w:hanging="709"/>
        <w:rPr>
          <w:b/>
          <w:color w:val="000000" w:themeColor="text1"/>
          <w:sz w:val="22"/>
          <w:szCs w:val="22"/>
        </w:rPr>
      </w:pPr>
      <w:r w:rsidRPr="006C70FF">
        <w:rPr>
          <w:b/>
          <w:bCs/>
          <w:color w:val="000000" w:themeColor="text1"/>
          <w:sz w:val="22"/>
          <w:szCs w:val="22"/>
          <w:lang w:val="en"/>
        </w:rPr>
        <w:t>Platelet count &lt;30 x10</w:t>
      </w:r>
      <w:r w:rsidRPr="006C70FF">
        <w:rPr>
          <w:b/>
          <w:bCs/>
          <w:color w:val="000000" w:themeColor="text1"/>
          <w:sz w:val="22"/>
          <w:szCs w:val="22"/>
          <w:vertAlign w:val="superscript"/>
          <w:lang w:val="en"/>
        </w:rPr>
        <w:t>9</w:t>
      </w:r>
      <w:r w:rsidRPr="006C70FF">
        <w:rPr>
          <w:b/>
          <w:bCs/>
          <w:color w:val="000000" w:themeColor="text1"/>
          <w:sz w:val="22"/>
          <w:szCs w:val="22"/>
          <w:lang w:val="en"/>
        </w:rPr>
        <w:t>/L – Matters to be explained to the Donor</w:t>
      </w:r>
      <w:r w:rsidRPr="006C70FF">
        <w:rPr>
          <w:color w:val="000000" w:themeColor="text1"/>
          <w:sz w:val="22"/>
        </w:rPr>
        <w:t xml:space="preserve"> </w:t>
      </w:r>
    </w:p>
    <w:p w14:paraId="00C8CB5A" w14:textId="77777777" w:rsidR="00A81DBF" w:rsidRPr="006C70FF" w:rsidRDefault="00A81DBF" w:rsidP="00A81DBF">
      <w:pPr>
        <w:ind w:left="709"/>
        <w:rPr>
          <w:b/>
          <w:color w:val="000000" w:themeColor="text1"/>
          <w:sz w:val="22"/>
          <w:szCs w:val="22"/>
        </w:rPr>
      </w:pPr>
      <w:r w:rsidRPr="006C70FF">
        <w:rPr>
          <w:bCs/>
          <w:color w:val="000000" w:themeColor="text1"/>
          <w:sz w:val="22"/>
          <w:szCs w:val="22"/>
          <w:lang w:val="en"/>
        </w:rPr>
        <w:t>If a Donor has a</w:t>
      </w:r>
      <w:r w:rsidRPr="006C70FF">
        <w:rPr>
          <w:b/>
          <w:bCs/>
          <w:color w:val="000000" w:themeColor="text1"/>
          <w:sz w:val="22"/>
          <w:szCs w:val="22"/>
          <w:lang w:val="en"/>
        </w:rPr>
        <w:t xml:space="preserve"> </w:t>
      </w:r>
      <w:r w:rsidRPr="006C70FF">
        <w:rPr>
          <w:bCs/>
          <w:color w:val="000000" w:themeColor="text1"/>
          <w:sz w:val="22"/>
          <w:szCs w:val="22"/>
          <w:lang w:val="en"/>
        </w:rPr>
        <w:t>platelet count below &lt;30×10</w:t>
      </w:r>
      <w:r w:rsidRPr="006C70FF">
        <w:rPr>
          <w:bCs/>
          <w:color w:val="000000" w:themeColor="text1"/>
          <w:sz w:val="22"/>
          <w:szCs w:val="22"/>
          <w:vertAlign w:val="superscript"/>
          <w:lang w:val="en"/>
        </w:rPr>
        <w:t>9</w:t>
      </w:r>
      <w:r w:rsidRPr="006C70FF">
        <w:rPr>
          <w:bCs/>
          <w:color w:val="000000" w:themeColor="text1"/>
          <w:sz w:val="22"/>
          <w:szCs w:val="22"/>
          <w:lang w:val="en"/>
        </w:rPr>
        <w:t>/L, the service provider shall reassure the Donor but shall also explain the following matters to the Donor:</w:t>
      </w:r>
    </w:p>
    <w:p w14:paraId="322DDE63" w14:textId="77777777" w:rsidR="00A81DBF" w:rsidRPr="006C70FF" w:rsidRDefault="00A81DBF" w:rsidP="00A81DBF">
      <w:pPr>
        <w:numPr>
          <w:ilvl w:val="1"/>
          <w:numId w:val="19"/>
        </w:numPr>
        <w:rPr>
          <w:color w:val="000000" w:themeColor="text1"/>
          <w:sz w:val="22"/>
          <w:szCs w:val="22"/>
          <w:lang w:val="en"/>
        </w:rPr>
      </w:pPr>
      <w:r w:rsidRPr="006C70FF">
        <w:rPr>
          <w:color w:val="000000" w:themeColor="text1"/>
          <w:sz w:val="22"/>
          <w:szCs w:val="22"/>
        </w:rPr>
        <w:t xml:space="preserve">     </w:t>
      </w:r>
      <w:r w:rsidRPr="006C70FF">
        <w:rPr>
          <w:color w:val="000000" w:themeColor="text1"/>
          <w:sz w:val="22"/>
          <w:szCs w:val="22"/>
          <w:lang w:val="en"/>
        </w:rPr>
        <w:t xml:space="preserve">The Donor has an increased risk of spontaneous or traumatic bleeding which may,    </w:t>
      </w:r>
    </w:p>
    <w:p w14:paraId="24B959A1" w14:textId="77777777" w:rsidR="00A81DBF" w:rsidRPr="006C70FF" w:rsidRDefault="00A81DBF" w:rsidP="00A81DBF">
      <w:pPr>
        <w:rPr>
          <w:color w:val="000000" w:themeColor="text1"/>
          <w:sz w:val="22"/>
          <w:szCs w:val="22"/>
          <w:lang w:val="en"/>
        </w:rPr>
      </w:pPr>
      <w:r w:rsidRPr="006C70FF">
        <w:rPr>
          <w:color w:val="000000" w:themeColor="text1"/>
          <w:sz w:val="22"/>
          <w:szCs w:val="22"/>
          <w:lang w:val="en"/>
        </w:rPr>
        <w:t xml:space="preserve">            very rarely, be life threatening.</w:t>
      </w:r>
    </w:p>
    <w:p w14:paraId="75B03669" w14:textId="77777777" w:rsidR="00A81DBF" w:rsidRPr="006C70FF" w:rsidRDefault="00A81DBF" w:rsidP="00A81DBF">
      <w:pPr>
        <w:ind w:left="709" w:hanging="709"/>
        <w:rPr>
          <w:color w:val="000000" w:themeColor="text1"/>
          <w:sz w:val="22"/>
          <w:szCs w:val="22"/>
          <w:lang w:val="en"/>
        </w:rPr>
      </w:pPr>
      <w:r w:rsidRPr="006C70FF">
        <w:rPr>
          <w:color w:val="000000" w:themeColor="text1"/>
          <w:sz w:val="22"/>
          <w:szCs w:val="22"/>
          <w:lang w:val="en"/>
        </w:rPr>
        <w:t xml:space="preserve">3.2      The Donor must go to an Accident and Emergency Department, as soon as possible, if such Donor experiences a headache, double vision, loss of consciousness, </w:t>
      </w:r>
      <w:proofErr w:type="spellStart"/>
      <w:r w:rsidRPr="006C70FF">
        <w:rPr>
          <w:color w:val="000000" w:themeColor="text1"/>
          <w:sz w:val="22"/>
          <w:szCs w:val="22"/>
          <w:lang w:val="en"/>
        </w:rPr>
        <w:t>haematemesis</w:t>
      </w:r>
      <w:proofErr w:type="spellEnd"/>
      <w:r w:rsidRPr="006C70FF">
        <w:rPr>
          <w:color w:val="000000" w:themeColor="text1"/>
          <w:sz w:val="22"/>
          <w:szCs w:val="22"/>
          <w:lang w:val="en"/>
        </w:rPr>
        <w:t xml:space="preserve"> (vomiting blood), melaena (dark, tarry stools), </w:t>
      </w:r>
      <w:proofErr w:type="spellStart"/>
      <w:r w:rsidRPr="006C70FF">
        <w:rPr>
          <w:color w:val="000000" w:themeColor="text1"/>
          <w:sz w:val="22"/>
          <w:szCs w:val="22"/>
          <w:lang w:val="en"/>
        </w:rPr>
        <w:t>haematuria</w:t>
      </w:r>
      <w:proofErr w:type="spellEnd"/>
      <w:r w:rsidRPr="006C70FF">
        <w:rPr>
          <w:color w:val="000000" w:themeColor="text1"/>
          <w:sz w:val="22"/>
          <w:szCs w:val="22"/>
          <w:lang w:val="en"/>
        </w:rPr>
        <w:t xml:space="preserve"> (blood in the urine), or any other unexplained symptoms. The Donor must also go to an Accident and Emergency Department if he or she has a nosebleed which fails to stop after 20 minutes.</w:t>
      </w:r>
    </w:p>
    <w:p w14:paraId="04245631" w14:textId="77777777" w:rsidR="00A81DBF" w:rsidRPr="006C70FF" w:rsidRDefault="00A81DBF" w:rsidP="00A81DBF">
      <w:pPr>
        <w:ind w:left="709" w:hanging="709"/>
        <w:rPr>
          <w:color w:val="000000" w:themeColor="text1"/>
          <w:sz w:val="22"/>
          <w:szCs w:val="22"/>
          <w:lang w:val="en"/>
        </w:rPr>
      </w:pPr>
      <w:r w:rsidRPr="006C70FF">
        <w:rPr>
          <w:color w:val="000000" w:themeColor="text1"/>
          <w:sz w:val="22"/>
          <w:szCs w:val="22"/>
          <w:lang w:val="en"/>
        </w:rPr>
        <w:t>3.3       A female Donor who is menstruating at the time of collection, or shortly after, may have a heavy or prolonged period, and should obtain a prescription for tranexamic acid, either from the service provider, her GP or an Accident and Emergency Department.</w:t>
      </w:r>
    </w:p>
    <w:p w14:paraId="010B5139" w14:textId="77777777" w:rsidR="00A81DBF" w:rsidRPr="006C70FF" w:rsidRDefault="00A81DBF" w:rsidP="00A81DBF">
      <w:pPr>
        <w:numPr>
          <w:ilvl w:val="1"/>
          <w:numId w:val="20"/>
        </w:numPr>
        <w:ind w:left="709" w:hanging="709"/>
        <w:rPr>
          <w:color w:val="000000" w:themeColor="text1"/>
          <w:sz w:val="22"/>
          <w:szCs w:val="22"/>
          <w:lang w:val="en"/>
        </w:rPr>
      </w:pPr>
      <w:r w:rsidRPr="006C70FF">
        <w:rPr>
          <w:color w:val="000000" w:themeColor="text1"/>
          <w:sz w:val="22"/>
          <w:szCs w:val="22"/>
          <w:lang w:val="en"/>
        </w:rPr>
        <w:t xml:space="preserve">The Donor must not take aspirin, ibuprofen, </w:t>
      </w:r>
      <w:proofErr w:type="gramStart"/>
      <w:r w:rsidRPr="006C70FF">
        <w:rPr>
          <w:color w:val="000000" w:themeColor="text1"/>
          <w:sz w:val="22"/>
          <w:szCs w:val="22"/>
          <w:lang w:val="en"/>
        </w:rPr>
        <w:t>diclofenac</w:t>
      </w:r>
      <w:proofErr w:type="gramEnd"/>
      <w:r w:rsidRPr="006C70FF">
        <w:rPr>
          <w:color w:val="000000" w:themeColor="text1"/>
          <w:sz w:val="22"/>
          <w:szCs w:val="22"/>
          <w:lang w:val="en"/>
        </w:rPr>
        <w:t xml:space="preserve"> or any other non-steroidal anti-inflammatory drug until a repeat full blood count shows a platelet count ≥100 x10</w:t>
      </w:r>
      <w:r w:rsidRPr="006C70FF">
        <w:rPr>
          <w:color w:val="000000" w:themeColor="text1"/>
          <w:sz w:val="22"/>
          <w:szCs w:val="22"/>
          <w:vertAlign w:val="superscript"/>
          <w:lang w:val="en"/>
        </w:rPr>
        <w:t>9</w:t>
      </w:r>
      <w:r w:rsidRPr="006C70FF">
        <w:rPr>
          <w:color w:val="000000" w:themeColor="text1"/>
          <w:sz w:val="22"/>
          <w:szCs w:val="22"/>
          <w:lang w:val="en"/>
        </w:rPr>
        <w:t>/L.</w:t>
      </w:r>
    </w:p>
    <w:p w14:paraId="2A37ACC2" w14:textId="77777777" w:rsidR="00A81DBF" w:rsidRPr="006C70FF" w:rsidRDefault="00A81DBF" w:rsidP="00A81DBF">
      <w:pPr>
        <w:numPr>
          <w:ilvl w:val="1"/>
          <w:numId w:val="20"/>
        </w:numPr>
        <w:ind w:left="709" w:hanging="709"/>
        <w:rPr>
          <w:color w:val="000000" w:themeColor="text1"/>
          <w:sz w:val="22"/>
          <w:szCs w:val="22"/>
          <w:lang w:val="en"/>
        </w:rPr>
      </w:pPr>
      <w:r w:rsidRPr="006C70FF">
        <w:rPr>
          <w:color w:val="000000" w:themeColor="text1"/>
          <w:sz w:val="22"/>
          <w:szCs w:val="22"/>
          <w:lang w:val="en"/>
        </w:rPr>
        <w:t>The Donor should abstain from alcohol for 48 hours after any PBSC Donation.</w:t>
      </w:r>
    </w:p>
    <w:p w14:paraId="45D159E7" w14:textId="3FA09803" w:rsidR="00AC31DC" w:rsidRPr="006C70FF" w:rsidRDefault="00A81DBF" w:rsidP="00AC31DC">
      <w:pPr>
        <w:numPr>
          <w:ilvl w:val="1"/>
          <w:numId w:val="20"/>
        </w:numPr>
        <w:ind w:left="709" w:hanging="709"/>
        <w:rPr>
          <w:color w:val="000000" w:themeColor="text1"/>
          <w:sz w:val="22"/>
          <w:szCs w:val="22"/>
          <w:lang w:val="en"/>
        </w:rPr>
      </w:pPr>
      <w:r w:rsidRPr="006C70FF">
        <w:rPr>
          <w:color w:val="000000" w:themeColor="text1"/>
          <w:sz w:val="22"/>
          <w:szCs w:val="22"/>
          <w:lang w:val="en"/>
        </w:rPr>
        <w:t>There is no evidence that flying increases the risk of bleeding, even in those with platelets &lt;10 x10</w:t>
      </w:r>
      <w:r w:rsidRPr="006C70FF">
        <w:rPr>
          <w:color w:val="000000" w:themeColor="text1"/>
          <w:sz w:val="22"/>
          <w:szCs w:val="22"/>
          <w:vertAlign w:val="superscript"/>
          <w:lang w:val="en"/>
        </w:rPr>
        <w:t>9</w:t>
      </w:r>
      <w:r w:rsidRPr="006C70FF">
        <w:rPr>
          <w:color w:val="000000" w:themeColor="text1"/>
          <w:sz w:val="22"/>
          <w:szCs w:val="22"/>
          <w:lang w:val="en"/>
        </w:rPr>
        <w:t>/L, so a Donor does not need to alter any travel arrangements unless he or she is bleeding. Donors who are bleeding should not fly. If a Donor had planned to fly, but is still bleeding, the Donor should, at the discretion of the service provider doctor, either be admitted to the Collection Centre, or offered an overnight stay near the Collection Centre; and BBMR shall be notified.  If the Donor insists on returning home at once, then BBMR shall do its best to arrange land travel for the Donor.</w:t>
      </w:r>
    </w:p>
    <w:p w14:paraId="0EF488D4" w14:textId="77777777" w:rsidR="00AC31DC" w:rsidRPr="006C70FF" w:rsidRDefault="00AC31DC">
      <w:pPr>
        <w:rPr>
          <w:color w:val="000000" w:themeColor="text1"/>
          <w:sz w:val="22"/>
          <w:szCs w:val="22"/>
          <w:lang w:val="en"/>
        </w:rPr>
      </w:pPr>
      <w:r w:rsidRPr="006C70FF">
        <w:rPr>
          <w:color w:val="000000" w:themeColor="text1"/>
          <w:sz w:val="22"/>
          <w:szCs w:val="22"/>
          <w:lang w:val="en"/>
        </w:rPr>
        <w:br w:type="page"/>
      </w:r>
    </w:p>
    <w:p w14:paraId="129D8268" w14:textId="77777777" w:rsidR="00AC31DC" w:rsidRPr="006C70FF" w:rsidRDefault="00AC31DC" w:rsidP="00AC31DC">
      <w:pPr>
        <w:ind w:left="709"/>
        <w:rPr>
          <w:color w:val="000000" w:themeColor="text1"/>
          <w:sz w:val="22"/>
          <w:szCs w:val="22"/>
          <w:lang w:val="en"/>
        </w:rPr>
      </w:pPr>
    </w:p>
    <w:p w14:paraId="43C362FB" w14:textId="77777777" w:rsidR="00A81DBF" w:rsidRPr="006C70FF" w:rsidRDefault="00A81DBF" w:rsidP="00A81DBF">
      <w:pPr>
        <w:numPr>
          <w:ilvl w:val="0"/>
          <w:numId w:val="16"/>
        </w:numPr>
        <w:rPr>
          <w:b/>
          <w:color w:val="000000" w:themeColor="text1"/>
          <w:sz w:val="22"/>
          <w:szCs w:val="22"/>
        </w:rPr>
      </w:pPr>
      <w:r w:rsidRPr="006C70FF">
        <w:rPr>
          <w:b/>
          <w:bCs/>
          <w:color w:val="000000" w:themeColor="text1"/>
          <w:sz w:val="22"/>
          <w:szCs w:val="22"/>
          <w:lang w:val="en"/>
        </w:rPr>
        <w:t>Platelet count &lt;30×10</w:t>
      </w:r>
      <w:r w:rsidRPr="006C70FF">
        <w:rPr>
          <w:b/>
          <w:bCs/>
          <w:color w:val="000000" w:themeColor="text1"/>
          <w:sz w:val="22"/>
          <w:szCs w:val="22"/>
          <w:vertAlign w:val="superscript"/>
          <w:lang w:val="en"/>
        </w:rPr>
        <w:t>9</w:t>
      </w:r>
      <w:r w:rsidRPr="006C70FF">
        <w:rPr>
          <w:b/>
          <w:bCs/>
          <w:color w:val="000000" w:themeColor="text1"/>
          <w:sz w:val="22"/>
          <w:szCs w:val="22"/>
          <w:lang w:val="en"/>
        </w:rPr>
        <w:t>/L – Repeat Blood Count</w:t>
      </w:r>
    </w:p>
    <w:p w14:paraId="39B91BED"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4.1      The service provider shall advise the Donor to have a repeat full blood count taken by a GP between five and ten days after collection, to check that the Donor’s platelet count has reverted to a safe level.</w:t>
      </w:r>
    </w:p>
    <w:p w14:paraId="0D712213" w14:textId="77777777" w:rsidR="00A81DBF" w:rsidRPr="006C70FF" w:rsidRDefault="00A81DBF" w:rsidP="00A81DBF">
      <w:pPr>
        <w:rPr>
          <w:color w:val="000000" w:themeColor="text1"/>
          <w:sz w:val="22"/>
          <w:szCs w:val="22"/>
        </w:rPr>
      </w:pPr>
    </w:p>
    <w:p w14:paraId="4834F79D" w14:textId="77777777" w:rsidR="00A81DBF" w:rsidRPr="006C70FF" w:rsidRDefault="00A81DBF" w:rsidP="00A81DBF">
      <w:pPr>
        <w:numPr>
          <w:ilvl w:val="0"/>
          <w:numId w:val="16"/>
        </w:numPr>
        <w:rPr>
          <w:b/>
          <w:color w:val="000000" w:themeColor="text1"/>
          <w:sz w:val="22"/>
          <w:szCs w:val="22"/>
        </w:rPr>
      </w:pPr>
      <w:r w:rsidRPr="006C70FF">
        <w:rPr>
          <w:color w:val="000000" w:themeColor="text1"/>
          <w:sz w:val="22"/>
          <w:szCs w:val="22"/>
        </w:rPr>
        <w:t xml:space="preserve"> </w:t>
      </w:r>
      <w:r w:rsidRPr="006C70FF">
        <w:rPr>
          <w:b/>
          <w:color w:val="000000" w:themeColor="text1"/>
          <w:sz w:val="22"/>
          <w:szCs w:val="22"/>
        </w:rPr>
        <w:t>Platelet count &lt;30×10</w:t>
      </w:r>
      <w:r w:rsidRPr="006C70FF">
        <w:rPr>
          <w:b/>
          <w:color w:val="000000" w:themeColor="text1"/>
          <w:sz w:val="22"/>
          <w:szCs w:val="22"/>
          <w:vertAlign w:val="superscript"/>
        </w:rPr>
        <w:t>9</w:t>
      </w:r>
      <w:r w:rsidRPr="006C70FF">
        <w:rPr>
          <w:b/>
          <w:color w:val="000000" w:themeColor="text1"/>
          <w:sz w:val="22"/>
          <w:szCs w:val="22"/>
        </w:rPr>
        <w:t>/L – Oral Mucosal Bleeding</w:t>
      </w:r>
    </w:p>
    <w:p w14:paraId="330C0B2B"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 xml:space="preserve">5.1       If a Donor has evidence of oral mucosal bleeding (wet purpura), the Collection Centre shall monitor the </w:t>
      </w:r>
      <w:proofErr w:type="gramStart"/>
      <w:r w:rsidRPr="006C70FF">
        <w:rPr>
          <w:color w:val="000000" w:themeColor="text1"/>
          <w:sz w:val="22"/>
          <w:szCs w:val="22"/>
        </w:rPr>
        <w:t>Donor, if</w:t>
      </w:r>
      <w:proofErr w:type="gramEnd"/>
      <w:r w:rsidRPr="006C70FF">
        <w:rPr>
          <w:color w:val="000000" w:themeColor="text1"/>
          <w:sz w:val="22"/>
          <w:szCs w:val="22"/>
        </w:rPr>
        <w:t xml:space="preserve"> this is feasible. If the Donor has already left the Collection Centre and is no longer in the vicinity, the Donor should go to an Accident and Emergency Department.</w:t>
      </w:r>
    </w:p>
    <w:p w14:paraId="70152EE2" w14:textId="77777777" w:rsidR="00A81DBF" w:rsidRPr="006C70FF" w:rsidRDefault="00A81DBF" w:rsidP="00A81DBF">
      <w:pPr>
        <w:rPr>
          <w:color w:val="000000" w:themeColor="text1"/>
          <w:sz w:val="22"/>
          <w:szCs w:val="22"/>
        </w:rPr>
      </w:pPr>
      <w:r w:rsidRPr="006C70FF">
        <w:rPr>
          <w:color w:val="000000" w:themeColor="text1"/>
          <w:sz w:val="22"/>
          <w:szCs w:val="22"/>
        </w:rPr>
        <w:t xml:space="preserve"> </w:t>
      </w:r>
    </w:p>
    <w:p w14:paraId="77B49221" w14:textId="77777777" w:rsidR="00A81DBF" w:rsidRPr="006C70FF" w:rsidRDefault="00A81DBF" w:rsidP="00A81DBF">
      <w:pPr>
        <w:numPr>
          <w:ilvl w:val="0"/>
          <w:numId w:val="16"/>
        </w:numPr>
        <w:rPr>
          <w:b/>
          <w:color w:val="000000" w:themeColor="text1"/>
          <w:sz w:val="22"/>
          <w:szCs w:val="22"/>
        </w:rPr>
      </w:pPr>
      <w:r w:rsidRPr="006C70FF">
        <w:rPr>
          <w:color w:val="000000" w:themeColor="text1"/>
          <w:sz w:val="22"/>
          <w:szCs w:val="22"/>
        </w:rPr>
        <w:t xml:space="preserve"> </w:t>
      </w:r>
      <w:r w:rsidRPr="006C70FF">
        <w:rPr>
          <w:b/>
          <w:color w:val="000000" w:themeColor="text1"/>
          <w:sz w:val="22"/>
          <w:szCs w:val="22"/>
        </w:rPr>
        <w:t>Platelet count &lt;30×10</w:t>
      </w:r>
      <w:r w:rsidRPr="006C70FF">
        <w:rPr>
          <w:b/>
          <w:color w:val="000000" w:themeColor="text1"/>
          <w:sz w:val="22"/>
          <w:szCs w:val="22"/>
          <w:vertAlign w:val="superscript"/>
        </w:rPr>
        <w:t>9</w:t>
      </w:r>
      <w:r w:rsidRPr="006C70FF">
        <w:rPr>
          <w:b/>
          <w:color w:val="000000" w:themeColor="text1"/>
          <w:sz w:val="22"/>
          <w:szCs w:val="22"/>
        </w:rPr>
        <w:t>/L – Allogeneic Platelet Transfusion</w:t>
      </w:r>
    </w:p>
    <w:p w14:paraId="6556E9E8" w14:textId="77777777" w:rsidR="00A81DBF" w:rsidRPr="006C70FF" w:rsidRDefault="00A81DBF" w:rsidP="00A81DBF">
      <w:pPr>
        <w:ind w:left="709" w:hanging="709"/>
        <w:rPr>
          <w:color w:val="000000" w:themeColor="text1"/>
          <w:sz w:val="22"/>
          <w:szCs w:val="22"/>
        </w:rPr>
      </w:pPr>
      <w:r w:rsidRPr="006C70FF">
        <w:rPr>
          <w:color w:val="000000" w:themeColor="text1"/>
          <w:sz w:val="22"/>
          <w:szCs w:val="22"/>
        </w:rPr>
        <w:t>6.1       The service provider shall not give a Donor an allogeneic platelet transfusion unless the Donor is suffering from life-threatening bleeding, in which case the transfusion shall be given at the discretion of the attending doctor. The Donor must give consent which must be documented in the Donor’s medical notes.</w:t>
      </w:r>
    </w:p>
    <w:p w14:paraId="5258551A" w14:textId="77777777" w:rsidR="00A81DBF" w:rsidRPr="006C70FF" w:rsidRDefault="00A81DBF" w:rsidP="00A81DBF">
      <w:pPr>
        <w:rPr>
          <w:color w:val="000000" w:themeColor="text1"/>
          <w:sz w:val="22"/>
          <w:szCs w:val="22"/>
        </w:rPr>
      </w:pPr>
    </w:p>
    <w:p w14:paraId="21C5AEE6" w14:textId="77777777" w:rsidR="00A81DBF" w:rsidRPr="006C70FF" w:rsidRDefault="00A81DBF" w:rsidP="00A81DBF">
      <w:pPr>
        <w:rPr>
          <w:b/>
          <w:color w:val="000000" w:themeColor="text1"/>
          <w:sz w:val="22"/>
          <w:szCs w:val="22"/>
        </w:rPr>
      </w:pPr>
      <w:r w:rsidRPr="006C70FF">
        <w:rPr>
          <w:b/>
          <w:color w:val="000000" w:themeColor="text1"/>
          <w:sz w:val="22"/>
          <w:szCs w:val="22"/>
        </w:rPr>
        <w:t>7.   Platelet count &lt;30×10</w:t>
      </w:r>
      <w:r w:rsidRPr="006C70FF">
        <w:rPr>
          <w:b/>
          <w:color w:val="000000" w:themeColor="text1"/>
          <w:sz w:val="22"/>
          <w:szCs w:val="22"/>
          <w:vertAlign w:val="superscript"/>
        </w:rPr>
        <w:t>9</w:t>
      </w:r>
      <w:r w:rsidRPr="006C70FF">
        <w:rPr>
          <w:b/>
          <w:color w:val="000000" w:themeColor="text1"/>
          <w:sz w:val="22"/>
          <w:szCs w:val="22"/>
        </w:rPr>
        <w:t>/L – Notification of Transplant Centre</w:t>
      </w:r>
    </w:p>
    <w:p w14:paraId="37D368F9" w14:textId="77777777" w:rsidR="00A81DBF" w:rsidRPr="006C70FF" w:rsidRDefault="00A81DBF" w:rsidP="00A81DBF">
      <w:pPr>
        <w:tabs>
          <w:tab w:val="left" w:pos="720"/>
          <w:tab w:val="left" w:pos="900"/>
        </w:tabs>
        <w:ind w:left="720" w:hanging="720"/>
        <w:rPr>
          <w:color w:val="000000" w:themeColor="text1"/>
          <w:sz w:val="22"/>
          <w:szCs w:val="22"/>
        </w:rPr>
      </w:pPr>
      <w:r w:rsidRPr="006C70FF">
        <w:rPr>
          <w:color w:val="000000" w:themeColor="text1"/>
          <w:sz w:val="22"/>
          <w:szCs w:val="22"/>
        </w:rPr>
        <w:t>7.1       BBMR shall immediately inform the Transplant Centre that the Donor will not be available for any future Lymphocyte Donation. After receiving this information, the Transplant Centre may cryopreserve Lymphocytes from the PBSC Collection.</w:t>
      </w:r>
    </w:p>
    <w:p w14:paraId="446EF3DF" w14:textId="77777777" w:rsidR="00A81DBF" w:rsidRPr="006C70FF" w:rsidRDefault="00A81DBF" w:rsidP="00A81DBF">
      <w:pPr>
        <w:rPr>
          <w:color w:val="000000" w:themeColor="text1"/>
          <w:sz w:val="22"/>
          <w:szCs w:val="22"/>
        </w:rPr>
      </w:pPr>
    </w:p>
    <w:p w14:paraId="6F8E7C90" w14:textId="77777777" w:rsidR="00A81DBF" w:rsidRPr="006C70FF" w:rsidRDefault="00A81DBF" w:rsidP="00A81DBF">
      <w:pPr>
        <w:numPr>
          <w:ilvl w:val="0"/>
          <w:numId w:val="21"/>
        </w:numPr>
        <w:rPr>
          <w:b/>
          <w:color w:val="000000" w:themeColor="text1"/>
          <w:sz w:val="22"/>
          <w:szCs w:val="22"/>
        </w:rPr>
      </w:pPr>
      <w:r w:rsidRPr="006C70FF">
        <w:rPr>
          <w:b/>
          <w:color w:val="000000" w:themeColor="text1"/>
          <w:sz w:val="22"/>
          <w:szCs w:val="22"/>
        </w:rPr>
        <w:t>Donors Requiring a Second Day of Collection</w:t>
      </w:r>
    </w:p>
    <w:p w14:paraId="484D9640" w14:textId="77777777" w:rsidR="00A81DBF" w:rsidRPr="006C70FF" w:rsidRDefault="00A81DBF" w:rsidP="00A81DBF">
      <w:pPr>
        <w:numPr>
          <w:ilvl w:val="1"/>
          <w:numId w:val="22"/>
        </w:numPr>
        <w:tabs>
          <w:tab w:val="clear" w:pos="360"/>
          <w:tab w:val="num" w:pos="709"/>
          <w:tab w:val="left" w:pos="900"/>
        </w:tabs>
        <w:ind w:left="720" w:hanging="720"/>
        <w:rPr>
          <w:color w:val="000000" w:themeColor="text1"/>
          <w:sz w:val="22"/>
          <w:szCs w:val="22"/>
        </w:rPr>
      </w:pPr>
      <w:r w:rsidRPr="006C70FF">
        <w:rPr>
          <w:color w:val="000000" w:themeColor="text1"/>
          <w:sz w:val="22"/>
          <w:szCs w:val="22"/>
        </w:rPr>
        <w:t>If a Donor has a platelet count &lt;80 x10</w:t>
      </w:r>
      <w:r w:rsidRPr="006C70FF">
        <w:rPr>
          <w:color w:val="000000" w:themeColor="text1"/>
          <w:sz w:val="22"/>
          <w:szCs w:val="22"/>
          <w:vertAlign w:val="superscript"/>
        </w:rPr>
        <w:t>9</w:t>
      </w:r>
      <w:r w:rsidRPr="006C70FF">
        <w:rPr>
          <w:color w:val="000000" w:themeColor="text1"/>
          <w:sz w:val="22"/>
          <w:szCs w:val="22"/>
        </w:rPr>
        <w:t>/L at the end of the first day of PBSC collection, the service provider should discuss such Donor with medical staff at BBMR before proceeding with a second day of PBSC Collection. The service provider must perform the platelet count at the end of the first day of collection (rather than repeating the platelet count on the morning of the second day of collection) because the decision, by the BBMR and service provider medical teams, on whether to proceed or not determines whether the service provider administers the fifth dose of G-CSF.</w:t>
      </w:r>
    </w:p>
    <w:p w14:paraId="6389EB7E" w14:textId="77777777" w:rsidR="00A81DBF" w:rsidRPr="006C70FF" w:rsidRDefault="00A81DBF" w:rsidP="00A81DBF">
      <w:pPr>
        <w:numPr>
          <w:ilvl w:val="1"/>
          <w:numId w:val="22"/>
        </w:numPr>
        <w:tabs>
          <w:tab w:val="clear" w:pos="360"/>
          <w:tab w:val="num" w:pos="709"/>
        </w:tabs>
        <w:ind w:left="720" w:hanging="720"/>
        <w:rPr>
          <w:color w:val="000000" w:themeColor="text1"/>
          <w:sz w:val="22"/>
          <w:szCs w:val="22"/>
        </w:rPr>
      </w:pPr>
      <w:r w:rsidRPr="006C70FF">
        <w:rPr>
          <w:color w:val="000000" w:themeColor="text1"/>
          <w:sz w:val="22"/>
          <w:szCs w:val="22"/>
        </w:rPr>
        <w:t>If a Donor has a platelet count &lt;150 x10</w:t>
      </w:r>
      <w:r w:rsidRPr="006C70FF">
        <w:rPr>
          <w:color w:val="000000" w:themeColor="text1"/>
          <w:sz w:val="22"/>
          <w:szCs w:val="22"/>
          <w:vertAlign w:val="superscript"/>
        </w:rPr>
        <w:t>9</w:t>
      </w:r>
      <w:r w:rsidRPr="006C70FF">
        <w:rPr>
          <w:color w:val="000000" w:themeColor="text1"/>
          <w:sz w:val="22"/>
          <w:szCs w:val="22"/>
        </w:rPr>
        <w:t>/L at the end of the first day of collection, such Donor should not leave the Collection Centre until he or she has received the result of the full blood count performed after the second collection.</w:t>
      </w:r>
    </w:p>
    <w:p w14:paraId="3D1C1D3C" w14:textId="77777777" w:rsidR="00A81DBF" w:rsidRPr="006C70FF" w:rsidRDefault="00A81DBF" w:rsidP="00A81DBF">
      <w:pPr>
        <w:rPr>
          <w:color w:val="000000" w:themeColor="text1"/>
          <w:sz w:val="22"/>
          <w:szCs w:val="22"/>
        </w:rPr>
      </w:pPr>
      <w:r w:rsidRPr="006C70FF">
        <w:rPr>
          <w:color w:val="000000" w:themeColor="text1"/>
          <w:sz w:val="22"/>
          <w:szCs w:val="22"/>
        </w:rPr>
        <w:t xml:space="preserve"> </w:t>
      </w:r>
    </w:p>
    <w:p w14:paraId="7A9A662D" w14:textId="77777777" w:rsidR="00A81DBF" w:rsidRPr="006C70FF" w:rsidRDefault="00A81DBF" w:rsidP="00A81DBF">
      <w:pPr>
        <w:numPr>
          <w:ilvl w:val="0"/>
          <w:numId w:val="22"/>
        </w:numPr>
        <w:tabs>
          <w:tab w:val="num" w:pos="540"/>
        </w:tabs>
        <w:ind w:left="851" w:hanging="851"/>
        <w:rPr>
          <w:b/>
          <w:color w:val="000000" w:themeColor="text1"/>
          <w:sz w:val="22"/>
          <w:szCs w:val="22"/>
        </w:rPr>
      </w:pPr>
      <w:r w:rsidRPr="006C70FF">
        <w:rPr>
          <w:b/>
          <w:color w:val="000000" w:themeColor="text1"/>
          <w:sz w:val="22"/>
          <w:szCs w:val="22"/>
        </w:rPr>
        <w:t>Platelet Adverse Reaction Reporting</w:t>
      </w:r>
    </w:p>
    <w:p w14:paraId="104ED552" w14:textId="77777777" w:rsidR="00A81DBF" w:rsidRPr="006C70FF" w:rsidRDefault="00A81DBF" w:rsidP="00A81DBF">
      <w:pPr>
        <w:numPr>
          <w:ilvl w:val="1"/>
          <w:numId w:val="22"/>
        </w:numPr>
        <w:tabs>
          <w:tab w:val="clear" w:pos="360"/>
          <w:tab w:val="num" w:pos="709"/>
        </w:tabs>
        <w:ind w:left="720" w:hanging="720"/>
        <w:rPr>
          <w:color w:val="000000" w:themeColor="text1"/>
          <w:sz w:val="22"/>
          <w:szCs w:val="22"/>
        </w:rPr>
      </w:pPr>
      <w:r w:rsidRPr="006C70FF">
        <w:rPr>
          <w:color w:val="000000" w:themeColor="text1"/>
          <w:sz w:val="22"/>
          <w:szCs w:val="22"/>
        </w:rPr>
        <w:t>If a Donor has a platelet count of &lt;80 x10</w:t>
      </w:r>
      <w:r w:rsidRPr="006C70FF">
        <w:rPr>
          <w:color w:val="000000" w:themeColor="text1"/>
          <w:sz w:val="22"/>
          <w:szCs w:val="22"/>
          <w:vertAlign w:val="superscript"/>
        </w:rPr>
        <w:t>9</w:t>
      </w:r>
      <w:r w:rsidRPr="006C70FF">
        <w:rPr>
          <w:color w:val="000000" w:themeColor="text1"/>
          <w:sz w:val="22"/>
          <w:szCs w:val="22"/>
        </w:rPr>
        <w:t xml:space="preserve">/L, the service provider must notify the BBMR Team by email </w:t>
      </w:r>
      <w:hyperlink r:id="rId25" w:history="1">
        <w:r w:rsidRPr="006C70FF">
          <w:rPr>
            <w:color w:val="000000" w:themeColor="text1"/>
            <w:sz w:val="22"/>
            <w:szCs w:val="22"/>
            <w:u w:val="single"/>
          </w:rPr>
          <w:t>BBMR@nhsbt.nhs.uk</w:t>
        </w:r>
      </w:hyperlink>
      <w:r w:rsidRPr="006C70FF">
        <w:rPr>
          <w:color w:val="000000" w:themeColor="text1"/>
          <w:sz w:val="22"/>
          <w:szCs w:val="22"/>
        </w:rPr>
        <w:t xml:space="preserve"> </w:t>
      </w:r>
    </w:p>
    <w:p w14:paraId="3B5A5FC4" w14:textId="77777777" w:rsidR="00A81DBF" w:rsidRPr="006C70FF" w:rsidRDefault="00A81DBF" w:rsidP="00A81DBF">
      <w:pPr>
        <w:numPr>
          <w:ilvl w:val="1"/>
          <w:numId w:val="22"/>
        </w:numPr>
        <w:tabs>
          <w:tab w:val="clear" w:pos="360"/>
          <w:tab w:val="num" w:pos="709"/>
        </w:tabs>
        <w:ind w:left="720" w:hanging="720"/>
        <w:rPr>
          <w:color w:val="000000" w:themeColor="text1"/>
          <w:sz w:val="22"/>
          <w:szCs w:val="22"/>
        </w:rPr>
      </w:pPr>
      <w:r w:rsidRPr="006C70FF">
        <w:rPr>
          <w:color w:val="000000" w:themeColor="text1"/>
          <w:sz w:val="22"/>
          <w:szCs w:val="22"/>
        </w:rPr>
        <w:t>If a Donor has a platelet count of &lt;30 x10</w:t>
      </w:r>
      <w:r w:rsidRPr="006C70FF">
        <w:rPr>
          <w:color w:val="000000" w:themeColor="text1"/>
          <w:sz w:val="22"/>
          <w:szCs w:val="22"/>
          <w:vertAlign w:val="superscript"/>
        </w:rPr>
        <w:t>9</w:t>
      </w:r>
      <w:r w:rsidRPr="006C70FF">
        <w:rPr>
          <w:color w:val="000000" w:themeColor="text1"/>
          <w:sz w:val="22"/>
          <w:szCs w:val="22"/>
        </w:rPr>
        <w:t xml:space="preserve">/L, the service provider must immediately notify BBMR by email </w:t>
      </w:r>
      <w:hyperlink r:id="rId26" w:history="1">
        <w:r w:rsidRPr="006C70FF">
          <w:rPr>
            <w:color w:val="000000" w:themeColor="text1"/>
            <w:sz w:val="22"/>
            <w:szCs w:val="22"/>
            <w:u w:val="single"/>
          </w:rPr>
          <w:t>BBMR@nhsbt.nhs.uk</w:t>
        </w:r>
      </w:hyperlink>
      <w:r w:rsidRPr="006C70FF">
        <w:rPr>
          <w:color w:val="000000" w:themeColor="text1"/>
          <w:sz w:val="22"/>
          <w:szCs w:val="22"/>
        </w:rPr>
        <w:t xml:space="preserve"> and by telephoning </w:t>
      </w:r>
      <w:r w:rsidRPr="006C70FF">
        <w:rPr>
          <w:rFonts w:cs="Arial"/>
          <w:color w:val="000000" w:themeColor="text1"/>
          <w:sz w:val="22"/>
          <w:szCs w:val="22"/>
        </w:rPr>
        <w:t>01179125729</w:t>
      </w:r>
    </w:p>
    <w:p w14:paraId="1518A5CB" w14:textId="77777777" w:rsidR="00A81DBF" w:rsidRPr="006C70FF" w:rsidRDefault="00A81DBF" w:rsidP="00A81DBF">
      <w:pPr>
        <w:tabs>
          <w:tab w:val="left" w:pos="720"/>
        </w:tabs>
        <w:rPr>
          <w:color w:val="000000" w:themeColor="text1"/>
          <w:sz w:val="22"/>
          <w:szCs w:val="22"/>
        </w:rPr>
      </w:pPr>
    </w:p>
    <w:p w14:paraId="6D9D0A13" w14:textId="77777777" w:rsidR="00A81DBF" w:rsidRPr="006C70FF" w:rsidRDefault="00A81DBF" w:rsidP="00A81DBF">
      <w:pPr>
        <w:numPr>
          <w:ilvl w:val="0"/>
          <w:numId w:val="22"/>
        </w:numPr>
        <w:tabs>
          <w:tab w:val="left" w:pos="720"/>
        </w:tabs>
        <w:rPr>
          <w:b/>
          <w:color w:val="000000" w:themeColor="text1"/>
          <w:sz w:val="22"/>
          <w:szCs w:val="22"/>
        </w:rPr>
      </w:pPr>
      <w:r w:rsidRPr="006C70FF">
        <w:rPr>
          <w:b/>
          <w:color w:val="000000" w:themeColor="text1"/>
          <w:sz w:val="22"/>
          <w:szCs w:val="22"/>
        </w:rPr>
        <w:t>Subsequent Donations</w:t>
      </w:r>
    </w:p>
    <w:p w14:paraId="3C9876FC" w14:textId="77777777" w:rsidR="00A81DBF" w:rsidRPr="006C70FF" w:rsidRDefault="00A81DBF" w:rsidP="00A81DBF">
      <w:pPr>
        <w:numPr>
          <w:ilvl w:val="1"/>
          <w:numId w:val="22"/>
        </w:numPr>
        <w:tabs>
          <w:tab w:val="clear" w:pos="360"/>
          <w:tab w:val="num" w:pos="709"/>
        </w:tabs>
        <w:ind w:left="720" w:hanging="720"/>
        <w:rPr>
          <w:color w:val="000000" w:themeColor="text1"/>
          <w:sz w:val="22"/>
          <w:szCs w:val="22"/>
        </w:rPr>
      </w:pPr>
      <w:r w:rsidRPr="006C70FF">
        <w:rPr>
          <w:color w:val="000000" w:themeColor="text1"/>
          <w:sz w:val="22"/>
          <w:szCs w:val="22"/>
        </w:rPr>
        <w:t>A Donor who has a platelet count &lt;30×10</w:t>
      </w:r>
      <w:r w:rsidRPr="006C70FF">
        <w:rPr>
          <w:color w:val="000000" w:themeColor="text1"/>
          <w:sz w:val="22"/>
          <w:szCs w:val="22"/>
          <w:vertAlign w:val="superscript"/>
        </w:rPr>
        <w:t>9</w:t>
      </w:r>
      <w:r w:rsidRPr="006C70FF">
        <w:rPr>
          <w:color w:val="000000" w:themeColor="text1"/>
          <w:sz w:val="22"/>
          <w:szCs w:val="22"/>
        </w:rPr>
        <w:t>/L following a single PBSC Donation must not be asked to undergo apheresis again, either for blood stem cells or Lymphocytes. Such Donor can, however, be made available for Bone Marrow Donation to the same Patient only, on the understanding that Lymphocytes will not be available.</w:t>
      </w:r>
    </w:p>
    <w:p w14:paraId="40197398" w14:textId="77777777" w:rsidR="00A81DBF" w:rsidRPr="006C70FF" w:rsidRDefault="00A81DBF" w:rsidP="00A81DBF">
      <w:pPr>
        <w:numPr>
          <w:ilvl w:val="1"/>
          <w:numId w:val="22"/>
        </w:numPr>
        <w:tabs>
          <w:tab w:val="clear" w:pos="360"/>
          <w:tab w:val="num" w:pos="709"/>
        </w:tabs>
        <w:ind w:left="720" w:hanging="720"/>
        <w:rPr>
          <w:color w:val="000000" w:themeColor="text1"/>
          <w:sz w:val="22"/>
          <w:szCs w:val="22"/>
        </w:rPr>
      </w:pPr>
      <w:r w:rsidRPr="006C70FF">
        <w:rPr>
          <w:color w:val="000000" w:themeColor="text1"/>
          <w:sz w:val="22"/>
          <w:szCs w:val="22"/>
        </w:rPr>
        <w:t>A Donor who has a platelet count &lt;30 x10</w:t>
      </w:r>
      <w:r w:rsidRPr="006C70FF">
        <w:rPr>
          <w:color w:val="000000" w:themeColor="text1"/>
          <w:sz w:val="22"/>
          <w:szCs w:val="22"/>
          <w:vertAlign w:val="superscript"/>
        </w:rPr>
        <w:t>9</w:t>
      </w:r>
      <w:r w:rsidRPr="006C70FF">
        <w:rPr>
          <w:color w:val="000000" w:themeColor="text1"/>
          <w:sz w:val="22"/>
          <w:szCs w:val="22"/>
        </w:rPr>
        <w:t>/L following a second day of PBSC Donation shall be made available for Bone Marrow Donation only for subsequent stem cell collections. The reason for this is that such Donor could only have a single mobilised collection day in future, and the yield is likely to be poor. However, such Donor may donate Lymphocytes by apheresis.</w:t>
      </w:r>
    </w:p>
    <w:p w14:paraId="44EC86B5" w14:textId="6E320634" w:rsidR="006C2DDC" w:rsidRPr="006C70FF" w:rsidRDefault="00A81DBF" w:rsidP="006C2DDC">
      <w:pPr>
        <w:numPr>
          <w:ilvl w:val="1"/>
          <w:numId w:val="22"/>
        </w:numPr>
        <w:tabs>
          <w:tab w:val="clear" w:pos="360"/>
          <w:tab w:val="num" w:pos="709"/>
          <w:tab w:val="left" w:pos="900"/>
        </w:tabs>
        <w:ind w:left="720" w:hanging="720"/>
        <w:rPr>
          <w:color w:val="000000" w:themeColor="text1"/>
          <w:sz w:val="22"/>
          <w:szCs w:val="22"/>
        </w:rPr>
      </w:pPr>
      <w:r w:rsidRPr="006C70FF">
        <w:rPr>
          <w:color w:val="000000" w:themeColor="text1"/>
          <w:sz w:val="22"/>
          <w:szCs w:val="22"/>
        </w:rPr>
        <w:t>A Donor who has a platelet count &lt;80 x10</w:t>
      </w:r>
      <w:r w:rsidRPr="006C70FF">
        <w:rPr>
          <w:color w:val="000000" w:themeColor="text1"/>
          <w:sz w:val="22"/>
          <w:szCs w:val="22"/>
          <w:vertAlign w:val="superscript"/>
        </w:rPr>
        <w:t>9</w:t>
      </w:r>
      <w:r w:rsidRPr="006C70FF">
        <w:rPr>
          <w:color w:val="000000" w:themeColor="text1"/>
          <w:sz w:val="22"/>
          <w:szCs w:val="22"/>
        </w:rPr>
        <w:t>/L but ≥30 x10</w:t>
      </w:r>
      <w:r w:rsidRPr="006C70FF">
        <w:rPr>
          <w:color w:val="000000" w:themeColor="text1"/>
          <w:sz w:val="22"/>
          <w:szCs w:val="22"/>
          <w:vertAlign w:val="superscript"/>
        </w:rPr>
        <w:t>9</w:t>
      </w:r>
      <w:r w:rsidRPr="006C70FF">
        <w:rPr>
          <w:color w:val="000000" w:themeColor="text1"/>
          <w:sz w:val="22"/>
          <w:szCs w:val="22"/>
        </w:rPr>
        <w:t xml:space="preserve">/L following PBSC Collection may donate mobilised blood stem cells and Lymphocytes in the future. If such Donor is asked to </w:t>
      </w:r>
      <w:r w:rsidRPr="006C70FF">
        <w:rPr>
          <w:color w:val="000000" w:themeColor="text1"/>
          <w:sz w:val="22"/>
          <w:szCs w:val="22"/>
        </w:rPr>
        <w:lastRenderedPageBreak/>
        <w:t>donate again, the Donor shall not be discharged from the Collection Centre until the result of the post-PBSC Collection full blood count is available.</w:t>
      </w:r>
    </w:p>
    <w:p w14:paraId="2B307FFA" w14:textId="77777777" w:rsidR="00A81DBF" w:rsidRPr="006C70FF" w:rsidRDefault="00A81DBF" w:rsidP="00A81DBF">
      <w:pPr>
        <w:tabs>
          <w:tab w:val="left" w:pos="900"/>
        </w:tabs>
        <w:rPr>
          <w:color w:val="000000" w:themeColor="text1"/>
          <w:sz w:val="22"/>
          <w:szCs w:val="22"/>
        </w:rPr>
      </w:pPr>
    </w:p>
    <w:p w14:paraId="7EAA6771" w14:textId="77777777" w:rsidR="00A81DBF" w:rsidRPr="006C70FF" w:rsidRDefault="00A81DBF" w:rsidP="00A81DBF">
      <w:pPr>
        <w:tabs>
          <w:tab w:val="left" w:pos="900"/>
        </w:tabs>
        <w:rPr>
          <w:b/>
          <w:color w:val="000000" w:themeColor="text1"/>
          <w:sz w:val="22"/>
          <w:szCs w:val="22"/>
        </w:rPr>
      </w:pPr>
      <w:r w:rsidRPr="006C70FF">
        <w:rPr>
          <w:b/>
          <w:color w:val="000000" w:themeColor="text1"/>
          <w:sz w:val="22"/>
          <w:szCs w:val="22"/>
        </w:rPr>
        <w:t>Appendix N</w:t>
      </w:r>
    </w:p>
    <w:p w14:paraId="6A4F6125" w14:textId="77777777" w:rsidR="00A81DBF" w:rsidRPr="006C70FF" w:rsidRDefault="00A81DBF" w:rsidP="00A81DBF">
      <w:pPr>
        <w:tabs>
          <w:tab w:val="left" w:pos="900"/>
        </w:tabs>
        <w:rPr>
          <w:b/>
          <w:color w:val="000000" w:themeColor="text1"/>
          <w:sz w:val="14"/>
          <w:szCs w:val="14"/>
        </w:rPr>
      </w:pPr>
    </w:p>
    <w:p w14:paraId="024EB577" w14:textId="77777777" w:rsidR="00A81DBF" w:rsidRPr="006C70FF" w:rsidRDefault="00A81DBF" w:rsidP="00A81DBF">
      <w:pPr>
        <w:ind w:left="-180"/>
        <w:rPr>
          <w:b/>
          <w:color w:val="000000" w:themeColor="text1"/>
          <w:sz w:val="22"/>
          <w:szCs w:val="22"/>
        </w:rPr>
      </w:pPr>
      <w:r w:rsidRPr="006C70FF">
        <w:rPr>
          <w:b/>
          <w:color w:val="000000" w:themeColor="text1"/>
          <w:sz w:val="22"/>
          <w:szCs w:val="22"/>
        </w:rPr>
        <w:t>Type of personal data and categories of data subject associated with the Specification</w:t>
      </w:r>
    </w:p>
    <w:p w14:paraId="209454B9" w14:textId="77777777" w:rsidR="00A81DBF" w:rsidRPr="006C70FF" w:rsidRDefault="00A81DBF" w:rsidP="00A81DBF">
      <w:pPr>
        <w:ind w:left="-180"/>
        <w:rPr>
          <w:color w:val="000000" w:themeColor="text1"/>
          <w:sz w:val="16"/>
          <w:szCs w:val="16"/>
        </w:rPr>
      </w:pPr>
    </w:p>
    <w:p w14:paraId="7583036A"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Source: Information Commissioners Office, the General Data Protection Regulation (EU) 2016/679 (GDPR) and the Caldicott Review 2013 (Section 5.7). </w:t>
      </w:r>
    </w:p>
    <w:p w14:paraId="3E26F1EB" w14:textId="77777777" w:rsidR="00A81DBF" w:rsidRPr="006C70FF" w:rsidRDefault="00A81DBF" w:rsidP="00A81DBF">
      <w:pPr>
        <w:ind w:left="-180"/>
        <w:rPr>
          <w:b/>
          <w:bCs/>
          <w:color w:val="000000" w:themeColor="text1"/>
          <w:sz w:val="14"/>
          <w:szCs w:val="14"/>
          <w:highlight w:val="lightGray"/>
        </w:rPr>
      </w:pPr>
    </w:p>
    <w:p w14:paraId="771B9A50" w14:textId="77777777" w:rsidR="00A81DBF" w:rsidRPr="006C70FF" w:rsidRDefault="00A81DBF" w:rsidP="00A81DBF">
      <w:pPr>
        <w:ind w:left="-180"/>
        <w:rPr>
          <w:color w:val="000000" w:themeColor="text1"/>
          <w:sz w:val="22"/>
          <w:szCs w:val="22"/>
        </w:rPr>
      </w:pPr>
      <w:r w:rsidRPr="006C70FF">
        <w:rPr>
          <w:b/>
          <w:bCs/>
          <w:color w:val="000000" w:themeColor="text1"/>
          <w:sz w:val="22"/>
          <w:szCs w:val="22"/>
        </w:rPr>
        <w:t xml:space="preserve">Personal Data </w:t>
      </w:r>
    </w:p>
    <w:p w14:paraId="78FBD603" w14:textId="77777777" w:rsidR="00A81DBF" w:rsidRPr="006C70FF" w:rsidRDefault="00A81DBF" w:rsidP="00A81DBF">
      <w:pPr>
        <w:ind w:left="-180"/>
        <w:rPr>
          <w:color w:val="000000" w:themeColor="text1"/>
          <w:sz w:val="22"/>
          <w:szCs w:val="22"/>
        </w:rPr>
      </w:pPr>
      <w:r w:rsidRPr="006C70FF">
        <w:rPr>
          <w:i/>
          <w:iCs/>
          <w:color w:val="000000" w:themeColor="text1"/>
          <w:sz w:val="22"/>
          <w:szCs w:val="22"/>
        </w:rPr>
        <w:t xml:space="preserve">“Personal Data” means any information relating to an identified or identifiable natural person (“data subject”); an identifiable natural person is one who can be identified, directly or indirectly, </w:t>
      </w:r>
      <w:proofErr w:type="gramStart"/>
      <w:r w:rsidRPr="006C70FF">
        <w:rPr>
          <w:i/>
          <w:iCs/>
          <w:color w:val="000000" w:themeColor="text1"/>
          <w:sz w:val="22"/>
          <w:szCs w:val="22"/>
        </w:rPr>
        <w:t>in particular reference</w:t>
      </w:r>
      <w:proofErr w:type="gramEnd"/>
      <w:r w:rsidRPr="006C70FF">
        <w:rPr>
          <w:i/>
          <w:iCs/>
          <w:color w:val="000000" w:themeColor="text1"/>
          <w:sz w:val="22"/>
          <w:szCs w:val="22"/>
        </w:rPr>
        <w:t xml:space="preserve"> to an identifier. (Information Commissioners Office) </w:t>
      </w:r>
    </w:p>
    <w:p w14:paraId="704E211B" w14:textId="77777777" w:rsidR="00A81DBF" w:rsidRPr="006C70FF" w:rsidRDefault="00A81DBF" w:rsidP="00A81DBF">
      <w:pPr>
        <w:ind w:left="-180"/>
        <w:rPr>
          <w:color w:val="000000" w:themeColor="text1"/>
          <w:sz w:val="22"/>
          <w:szCs w:val="22"/>
          <w:highlight w:val="lightGray"/>
        </w:rPr>
      </w:pPr>
    </w:p>
    <w:p w14:paraId="0058F7EE"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Although the definition of Personal Data is normally applied to living data subjects, it is good practice (and therefore adopted by NHSBT) to apply the same definition and level of confidentiality for a deceased data subject. </w:t>
      </w:r>
    </w:p>
    <w:p w14:paraId="702C2752" w14:textId="77777777" w:rsidR="00A81DBF" w:rsidRPr="006C70FF" w:rsidRDefault="00A81DBF" w:rsidP="00A81DBF">
      <w:pPr>
        <w:ind w:left="-180"/>
        <w:rPr>
          <w:color w:val="000000" w:themeColor="text1"/>
          <w:sz w:val="22"/>
          <w:szCs w:val="22"/>
          <w:highlight w:val="lightGray"/>
        </w:rPr>
      </w:pPr>
    </w:p>
    <w:p w14:paraId="68ED6807"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The list below is provided to give an indication as to what is classed as personal data: </w:t>
      </w:r>
    </w:p>
    <w:p w14:paraId="76BCCAB4" w14:textId="77777777" w:rsidR="00A81DBF" w:rsidRPr="006C70FF" w:rsidRDefault="00A81DBF" w:rsidP="00A81DBF">
      <w:pPr>
        <w:ind w:left="-180"/>
        <w:rPr>
          <w:color w:val="000000" w:themeColor="text1"/>
          <w:sz w:val="22"/>
          <w:szCs w:val="22"/>
        </w:rPr>
      </w:pPr>
    </w:p>
    <w:p w14:paraId="43B94663" w14:textId="4AE11A9F" w:rsidR="00A81DBF" w:rsidRPr="006C70FF" w:rsidRDefault="00A81DBF" w:rsidP="00A81DBF">
      <w:pPr>
        <w:ind w:left="-180"/>
        <w:rPr>
          <w:color w:val="000000" w:themeColor="text1"/>
          <w:sz w:val="22"/>
          <w:szCs w:val="22"/>
        </w:rPr>
      </w:pPr>
      <w:r w:rsidRPr="006C70FF">
        <w:rPr>
          <w:color w:val="000000" w:themeColor="text1"/>
          <w:sz w:val="22"/>
          <w:szCs w:val="22"/>
        </w:rPr>
        <w:t>1. Names (</w:t>
      </w:r>
      <w:r w:rsidR="003F78C3" w:rsidRPr="006C70FF">
        <w:rPr>
          <w:color w:val="000000" w:themeColor="text1"/>
          <w:sz w:val="22"/>
          <w:szCs w:val="22"/>
        </w:rPr>
        <w:t>i.e.,</w:t>
      </w:r>
      <w:r w:rsidRPr="006C70FF">
        <w:rPr>
          <w:color w:val="000000" w:themeColor="text1"/>
          <w:sz w:val="22"/>
          <w:szCs w:val="22"/>
        </w:rPr>
        <w:t xml:space="preserve"> Name, Surname) </w:t>
      </w:r>
    </w:p>
    <w:p w14:paraId="35CE2C7E"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2. Location - such as a home address, </w:t>
      </w:r>
      <w:proofErr w:type="gramStart"/>
      <w:r w:rsidRPr="006C70FF">
        <w:rPr>
          <w:color w:val="000000" w:themeColor="text1"/>
          <w:sz w:val="22"/>
          <w:szCs w:val="22"/>
        </w:rPr>
        <w:t>postcode</w:t>
      </w:r>
      <w:proofErr w:type="gramEnd"/>
      <w:r w:rsidRPr="006C70FF">
        <w:rPr>
          <w:color w:val="000000" w:themeColor="text1"/>
          <w:sz w:val="22"/>
          <w:szCs w:val="22"/>
        </w:rPr>
        <w:t xml:space="preserve"> or mobile phone GPS </w:t>
      </w:r>
    </w:p>
    <w:p w14:paraId="418DA029"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4. Telephone numbers </w:t>
      </w:r>
    </w:p>
    <w:p w14:paraId="71461C2F"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5. Online identifier, such as an IP or email address </w:t>
      </w:r>
    </w:p>
    <w:p w14:paraId="29B4285E" w14:textId="77777777" w:rsidR="00A81DBF" w:rsidRPr="006C70FF" w:rsidRDefault="00A81DBF" w:rsidP="00A81DBF">
      <w:pPr>
        <w:ind w:left="-180"/>
        <w:rPr>
          <w:color w:val="000000" w:themeColor="text1"/>
          <w:sz w:val="22"/>
          <w:szCs w:val="22"/>
        </w:rPr>
      </w:pPr>
      <w:r w:rsidRPr="006C70FF">
        <w:rPr>
          <w:color w:val="000000" w:themeColor="text1"/>
          <w:sz w:val="22"/>
          <w:szCs w:val="22"/>
        </w:rPr>
        <w:t>6. Identification identifiers – such as National Insurance, NHS Number, Account Numbers, Photos, Vehicle Registration Plates.</w:t>
      </w:r>
    </w:p>
    <w:p w14:paraId="7F7D6A32"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w:t>
      </w:r>
    </w:p>
    <w:p w14:paraId="09600E62" w14:textId="77777777" w:rsidR="00A81DBF" w:rsidRPr="006C70FF" w:rsidRDefault="00A81DBF" w:rsidP="00A81DBF">
      <w:pPr>
        <w:ind w:left="-180"/>
        <w:rPr>
          <w:color w:val="000000" w:themeColor="text1"/>
          <w:sz w:val="22"/>
          <w:szCs w:val="22"/>
        </w:rPr>
      </w:pPr>
      <w:r w:rsidRPr="006C70FF">
        <w:rPr>
          <w:b/>
          <w:bCs/>
          <w:color w:val="000000" w:themeColor="text1"/>
          <w:sz w:val="22"/>
          <w:szCs w:val="22"/>
        </w:rPr>
        <w:t xml:space="preserve">Special Category Data (formerly named sensitive data) </w:t>
      </w:r>
    </w:p>
    <w:p w14:paraId="45146FC9"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“Special category” data is personal data which the GDPR says is more sensitive, and so needs more protection. </w:t>
      </w:r>
    </w:p>
    <w:p w14:paraId="3C1155F9" w14:textId="77777777" w:rsidR="00A81DBF" w:rsidRPr="006C70FF" w:rsidRDefault="00A81DBF" w:rsidP="00A81DBF">
      <w:pPr>
        <w:ind w:left="-180"/>
        <w:rPr>
          <w:color w:val="000000" w:themeColor="text1"/>
          <w:sz w:val="22"/>
          <w:szCs w:val="22"/>
        </w:rPr>
      </w:pPr>
    </w:p>
    <w:p w14:paraId="001C1724" w14:textId="77777777" w:rsidR="00A81DBF" w:rsidRPr="006C70FF" w:rsidRDefault="00A81DBF" w:rsidP="00A81DBF">
      <w:pPr>
        <w:ind w:left="-180"/>
        <w:rPr>
          <w:color w:val="000000" w:themeColor="text1"/>
          <w:sz w:val="22"/>
          <w:szCs w:val="22"/>
        </w:rPr>
      </w:pPr>
      <w:proofErr w:type="gramStart"/>
      <w:r w:rsidRPr="006C70FF">
        <w:rPr>
          <w:color w:val="000000" w:themeColor="text1"/>
          <w:sz w:val="22"/>
          <w:szCs w:val="22"/>
        </w:rPr>
        <w:t>In order to</w:t>
      </w:r>
      <w:proofErr w:type="gramEnd"/>
      <w:r w:rsidRPr="006C70FF">
        <w:rPr>
          <w:color w:val="000000" w:themeColor="text1"/>
          <w:sz w:val="22"/>
          <w:szCs w:val="22"/>
        </w:rPr>
        <w:t xml:space="preserve"> lawfully process special category data under the GDPR, you must identify both a lawful basis and a separate condition for processing special category data, these do not have to be linked. </w:t>
      </w:r>
    </w:p>
    <w:p w14:paraId="50B05FD9" w14:textId="77777777" w:rsidR="00A81DBF" w:rsidRPr="006C70FF" w:rsidRDefault="00A81DBF" w:rsidP="00A81DBF">
      <w:pPr>
        <w:ind w:left="-180"/>
        <w:rPr>
          <w:color w:val="000000" w:themeColor="text1"/>
          <w:sz w:val="22"/>
          <w:szCs w:val="22"/>
        </w:rPr>
      </w:pPr>
    </w:p>
    <w:p w14:paraId="1959E246"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Section 10 and 11 of the Data Protection Act 2018 add more specific controls and safeguards which can be found within the Act. </w:t>
      </w:r>
    </w:p>
    <w:p w14:paraId="284A6282"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The list below is provided to give details of what is depicted as Special Category Data: </w:t>
      </w:r>
    </w:p>
    <w:p w14:paraId="48B1EF37"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Racial or ethnic origin </w:t>
      </w:r>
    </w:p>
    <w:p w14:paraId="6D32F096"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Political opinion </w:t>
      </w:r>
    </w:p>
    <w:p w14:paraId="5644A200"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Religious or philosophical beliefs </w:t>
      </w:r>
    </w:p>
    <w:p w14:paraId="2207CF6A"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Trade Union membership </w:t>
      </w:r>
    </w:p>
    <w:p w14:paraId="20ACE130"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Genetics </w:t>
      </w:r>
    </w:p>
    <w:p w14:paraId="2347B373"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Biometric data (where used for ID purposes) </w:t>
      </w:r>
    </w:p>
    <w:p w14:paraId="10BC016C" w14:textId="1C197659" w:rsidR="00A81DBF" w:rsidRPr="006C70FF" w:rsidRDefault="00A81DBF" w:rsidP="00A81DBF">
      <w:pPr>
        <w:ind w:left="-180"/>
        <w:rPr>
          <w:color w:val="000000" w:themeColor="text1"/>
          <w:sz w:val="22"/>
          <w:szCs w:val="22"/>
        </w:rPr>
      </w:pPr>
      <w:r w:rsidRPr="006C70FF">
        <w:rPr>
          <w:color w:val="000000" w:themeColor="text1"/>
          <w:sz w:val="22"/>
          <w:szCs w:val="22"/>
        </w:rPr>
        <w:t> Health (</w:t>
      </w:r>
      <w:r w:rsidR="00C475BF" w:rsidRPr="006C70FF">
        <w:rPr>
          <w:color w:val="000000" w:themeColor="text1"/>
          <w:sz w:val="22"/>
          <w:szCs w:val="22"/>
        </w:rPr>
        <w:t>i.e.,</w:t>
      </w:r>
      <w:r w:rsidRPr="006C70FF">
        <w:rPr>
          <w:color w:val="000000" w:themeColor="text1"/>
          <w:sz w:val="22"/>
          <w:szCs w:val="22"/>
        </w:rPr>
        <w:t xml:space="preserve"> donor data) </w:t>
      </w:r>
    </w:p>
    <w:p w14:paraId="178F3A05"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Sex life </w:t>
      </w:r>
    </w:p>
    <w:p w14:paraId="6CB1849E" w14:textId="77777777" w:rsidR="00A81DBF" w:rsidRPr="006C70FF" w:rsidRDefault="00A81DBF" w:rsidP="00A81DBF">
      <w:pPr>
        <w:ind w:left="-180"/>
        <w:rPr>
          <w:color w:val="000000" w:themeColor="text1"/>
          <w:sz w:val="22"/>
          <w:szCs w:val="22"/>
        </w:rPr>
      </w:pPr>
      <w:r w:rsidRPr="006C70FF">
        <w:rPr>
          <w:color w:val="000000" w:themeColor="text1"/>
          <w:sz w:val="22"/>
          <w:szCs w:val="22"/>
        </w:rPr>
        <w:t xml:space="preserve"> Sexual orientation </w:t>
      </w:r>
    </w:p>
    <w:p w14:paraId="71398114" w14:textId="77777777" w:rsidR="00A81DBF" w:rsidRPr="006C70FF" w:rsidRDefault="00A81DBF" w:rsidP="00A81DBF">
      <w:pPr>
        <w:ind w:left="-180"/>
        <w:rPr>
          <w:color w:val="000000" w:themeColor="text1"/>
          <w:sz w:val="22"/>
          <w:szCs w:val="22"/>
          <w:highlight w:val="lightGray"/>
        </w:rPr>
      </w:pPr>
    </w:p>
    <w:p w14:paraId="23662610" w14:textId="50379574" w:rsidR="00A81DBF" w:rsidRPr="00535391" w:rsidRDefault="00A81DBF" w:rsidP="00A4249B">
      <w:pPr>
        <w:ind w:left="-180"/>
        <w:rPr>
          <w:b/>
          <w:sz w:val="24"/>
          <w:szCs w:val="24"/>
        </w:rPr>
      </w:pPr>
      <w:r w:rsidRPr="006C70FF">
        <w:rPr>
          <w:color w:val="000000" w:themeColor="text1"/>
          <w:sz w:val="22"/>
          <w:szCs w:val="22"/>
        </w:rPr>
        <w:t xml:space="preserve">In some instances, the data processor will also gain access to personal data related to NHSBT staff </w:t>
      </w:r>
      <w:r w:rsidR="00E432F2" w:rsidRPr="006C70FF">
        <w:rPr>
          <w:color w:val="000000" w:themeColor="text1"/>
          <w:sz w:val="22"/>
          <w:szCs w:val="22"/>
        </w:rPr>
        <w:t>e.g.,</w:t>
      </w:r>
      <w:r w:rsidRPr="006C70FF">
        <w:rPr>
          <w:color w:val="000000" w:themeColor="text1"/>
          <w:sz w:val="22"/>
          <w:szCs w:val="22"/>
        </w:rPr>
        <w:t xml:space="preserve"> the names of BBMR stem cell co-ordinators.  </w:t>
      </w:r>
      <w:r w:rsidRPr="00535391">
        <w:rPr>
          <w:b/>
          <w:sz w:val="24"/>
          <w:szCs w:val="24"/>
        </w:rPr>
        <w:br w:type="page"/>
      </w:r>
    </w:p>
    <w:p w14:paraId="139DC719" w14:textId="2550AF69" w:rsidR="00D96CE1" w:rsidRPr="00535391" w:rsidRDefault="00D96CE1" w:rsidP="00D96CE1">
      <w:pPr>
        <w:spacing w:before="240"/>
        <w:rPr>
          <w:b/>
          <w:sz w:val="24"/>
          <w:szCs w:val="24"/>
        </w:rPr>
      </w:pPr>
      <w:r w:rsidRPr="00535391">
        <w:rPr>
          <w:b/>
          <w:sz w:val="24"/>
          <w:szCs w:val="24"/>
        </w:rPr>
        <w:lastRenderedPageBreak/>
        <w:t>Definitions</w:t>
      </w:r>
    </w:p>
    <w:p w14:paraId="53E22B4A" w14:textId="77777777" w:rsidR="006D7F2C" w:rsidRPr="00535391" w:rsidRDefault="006D7F2C" w:rsidP="00D96CE1">
      <w:pPr>
        <w:pStyle w:val="ListParagraph"/>
        <w:numPr>
          <w:ilvl w:val="0"/>
          <w:numId w:val="1"/>
        </w:numPr>
        <w:spacing w:line="259" w:lineRule="auto"/>
        <w:ind w:left="714" w:hanging="357"/>
        <w:rPr>
          <w:sz w:val="24"/>
          <w:szCs w:val="24"/>
        </w:rPr>
        <w:sectPr w:rsidR="006D7F2C" w:rsidRPr="00535391" w:rsidSect="006C70FF">
          <w:headerReference w:type="default" r:id="rId27"/>
          <w:footerReference w:type="default" r:id="rId28"/>
          <w:pgSz w:w="11909" w:h="16834" w:code="9"/>
          <w:pgMar w:top="1440" w:right="994" w:bottom="1440" w:left="992" w:header="454" w:footer="283" w:gutter="0"/>
          <w:cols w:space="720"/>
          <w:noEndnote/>
          <w:docGrid w:linePitch="272"/>
        </w:sectPr>
      </w:pPr>
    </w:p>
    <w:p w14:paraId="2E7143BB" w14:textId="77777777" w:rsidR="00A81DBF" w:rsidRPr="00535391" w:rsidRDefault="00A81DBF" w:rsidP="00A81DBF">
      <w:pPr>
        <w:pStyle w:val="ListParagraph"/>
        <w:numPr>
          <w:ilvl w:val="0"/>
          <w:numId w:val="1"/>
        </w:numPr>
        <w:spacing w:line="259" w:lineRule="auto"/>
        <w:rPr>
          <w:szCs w:val="24"/>
        </w:rPr>
      </w:pPr>
      <w:r w:rsidRPr="00535391">
        <w:rPr>
          <w:szCs w:val="24"/>
        </w:rPr>
        <w:t xml:space="preserve">BBMR: British Bone Marrow Registry </w:t>
      </w:r>
    </w:p>
    <w:p w14:paraId="4A402683" w14:textId="77777777" w:rsidR="00A81DBF" w:rsidRPr="00535391" w:rsidRDefault="00A81DBF" w:rsidP="00A81DBF">
      <w:pPr>
        <w:pStyle w:val="ListParagraph"/>
        <w:numPr>
          <w:ilvl w:val="0"/>
          <w:numId w:val="1"/>
        </w:numPr>
        <w:spacing w:line="259" w:lineRule="auto"/>
        <w:rPr>
          <w:szCs w:val="24"/>
        </w:rPr>
      </w:pPr>
      <w:r w:rsidRPr="00535391">
        <w:rPr>
          <w:szCs w:val="24"/>
        </w:rPr>
        <w:t xml:space="preserve">BM: Bone Marrow </w:t>
      </w:r>
    </w:p>
    <w:p w14:paraId="1A1257AB" w14:textId="4575638A" w:rsidR="00A81DBF" w:rsidRDefault="00A81DBF" w:rsidP="00A81DBF">
      <w:pPr>
        <w:pStyle w:val="ListParagraph"/>
        <w:numPr>
          <w:ilvl w:val="0"/>
          <w:numId w:val="1"/>
        </w:numPr>
        <w:spacing w:line="259" w:lineRule="auto"/>
        <w:rPr>
          <w:szCs w:val="24"/>
        </w:rPr>
      </w:pPr>
      <w:r w:rsidRPr="00535391">
        <w:rPr>
          <w:szCs w:val="24"/>
        </w:rPr>
        <w:t xml:space="preserve">CE: </w:t>
      </w:r>
      <w:proofErr w:type="spellStart"/>
      <w:r w:rsidRPr="00535391">
        <w:rPr>
          <w:szCs w:val="24"/>
        </w:rPr>
        <w:t>Conformité</w:t>
      </w:r>
      <w:proofErr w:type="spellEnd"/>
      <w:r w:rsidRPr="00535391">
        <w:rPr>
          <w:szCs w:val="24"/>
        </w:rPr>
        <w:t xml:space="preserve"> </w:t>
      </w:r>
      <w:proofErr w:type="spellStart"/>
      <w:r w:rsidRPr="00535391">
        <w:rPr>
          <w:szCs w:val="24"/>
        </w:rPr>
        <w:t>Européene</w:t>
      </w:r>
      <w:proofErr w:type="spellEnd"/>
    </w:p>
    <w:p w14:paraId="43787E5F" w14:textId="2440AEE5" w:rsidR="00F46C2C" w:rsidRPr="00637586" w:rsidRDefault="00F46C2C" w:rsidP="00A81DBF">
      <w:pPr>
        <w:pStyle w:val="ListParagraph"/>
        <w:numPr>
          <w:ilvl w:val="0"/>
          <w:numId w:val="1"/>
        </w:numPr>
        <w:spacing w:line="259" w:lineRule="auto"/>
        <w:rPr>
          <w:color w:val="000000" w:themeColor="text1"/>
          <w:szCs w:val="24"/>
        </w:rPr>
      </w:pPr>
      <w:r w:rsidRPr="00637586">
        <w:rPr>
          <w:color w:val="000000" w:themeColor="text1"/>
          <w:szCs w:val="24"/>
        </w:rPr>
        <w:t>UKCA: UK Conformity Assessed marking</w:t>
      </w:r>
    </w:p>
    <w:p w14:paraId="4CB9FA0F" w14:textId="77777777" w:rsidR="00A81DBF" w:rsidRPr="00535391" w:rsidRDefault="00A81DBF" w:rsidP="00A81DBF">
      <w:pPr>
        <w:pStyle w:val="ListParagraph"/>
        <w:numPr>
          <w:ilvl w:val="0"/>
          <w:numId w:val="1"/>
        </w:numPr>
        <w:spacing w:line="259" w:lineRule="auto"/>
        <w:rPr>
          <w:szCs w:val="24"/>
        </w:rPr>
      </w:pPr>
      <w:r w:rsidRPr="00535391">
        <w:rPr>
          <w:szCs w:val="24"/>
        </w:rPr>
        <w:t xml:space="preserve">CC / Collection Centre: A medical facility where HSC collection from volunteer donors takes place. This collection might include marrow aspiration or apheresis. The collection centre, or designee, performs the medical work-up of the volunteer donor and provides the final approval of the volunteer donor for collection. </w:t>
      </w:r>
    </w:p>
    <w:p w14:paraId="15BB0178" w14:textId="77777777" w:rsidR="00A81DBF" w:rsidRPr="00535391" w:rsidRDefault="00A81DBF" w:rsidP="00A81DBF">
      <w:pPr>
        <w:pStyle w:val="ListParagraph"/>
        <w:numPr>
          <w:ilvl w:val="0"/>
          <w:numId w:val="1"/>
        </w:numPr>
        <w:spacing w:line="259" w:lineRule="auto"/>
        <w:rPr>
          <w:szCs w:val="24"/>
        </w:rPr>
      </w:pPr>
      <w:r w:rsidRPr="00535391">
        <w:rPr>
          <w:szCs w:val="24"/>
        </w:rPr>
        <w:t>CLIA: Clinical Laboratory Improvement Amendments</w:t>
      </w:r>
    </w:p>
    <w:p w14:paraId="64ED5B9C" w14:textId="77777777" w:rsidR="00A81DBF" w:rsidRPr="00535391" w:rsidRDefault="00A81DBF" w:rsidP="00A81DBF">
      <w:pPr>
        <w:pStyle w:val="ListParagraph"/>
        <w:numPr>
          <w:ilvl w:val="0"/>
          <w:numId w:val="1"/>
        </w:numPr>
        <w:spacing w:line="259" w:lineRule="auto"/>
        <w:rPr>
          <w:szCs w:val="24"/>
        </w:rPr>
      </w:pPr>
      <w:r w:rsidRPr="00535391">
        <w:rPr>
          <w:szCs w:val="24"/>
        </w:rPr>
        <w:t>FCBP: Female of Childbearing Potential</w:t>
      </w:r>
    </w:p>
    <w:p w14:paraId="00E06012" w14:textId="77777777" w:rsidR="00A81DBF" w:rsidRPr="00535391" w:rsidRDefault="00A81DBF" w:rsidP="00A81DBF">
      <w:pPr>
        <w:pStyle w:val="ListParagraph"/>
        <w:numPr>
          <w:ilvl w:val="0"/>
          <w:numId w:val="1"/>
        </w:numPr>
        <w:spacing w:line="259" w:lineRule="auto"/>
        <w:rPr>
          <w:szCs w:val="24"/>
        </w:rPr>
      </w:pPr>
      <w:r w:rsidRPr="00535391">
        <w:rPr>
          <w:szCs w:val="24"/>
        </w:rPr>
        <w:t xml:space="preserve">GA: General Anaesthetic </w:t>
      </w:r>
    </w:p>
    <w:p w14:paraId="3AD23156" w14:textId="77777777" w:rsidR="00A81DBF" w:rsidRPr="00535391" w:rsidRDefault="00A81DBF" w:rsidP="00A81DBF">
      <w:pPr>
        <w:pStyle w:val="ListParagraph"/>
        <w:numPr>
          <w:ilvl w:val="0"/>
          <w:numId w:val="1"/>
        </w:numPr>
        <w:spacing w:line="259" w:lineRule="auto"/>
        <w:rPr>
          <w:szCs w:val="24"/>
        </w:rPr>
      </w:pPr>
      <w:r w:rsidRPr="00535391">
        <w:rPr>
          <w:szCs w:val="24"/>
        </w:rPr>
        <w:t>PBSC: Peripheral blood stem cells</w:t>
      </w:r>
    </w:p>
    <w:p w14:paraId="2CBB7CD2" w14:textId="77777777" w:rsidR="00A81DBF" w:rsidRPr="00535391" w:rsidRDefault="00A81DBF" w:rsidP="00A81DBF">
      <w:pPr>
        <w:pStyle w:val="ListParagraph"/>
        <w:numPr>
          <w:ilvl w:val="0"/>
          <w:numId w:val="1"/>
        </w:numPr>
        <w:spacing w:line="259" w:lineRule="auto"/>
        <w:rPr>
          <w:szCs w:val="24"/>
        </w:rPr>
      </w:pPr>
      <w:r w:rsidRPr="00535391">
        <w:rPr>
          <w:szCs w:val="24"/>
        </w:rPr>
        <w:t>MNC: Mononuclear cells</w:t>
      </w:r>
    </w:p>
    <w:p w14:paraId="2FB05BA8" w14:textId="77777777" w:rsidR="00A81DBF" w:rsidRPr="00535391" w:rsidRDefault="00A81DBF" w:rsidP="00A81DBF">
      <w:pPr>
        <w:pStyle w:val="ListParagraph"/>
        <w:numPr>
          <w:ilvl w:val="0"/>
          <w:numId w:val="1"/>
        </w:numPr>
        <w:spacing w:line="259" w:lineRule="auto"/>
        <w:rPr>
          <w:szCs w:val="24"/>
        </w:rPr>
      </w:pPr>
      <w:r w:rsidRPr="00535391">
        <w:rPr>
          <w:szCs w:val="24"/>
        </w:rPr>
        <w:t>PBMC: Peripheral blood mononuclear cells</w:t>
      </w:r>
    </w:p>
    <w:p w14:paraId="1BB90DEE" w14:textId="5206E1F1" w:rsidR="00A81DBF" w:rsidRDefault="00A81DBF" w:rsidP="00A81DBF">
      <w:pPr>
        <w:pStyle w:val="ListParagraph"/>
        <w:numPr>
          <w:ilvl w:val="0"/>
          <w:numId w:val="1"/>
        </w:numPr>
        <w:spacing w:line="259" w:lineRule="auto"/>
        <w:rPr>
          <w:szCs w:val="24"/>
        </w:rPr>
      </w:pPr>
      <w:r w:rsidRPr="00535391">
        <w:rPr>
          <w:szCs w:val="24"/>
        </w:rPr>
        <w:t>AT(I)MP: Advanced Therapy (Investigational) Medicinal Products</w:t>
      </w:r>
    </w:p>
    <w:p w14:paraId="6D16BAD5" w14:textId="392D9327" w:rsidR="00A74C14" w:rsidRPr="00535391" w:rsidRDefault="00A74C14" w:rsidP="00A81DBF">
      <w:pPr>
        <w:pStyle w:val="ListParagraph"/>
        <w:numPr>
          <w:ilvl w:val="0"/>
          <w:numId w:val="1"/>
        </w:numPr>
        <w:spacing w:line="259" w:lineRule="auto"/>
        <w:rPr>
          <w:szCs w:val="24"/>
        </w:rPr>
      </w:pPr>
      <w:r>
        <w:rPr>
          <w:color w:val="7030A0"/>
          <w:szCs w:val="24"/>
        </w:rPr>
        <w:t>SPE: Serum Protein Electrophoresis</w:t>
      </w:r>
    </w:p>
    <w:p w14:paraId="26EBBD69" w14:textId="25582B65" w:rsidR="00D96CE1" w:rsidRPr="00535391" w:rsidRDefault="00A81DBF" w:rsidP="00A81DBF">
      <w:pPr>
        <w:pStyle w:val="ListParagraph"/>
        <w:numPr>
          <w:ilvl w:val="0"/>
          <w:numId w:val="1"/>
        </w:numPr>
        <w:spacing w:line="259" w:lineRule="auto"/>
        <w:rPr>
          <w:szCs w:val="24"/>
        </w:rPr>
      </w:pPr>
      <w:r w:rsidRPr="00535391">
        <w:rPr>
          <w:szCs w:val="24"/>
        </w:rPr>
        <w:t>Starting Material: Regarding this SPN only; any blood, BM, PBL or PBSC collected with the intention the material is to be further manipulated and/or manufactured in some way to create an AT(I)MP that will be administered to humans.</w:t>
      </w:r>
    </w:p>
    <w:p w14:paraId="4AEFCFA7" w14:textId="77777777" w:rsidR="00A81DBF" w:rsidRPr="00535391" w:rsidRDefault="00A81DBF" w:rsidP="00A81DBF">
      <w:pPr>
        <w:pStyle w:val="ListParagraph"/>
        <w:numPr>
          <w:ilvl w:val="0"/>
          <w:numId w:val="1"/>
        </w:numPr>
        <w:spacing w:line="259" w:lineRule="auto"/>
        <w:rPr>
          <w:szCs w:val="24"/>
        </w:rPr>
      </w:pPr>
      <w:r w:rsidRPr="00535391">
        <w:rPr>
          <w:szCs w:val="24"/>
        </w:rPr>
        <w:t xml:space="preserve">GRID: Global Registry Identifier for Donors </w:t>
      </w:r>
    </w:p>
    <w:p w14:paraId="6CFE136E" w14:textId="77777777" w:rsidR="00A81DBF" w:rsidRPr="00535391" w:rsidRDefault="00A81DBF" w:rsidP="00A81DBF">
      <w:pPr>
        <w:pStyle w:val="ListParagraph"/>
        <w:numPr>
          <w:ilvl w:val="0"/>
          <w:numId w:val="1"/>
        </w:numPr>
        <w:spacing w:line="259" w:lineRule="auto"/>
        <w:rPr>
          <w:szCs w:val="24"/>
        </w:rPr>
      </w:pPr>
      <w:r w:rsidRPr="00535391">
        <w:rPr>
          <w:szCs w:val="24"/>
        </w:rPr>
        <w:t>HCPC: Health &amp; Care Professions Council</w:t>
      </w:r>
    </w:p>
    <w:p w14:paraId="6A3C5407" w14:textId="77777777" w:rsidR="00A81DBF" w:rsidRPr="00535391" w:rsidRDefault="00A81DBF" w:rsidP="00A81DBF">
      <w:pPr>
        <w:pStyle w:val="ListParagraph"/>
        <w:numPr>
          <w:ilvl w:val="0"/>
          <w:numId w:val="1"/>
        </w:numPr>
        <w:spacing w:line="259" w:lineRule="auto"/>
        <w:rPr>
          <w:szCs w:val="24"/>
        </w:rPr>
      </w:pPr>
      <w:r w:rsidRPr="00535391">
        <w:rPr>
          <w:szCs w:val="24"/>
        </w:rPr>
        <w:t>HIT: Heparin Induced Thrombocytopenia</w:t>
      </w:r>
    </w:p>
    <w:p w14:paraId="27706E21" w14:textId="77777777" w:rsidR="00A81DBF" w:rsidRPr="00535391" w:rsidRDefault="00A81DBF" w:rsidP="00A81DBF">
      <w:pPr>
        <w:pStyle w:val="ListParagraph"/>
        <w:numPr>
          <w:ilvl w:val="0"/>
          <w:numId w:val="1"/>
        </w:numPr>
        <w:spacing w:line="259" w:lineRule="auto"/>
        <w:rPr>
          <w:szCs w:val="24"/>
        </w:rPr>
      </w:pPr>
      <w:r w:rsidRPr="00535391">
        <w:rPr>
          <w:szCs w:val="24"/>
        </w:rPr>
        <w:t>HTA: Human Tissue Authority</w:t>
      </w:r>
    </w:p>
    <w:p w14:paraId="1F3DBCCF" w14:textId="77777777" w:rsidR="00A81DBF" w:rsidRPr="00535391" w:rsidRDefault="00A81DBF" w:rsidP="00A81DBF">
      <w:pPr>
        <w:pStyle w:val="ListParagraph"/>
        <w:numPr>
          <w:ilvl w:val="0"/>
          <w:numId w:val="1"/>
        </w:numPr>
        <w:spacing w:line="259" w:lineRule="auto"/>
        <w:rPr>
          <w:szCs w:val="24"/>
        </w:rPr>
      </w:pPr>
      <w:r w:rsidRPr="00535391">
        <w:rPr>
          <w:szCs w:val="24"/>
        </w:rPr>
        <w:t>HPC: Haematopoietic Progenitor Cells</w:t>
      </w:r>
    </w:p>
    <w:p w14:paraId="1E811C5B" w14:textId="77777777" w:rsidR="00A81DBF" w:rsidRPr="00535391" w:rsidRDefault="00A81DBF" w:rsidP="00A81DBF">
      <w:pPr>
        <w:pStyle w:val="ListParagraph"/>
        <w:numPr>
          <w:ilvl w:val="0"/>
          <w:numId w:val="1"/>
        </w:numPr>
        <w:spacing w:line="259" w:lineRule="auto"/>
        <w:rPr>
          <w:szCs w:val="24"/>
        </w:rPr>
      </w:pPr>
      <w:r w:rsidRPr="00535391">
        <w:rPr>
          <w:szCs w:val="24"/>
        </w:rPr>
        <w:t>HSC: Haematopoietic Stem Cells</w:t>
      </w:r>
    </w:p>
    <w:p w14:paraId="5A2989A7" w14:textId="77777777" w:rsidR="00A81DBF" w:rsidRPr="00535391" w:rsidRDefault="00A81DBF" w:rsidP="00A81DBF">
      <w:pPr>
        <w:pStyle w:val="ListParagraph"/>
        <w:numPr>
          <w:ilvl w:val="0"/>
          <w:numId w:val="1"/>
        </w:numPr>
        <w:spacing w:line="259" w:lineRule="auto"/>
        <w:rPr>
          <w:szCs w:val="24"/>
        </w:rPr>
      </w:pPr>
      <w:r w:rsidRPr="00535391">
        <w:rPr>
          <w:szCs w:val="24"/>
        </w:rPr>
        <w:t>JACIE: Joint Accreditation Committee-ISCT &amp; EBMT</w:t>
      </w:r>
    </w:p>
    <w:p w14:paraId="0692A729" w14:textId="77777777" w:rsidR="00A81DBF" w:rsidRPr="00535391" w:rsidRDefault="00A81DBF" w:rsidP="00A81DBF">
      <w:pPr>
        <w:pStyle w:val="ListParagraph"/>
        <w:numPr>
          <w:ilvl w:val="0"/>
          <w:numId w:val="1"/>
        </w:numPr>
        <w:spacing w:line="259" w:lineRule="auto"/>
        <w:rPr>
          <w:szCs w:val="24"/>
        </w:rPr>
      </w:pPr>
      <w:r w:rsidRPr="00535391">
        <w:rPr>
          <w:szCs w:val="24"/>
        </w:rPr>
        <w:t>NMC: Nursing Medical Council</w:t>
      </w:r>
    </w:p>
    <w:p w14:paraId="43237B0E" w14:textId="77777777" w:rsidR="00A81DBF" w:rsidRPr="00535391" w:rsidRDefault="00A81DBF" w:rsidP="00A81DBF">
      <w:pPr>
        <w:pStyle w:val="ListParagraph"/>
        <w:numPr>
          <w:ilvl w:val="0"/>
          <w:numId w:val="1"/>
        </w:numPr>
        <w:spacing w:line="259" w:lineRule="auto"/>
        <w:rPr>
          <w:szCs w:val="24"/>
        </w:rPr>
      </w:pPr>
      <w:r w:rsidRPr="00535391">
        <w:rPr>
          <w:szCs w:val="24"/>
        </w:rPr>
        <w:t>NMDP: National Marrow Donor Programme (USA)</w:t>
      </w:r>
    </w:p>
    <w:p w14:paraId="4334938A" w14:textId="77777777" w:rsidR="00A81DBF" w:rsidRPr="00535391" w:rsidRDefault="00A81DBF" w:rsidP="00A81DBF">
      <w:pPr>
        <w:pStyle w:val="ListParagraph"/>
        <w:numPr>
          <w:ilvl w:val="0"/>
          <w:numId w:val="1"/>
        </w:numPr>
        <w:spacing w:line="259" w:lineRule="auto"/>
        <w:rPr>
          <w:szCs w:val="24"/>
        </w:rPr>
      </w:pPr>
      <w:r w:rsidRPr="00535391">
        <w:rPr>
          <w:szCs w:val="24"/>
        </w:rPr>
        <w:t>PBL: Peripheral Blood Lymphocyte</w:t>
      </w:r>
    </w:p>
    <w:p w14:paraId="530CEB99" w14:textId="77777777" w:rsidR="00A81DBF" w:rsidRPr="00535391" w:rsidRDefault="00A81DBF" w:rsidP="00A81DBF">
      <w:pPr>
        <w:pStyle w:val="ListParagraph"/>
        <w:numPr>
          <w:ilvl w:val="0"/>
          <w:numId w:val="1"/>
        </w:numPr>
        <w:spacing w:line="259" w:lineRule="auto"/>
        <w:rPr>
          <w:szCs w:val="24"/>
        </w:rPr>
      </w:pPr>
      <w:r w:rsidRPr="00535391">
        <w:rPr>
          <w:szCs w:val="24"/>
        </w:rPr>
        <w:t xml:space="preserve">WMDA: World Marrow Donor Association </w:t>
      </w:r>
    </w:p>
    <w:p w14:paraId="31B73DF3" w14:textId="77777777" w:rsidR="00A81DBF" w:rsidRPr="00535391" w:rsidRDefault="00A81DBF" w:rsidP="00A81DBF">
      <w:pPr>
        <w:pStyle w:val="ListParagraph"/>
        <w:numPr>
          <w:ilvl w:val="0"/>
          <w:numId w:val="1"/>
        </w:numPr>
        <w:spacing w:line="259" w:lineRule="auto"/>
        <w:rPr>
          <w:szCs w:val="24"/>
        </w:rPr>
      </w:pPr>
      <w:r w:rsidRPr="00535391">
        <w:rPr>
          <w:szCs w:val="24"/>
        </w:rPr>
        <w:t>TPA: Third Party Agreement</w:t>
      </w:r>
    </w:p>
    <w:p w14:paraId="5DD0664C" w14:textId="77777777" w:rsidR="00A81DBF" w:rsidRPr="00535391" w:rsidRDefault="00A81DBF" w:rsidP="00A81DBF">
      <w:pPr>
        <w:pStyle w:val="ListParagraph"/>
        <w:numPr>
          <w:ilvl w:val="0"/>
          <w:numId w:val="1"/>
        </w:numPr>
        <w:spacing w:line="259" w:lineRule="auto"/>
        <w:rPr>
          <w:szCs w:val="24"/>
        </w:rPr>
      </w:pPr>
      <w:r w:rsidRPr="00535391">
        <w:rPr>
          <w:szCs w:val="24"/>
        </w:rPr>
        <w:t>GCS-F: Granulocyte Colony Stimulating Factor</w:t>
      </w:r>
    </w:p>
    <w:p w14:paraId="6B158627" w14:textId="01CC94AB" w:rsidR="005E19A2" w:rsidRPr="00535391" w:rsidRDefault="00A81DBF" w:rsidP="00015655">
      <w:pPr>
        <w:pStyle w:val="ListParagraph"/>
        <w:numPr>
          <w:ilvl w:val="0"/>
          <w:numId w:val="1"/>
        </w:numPr>
        <w:spacing w:before="240" w:line="259" w:lineRule="auto"/>
        <w:rPr>
          <w:b/>
          <w:sz w:val="24"/>
          <w:szCs w:val="24"/>
        </w:rPr>
        <w:sectPr w:rsidR="005E19A2" w:rsidRPr="00535391" w:rsidSect="006D7F2C">
          <w:type w:val="continuous"/>
          <w:pgSz w:w="11909" w:h="16834" w:code="9"/>
          <w:pgMar w:top="1440" w:right="994" w:bottom="1440" w:left="992" w:header="709" w:footer="283" w:gutter="0"/>
          <w:cols w:num="2" w:space="720"/>
          <w:noEndnote/>
          <w:docGrid w:linePitch="272"/>
        </w:sectPr>
      </w:pPr>
      <w:r w:rsidRPr="00535391">
        <w:rPr>
          <w:szCs w:val="24"/>
        </w:rPr>
        <w:t>GMC: General Medical Council</w:t>
      </w:r>
    </w:p>
    <w:p w14:paraId="3CCE28E1" w14:textId="26A38AEE" w:rsidR="00D96CE1" w:rsidRPr="00535391" w:rsidRDefault="00D96CE1" w:rsidP="00D96CE1">
      <w:pPr>
        <w:spacing w:before="240"/>
        <w:rPr>
          <w:b/>
          <w:sz w:val="24"/>
          <w:szCs w:val="24"/>
        </w:rPr>
      </w:pPr>
      <w:r w:rsidRPr="00535391">
        <w:rPr>
          <w:b/>
          <w:sz w:val="24"/>
          <w:szCs w:val="24"/>
        </w:rPr>
        <w:t>Related Documents / References</w:t>
      </w:r>
    </w:p>
    <w:p w14:paraId="4FBE6AB8" w14:textId="77777777" w:rsidR="00A81DBF" w:rsidRPr="00FE326F" w:rsidRDefault="00A81DBF" w:rsidP="00A81DBF">
      <w:pPr>
        <w:pStyle w:val="ListParagraph"/>
        <w:numPr>
          <w:ilvl w:val="0"/>
          <w:numId w:val="1"/>
        </w:numPr>
        <w:spacing w:line="259" w:lineRule="auto"/>
        <w:rPr>
          <w:szCs w:val="24"/>
        </w:rPr>
      </w:pPr>
      <w:r w:rsidRPr="00FE326F">
        <w:rPr>
          <w:szCs w:val="24"/>
        </w:rPr>
        <w:t>NHSBT1202/S/SP Contract</w:t>
      </w:r>
    </w:p>
    <w:p w14:paraId="5710E6D0" w14:textId="77777777" w:rsidR="00A81DBF" w:rsidRPr="00FE326F" w:rsidRDefault="00A81DBF" w:rsidP="00A81DBF">
      <w:pPr>
        <w:pStyle w:val="ListParagraph"/>
        <w:numPr>
          <w:ilvl w:val="0"/>
          <w:numId w:val="1"/>
        </w:numPr>
        <w:spacing w:line="259" w:lineRule="auto"/>
        <w:rPr>
          <w:szCs w:val="24"/>
        </w:rPr>
      </w:pPr>
      <w:r w:rsidRPr="00FE326F">
        <w:rPr>
          <w:szCs w:val="24"/>
        </w:rPr>
        <w:t>G9058A: Consent Form for Collection of Donor Lymphocytes from the Blood Stream</w:t>
      </w:r>
    </w:p>
    <w:p w14:paraId="3E73AED3" w14:textId="77777777" w:rsidR="00A81DBF" w:rsidRPr="00FE326F" w:rsidRDefault="00A81DBF" w:rsidP="00A81DBF">
      <w:pPr>
        <w:pStyle w:val="ListParagraph"/>
        <w:numPr>
          <w:ilvl w:val="0"/>
          <w:numId w:val="1"/>
        </w:numPr>
        <w:spacing w:line="259" w:lineRule="auto"/>
        <w:rPr>
          <w:szCs w:val="24"/>
        </w:rPr>
      </w:pPr>
      <w:r w:rsidRPr="00FE326F">
        <w:rPr>
          <w:szCs w:val="24"/>
        </w:rPr>
        <w:t>G926B3: Consent Form for Granulocyte Colony Stimulating Factors (G-CSF) Treatment and Donation of Peripheral Blood Stem Cells (PBSCs) from the Blood Stream</w:t>
      </w:r>
    </w:p>
    <w:p w14:paraId="7706B8C1" w14:textId="77777777" w:rsidR="00A81DBF" w:rsidRPr="00FE326F" w:rsidRDefault="00A81DBF" w:rsidP="00A81DBF">
      <w:pPr>
        <w:pStyle w:val="ListParagraph"/>
        <w:numPr>
          <w:ilvl w:val="0"/>
          <w:numId w:val="1"/>
        </w:numPr>
        <w:spacing w:line="259" w:lineRule="auto"/>
        <w:rPr>
          <w:szCs w:val="24"/>
        </w:rPr>
      </w:pPr>
      <w:r w:rsidRPr="00FE326F">
        <w:rPr>
          <w:szCs w:val="24"/>
        </w:rPr>
        <w:t xml:space="preserve">G9315: Consent Form for Donation of Blood Stem </w:t>
      </w:r>
    </w:p>
    <w:p w14:paraId="57EAB7BA" w14:textId="363B3555" w:rsidR="00A81DBF" w:rsidRPr="00FE326F" w:rsidRDefault="00A81DBF" w:rsidP="00A81DBF">
      <w:pPr>
        <w:pStyle w:val="ListParagraph"/>
        <w:numPr>
          <w:ilvl w:val="0"/>
          <w:numId w:val="1"/>
        </w:numPr>
        <w:spacing w:line="259" w:lineRule="auto"/>
        <w:rPr>
          <w:szCs w:val="24"/>
        </w:rPr>
      </w:pPr>
      <w:r w:rsidRPr="00FE326F">
        <w:t>SPN1182</w:t>
      </w:r>
      <w:r w:rsidRPr="00FE326F">
        <w:rPr>
          <w:szCs w:val="24"/>
        </w:rPr>
        <w:t>: BBMR Donor Home Care Service</w:t>
      </w:r>
    </w:p>
    <w:p w14:paraId="62973EE6" w14:textId="77777777" w:rsidR="00A81DBF" w:rsidRPr="00FE326F" w:rsidRDefault="00A81DBF" w:rsidP="00A81DBF">
      <w:pPr>
        <w:pStyle w:val="ListParagraph"/>
        <w:numPr>
          <w:ilvl w:val="0"/>
          <w:numId w:val="1"/>
        </w:numPr>
        <w:spacing w:line="259" w:lineRule="auto"/>
        <w:rPr>
          <w:szCs w:val="24"/>
        </w:rPr>
      </w:pPr>
      <w:r w:rsidRPr="00FE326F">
        <w:rPr>
          <w:szCs w:val="24"/>
        </w:rPr>
        <w:t>Cells Through a Bone Marrow Harvest</w:t>
      </w:r>
    </w:p>
    <w:p w14:paraId="5F54DFB6" w14:textId="77777777" w:rsidR="00A81DBF" w:rsidRPr="00FE326F" w:rsidRDefault="00A81DBF" w:rsidP="00A81DBF">
      <w:pPr>
        <w:pStyle w:val="ListParagraph"/>
        <w:numPr>
          <w:ilvl w:val="0"/>
          <w:numId w:val="1"/>
        </w:numPr>
        <w:spacing w:line="259" w:lineRule="auto"/>
        <w:rPr>
          <w:szCs w:val="24"/>
        </w:rPr>
      </w:pPr>
      <w:r w:rsidRPr="00FE326F">
        <w:rPr>
          <w:szCs w:val="24"/>
        </w:rPr>
        <w:t xml:space="preserve">Department of Health. Guidance on the Microbiological Safety of Human Organs, Tissues and Cells used in Transplantation. Advisory committee on the microbiological safety of blood and tissues for transplantation. </w:t>
      </w:r>
    </w:p>
    <w:p w14:paraId="56172102" w14:textId="77777777" w:rsidR="00A81DBF" w:rsidRPr="00FE326F" w:rsidRDefault="00A81DBF" w:rsidP="00A81DBF">
      <w:pPr>
        <w:pStyle w:val="ListParagraph"/>
        <w:numPr>
          <w:ilvl w:val="0"/>
          <w:numId w:val="1"/>
        </w:numPr>
        <w:spacing w:line="259" w:lineRule="auto"/>
        <w:rPr>
          <w:szCs w:val="24"/>
        </w:rPr>
      </w:pPr>
      <w:r w:rsidRPr="00FE326F">
        <w:rPr>
          <w:szCs w:val="24"/>
        </w:rPr>
        <w:t>Standards for Haematopoietic Progenitor Cell Collection, Processing and Transplantation. Current Edition. From the Joint Accreditation Committee of ISCT-EBMT.</w:t>
      </w:r>
    </w:p>
    <w:p w14:paraId="505A260A" w14:textId="0BCBF256" w:rsidR="00A81DBF" w:rsidRPr="00FE326F" w:rsidRDefault="00A81DBF" w:rsidP="00A81DBF">
      <w:pPr>
        <w:pStyle w:val="ListParagraph"/>
        <w:numPr>
          <w:ilvl w:val="0"/>
          <w:numId w:val="1"/>
        </w:numPr>
        <w:spacing w:line="259" w:lineRule="auto"/>
        <w:rPr>
          <w:szCs w:val="24"/>
        </w:rPr>
      </w:pPr>
      <w:r w:rsidRPr="00FE326F">
        <w:rPr>
          <w:szCs w:val="24"/>
        </w:rPr>
        <w:t>BBMR Quality Plan (</w:t>
      </w:r>
      <w:hyperlink r:id="rId29" w:history="1">
        <w:r w:rsidRPr="00FE326F">
          <w:rPr>
            <w:rStyle w:val="Hyperlink"/>
            <w:color w:val="auto"/>
          </w:rPr>
          <w:t>MPD1207</w:t>
        </w:r>
      </w:hyperlink>
      <w:r w:rsidRPr="00FE326F">
        <w:rPr>
          <w:szCs w:val="24"/>
        </w:rPr>
        <w:t>).</w:t>
      </w:r>
    </w:p>
    <w:p w14:paraId="0E1F2D1E" w14:textId="71CCBF18" w:rsidR="00A81DBF" w:rsidRPr="00FE326F" w:rsidRDefault="0052452D" w:rsidP="00A81DBF">
      <w:pPr>
        <w:pStyle w:val="ListParagraph"/>
        <w:numPr>
          <w:ilvl w:val="0"/>
          <w:numId w:val="1"/>
        </w:numPr>
        <w:spacing w:line="259" w:lineRule="auto"/>
        <w:rPr>
          <w:szCs w:val="24"/>
        </w:rPr>
      </w:pPr>
      <w:hyperlink r:id="rId30" w:history="1">
        <w:r w:rsidR="00A81DBF" w:rsidRPr="00FE326F">
          <w:rPr>
            <w:rStyle w:val="Hyperlink"/>
            <w:color w:val="auto"/>
          </w:rPr>
          <w:t>https://www.transfusionguidelines.org/dsg/gdri</w:t>
        </w:r>
      </w:hyperlink>
      <w:r w:rsidR="00A81DBF" w:rsidRPr="00FE326F">
        <w:rPr>
          <w:rStyle w:val="Hyperlink"/>
          <w:color w:val="auto"/>
        </w:rPr>
        <w:t xml:space="preserve"> </w:t>
      </w:r>
      <w:r w:rsidR="00A81DBF" w:rsidRPr="00FE326F">
        <w:rPr>
          <w:szCs w:val="24"/>
        </w:rPr>
        <w:t>NICE Guidelines (2002) reviewed (2016) “Guidance on the use of ultrasound locating devices for placing central venous catheters”</w:t>
      </w:r>
    </w:p>
    <w:p w14:paraId="588E5114" w14:textId="6841F8DD" w:rsidR="00A81DBF" w:rsidRPr="00FE326F" w:rsidRDefault="0052452D" w:rsidP="00A81DBF">
      <w:pPr>
        <w:pStyle w:val="ListParagraph"/>
        <w:numPr>
          <w:ilvl w:val="0"/>
          <w:numId w:val="1"/>
        </w:numPr>
        <w:spacing w:line="259" w:lineRule="auto"/>
        <w:rPr>
          <w:rStyle w:val="Hyperlink"/>
          <w:color w:val="auto"/>
          <w:szCs w:val="24"/>
          <w:u w:val="none"/>
        </w:rPr>
      </w:pPr>
      <w:hyperlink r:id="rId31" w:history="1">
        <w:r w:rsidR="00A81DBF" w:rsidRPr="00FE326F">
          <w:rPr>
            <w:rStyle w:val="Hyperlink"/>
            <w:color w:val="auto"/>
          </w:rPr>
          <w:t>https://www.nice.org.uk/guidance/ta49</w:t>
        </w:r>
      </w:hyperlink>
    </w:p>
    <w:p w14:paraId="4C03215F" w14:textId="01CAC3A5" w:rsidR="00D96CE1" w:rsidRPr="00FE326F" w:rsidRDefault="00A81DBF" w:rsidP="00A81DBF">
      <w:pPr>
        <w:pStyle w:val="ListParagraph"/>
        <w:numPr>
          <w:ilvl w:val="0"/>
          <w:numId w:val="1"/>
        </w:numPr>
        <w:spacing w:line="259" w:lineRule="auto"/>
        <w:rPr>
          <w:rStyle w:val="Hyperlink"/>
          <w:color w:val="auto"/>
          <w:szCs w:val="24"/>
          <w:u w:val="none"/>
        </w:rPr>
      </w:pPr>
      <w:r w:rsidRPr="00FE326F">
        <w:rPr>
          <w:szCs w:val="24"/>
        </w:rPr>
        <w:t xml:space="preserve">Audits of collection and apheresis </w:t>
      </w:r>
      <w:r w:rsidR="0046672E" w:rsidRPr="00FE326F">
        <w:rPr>
          <w:szCs w:val="24"/>
        </w:rPr>
        <w:t>centres</w:t>
      </w:r>
      <w:r w:rsidRPr="00FE326F">
        <w:rPr>
          <w:szCs w:val="24"/>
        </w:rPr>
        <w:t xml:space="preserve">: guidelines by the World Marrow Donor Association Working Group Quality and Regulation </w:t>
      </w:r>
      <w:hyperlink r:id="rId32" w:history="1">
        <w:r w:rsidRPr="00FE326F">
          <w:rPr>
            <w:rStyle w:val="Hyperlink"/>
            <w:color w:val="auto"/>
          </w:rPr>
          <w:t>here</w:t>
        </w:r>
      </w:hyperlink>
    </w:p>
    <w:p w14:paraId="24FC8EDC" w14:textId="6C8FE2B7" w:rsidR="00A81DBF" w:rsidRPr="00FE326F" w:rsidRDefault="00A81DBF" w:rsidP="00A81DBF">
      <w:pPr>
        <w:pStyle w:val="ListParagraph"/>
        <w:numPr>
          <w:ilvl w:val="0"/>
          <w:numId w:val="1"/>
        </w:numPr>
        <w:spacing w:line="259" w:lineRule="auto"/>
        <w:rPr>
          <w:szCs w:val="24"/>
        </w:rPr>
      </w:pPr>
      <w:r w:rsidRPr="00FE326F">
        <w:t>ESD1</w:t>
      </w:r>
      <w:r w:rsidRPr="00FE326F">
        <w:rPr>
          <w:szCs w:val="24"/>
        </w:rPr>
        <w:t xml:space="preserve"> Guidelines for the Blood Transfusion in the UK. Current Edition</w:t>
      </w:r>
    </w:p>
    <w:p w14:paraId="66F98256" w14:textId="6428C668" w:rsidR="0056632C" w:rsidRPr="00FE326F" w:rsidRDefault="0056632C" w:rsidP="00A81DBF">
      <w:pPr>
        <w:pStyle w:val="ListParagraph"/>
        <w:numPr>
          <w:ilvl w:val="0"/>
          <w:numId w:val="1"/>
        </w:numPr>
        <w:spacing w:line="259" w:lineRule="auto"/>
        <w:rPr>
          <w:szCs w:val="24"/>
        </w:rPr>
      </w:pPr>
      <w:r w:rsidRPr="00FE326F">
        <w:rPr>
          <w:szCs w:val="24"/>
        </w:rPr>
        <w:t>FRM5691 - BBMR Workup Approval</w:t>
      </w:r>
    </w:p>
    <w:p w14:paraId="0B506DCF" w14:textId="616EE480" w:rsidR="0056632C" w:rsidRPr="00FE326F" w:rsidRDefault="0056632C" w:rsidP="00A81DBF">
      <w:pPr>
        <w:pStyle w:val="ListParagraph"/>
        <w:numPr>
          <w:ilvl w:val="0"/>
          <w:numId w:val="1"/>
        </w:numPr>
        <w:spacing w:line="259" w:lineRule="auto"/>
        <w:rPr>
          <w:szCs w:val="24"/>
        </w:rPr>
      </w:pPr>
      <w:r w:rsidRPr="00FE326F">
        <w:rPr>
          <w:szCs w:val="24"/>
        </w:rPr>
        <w:t>LET45 - G-CSF Home Administration Service</w:t>
      </w:r>
    </w:p>
    <w:p w14:paraId="7640FE34" w14:textId="5DBE0C8F" w:rsidR="0056632C" w:rsidRPr="00FE326F" w:rsidRDefault="0056632C" w:rsidP="00A81DBF">
      <w:pPr>
        <w:pStyle w:val="ListParagraph"/>
        <w:numPr>
          <w:ilvl w:val="0"/>
          <w:numId w:val="1"/>
        </w:numPr>
        <w:spacing w:line="259" w:lineRule="auto"/>
        <w:rPr>
          <w:szCs w:val="24"/>
        </w:rPr>
      </w:pPr>
      <w:r w:rsidRPr="00FE326F">
        <w:rPr>
          <w:szCs w:val="24"/>
        </w:rPr>
        <w:t>FRM420 - Donation Safety Check for Regular Donor</w:t>
      </w:r>
    </w:p>
    <w:p w14:paraId="2A18F1B2" w14:textId="23FBDEEA" w:rsidR="0056632C" w:rsidRPr="00FE326F" w:rsidRDefault="0056632C" w:rsidP="0056632C">
      <w:pPr>
        <w:pStyle w:val="ListParagraph"/>
        <w:numPr>
          <w:ilvl w:val="0"/>
          <w:numId w:val="1"/>
        </w:numPr>
        <w:spacing w:line="259" w:lineRule="auto"/>
        <w:rPr>
          <w:szCs w:val="24"/>
        </w:rPr>
      </w:pPr>
      <w:r w:rsidRPr="00FE326F">
        <w:rPr>
          <w:szCs w:val="24"/>
        </w:rPr>
        <w:t>FRM421 - Donation Safety Check for New and Returning Donors</w:t>
      </w:r>
    </w:p>
    <w:p w14:paraId="08014A51" w14:textId="77777777" w:rsidR="00A81DBF" w:rsidRPr="00FE326F" w:rsidRDefault="00A81DBF" w:rsidP="00A81DBF">
      <w:pPr>
        <w:pStyle w:val="ListParagraph"/>
        <w:numPr>
          <w:ilvl w:val="0"/>
          <w:numId w:val="1"/>
        </w:numPr>
        <w:spacing w:line="259" w:lineRule="auto"/>
        <w:rPr>
          <w:szCs w:val="24"/>
        </w:rPr>
      </w:pPr>
      <w:r w:rsidRPr="00FE326F">
        <w:rPr>
          <w:szCs w:val="24"/>
        </w:rPr>
        <w:t>The retention and storage of pathological records and specimens (current edition)</w:t>
      </w:r>
    </w:p>
    <w:p w14:paraId="348CC856" w14:textId="33FC8347" w:rsidR="00A81DBF" w:rsidRPr="00FE326F" w:rsidRDefault="00A81DBF" w:rsidP="00A81DBF">
      <w:pPr>
        <w:pStyle w:val="ListParagraph"/>
        <w:numPr>
          <w:ilvl w:val="0"/>
          <w:numId w:val="1"/>
        </w:numPr>
        <w:spacing w:line="259" w:lineRule="auto"/>
        <w:rPr>
          <w:szCs w:val="24"/>
        </w:rPr>
      </w:pPr>
      <w:r w:rsidRPr="00FE326F">
        <w:t>LET3</w:t>
      </w:r>
      <w:r w:rsidR="00C13B5F" w:rsidRPr="00FE326F">
        <w:rPr>
          <w:rFonts w:cs="Arial"/>
        </w:rPr>
        <w:t>4</w:t>
      </w:r>
      <w:r w:rsidRPr="00FE326F">
        <w:t>9</w:t>
      </w:r>
      <w:r w:rsidRPr="00FE326F">
        <w:rPr>
          <w:szCs w:val="24"/>
        </w:rPr>
        <w:t>: Initial Letter to Collection Centre</w:t>
      </w:r>
    </w:p>
    <w:p w14:paraId="1BCC5BC1" w14:textId="47523F0C" w:rsidR="00531181" w:rsidRPr="00FE326F" w:rsidRDefault="00EE7054" w:rsidP="00A81DBF">
      <w:pPr>
        <w:pStyle w:val="ListParagraph"/>
        <w:numPr>
          <w:ilvl w:val="0"/>
          <w:numId w:val="1"/>
        </w:numPr>
        <w:spacing w:line="259" w:lineRule="auto"/>
        <w:rPr>
          <w:szCs w:val="24"/>
        </w:rPr>
      </w:pPr>
      <w:r w:rsidRPr="00637586">
        <w:rPr>
          <w:color w:val="000000" w:themeColor="text1"/>
        </w:rPr>
        <w:lastRenderedPageBreak/>
        <w:t xml:space="preserve">Prevailing </w:t>
      </w:r>
      <w:r w:rsidR="00531181" w:rsidRPr="00637586">
        <w:rPr>
          <w:color w:val="000000" w:themeColor="text1"/>
        </w:rPr>
        <w:t xml:space="preserve">HTA </w:t>
      </w:r>
      <w:r w:rsidR="00531181" w:rsidRPr="00FE326F">
        <w:t xml:space="preserve">Directions - Guide to Quality and Safety Assurance for Human Tissues and Cells for Patient Treatment  </w:t>
      </w:r>
    </w:p>
    <w:p w14:paraId="2613FBBF" w14:textId="311C941D" w:rsidR="00274AB9" w:rsidRPr="00FE326F" w:rsidRDefault="0052452D" w:rsidP="00274AB9">
      <w:pPr>
        <w:pStyle w:val="ListParagraph"/>
        <w:spacing w:line="259" w:lineRule="auto"/>
      </w:pPr>
      <w:hyperlink r:id="rId33" w:history="1">
        <w:r w:rsidR="00274AB9" w:rsidRPr="00FE326F">
          <w:rPr>
            <w:rStyle w:val="Hyperlink"/>
          </w:rPr>
          <w:t>https://www.hta.gov.uk/guidance-professionals/regulated-sectors/human-application/hta-guide-quality-and-safety-assurance</w:t>
        </w:r>
      </w:hyperlink>
    </w:p>
    <w:p w14:paraId="2F2ED9E2" w14:textId="01B57074" w:rsidR="00A81DBF" w:rsidRPr="00FE326F" w:rsidRDefault="00A81DBF" w:rsidP="00274AB9">
      <w:pPr>
        <w:pStyle w:val="ListParagraph"/>
        <w:spacing w:line="259" w:lineRule="auto"/>
        <w:rPr>
          <w:szCs w:val="24"/>
        </w:rPr>
      </w:pPr>
      <w:r w:rsidRPr="00FE326F">
        <w:rPr>
          <w:szCs w:val="24"/>
        </w:rPr>
        <w:t xml:space="preserve">International Standards for Unrelated Hematopoietic Stem Cell Donor </w:t>
      </w:r>
      <w:r w:rsidR="00274AB9" w:rsidRPr="00FE326F">
        <w:rPr>
          <w:szCs w:val="24"/>
        </w:rPr>
        <w:t>Registries, World</w:t>
      </w:r>
      <w:r w:rsidRPr="00FE326F">
        <w:rPr>
          <w:szCs w:val="24"/>
        </w:rPr>
        <w:t xml:space="preserve"> Marrow Donor Association. </w:t>
      </w:r>
      <w:hyperlink r:id="rId34" w:history="1">
        <w:r w:rsidR="00274AB9" w:rsidRPr="00FE326F">
          <w:rPr>
            <w:rStyle w:val="Hyperlink"/>
          </w:rPr>
          <w:t>WMDA Standards - WMDA</w:t>
        </w:r>
      </w:hyperlink>
      <w:r w:rsidR="00274AB9" w:rsidRPr="00FE326F">
        <w:t xml:space="preserve"> </w:t>
      </w:r>
    </w:p>
    <w:p w14:paraId="3369824D" w14:textId="73654BE3" w:rsidR="00A81DBF" w:rsidRPr="00FE326F" w:rsidRDefault="00A81DBF" w:rsidP="00A81DBF">
      <w:pPr>
        <w:pStyle w:val="ListParagraph"/>
        <w:numPr>
          <w:ilvl w:val="0"/>
          <w:numId w:val="1"/>
        </w:numPr>
        <w:spacing w:line="259" w:lineRule="auto"/>
        <w:rPr>
          <w:szCs w:val="24"/>
        </w:rPr>
      </w:pPr>
      <w:r w:rsidRPr="00FE326F">
        <w:rPr>
          <w:szCs w:val="24"/>
        </w:rPr>
        <w:t xml:space="preserve">JPAC Bone Marrow and Peripheral Blood Stem Cell Donor Selection Guidelines for Unrelated Donors </w:t>
      </w:r>
      <w:hyperlink r:id="rId35" w:history="1">
        <w:r w:rsidRPr="00FE326F">
          <w:rPr>
            <w:rStyle w:val="Hyperlink"/>
            <w:color w:val="auto"/>
          </w:rPr>
          <w:t>http://www.transfusionguidelines.org.uk/dsg/bm</w:t>
        </w:r>
      </w:hyperlink>
      <w:r w:rsidR="00A4249B" w:rsidRPr="00FE326F">
        <w:rPr>
          <w:rStyle w:val="Hyperlink"/>
          <w:color w:val="auto"/>
        </w:rPr>
        <w:t xml:space="preserve"> </w:t>
      </w:r>
    </w:p>
    <w:p w14:paraId="71B89D96" w14:textId="77777777" w:rsidR="00A81DBF" w:rsidRPr="00FE326F" w:rsidRDefault="00A81DBF" w:rsidP="00A81DBF">
      <w:pPr>
        <w:pStyle w:val="ListParagraph"/>
        <w:numPr>
          <w:ilvl w:val="0"/>
          <w:numId w:val="1"/>
        </w:numPr>
        <w:spacing w:line="259" w:lineRule="auto"/>
        <w:rPr>
          <w:szCs w:val="24"/>
        </w:rPr>
      </w:pPr>
      <w:r w:rsidRPr="00FE326F">
        <w:rPr>
          <w:szCs w:val="24"/>
        </w:rPr>
        <w:t>Guidelines for the Blood Transfusion Services in the UK Section, Chapter 22. Haemopoietic progenitor cells</w:t>
      </w:r>
    </w:p>
    <w:p w14:paraId="6A888188" w14:textId="6D17BFA9" w:rsidR="00A81DBF" w:rsidRPr="00FE326F" w:rsidRDefault="0052452D" w:rsidP="00A4249B">
      <w:pPr>
        <w:pStyle w:val="ListParagraph"/>
        <w:spacing w:line="259" w:lineRule="auto"/>
        <w:contextualSpacing w:val="0"/>
        <w:rPr>
          <w:rStyle w:val="Hyperlink"/>
        </w:rPr>
      </w:pPr>
      <w:hyperlink r:id="rId36" w:history="1">
        <w:r w:rsidR="00A4249B" w:rsidRPr="00FE326F">
          <w:rPr>
            <w:rStyle w:val="Hyperlink"/>
          </w:rPr>
          <w:t>https://www.transfusionguidelines.org/red-book/chapter-22-haemopoietic-progenitor-cells</w:t>
        </w:r>
      </w:hyperlink>
    </w:p>
    <w:p w14:paraId="4320A91C" w14:textId="63CF0CCD" w:rsidR="003F78C3" w:rsidRPr="00EE7054" w:rsidRDefault="003F78C3" w:rsidP="003F78C3">
      <w:pPr>
        <w:pStyle w:val="ListParagraph"/>
        <w:numPr>
          <w:ilvl w:val="0"/>
          <w:numId w:val="1"/>
        </w:numPr>
        <w:spacing w:line="259" w:lineRule="auto"/>
        <w:contextualSpacing w:val="0"/>
        <w:rPr>
          <w:szCs w:val="24"/>
        </w:rPr>
      </w:pPr>
      <w:r w:rsidRPr="00FE326F">
        <w:rPr>
          <w:szCs w:val="24"/>
        </w:rPr>
        <w:t>FRM4246: TAS</w:t>
      </w:r>
      <w:r w:rsidRPr="00EE7054">
        <w:rPr>
          <w:szCs w:val="24"/>
        </w:rPr>
        <w:t xml:space="preserve"> Medical Review of Donors Referred from Bone Marrow Registries</w:t>
      </w:r>
    </w:p>
    <w:p w14:paraId="142CEAB5" w14:textId="1B8D096A" w:rsidR="00205F0C" w:rsidRPr="00535391" w:rsidRDefault="00205F0C" w:rsidP="00D96CE1">
      <w:pPr>
        <w:rPr>
          <w:sz w:val="24"/>
          <w:szCs w:val="24"/>
        </w:rPr>
      </w:pPr>
    </w:p>
    <w:sectPr w:rsidR="00205F0C" w:rsidRPr="00535391" w:rsidSect="006C70FF">
      <w:type w:val="continuous"/>
      <w:pgSz w:w="11909" w:h="16834" w:code="9"/>
      <w:pgMar w:top="1440" w:right="994" w:bottom="1440" w:left="992" w:header="454" w:footer="28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56CB" w14:textId="77777777" w:rsidR="00586AAA" w:rsidRDefault="00586AAA">
      <w:r>
        <w:separator/>
      </w:r>
    </w:p>
  </w:endnote>
  <w:endnote w:type="continuationSeparator" w:id="0">
    <w:p w14:paraId="4D644BB7" w14:textId="77777777" w:rsidR="00586AAA" w:rsidRDefault="0058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26F5" w14:textId="77777777" w:rsidR="00586AAA" w:rsidRPr="007A0DB5" w:rsidRDefault="00586AAA" w:rsidP="00C55CF6">
    <w:pPr>
      <w:pStyle w:val="Header"/>
      <w:pBdr>
        <w:bottom w:val="single" w:sz="6" w:space="1" w:color="auto"/>
      </w:pBdr>
      <w:rPr>
        <w:sz w:val="2"/>
        <w:szCs w:val="2"/>
      </w:rPr>
    </w:pPr>
  </w:p>
  <w:p w14:paraId="7A0A7219" w14:textId="77777777" w:rsidR="00586AAA" w:rsidRDefault="00586AAA" w:rsidP="00C55CF6">
    <w:pPr>
      <w:tabs>
        <w:tab w:val="left" w:pos="3285"/>
      </w:tabs>
      <w:spacing w:before="60"/>
      <w:rPr>
        <w:rFonts w:cs="Arial"/>
        <w:b/>
      </w:rPr>
    </w:pPr>
    <w:r>
      <w:rPr>
        <w:rFonts w:cs="Arial"/>
        <w:b/>
      </w:rPr>
      <w:t>Controlled if copy number stated on document and issued by QA</w:t>
    </w:r>
    <w:r>
      <w:rPr>
        <w:rFonts w:cs="Arial"/>
        <w:b/>
      </w:rPr>
      <w:tab/>
    </w:r>
  </w:p>
  <w:p w14:paraId="7DC814E7" w14:textId="77777777" w:rsidR="00586AAA" w:rsidRDefault="00586AAA" w:rsidP="00C55CF6">
    <w:pPr>
      <w:tabs>
        <w:tab w:val="left" w:pos="3285"/>
      </w:tabs>
      <w:rPr>
        <w:rFonts w:cs="Arial"/>
        <w:sz w:val="12"/>
      </w:rPr>
    </w:pPr>
    <w:r>
      <w:rPr>
        <w:rFonts w:cs="Arial"/>
        <w:sz w:val="12"/>
      </w:rPr>
      <w:t>(Template Version 03/02/2020)</w:t>
    </w:r>
  </w:p>
  <w:p w14:paraId="7FD6CA70" w14:textId="29548BF1" w:rsidR="00586AAA" w:rsidRDefault="00586AAA" w:rsidP="00C55CF6">
    <w:pPr>
      <w:tabs>
        <w:tab w:val="left" w:pos="3285"/>
      </w:tabs>
      <w:jc w:val="right"/>
      <w:rPr>
        <w:rFonts w:cs="Arial"/>
        <w:sz w:val="12"/>
      </w:rPr>
    </w:pPr>
    <w:r w:rsidRPr="00FB281B">
      <w:rPr>
        <w:rFonts w:cs="Arial"/>
        <w:b/>
      </w:rPr>
      <w:t xml:space="preserve">Page </w:t>
    </w:r>
    <w:r w:rsidRPr="00FB281B">
      <w:rPr>
        <w:rFonts w:cs="Arial"/>
        <w:b/>
      </w:rPr>
      <w:fldChar w:fldCharType="begin"/>
    </w:r>
    <w:r w:rsidRPr="00FB281B">
      <w:rPr>
        <w:rFonts w:cs="Arial"/>
        <w:b/>
      </w:rPr>
      <w:instrText xml:space="preserve"> PAGE  \* MERGEFORMAT </w:instrText>
    </w:r>
    <w:r w:rsidRPr="00FB281B">
      <w:rPr>
        <w:rFonts w:cs="Arial"/>
        <w:b/>
      </w:rPr>
      <w:fldChar w:fldCharType="separate"/>
    </w:r>
    <w:r w:rsidR="00D16F0D">
      <w:rPr>
        <w:rFonts w:cs="Arial"/>
        <w:b/>
        <w:noProof/>
      </w:rPr>
      <w:t>26</w:t>
    </w:r>
    <w:r w:rsidRPr="00FB281B">
      <w:rPr>
        <w:rFonts w:cs="Arial"/>
        <w:b/>
      </w:rPr>
      <w:fldChar w:fldCharType="end"/>
    </w:r>
    <w:r w:rsidRPr="00FB281B">
      <w:rPr>
        <w:rFonts w:cs="Arial"/>
        <w:b/>
      </w:rPr>
      <w:t xml:space="preserve"> of </w:t>
    </w:r>
    <w:r w:rsidRPr="00FB281B">
      <w:rPr>
        <w:rFonts w:cs="Arial"/>
        <w:b/>
      </w:rPr>
      <w:fldChar w:fldCharType="begin"/>
    </w:r>
    <w:r w:rsidRPr="00FB281B">
      <w:rPr>
        <w:rFonts w:cs="Arial"/>
        <w:b/>
      </w:rPr>
      <w:instrText xml:space="preserve"> NUMPAGES  \* MERGEFORMAT </w:instrText>
    </w:r>
    <w:r w:rsidRPr="00FB281B">
      <w:rPr>
        <w:rFonts w:cs="Arial"/>
        <w:b/>
      </w:rPr>
      <w:fldChar w:fldCharType="separate"/>
    </w:r>
    <w:r w:rsidR="00D16F0D">
      <w:rPr>
        <w:rFonts w:cs="Arial"/>
        <w:b/>
        <w:noProof/>
      </w:rPr>
      <w:t>26</w:t>
    </w:r>
    <w:r w:rsidRPr="00FB281B">
      <w:rPr>
        <w:rFonts w:cs="Arial"/>
        <w:b/>
      </w:rPr>
      <w:fldChar w:fldCharType="end"/>
    </w:r>
  </w:p>
  <w:p w14:paraId="6E2139DF" w14:textId="77777777" w:rsidR="00586AAA" w:rsidRDefault="00586AAA" w:rsidP="00C55CF6">
    <w:pPr>
      <w:pStyle w:val="Footer"/>
      <w:tabs>
        <w:tab w:val="clear" w:pos="4153"/>
        <w:tab w:val="clear" w:pos="8306"/>
        <w:tab w:val="left" w:pos="3790"/>
      </w:tabs>
    </w:pPr>
    <w:r>
      <w:tab/>
    </w:r>
  </w:p>
  <w:p w14:paraId="2B5704E8" w14:textId="2C7425B3" w:rsidR="00586AAA" w:rsidRPr="00A81DBF" w:rsidRDefault="00586AAA" w:rsidP="00A81DBF">
    <w:pPr>
      <w:pStyle w:val="Footer"/>
      <w:jc w:val="center"/>
      <w:rPr>
        <w:b/>
        <w:color w:val="FFFFFF" w:themeColor="background1"/>
        <w:sz w:val="36"/>
        <w:szCs w:val="36"/>
      </w:rPr>
    </w:pPr>
    <w:r w:rsidRPr="003F7934">
      <w:rPr>
        <w:b/>
        <w:color w:val="FFFFFF" w:themeColor="background1"/>
        <w:sz w:val="36"/>
        <w:szCs w:val="36"/>
      </w:rPr>
      <w:t>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9154" w14:textId="77777777" w:rsidR="00586AAA" w:rsidRDefault="00586AAA">
      <w:r>
        <w:separator/>
      </w:r>
    </w:p>
  </w:footnote>
  <w:footnote w:type="continuationSeparator" w:id="0">
    <w:p w14:paraId="7974D8B0" w14:textId="77777777" w:rsidR="00586AAA" w:rsidRDefault="0058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265C" w14:textId="77777777" w:rsidR="00586AAA" w:rsidRPr="00404267" w:rsidRDefault="00586AAA" w:rsidP="00C55CF6">
    <w:pPr>
      <w:pStyle w:val="SOPTitle"/>
      <w:tabs>
        <w:tab w:val="clear" w:pos="0"/>
      </w:tabs>
      <w:ind w:right="62"/>
      <w:rPr>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8"/>
      <w:gridCol w:w="2505"/>
    </w:tblGrid>
    <w:tr w:rsidR="00586AAA" w14:paraId="633B25E3" w14:textId="77777777" w:rsidTr="000B52B0">
      <w:trPr>
        <w:jc w:val="center"/>
      </w:trPr>
      <w:tc>
        <w:tcPr>
          <w:tcW w:w="7655" w:type="dxa"/>
        </w:tcPr>
        <w:p w14:paraId="231172D6" w14:textId="6FDF2FFD" w:rsidR="00586AAA" w:rsidRPr="00404267" w:rsidRDefault="00586AAA" w:rsidP="006C70FF">
          <w:pPr>
            <w:pStyle w:val="Header"/>
            <w:rPr>
              <w:rFonts w:cs="Arial"/>
              <w:b/>
              <w:sz w:val="18"/>
              <w:szCs w:val="24"/>
            </w:rPr>
          </w:pPr>
          <w:r>
            <w:rPr>
              <w:rFonts w:cs="Arial"/>
              <w:b/>
              <w:sz w:val="28"/>
              <w:szCs w:val="28"/>
            </w:rPr>
            <w:t>SPN1068/8</w:t>
          </w:r>
          <w:r w:rsidRPr="00404267">
            <w:rPr>
              <w:rFonts w:cs="Arial"/>
              <w:b/>
              <w:sz w:val="28"/>
              <w:szCs w:val="28"/>
            </w:rPr>
            <w:t xml:space="preserve"> – </w:t>
          </w:r>
          <w:r w:rsidRPr="00A81DBF">
            <w:rPr>
              <w:rFonts w:cs="Arial"/>
              <w:b/>
              <w:sz w:val="28"/>
              <w:szCs w:val="28"/>
            </w:rPr>
            <w:t>Provision of BBMR Haematopoietic Stem Cell Services</w:t>
          </w:r>
        </w:p>
      </w:tc>
      <w:tc>
        <w:tcPr>
          <w:tcW w:w="2514" w:type="dxa"/>
        </w:tcPr>
        <w:p w14:paraId="6F6F464B" w14:textId="77777777" w:rsidR="00586AAA" w:rsidRDefault="00586AAA" w:rsidP="000B52B0">
          <w:pPr>
            <w:spacing w:before="20" w:line="276" w:lineRule="auto"/>
            <w:rPr>
              <w:rFonts w:cs="Arial"/>
              <w:b/>
              <w:sz w:val="18"/>
              <w:szCs w:val="24"/>
            </w:rPr>
          </w:pPr>
          <w:r w:rsidRPr="0089414C">
            <w:rPr>
              <w:rFonts w:cs="Arial"/>
              <w:noProof/>
              <w:sz w:val="24"/>
            </w:rPr>
            <w:drawing>
              <wp:inline distT="0" distB="0" distL="0" distR="0" wp14:anchorId="4B34B0AF" wp14:editId="3F6AFF4B">
                <wp:extent cx="1331595" cy="370205"/>
                <wp:effectExtent l="0" t="0" r="1905" b="0"/>
                <wp:docPr id="3" name="Picture 3" descr="NHSBloodandTransplantR1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BloodandTransplantR1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1595" cy="370205"/>
                        </a:xfrm>
                        <a:prstGeom prst="rect">
                          <a:avLst/>
                        </a:prstGeom>
                        <a:noFill/>
                        <a:ln>
                          <a:noFill/>
                        </a:ln>
                      </pic:spPr>
                    </pic:pic>
                  </a:graphicData>
                </a:graphic>
              </wp:inline>
            </w:drawing>
          </w:r>
        </w:p>
        <w:p w14:paraId="1AE8A130" w14:textId="77777777" w:rsidR="00586AAA" w:rsidRDefault="00586AAA" w:rsidP="000B52B0">
          <w:pPr>
            <w:tabs>
              <w:tab w:val="right" w:pos="0"/>
            </w:tabs>
            <w:spacing w:before="20" w:line="276" w:lineRule="auto"/>
            <w:rPr>
              <w:rFonts w:cs="Arial"/>
              <w:b/>
              <w:sz w:val="18"/>
              <w:szCs w:val="24"/>
            </w:rPr>
          </w:pPr>
          <w:r w:rsidRPr="00404267">
            <w:rPr>
              <w:rFonts w:cs="Arial"/>
              <w:b/>
              <w:sz w:val="18"/>
              <w:szCs w:val="24"/>
            </w:rPr>
            <w:t>Copy No:</w:t>
          </w:r>
        </w:p>
        <w:p w14:paraId="697C5E51" w14:textId="71E4AEB4" w:rsidR="00586AAA" w:rsidRDefault="00586AAA" w:rsidP="00637586">
          <w:pPr>
            <w:tabs>
              <w:tab w:val="right" w:pos="0"/>
            </w:tabs>
            <w:spacing w:before="20" w:line="276" w:lineRule="auto"/>
            <w:rPr>
              <w:szCs w:val="28"/>
            </w:rPr>
          </w:pPr>
          <w:r>
            <w:rPr>
              <w:rFonts w:cs="Arial"/>
              <w:b/>
              <w:sz w:val="18"/>
              <w:szCs w:val="24"/>
            </w:rPr>
            <w:t>Effective date: DRAFT</w:t>
          </w:r>
        </w:p>
      </w:tc>
    </w:tr>
  </w:tbl>
  <w:p w14:paraId="6F2954D9" w14:textId="77777777" w:rsidR="00586AAA" w:rsidRPr="00404267" w:rsidRDefault="00586AAA" w:rsidP="00C55CF6">
    <w:pPr>
      <w:pStyle w:val="SOPTitle"/>
      <w:tabs>
        <w:tab w:val="clear" w:pos="0"/>
      </w:tabs>
      <w:ind w:right="62"/>
      <w:rPr>
        <w:sz w:val="2"/>
        <w:szCs w:val="2"/>
      </w:rPr>
    </w:pPr>
  </w:p>
  <w:p w14:paraId="1FA8EB71" w14:textId="77777777" w:rsidR="00586AAA" w:rsidRPr="007C3354" w:rsidRDefault="00586AAA" w:rsidP="00C55CF6">
    <w:pPr>
      <w:pStyle w:val="SOPTitle"/>
      <w:tabs>
        <w:tab w:val="clear" w:pos="0"/>
      </w:tabs>
      <w:ind w:firstLine="1843"/>
      <w:jc w:val="center"/>
      <w:rPr>
        <w:sz w:val="2"/>
        <w:szCs w:val="2"/>
      </w:rPr>
    </w:pPr>
  </w:p>
  <w:p w14:paraId="2E5D0307" w14:textId="77777777" w:rsidR="00586AAA" w:rsidRPr="007A0DB5" w:rsidRDefault="00586AAA" w:rsidP="00C55CF6">
    <w:pPr>
      <w:pStyle w:val="Header"/>
      <w:pBdr>
        <w:bottom w:val="single" w:sz="6" w:space="1" w:color="auto"/>
      </w:pBdr>
      <w:jc w:val="center"/>
      <w:rPr>
        <w:sz w:val="2"/>
        <w:szCs w:val="2"/>
      </w:rPr>
    </w:pPr>
  </w:p>
  <w:p w14:paraId="4149E721" w14:textId="77777777" w:rsidR="00586AAA" w:rsidRPr="007A0DB5" w:rsidRDefault="00586AAA" w:rsidP="00C55CF6">
    <w:pPr>
      <w:pStyle w:val="Header"/>
      <w:jc w:val="center"/>
      <w:rPr>
        <w:rFonts w:cs="Arial"/>
        <w:b/>
        <w:sz w:val="2"/>
        <w:szCs w:val="2"/>
      </w:rPr>
    </w:pPr>
  </w:p>
  <w:p w14:paraId="249CCC44" w14:textId="77777777" w:rsidR="00586AAA" w:rsidRPr="00C55CF6" w:rsidRDefault="00586AAA" w:rsidP="00C55CF6">
    <w:pPr>
      <w:pStyle w:val="Header"/>
      <w:rPr>
        <w:sz w:val="2"/>
        <w:szCs w:val="2"/>
      </w:rPr>
    </w:pPr>
  </w:p>
  <w:p w14:paraId="7056C946" w14:textId="3A9E0BEE" w:rsidR="00586AAA" w:rsidRPr="00A81DBF" w:rsidRDefault="00586AAA">
    <w:pPr>
      <w:rPr>
        <w:sz w:val="2"/>
        <w:szCs w:val="2"/>
      </w:rPr>
    </w:pPr>
  </w:p>
  <w:p w14:paraId="49C61897" w14:textId="77777777" w:rsidR="00586AAA" w:rsidRPr="00A81DBF" w:rsidRDefault="00586AAA">
    <w:pPr>
      <w:rPr>
        <w:sz w:val="2"/>
        <w:szCs w:val="2"/>
      </w:rPr>
    </w:pPr>
  </w:p>
  <w:p w14:paraId="3535A0E7" w14:textId="77777777" w:rsidR="00586AAA" w:rsidRPr="00A81DBF" w:rsidRDefault="00586AA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71F99"/>
    <w:multiLevelType w:val="multilevel"/>
    <w:tmpl w:val="E796144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A64698"/>
    <w:multiLevelType w:val="multilevel"/>
    <w:tmpl w:val="A16072E0"/>
    <w:lvl w:ilvl="0">
      <w:start w:val="1"/>
      <w:numFmt w:val="decimal"/>
      <w:lvlText w:val="%1."/>
      <w:lvlJc w:val="left"/>
      <w:pPr>
        <w:tabs>
          <w:tab w:val="num" w:pos="540"/>
        </w:tabs>
        <w:ind w:left="540" w:hanging="540"/>
      </w:pPr>
      <w:rPr>
        <w:rFonts w:hint="default"/>
      </w:rPr>
    </w:lvl>
    <w:lvl w:ilvl="1">
      <w:start w:val="1"/>
      <w:numFmt w:val="decimal"/>
      <w:isLgl/>
      <w:lvlText w:val="%1.%2"/>
      <w:lvlJc w:val="left"/>
      <w:pPr>
        <w:tabs>
          <w:tab w:val="num" w:pos="540"/>
        </w:tabs>
        <w:ind w:left="540" w:hanging="54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C88739C"/>
    <w:multiLevelType w:val="multilevel"/>
    <w:tmpl w:val="EC2AC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92C1E"/>
    <w:multiLevelType w:val="multilevel"/>
    <w:tmpl w:val="647C4F2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281C9A"/>
    <w:multiLevelType w:val="multilevel"/>
    <w:tmpl w:val="E458873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C77F11"/>
    <w:multiLevelType w:val="multilevel"/>
    <w:tmpl w:val="115C5C1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3B1913"/>
    <w:multiLevelType w:val="multilevel"/>
    <w:tmpl w:val="2668C3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92C00"/>
    <w:multiLevelType w:val="multilevel"/>
    <w:tmpl w:val="B71C562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257993"/>
    <w:multiLevelType w:val="hybridMultilevel"/>
    <w:tmpl w:val="AE06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42A03"/>
    <w:multiLevelType w:val="multilevel"/>
    <w:tmpl w:val="9D3EFB74"/>
    <w:lvl w:ilvl="0">
      <w:start w:val="2"/>
      <w:numFmt w:val="decimal"/>
      <w:lvlText w:val="%1"/>
      <w:lvlJc w:val="left"/>
      <w:pPr>
        <w:tabs>
          <w:tab w:val="num" w:pos="420"/>
        </w:tabs>
        <w:ind w:left="420" w:hanging="420"/>
      </w:pPr>
      <w:rPr>
        <w:rFonts w:hint="default"/>
      </w:rPr>
    </w:lvl>
    <w:lvl w:ilvl="1">
      <w:start w:val="2"/>
      <w:numFmt w:val="decimal"/>
      <w:lvlText w:val="%2.1"/>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2E377D"/>
    <w:multiLevelType w:val="multilevel"/>
    <w:tmpl w:val="10E47A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00B08"/>
    <w:multiLevelType w:val="multilevel"/>
    <w:tmpl w:val="259E75F8"/>
    <w:lvl w:ilvl="0">
      <w:start w:val="8"/>
      <w:numFmt w:val="decimal"/>
      <w:lvlText w:val="%1"/>
      <w:lvlJc w:val="left"/>
      <w:pPr>
        <w:tabs>
          <w:tab w:val="num" w:pos="360"/>
        </w:tabs>
        <w:ind w:left="360" w:hanging="360"/>
      </w:pPr>
      <w:rPr>
        <w:rFonts w:hint="default"/>
      </w:rPr>
    </w:lvl>
    <w:lvl w:ilvl="1">
      <w:start w:val="2"/>
      <w:numFmt w:val="decimal"/>
      <w:lvlText w:val="7.%2"/>
      <w:lvlJc w:val="left"/>
      <w:pPr>
        <w:tabs>
          <w:tab w:val="num" w:pos="720"/>
        </w:tabs>
        <w:ind w:left="720" w:hanging="360"/>
      </w:pPr>
      <w:rPr>
        <w:rFonts w:hint="default"/>
      </w:rPr>
    </w:lvl>
    <w:lvl w:ilvl="2">
      <w:start w:val="1"/>
      <w:numFmt w:val="decimal"/>
      <w:lvlText w:val="7.%2.%3"/>
      <w:lvlJc w:val="left"/>
      <w:pPr>
        <w:tabs>
          <w:tab w:val="num" w:pos="1440"/>
        </w:tabs>
        <w:ind w:left="1440" w:hanging="720"/>
      </w:pPr>
      <w:rPr>
        <w:rFonts w:hint="default"/>
      </w:rPr>
    </w:lvl>
    <w:lvl w:ilvl="3">
      <w:start w:val="1"/>
      <w:numFmt w:val="decimal"/>
      <w:lvlText w:val="7.%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3F16080"/>
    <w:multiLevelType w:val="multilevel"/>
    <w:tmpl w:val="B0C62DAE"/>
    <w:lvl w:ilvl="0">
      <w:start w:val="2"/>
      <w:numFmt w:val="decimal"/>
      <w:lvlText w:val="%1"/>
      <w:lvlJc w:val="left"/>
      <w:pPr>
        <w:tabs>
          <w:tab w:val="num" w:pos="420"/>
        </w:tabs>
        <w:ind w:left="420" w:hanging="420"/>
      </w:pPr>
      <w:rPr>
        <w:rFonts w:hint="default"/>
      </w:rPr>
    </w:lvl>
    <w:lvl w:ilvl="1">
      <w:start w:val="2"/>
      <w:numFmt w:val="decimal"/>
      <w:lvlText w:val="%2.1"/>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DE557A"/>
    <w:multiLevelType w:val="multilevel"/>
    <w:tmpl w:val="259E75F8"/>
    <w:lvl w:ilvl="0">
      <w:start w:val="8"/>
      <w:numFmt w:val="decimal"/>
      <w:lvlText w:val="%1"/>
      <w:lvlJc w:val="left"/>
      <w:pPr>
        <w:tabs>
          <w:tab w:val="num" w:pos="360"/>
        </w:tabs>
        <w:ind w:left="360" w:hanging="360"/>
      </w:pPr>
      <w:rPr>
        <w:rFonts w:hint="default"/>
      </w:rPr>
    </w:lvl>
    <w:lvl w:ilvl="1">
      <w:start w:val="2"/>
      <w:numFmt w:val="decimal"/>
      <w:lvlText w:val="7.%2"/>
      <w:lvlJc w:val="left"/>
      <w:pPr>
        <w:tabs>
          <w:tab w:val="num" w:pos="720"/>
        </w:tabs>
        <w:ind w:left="720" w:hanging="360"/>
      </w:pPr>
      <w:rPr>
        <w:rFonts w:hint="default"/>
      </w:rPr>
    </w:lvl>
    <w:lvl w:ilvl="2">
      <w:start w:val="1"/>
      <w:numFmt w:val="decimal"/>
      <w:lvlText w:val="7.%2.%3"/>
      <w:lvlJc w:val="left"/>
      <w:pPr>
        <w:tabs>
          <w:tab w:val="num" w:pos="1440"/>
        </w:tabs>
        <w:ind w:left="1440" w:hanging="720"/>
      </w:pPr>
      <w:rPr>
        <w:rFonts w:hint="default"/>
      </w:rPr>
    </w:lvl>
    <w:lvl w:ilvl="3">
      <w:start w:val="1"/>
      <w:numFmt w:val="decimal"/>
      <w:lvlText w:val="7.%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1E18BD"/>
    <w:multiLevelType w:val="multilevel"/>
    <w:tmpl w:val="A22ACAA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C71A73"/>
    <w:multiLevelType w:val="multilevel"/>
    <w:tmpl w:val="DCAC46B0"/>
    <w:lvl w:ilvl="0">
      <w:start w:val="1"/>
      <w:numFmt w:val="decimal"/>
      <w:lvlText w:val="%1"/>
      <w:lvlJc w:val="left"/>
      <w:pPr>
        <w:tabs>
          <w:tab w:val="num" w:pos="0"/>
        </w:tabs>
        <w:ind w:left="720" w:hanging="720"/>
      </w:pPr>
      <w:rPr>
        <w:rFonts w:hint="default"/>
        <w:u w:val="none"/>
      </w:rPr>
    </w:lvl>
    <w:lvl w:ilvl="1">
      <w:start w:val="4"/>
      <w:numFmt w:val="decimal"/>
      <w:lvlText w:val="%1.%2"/>
      <w:lvlJc w:val="left"/>
      <w:pPr>
        <w:tabs>
          <w:tab w:val="num" w:pos="0"/>
        </w:tabs>
        <w:ind w:left="1457" w:hanging="737"/>
      </w:pPr>
      <w:rPr>
        <w:rFonts w:hint="default"/>
        <w:b w:val="0"/>
        <w:i w:val="0"/>
        <w:u w:val="none"/>
      </w:rPr>
    </w:lvl>
    <w:lvl w:ilvl="2">
      <w:start w:val="1"/>
      <w:numFmt w:val="none"/>
      <w:lvlText w:val=""/>
      <w:lvlJc w:val="left"/>
      <w:pPr>
        <w:tabs>
          <w:tab w:val="num" w:pos="0"/>
        </w:tabs>
        <w:ind w:left="2194" w:hanging="737"/>
      </w:pPr>
      <w:rPr>
        <w:rFonts w:hint="default"/>
        <w:b w:val="0"/>
        <w:i w:val="0"/>
        <w:u w:val="none"/>
      </w:rPr>
    </w:lvl>
    <w:lvl w:ilvl="3">
      <w:start w:val="1"/>
      <w:numFmt w:val="decimal"/>
      <w:lvlText w:val="%1.%2.%3.%4"/>
      <w:lvlJc w:val="left"/>
      <w:pPr>
        <w:tabs>
          <w:tab w:val="num" w:pos="-313"/>
        </w:tabs>
        <w:ind w:left="2618" w:hanging="737"/>
      </w:pPr>
      <w:rPr>
        <w:rFonts w:hint="default"/>
        <w:u w:val="none"/>
      </w:rPr>
    </w:lvl>
    <w:lvl w:ilvl="4">
      <w:start w:val="1"/>
      <w:numFmt w:val="lowerLetter"/>
      <w:lvlText w:val="(%5)"/>
      <w:lvlJc w:val="left"/>
      <w:pPr>
        <w:tabs>
          <w:tab w:val="num" w:pos="0"/>
        </w:tabs>
        <w:ind w:left="3668" w:hanging="737"/>
      </w:pPr>
      <w:rPr>
        <w:rFonts w:hint="default"/>
        <w:u w:val="none"/>
      </w:rPr>
    </w:lvl>
    <w:lvl w:ilvl="5">
      <w:start w:val="1"/>
      <w:numFmt w:val="lowerRoman"/>
      <w:lvlText w:val="(%6)"/>
      <w:lvlJc w:val="left"/>
      <w:pPr>
        <w:tabs>
          <w:tab w:val="num" w:pos="0"/>
        </w:tabs>
        <w:ind w:left="4405" w:hanging="737"/>
      </w:pPr>
      <w:rPr>
        <w:rFonts w:hint="default"/>
        <w:b w:val="0"/>
        <w:i w:val="0"/>
        <w:sz w:val="24"/>
        <w:u w:val="none"/>
      </w:rPr>
    </w:lvl>
    <w:lvl w:ilvl="6">
      <w:start w:val="1"/>
      <w:numFmt w:val="decimal"/>
      <w:lvlText w:val="(%7)"/>
      <w:lvlJc w:val="left"/>
      <w:pPr>
        <w:tabs>
          <w:tab w:val="num" w:pos="0"/>
        </w:tabs>
        <w:ind w:left="5142" w:hanging="737"/>
      </w:pPr>
      <w:rPr>
        <w:rFonts w:hint="default"/>
        <w:b w:val="0"/>
        <w:i w:val="0"/>
        <w:sz w:val="24"/>
        <w:u w:val="none"/>
      </w:rPr>
    </w:lvl>
    <w:lvl w:ilvl="7">
      <w:start w:val="1"/>
      <w:numFmt w:val="none"/>
      <w:suff w:val="nothing"/>
      <w:lvlText w:val=""/>
      <w:lvlJc w:val="left"/>
      <w:pPr>
        <w:ind w:left="5862" w:hanging="720"/>
      </w:pPr>
      <w:rPr>
        <w:rFonts w:hint="default"/>
        <w:b w:val="0"/>
        <w:i w:val="0"/>
        <w:sz w:val="24"/>
        <w:u w:val="none"/>
      </w:rPr>
    </w:lvl>
    <w:lvl w:ilvl="8">
      <w:start w:val="1"/>
      <w:numFmt w:val="none"/>
      <w:suff w:val="nothing"/>
      <w:lvlText w:val=""/>
      <w:lvlJc w:val="left"/>
      <w:pPr>
        <w:ind w:left="6582" w:hanging="720"/>
      </w:pPr>
      <w:rPr>
        <w:rFonts w:hint="default"/>
        <w:b w:val="0"/>
        <w:i w:val="0"/>
        <w:sz w:val="24"/>
        <w:u w:val="none"/>
      </w:rPr>
    </w:lvl>
  </w:abstractNum>
  <w:abstractNum w:abstractNumId="17" w15:restartNumberingAfterBreak="0">
    <w:nsid w:val="5B0C1E33"/>
    <w:multiLevelType w:val="multilevel"/>
    <w:tmpl w:val="8E5C06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5A20BC"/>
    <w:multiLevelType w:val="multilevel"/>
    <w:tmpl w:val="0256F56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BA67CB"/>
    <w:multiLevelType w:val="multilevel"/>
    <w:tmpl w:val="5FE42F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087FED"/>
    <w:multiLevelType w:val="multilevel"/>
    <w:tmpl w:val="B77C861A"/>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4D55261"/>
    <w:multiLevelType w:val="multilevel"/>
    <w:tmpl w:val="4366266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9D6B63"/>
    <w:multiLevelType w:val="multilevel"/>
    <w:tmpl w:val="F826833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C36644"/>
    <w:multiLevelType w:val="hybridMultilevel"/>
    <w:tmpl w:val="2098D07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2089688689">
    <w:abstractNumId w:val="9"/>
  </w:num>
  <w:num w:numId="2" w16cid:durableId="1579242597">
    <w:abstractNumId w:val="16"/>
  </w:num>
  <w:num w:numId="3" w16cid:durableId="599948155">
    <w:abstractNumId w:val="2"/>
  </w:num>
  <w:num w:numId="4" w16cid:durableId="1512528072">
    <w:abstractNumId w:val="3"/>
  </w:num>
  <w:num w:numId="5" w16cid:durableId="1234006840">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6" w16cid:durableId="1597136527">
    <w:abstractNumId w:val="14"/>
  </w:num>
  <w:num w:numId="7" w16cid:durableId="590620689">
    <w:abstractNumId w:val="18"/>
  </w:num>
  <w:num w:numId="8" w16cid:durableId="735670838">
    <w:abstractNumId w:val="10"/>
  </w:num>
  <w:num w:numId="9" w16cid:durableId="825438769">
    <w:abstractNumId w:val="5"/>
  </w:num>
  <w:num w:numId="10" w16cid:durableId="1896425415">
    <w:abstractNumId w:val="22"/>
  </w:num>
  <w:num w:numId="11" w16cid:durableId="1689067041">
    <w:abstractNumId w:val="8"/>
  </w:num>
  <w:num w:numId="12" w16cid:durableId="552931171">
    <w:abstractNumId w:val="15"/>
  </w:num>
  <w:num w:numId="13" w16cid:durableId="599720583">
    <w:abstractNumId w:val="20"/>
  </w:num>
  <w:num w:numId="14" w16cid:durableId="1264877016">
    <w:abstractNumId w:val="21"/>
  </w:num>
  <w:num w:numId="15" w16cid:durableId="1329480585">
    <w:abstractNumId w:val="19"/>
  </w:num>
  <w:num w:numId="16" w16cid:durableId="878586785">
    <w:abstractNumId w:val="17"/>
  </w:num>
  <w:num w:numId="17" w16cid:durableId="1499735982">
    <w:abstractNumId w:val="13"/>
  </w:num>
  <w:num w:numId="18" w16cid:durableId="1086728101">
    <w:abstractNumId w:val="11"/>
  </w:num>
  <w:num w:numId="19" w16cid:durableId="1971204216">
    <w:abstractNumId w:val="7"/>
  </w:num>
  <w:num w:numId="20" w16cid:durableId="1080911523">
    <w:abstractNumId w:val="1"/>
  </w:num>
  <w:num w:numId="21" w16cid:durableId="511530587">
    <w:abstractNumId w:val="4"/>
  </w:num>
  <w:num w:numId="22" w16cid:durableId="1159231685">
    <w:abstractNumId w:val="6"/>
  </w:num>
  <w:num w:numId="23" w16cid:durableId="594704430">
    <w:abstractNumId w:val="12"/>
  </w:num>
  <w:num w:numId="24" w16cid:durableId="1112357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0C"/>
    <w:rsid w:val="0001332D"/>
    <w:rsid w:val="00015655"/>
    <w:rsid w:val="0004352C"/>
    <w:rsid w:val="00073836"/>
    <w:rsid w:val="0007668A"/>
    <w:rsid w:val="00080B12"/>
    <w:rsid w:val="000833BF"/>
    <w:rsid w:val="00084F4A"/>
    <w:rsid w:val="000A5877"/>
    <w:rsid w:val="000B52B0"/>
    <w:rsid w:val="00126115"/>
    <w:rsid w:val="00132E0D"/>
    <w:rsid w:val="00152251"/>
    <w:rsid w:val="00160646"/>
    <w:rsid w:val="00177843"/>
    <w:rsid w:val="001B0F2B"/>
    <w:rsid w:val="001B646E"/>
    <w:rsid w:val="001D40AF"/>
    <w:rsid w:val="00205F0C"/>
    <w:rsid w:val="00210A9B"/>
    <w:rsid w:val="002306EA"/>
    <w:rsid w:val="002439B3"/>
    <w:rsid w:val="00260518"/>
    <w:rsid w:val="00274AB9"/>
    <w:rsid w:val="00277E44"/>
    <w:rsid w:val="002870D4"/>
    <w:rsid w:val="002A3D9E"/>
    <w:rsid w:val="002E6524"/>
    <w:rsid w:val="00360E7A"/>
    <w:rsid w:val="0036289D"/>
    <w:rsid w:val="00395D9D"/>
    <w:rsid w:val="003C68FA"/>
    <w:rsid w:val="003D20FB"/>
    <w:rsid w:val="003F78C3"/>
    <w:rsid w:val="004003D0"/>
    <w:rsid w:val="0040659D"/>
    <w:rsid w:val="0043405B"/>
    <w:rsid w:val="004548A7"/>
    <w:rsid w:val="00465767"/>
    <w:rsid w:val="0046672E"/>
    <w:rsid w:val="00471457"/>
    <w:rsid w:val="004776A9"/>
    <w:rsid w:val="00492A08"/>
    <w:rsid w:val="004938AA"/>
    <w:rsid w:val="004B2075"/>
    <w:rsid w:val="00503A7D"/>
    <w:rsid w:val="0051615F"/>
    <w:rsid w:val="005212A5"/>
    <w:rsid w:val="0052452D"/>
    <w:rsid w:val="00531181"/>
    <w:rsid w:val="00535391"/>
    <w:rsid w:val="00553827"/>
    <w:rsid w:val="0056632C"/>
    <w:rsid w:val="00582D4C"/>
    <w:rsid w:val="00583BF5"/>
    <w:rsid w:val="00586AAA"/>
    <w:rsid w:val="00586B17"/>
    <w:rsid w:val="005926A9"/>
    <w:rsid w:val="005C2883"/>
    <w:rsid w:val="005E19A2"/>
    <w:rsid w:val="006126BB"/>
    <w:rsid w:val="00627352"/>
    <w:rsid w:val="00637586"/>
    <w:rsid w:val="00637989"/>
    <w:rsid w:val="006A6553"/>
    <w:rsid w:val="006C2DDC"/>
    <w:rsid w:val="006C3835"/>
    <w:rsid w:val="006C70FF"/>
    <w:rsid w:val="006D7F2C"/>
    <w:rsid w:val="00715DF4"/>
    <w:rsid w:val="00772EFB"/>
    <w:rsid w:val="00784B8A"/>
    <w:rsid w:val="007A0DB5"/>
    <w:rsid w:val="007B193C"/>
    <w:rsid w:val="007C3354"/>
    <w:rsid w:val="008103A7"/>
    <w:rsid w:val="008244D1"/>
    <w:rsid w:val="00825C2E"/>
    <w:rsid w:val="0083381C"/>
    <w:rsid w:val="00836E13"/>
    <w:rsid w:val="008414E6"/>
    <w:rsid w:val="00850A17"/>
    <w:rsid w:val="00850E2C"/>
    <w:rsid w:val="008675D2"/>
    <w:rsid w:val="008A7A8D"/>
    <w:rsid w:val="008F7904"/>
    <w:rsid w:val="009045DB"/>
    <w:rsid w:val="009058F6"/>
    <w:rsid w:val="00910207"/>
    <w:rsid w:val="0092310C"/>
    <w:rsid w:val="00923DE0"/>
    <w:rsid w:val="009D04BD"/>
    <w:rsid w:val="009E3FC1"/>
    <w:rsid w:val="009E5125"/>
    <w:rsid w:val="009F0B29"/>
    <w:rsid w:val="00A06DAC"/>
    <w:rsid w:val="00A16C10"/>
    <w:rsid w:val="00A37217"/>
    <w:rsid w:val="00A4249B"/>
    <w:rsid w:val="00A74C14"/>
    <w:rsid w:val="00A81DBF"/>
    <w:rsid w:val="00A9041C"/>
    <w:rsid w:val="00AA3EDF"/>
    <w:rsid w:val="00AC31DC"/>
    <w:rsid w:val="00AC484A"/>
    <w:rsid w:val="00AE2F4B"/>
    <w:rsid w:val="00AF69A5"/>
    <w:rsid w:val="00B1688C"/>
    <w:rsid w:val="00B3220A"/>
    <w:rsid w:val="00B371BB"/>
    <w:rsid w:val="00B37366"/>
    <w:rsid w:val="00B64E22"/>
    <w:rsid w:val="00B70391"/>
    <w:rsid w:val="00B74E0C"/>
    <w:rsid w:val="00B82CB3"/>
    <w:rsid w:val="00BF0097"/>
    <w:rsid w:val="00BF3B4D"/>
    <w:rsid w:val="00C00368"/>
    <w:rsid w:val="00C0556F"/>
    <w:rsid w:val="00C13B5F"/>
    <w:rsid w:val="00C1637D"/>
    <w:rsid w:val="00C20298"/>
    <w:rsid w:val="00C475BF"/>
    <w:rsid w:val="00C55CF6"/>
    <w:rsid w:val="00C66AF9"/>
    <w:rsid w:val="00CB164B"/>
    <w:rsid w:val="00CE1B30"/>
    <w:rsid w:val="00D016AF"/>
    <w:rsid w:val="00D02F20"/>
    <w:rsid w:val="00D04776"/>
    <w:rsid w:val="00D115B0"/>
    <w:rsid w:val="00D11D01"/>
    <w:rsid w:val="00D16F0D"/>
    <w:rsid w:val="00D26F52"/>
    <w:rsid w:val="00D37F94"/>
    <w:rsid w:val="00D44EF0"/>
    <w:rsid w:val="00D96CE1"/>
    <w:rsid w:val="00DC14BA"/>
    <w:rsid w:val="00DD1002"/>
    <w:rsid w:val="00DD2A66"/>
    <w:rsid w:val="00E010D0"/>
    <w:rsid w:val="00E432F2"/>
    <w:rsid w:val="00E61F37"/>
    <w:rsid w:val="00E665F8"/>
    <w:rsid w:val="00E671A1"/>
    <w:rsid w:val="00EA1EBD"/>
    <w:rsid w:val="00EA2FF5"/>
    <w:rsid w:val="00EE0BD7"/>
    <w:rsid w:val="00EE1B40"/>
    <w:rsid w:val="00EE7054"/>
    <w:rsid w:val="00EF1613"/>
    <w:rsid w:val="00F12F81"/>
    <w:rsid w:val="00F1599E"/>
    <w:rsid w:val="00F22EEF"/>
    <w:rsid w:val="00F36D15"/>
    <w:rsid w:val="00F40BE9"/>
    <w:rsid w:val="00F417A1"/>
    <w:rsid w:val="00F42410"/>
    <w:rsid w:val="00F45C5D"/>
    <w:rsid w:val="00F46C2C"/>
    <w:rsid w:val="00F5015A"/>
    <w:rsid w:val="00F566C1"/>
    <w:rsid w:val="00F669C3"/>
    <w:rsid w:val="00F70163"/>
    <w:rsid w:val="00F7225D"/>
    <w:rsid w:val="00F7302C"/>
    <w:rsid w:val="00F93C2B"/>
    <w:rsid w:val="00F954F5"/>
    <w:rsid w:val="00FA21F9"/>
    <w:rsid w:val="00FB61C4"/>
    <w:rsid w:val="00FE300A"/>
    <w:rsid w:val="00FE326F"/>
    <w:rsid w:val="00FE71F3"/>
    <w:rsid w:val="00FF1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58CB6"/>
  <w15:chartTrackingRefBased/>
  <w15:docId w15:val="{64A88382-24D3-4CE7-A252-48C09E3B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qFormat/>
    <w:pPr>
      <w:keepNext/>
      <w:pBdr>
        <w:top w:val="single" w:sz="6" w:space="1" w:color="auto"/>
      </w:pBdr>
      <w:spacing w:after="240"/>
      <w:outlineLvl w:val="0"/>
    </w:pPr>
    <w:rPr>
      <w:b/>
    </w:rPr>
  </w:style>
  <w:style w:type="paragraph" w:styleId="Heading2">
    <w:name w:val="heading 2"/>
    <w:aliases w:val="PARA2,h 3,Numbered - 2,Reset numbering,S Heading,S Heading 2,h2,Heading Two,(1.1,1.2,1.3 etc),Prophead 2,RFP Heading 2,Activity,l2,H2,Major,KJL:1st Level,Project 2,RFS 2,Heading 2 Number,Heading 2a,T2,PARA21,PARA22,PARA23,T21,PARA24,T22,PARA25"/>
    <w:basedOn w:val="Normal"/>
    <w:next w:val="Normal"/>
    <w:link w:val="Heading2Char"/>
    <w:qFormat/>
    <w:rsid w:val="00A81DBF"/>
    <w:pPr>
      <w:keepNext/>
      <w:tabs>
        <w:tab w:val="num" w:pos="0"/>
      </w:tabs>
      <w:ind w:left="1457" w:hanging="737"/>
      <w:outlineLvl w:val="1"/>
    </w:pPr>
    <w:rPr>
      <w:b/>
      <w:sz w:val="28"/>
      <w:lang w:val="en-US"/>
    </w:rPr>
  </w:style>
  <w:style w:type="paragraph" w:styleId="Heading3">
    <w:name w:val="heading 3"/>
    <w:aliases w:val="Level 1 - 2,h3,C Sub-Sub/Italic,h3 sub heading,Head 31,Head 32,C Sub-Sub/Italic1,h3 sub heading1,H3,3m,Level 1 - 1,GPH Heading 3,Sub-section,H31,(Alt+3),3,Sub2Para,Numbered - 3,HeadC,Minor1,Para Heading 3,Para Heading 31,h31,Minor,H32,H33,H311"/>
    <w:basedOn w:val="Normal"/>
    <w:next w:val="Normal"/>
    <w:link w:val="Heading3Char"/>
    <w:qFormat/>
    <w:rsid w:val="00A81DBF"/>
    <w:pPr>
      <w:keepNext/>
      <w:tabs>
        <w:tab w:val="left" w:pos="-1440"/>
        <w:tab w:val="left" w:pos="-720"/>
        <w:tab w:val="num" w:pos="0"/>
      </w:tabs>
      <w:ind w:left="2194" w:hanging="737"/>
      <w:outlineLvl w:val="2"/>
    </w:pPr>
    <w:rPr>
      <w:b/>
      <w:sz w:val="28"/>
      <w:lang w:val="en-US"/>
    </w:rPr>
  </w:style>
  <w:style w:type="paragraph" w:styleId="Heading4">
    <w:name w:val="heading 4"/>
    <w:aliases w:val="Sub-Minor,Level 2 - a,Project table,Propos,Bullet 1,Bullet 11,Bullet 12,Bullet 13,Bullet 14,Bullet 15,Bullet 16,h4,Paragraph Title,Oscar Faber 4,H41,H42,H43,H44,H45,H46,H47,H48,H49,H410,H411,H421,H431,H441,H451,H461,H471,H481,H491,H4101,H412,n"/>
    <w:basedOn w:val="Normal"/>
    <w:next w:val="Normal"/>
    <w:link w:val="Heading4Char"/>
    <w:qFormat/>
    <w:rsid w:val="00A81DBF"/>
    <w:pPr>
      <w:keepNext/>
      <w:tabs>
        <w:tab w:val="left" w:pos="-288"/>
      </w:tabs>
      <w:ind w:left="2618" w:hanging="737"/>
      <w:outlineLvl w:val="3"/>
    </w:pPr>
    <w:rPr>
      <w:b/>
      <w:sz w:val="28"/>
      <w:lang w:val="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A81DBF"/>
    <w:pPr>
      <w:keepNext/>
      <w:tabs>
        <w:tab w:val="num" w:pos="0"/>
      </w:tabs>
      <w:ind w:left="3668" w:hanging="737"/>
      <w:outlineLvl w:val="4"/>
    </w:pPr>
    <w:rPr>
      <w:b/>
      <w:sz w:val="32"/>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A81DBF"/>
    <w:pPr>
      <w:keepNext/>
      <w:tabs>
        <w:tab w:val="num" w:pos="0"/>
      </w:tabs>
      <w:ind w:left="4405" w:hanging="737"/>
      <w:outlineLvl w:val="5"/>
    </w:pPr>
    <w:rPr>
      <w:b/>
      <w:sz w:val="22"/>
      <w:u w:val="single"/>
      <w:lang w:val="en-US"/>
    </w:rPr>
  </w:style>
  <w:style w:type="paragraph" w:styleId="Heading7">
    <w:name w:val="heading 7"/>
    <w:aliases w:val="Heading 7(unused),Legal Level 1.1.,L2 PIP,Lev 7,H7DO NOT USE,PA Appendix Major,Blank 3"/>
    <w:basedOn w:val="Normal"/>
    <w:next w:val="Normal"/>
    <w:link w:val="Heading7Char"/>
    <w:qFormat/>
    <w:rsid w:val="00A81DBF"/>
    <w:pPr>
      <w:keepNext/>
      <w:tabs>
        <w:tab w:val="num" w:pos="0"/>
      </w:tabs>
      <w:ind w:left="5142" w:hanging="737"/>
      <w:jc w:val="center"/>
      <w:outlineLvl w:val="6"/>
    </w:pPr>
    <w:rPr>
      <w:b/>
      <w:sz w:val="22"/>
    </w:rPr>
  </w:style>
  <w:style w:type="paragraph" w:styleId="Heading8">
    <w:name w:val="heading 8"/>
    <w:aliases w:val="Legal Level 1.1.1.,Lev 8,h8 DO NOT USE,PA Appendix Minor,Blank 4"/>
    <w:basedOn w:val="Normal"/>
    <w:next w:val="Normal"/>
    <w:link w:val="Heading8Char"/>
    <w:qFormat/>
    <w:rsid w:val="00A81DBF"/>
    <w:pPr>
      <w:keepNext/>
      <w:tabs>
        <w:tab w:val="left" w:pos="540"/>
      </w:tabs>
      <w:ind w:left="5862" w:hanging="720"/>
      <w:outlineLvl w:val="7"/>
    </w:pPr>
    <w:rPr>
      <w:b/>
      <w:sz w:val="22"/>
      <w:lang w:val="en-US"/>
    </w:rPr>
  </w:style>
  <w:style w:type="paragraph" w:styleId="Heading9">
    <w:name w:val="heading 9"/>
    <w:aliases w:val="Heading 9 (defunct),Legal Level 1.1.1.1.,Lev 9,h9 DO NOT USE,App Heading,Titre 10,App1,Blank 5,appendix"/>
    <w:basedOn w:val="Normal"/>
    <w:next w:val="Normal"/>
    <w:link w:val="Heading9Char"/>
    <w:qFormat/>
    <w:rsid w:val="00A81DBF"/>
    <w:pPr>
      <w:keepNext/>
      <w:widowControl w:val="0"/>
      <w:ind w:left="6582" w:hanging="720"/>
      <w:jc w:val="center"/>
      <w:outlineLvl w:val="8"/>
    </w:pPr>
    <w:rPr>
      <w:rFonts w:ascii="Tahoma" w:hAnsi="Tahoma"/>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ncy1">
    <w:name w:val="Fancy 1"/>
    <w:basedOn w:val="Normal"/>
    <w:rPr>
      <w:rFonts w:ascii="Matura MT Script Capitals" w:hAnsi="Matura MT Script Capitals"/>
      <w:sz w:val="3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uiPriority w:val="99"/>
    <w:rsid w:val="00FB61C4"/>
    <w:rPr>
      <w:rFonts w:cs="Times New Roman"/>
      <w:color w:val="0000FF"/>
      <w:u w:val="single"/>
    </w:rPr>
  </w:style>
  <w:style w:type="table" w:styleId="TableGrid">
    <w:name w:val="Table Grid"/>
    <w:basedOn w:val="TableNormal"/>
    <w:uiPriority w:val="39"/>
    <w:rsid w:val="005212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itle">
    <w:name w:val="SOP Title"/>
    <w:basedOn w:val="Normal"/>
    <w:qFormat/>
    <w:rsid w:val="005212A5"/>
    <w:pPr>
      <w:tabs>
        <w:tab w:val="right" w:pos="0"/>
      </w:tabs>
    </w:pPr>
    <w:rPr>
      <w:rFonts w:eastAsiaTheme="minorHAnsi" w:cs="Arial"/>
      <w:b/>
      <w:sz w:val="28"/>
      <w:szCs w:val="24"/>
      <w:lang w:eastAsia="en-US"/>
    </w:rPr>
  </w:style>
  <w:style w:type="character" w:customStyle="1" w:styleId="HeaderChar">
    <w:name w:val="Header Char"/>
    <w:basedOn w:val="DefaultParagraphFont"/>
    <w:link w:val="Header"/>
    <w:rsid w:val="007A0DB5"/>
    <w:rPr>
      <w:rFonts w:ascii="Arial" w:hAnsi="Arial"/>
    </w:rPr>
  </w:style>
  <w:style w:type="paragraph" w:styleId="ListParagraph">
    <w:name w:val="List Paragraph"/>
    <w:basedOn w:val="Normal"/>
    <w:uiPriority w:val="34"/>
    <w:qFormat/>
    <w:rsid w:val="00D96CE1"/>
    <w:pPr>
      <w:ind w:left="720"/>
      <w:contextualSpacing/>
    </w:pPr>
  </w:style>
  <w:style w:type="character" w:styleId="FollowedHyperlink">
    <w:name w:val="FollowedHyperlink"/>
    <w:basedOn w:val="DefaultParagraphFont"/>
    <w:rsid w:val="00A81DBF"/>
    <w:rPr>
      <w:color w:val="954F72" w:themeColor="followedHyperlink"/>
      <w:u w:val="single"/>
    </w:rPr>
  </w:style>
  <w:style w:type="character" w:customStyle="1" w:styleId="Heading2Char">
    <w:name w:val="Heading 2 Char"/>
    <w:aliases w:val="PARA2 Char,h 3 Char,Numbered - 2 Char,Reset numbering Char,S Heading Char,S Heading 2 Char,h2 Char,Heading Two Char,(1.1 Char,1.2 Char,1.3 etc) Char,Prophead 2 Char,RFP Heading 2 Char,Activity Char,l2 Char,H2 Char,Major Char,RFS 2 Char"/>
    <w:basedOn w:val="DefaultParagraphFont"/>
    <w:link w:val="Heading2"/>
    <w:rsid w:val="00A81DBF"/>
    <w:rPr>
      <w:rFonts w:ascii="Arial" w:hAnsi="Arial"/>
      <w:b/>
      <w:sz w:val="28"/>
      <w:lang w:val="en-US"/>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A81DBF"/>
    <w:rPr>
      <w:rFonts w:ascii="Arial" w:hAnsi="Arial"/>
      <w:b/>
      <w:sz w:val="28"/>
      <w:lang w:val="en-US"/>
    </w:rPr>
  </w:style>
  <w:style w:type="character" w:customStyle="1" w:styleId="Heading4Char">
    <w:name w:val="Heading 4 Char"/>
    <w:aliases w:val="Sub-Minor Char,Level 2 - a Char,Project table Char,Propos Char,Bullet 1 Char,Bullet 11 Char,Bullet 12 Char,Bullet 13 Char,Bullet 14 Char,Bullet 15 Char,Bullet 16 Char,h4 Char,Paragraph Title Char,Oscar Faber 4 Char,H41 Char,H42 Char"/>
    <w:basedOn w:val="DefaultParagraphFont"/>
    <w:link w:val="Heading4"/>
    <w:rsid w:val="00A81DBF"/>
    <w:rPr>
      <w:rFonts w:ascii="Arial" w:hAnsi="Arial"/>
      <w:b/>
      <w:sz w:val="28"/>
      <w:lang w:val="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A81DBF"/>
    <w:rPr>
      <w:rFonts w:ascii="Arial" w:hAnsi="Arial"/>
      <w:b/>
      <w:sz w:val="32"/>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A81DBF"/>
    <w:rPr>
      <w:rFonts w:ascii="Arial" w:hAnsi="Arial"/>
      <w:b/>
      <w:sz w:val="22"/>
      <w:u w:val="single"/>
      <w:lang w:val="en-US"/>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A81DBF"/>
    <w:rPr>
      <w:rFonts w:ascii="Arial" w:hAnsi="Arial"/>
      <w:b/>
      <w:sz w:val="22"/>
    </w:rPr>
  </w:style>
  <w:style w:type="character" w:customStyle="1" w:styleId="Heading8Char">
    <w:name w:val="Heading 8 Char"/>
    <w:aliases w:val="Legal Level 1.1.1. Char,Lev 8 Char,h8 DO NOT USE Char,PA Appendix Minor Char,Blank 4 Char"/>
    <w:basedOn w:val="DefaultParagraphFont"/>
    <w:link w:val="Heading8"/>
    <w:rsid w:val="00A81DBF"/>
    <w:rPr>
      <w:rFonts w:ascii="Arial" w:hAnsi="Arial"/>
      <w:b/>
      <w:sz w:val="22"/>
      <w:lang w:val="en-US"/>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A81DBF"/>
    <w:rPr>
      <w:rFonts w:ascii="Tahoma" w:hAnsi="Tahoma"/>
      <w:b/>
      <w:caps/>
      <w:sz w:val="22"/>
    </w:rPr>
  </w:style>
  <w:style w:type="character" w:styleId="CommentReference">
    <w:name w:val="annotation reference"/>
    <w:rsid w:val="00A81DBF"/>
    <w:rPr>
      <w:sz w:val="16"/>
      <w:szCs w:val="16"/>
    </w:rPr>
  </w:style>
  <w:style w:type="character" w:customStyle="1" w:styleId="UnresolvedMention1">
    <w:name w:val="Unresolved Mention1"/>
    <w:basedOn w:val="DefaultParagraphFont"/>
    <w:uiPriority w:val="99"/>
    <w:semiHidden/>
    <w:unhideWhenUsed/>
    <w:rsid w:val="00A4249B"/>
    <w:rPr>
      <w:color w:val="605E5C"/>
      <w:shd w:val="clear" w:color="auto" w:fill="E1DFDD"/>
    </w:rPr>
  </w:style>
  <w:style w:type="paragraph" w:styleId="NormalWeb">
    <w:name w:val="Normal (Web)"/>
    <w:basedOn w:val="Normal"/>
    <w:uiPriority w:val="99"/>
    <w:unhideWhenUsed/>
    <w:rsid w:val="006C2DDC"/>
    <w:rPr>
      <w:rFonts w:ascii="Times New Roman" w:eastAsiaTheme="minorHAnsi" w:hAnsi="Times New Roman"/>
      <w:sz w:val="24"/>
      <w:szCs w:val="24"/>
    </w:rPr>
  </w:style>
  <w:style w:type="paragraph" w:styleId="BalloonText">
    <w:name w:val="Balloon Text"/>
    <w:basedOn w:val="Normal"/>
    <w:link w:val="BalloonTextChar"/>
    <w:semiHidden/>
    <w:unhideWhenUsed/>
    <w:rsid w:val="003C68FA"/>
    <w:rPr>
      <w:rFonts w:ascii="Segoe UI" w:hAnsi="Segoe UI" w:cs="Segoe UI"/>
      <w:sz w:val="18"/>
      <w:szCs w:val="18"/>
    </w:rPr>
  </w:style>
  <w:style w:type="character" w:customStyle="1" w:styleId="BalloonTextChar">
    <w:name w:val="Balloon Text Char"/>
    <w:basedOn w:val="DefaultParagraphFont"/>
    <w:link w:val="BalloonText"/>
    <w:semiHidden/>
    <w:rsid w:val="003C68FA"/>
    <w:rPr>
      <w:rFonts w:ascii="Segoe UI" w:hAnsi="Segoe UI" w:cs="Segoe UI"/>
      <w:sz w:val="18"/>
      <w:szCs w:val="18"/>
    </w:rPr>
  </w:style>
  <w:style w:type="paragraph" w:styleId="CommentText">
    <w:name w:val="annotation text"/>
    <w:basedOn w:val="Normal"/>
    <w:link w:val="CommentTextChar"/>
    <w:rsid w:val="00C0556F"/>
  </w:style>
  <w:style w:type="character" w:customStyle="1" w:styleId="CommentTextChar">
    <w:name w:val="Comment Text Char"/>
    <w:basedOn w:val="DefaultParagraphFont"/>
    <w:link w:val="CommentText"/>
    <w:rsid w:val="00C0556F"/>
    <w:rPr>
      <w:rFonts w:ascii="Arial" w:hAnsi="Arial"/>
    </w:rPr>
  </w:style>
  <w:style w:type="paragraph" w:styleId="CommentSubject">
    <w:name w:val="annotation subject"/>
    <w:basedOn w:val="CommentText"/>
    <w:next w:val="CommentText"/>
    <w:link w:val="CommentSubjectChar"/>
    <w:semiHidden/>
    <w:unhideWhenUsed/>
    <w:rsid w:val="00C0556F"/>
    <w:rPr>
      <w:b/>
      <w:bCs/>
    </w:rPr>
  </w:style>
  <w:style w:type="character" w:customStyle="1" w:styleId="CommentSubjectChar">
    <w:name w:val="Comment Subject Char"/>
    <w:basedOn w:val="CommentTextChar"/>
    <w:link w:val="CommentSubject"/>
    <w:semiHidden/>
    <w:rsid w:val="00C0556F"/>
    <w:rPr>
      <w:rFonts w:ascii="Arial" w:hAnsi="Arial"/>
      <w:b/>
      <w:bCs/>
    </w:rPr>
  </w:style>
  <w:style w:type="paragraph" w:customStyle="1" w:styleId="2GreenSubHead">
    <w:name w:val="2_GreenSubHead"/>
    <w:basedOn w:val="Normal"/>
    <w:rsid w:val="00FA21F9"/>
    <w:rPr>
      <w:rFonts w:eastAsia="Calibri" w:cs="Arial"/>
      <w:b/>
      <w:bCs/>
      <w:noProof/>
      <w:color w:val="9BBB59"/>
      <w:sz w:val="24"/>
      <w:szCs w:val="24"/>
      <w:lang w:eastAsia="en-US"/>
    </w:rPr>
  </w:style>
  <w:style w:type="character" w:customStyle="1" w:styleId="UnresolvedMention2">
    <w:name w:val="Unresolved Mention2"/>
    <w:basedOn w:val="DefaultParagraphFont"/>
    <w:uiPriority w:val="99"/>
    <w:semiHidden/>
    <w:unhideWhenUsed/>
    <w:rsid w:val="00274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ransfusionguidelines.org.uk/dsg/bm" TargetMode="External"/><Relationship Id="rId18" Type="http://schemas.openxmlformats.org/officeDocument/2006/relationships/hyperlink" Target="mailto:workup@nhsbt.nhs.uk" TargetMode="External"/><Relationship Id="rId26" Type="http://schemas.openxmlformats.org/officeDocument/2006/relationships/hyperlink" Target="mailto:BBMR@nhsbt.nhs.uk" TargetMode="External"/><Relationship Id="rId21" Type="http://schemas.openxmlformats.org/officeDocument/2006/relationships/hyperlink" Target="http://ndcsb217:8088/upload/controlled_documents/MPD1207.docxx" TargetMode="External"/><Relationship Id="rId34" Type="http://schemas.openxmlformats.org/officeDocument/2006/relationships/hyperlink" Target="https://wmda.info/professionals/quality-and-accreditation/wmda-standards/" TargetMode="External"/><Relationship Id="rId7" Type="http://schemas.openxmlformats.org/officeDocument/2006/relationships/endnotes" Target="endnotes.xml"/><Relationship Id="rId12" Type="http://schemas.openxmlformats.org/officeDocument/2006/relationships/hyperlink" Target="http://ndcsb217:8088/upload/controlled_documents/LET349.docxx" TargetMode="External"/><Relationship Id="rId17" Type="http://schemas.openxmlformats.org/officeDocument/2006/relationships/hyperlink" Target="mailto:workup@nhsbt.nhs.uk" TargetMode="External"/><Relationship Id="rId25" Type="http://schemas.openxmlformats.org/officeDocument/2006/relationships/hyperlink" Target="mailto:BBMR@nhsbt.nhs.uk" TargetMode="External"/><Relationship Id="rId33" Type="http://schemas.openxmlformats.org/officeDocument/2006/relationships/hyperlink" Target="https://www.hta.gov.uk/guidance-professionals/regulated-sectors/human-application/hta-guide-quality-and-safety-assuranc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BMR@nhsbt.nhs.uk" TargetMode="External"/><Relationship Id="rId20" Type="http://schemas.openxmlformats.org/officeDocument/2006/relationships/hyperlink" Target="mailto:workup@nhsbt.nhs.uk" TargetMode="External"/><Relationship Id="rId29" Type="http://schemas.openxmlformats.org/officeDocument/2006/relationships/hyperlink" Target="http://ndcsb217:8088/upload/controlled_documents/MPD1207.doc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dcsb217:8088/upload/controlled_documents/LET349.docxx" TargetMode="External"/><Relationship Id="rId24" Type="http://schemas.openxmlformats.org/officeDocument/2006/relationships/image" Target="media/image2.png"/><Relationship Id="rId32" Type="http://schemas.openxmlformats.org/officeDocument/2006/relationships/hyperlink" Target="https://www.nature.com/articles/s41409-018-0252-z.epdf?author_access_token=WLU0ywMyIkg2D7pwg8iCU9RgN0jAjWel9jnR3ZoTv0McNho0PuxABjPrEIZMj_i3i6HEqMPmg9-oCdkyhbTluyysjkUb8_yses9G0eY-3sCoSFbimCVNskyIaineqIi_s3k1cVLnDq2G-IA3wvwZYw%3D%3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ransfusionguidelines.org/transfusion-handbook/4-safe-transfusion-right-blood-right-patient-right-time-and-right-place/4-7-pre-transfusion-blood-sampling" TargetMode="External"/><Relationship Id="rId23" Type="http://schemas.openxmlformats.org/officeDocument/2006/relationships/hyperlink" Target="https://www.rcpath.org/resourceLibrary/the-retention-and-storage-of-pathological-records-and-specimens--5th-edition-.html" TargetMode="External"/><Relationship Id="rId28" Type="http://schemas.openxmlformats.org/officeDocument/2006/relationships/footer" Target="footer1.xml"/><Relationship Id="rId36" Type="http://schemas.openxmlformats.org/officeDocument/2006/relationships/hyperlink" Target="https://www.transfusionguidelines.org/red-book/chapter-22-haemopoietic-progenitor-cells" TargetMode="External"/><Relationship Id="rId10" Type="http://schemas.openxmlformats.org/officeDocument/2006/relationships/hyperlink" Target="mailto:workup@nhsbt.nhs.uk" TargetMode="External"/><Relationship Id="rId19" Type="http://schemas.openxmlformats.org/officeDocument/2006/relationships/hyperlink" Target="mailto:workup@nhsbt.nhs.uk" TargetMode="External"/><Relationship Id="rId31" Type="http://schemas.openxmlformats.org/officeDocument/2006/relationships/hyperlink" Target="https://www.nice.org.uk/guidance/ta49" TargetMode="External"/><Relationship Id="rId4" Type="http://schemas.openxmlformats.org/officeDocument/2006/relationships/settings" Target="settings.xml"/><Relationship Id="rId9" Type="http://schemas.openxmlformats.org/officeDocument/2006/relationships/hyperlink" Target="https://www.transfusionguidelines.org/dsg/gdri" TargetMode="External"/><Relationship Id="rId14" Type="http://schemas.openxmlformats.org/officeDocument/2006/relationships/hyperlink" Target="https://www.transfusionguidelines.org/dsg/gdri"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hyperlink" Target="https://www.transfusionguidelines.org/dsg/gdri" TargetMode="External"/><Relationship Id="rId35" Type="http://schemas.openxmlformats.org/officeDocument/2006/relationships/hyperlink" Target="http://www.transfusionguidelines.org.uk/dsg/bm" TargetMode="External"/><Relationship Id="rId8" Type="http://schemas.openxmlformats.org/officeDocument/2006/relationships/hyperlink" Target="http://www.transfusionguidelines.org.uk/dsg/b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7EC2-0B65-4DC9-AF2A-2AD46B85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9932</Words>
  <Characters>56713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DAT/</vt:lpstr>
    </vt:vector>
  </TitlesOfParts>
  <Company>National Blood Servcie</Company>
  <LinksUpToDate>false</LinksUpToDate>
  <CharactersWithSpaces>66512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dc:title>
  <dc:subject>National Datasheet Template</dc:subject>
  <dc:creator>Gregson Hannah</dc:creator>
  <cp:keywords/>
  <dc:description/>
  <cp:lastModifiedBy>Rosalind Gill</cp:lastModifiedBy>
  <cp:revision>2</cp:revision>
  <cp:lastPrinted>2022-03-23T15:49:00Z</cp:lastPrinted>
  <dcterms:created xsi:type="dcterms:W3CDTF">2023-07-19T17:45:00Z</dcterms:created>
  <dcterms:modified xsi:type="dcterms:W3CDTF">2023-07-19T17:45:00Z</dcterms:modified>
</cp:coreProperties>
</file>