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13" w:rsidRDefault="00CA09F7">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p>
    <w:p w:rsidR="00051F26" w:rsidRPr="00850894" w:rsidRDefault="00850894">
      <w:pPr>
        <w:rPr>
          <w:b/>
        </w:rPr>
      </w:pPr>
      <w:r w:rsidRPr="00850894">
        <w:rPr>
          <w:b/>
          <w:i/>
        </w:rPr>
        <w:t>Short Break Overnight, Sessional Respite and Outreach Support Service</w:t>
      </w:r>
      <w:r w:rsidR="00CA09F7" w:rsidRPr="00850894">
        <w:rPr>
          <w:b/>
        </w:rPr>
        <w:t xml:space="preserve"> </w:t>
      </w:r>
    </w:p>
    <w:p w:rsidR="00692213" w:rsidRDefault="00692213"/>
    <w:tbl>
      <w:tblPr>
        <w:tblStyle w:val="TableGrid"/>
        <w:tblW w:w="14709" w:type="dxa"/>
        <w:tblLook w:val="04A0" w:firstRow="1" w:lastRow="0" w:firstColumn="1" w:lastColumn="0" w:noHBand="0" w:noVBand="1"/>
      </w:tblPr>
      <w:tblGrid>
        <w:gridCol w:w="675"/>
        <w:gridCol w:w="1191"/>
        <w:gridCol w:w="6039"/>
        <w:gridCol w:w="5528"/>
        <w:gridCol w:w="1276"/>
      </w:tblGrid>
      <w:tr w:rsidR="00144323" w:rsidRPr="002C4161" w:rsidTr="00692213">
        <w:tc>
          <w:tcPr>
            <w:tcW w:w="675" w:type="dxa"/>
            <w:shd w:val="clear" w:color="auto" w:fill="BFBFBF" w:themeFill="background1" w:themeFillShade="BF"/>
          </w:tcPr>
          <w:p w:rsidR="00144323" w:rsidRPr="002C4161" w:rsidRDefault="00692213">
            <w:pPr>
              <w:rPr>
                <w:b/>
              </w:rPr>
            </w:pPr>
            <w:r>
              <w:rPr>
                <w:b/>
              </w:rPr>
              <w:t>No.</w:t>
            </w:r>
          </w:p>
        </w:tc>
        <w:tc>
          <w:tcPr>
            <w:tcW w:w="1191" w:type="dxa"/>
            <w:shd w:val="clear" w:color="auto" w:fill="BFBFBF" w:themeFill="background1" w:themeFillShade="BF"/>
          </w:tcPr>
          <w:p w:rsidR="00144323" w:rsidRPr="002C4161" w:rsidRDefault="00144323">
            <w:pPr>
              <w:rPr>
                <w:b/>
              </w:rPr>
            </w:pPr>
            <w:r w:rsidRPr="002C4161">
              <w:rPr>
                <w:b/>
              </w:rPr>
              <w:t>Date Requested</w:t>
            </w:r>
          </w:p>
        </w:tc>
        <w:tc>
          <w:tcPr>
            <w:tcW w:w="6039" w:type="dxa"/>
            <w:shd w:val="clear" w:color="auto" w:fill="BFBFBF" w:themeFill="background1" w:themeFillShade="BF"/>
          </w:tcPr>
          <w:p w:rsidR="00144323" w:rsidRPr="002C4161" w:rsidRDefault="00144323">
            <w:pPr>
              <w:rPr>
                <w:b/>
              </w:rPr>
            </w:pPr>
            <w:r w:rsidRPr="002C4161">
              <w:rPr>
                <w:b/>
              </w:rPr>
              <w:t>Question</w:t>
            </w:r>
          </w:p>
        </w:tc>
        <w:tc>
          <w:tcPr>
            <w:tcW w:w="5528" w:type="dxa"/>
            <w:shd w:val="clear" w:color="auto" w:fill="BFBFBF" w:themeFill="background1" w:themeFillShade="BF"/>
          </w:tcPr>
          <w:p w:rsidR="00144323" w:rsidRPr="002C4161" w:rsidRDefault="00144323" w:rsidP="00144323">
            <w:pPr>
              <w:rPr>
                <w:b/>
              </w:rPr>
            </w:pPr>
            <w:r w:rsidRPr="002C4161">
              <w:rPr>
                <w:b/>
              </w:rPr>
              <w:t>Response</w:t>
            </w:r>
          </w:p>
        </w:tc>
        <w:tc>
          <w:tcPr>
            <w:tcW w:w="1276" w:type="dxa"/>
            <w:shd w:val="clear" w:color="auto" w:fill="BFBFBF" w:themeFill="background1" w:themeFillShade="BF"/>
          </w:tcPr>
          <w:p w:rsidR="00144323" w:rsidRPr="002C4161" w:rsidRDefault="00144323">
            <w:pPr>
              <w:rPr>
                <w:b/>
              </w:rPr>
            </w:pPr>
            <w:r w:rsidRPr="002C4161">
              <w:rPr>
                <w:b/>
              </w:rPr>
              <w:t>Date Responded</w:t>
            </w:r>
          </w:p>
        </w:tc>
      </w:tr>
      <w:tr w:rsidR="00604971" w:rsidRPr="002C4161" w:rsidTr="00692213">
        <w:tc>
          <w:tcPr>
            <w:tcW w:w="675" w:type="dxa"/>
          </w:tcPr>
          <w:p w:rsidR="00604971" w:rsidRDefault="002A74AE" w:rsidP="00604971">
            <w:r>
              <w:t>11</w:t>
            </w:r>
          </w:p>
        </w:tc>
        <w:tc>
          <w:tcPr>
            <w:tcW w:w="1191" w:type="dxa"/>
          </w:tcPr>
          <w:p w:rsidR="00604971" w:rsidRDefault="00604971" w:rsidP="00604971"/>
        </w:tc>
        <w:tc>
          <w:tcPr>
            <w:tcW w:w="6039" w:type="dxa"/>
          </w:tcPr>
          <w:p w:rsidR="002A74AE" w:rsidRDefault="002A74AE" w:rsidP="00604971">
            <w:pPr>
              <w:rPr>
                <w:rFonts w:eastAsia="Times New Roman" w:cs="Arial"/>
                <w:color w:val="FF0000"/>
              </w:rPr>
            </w:pPr>
            <w:r>
              <w:rPr>
                <w:rFonts w:eastAsia="Times New Roman" w:cs="Arial"/>
                <w:color w:val="FF0000"/>
              </w:rPr>
              <w:t>WBC Notification</w:t>
            </w:r>
          </w:p>
          <w:p w:rsidR="002A74AE" w:rsidRPr="00604971" w:rsidRDefault="002A74AE" w:rsidP="002A74AE">
            <w:pPr>
              <w:rPr>
                <w:rFonts w:eastAsia="Times New Roman" w:cs="Arial"/>
                <w:color w:val="FF0000"/>
              </w:rPr>
            </w:pPr>
          </w:p>
        </w:tc>
        <w:tc>
          <w:tcPr>
            <w:tcW w:w="5528" w:type="dxa"/>
          </w:tcPr>
          <w:p w:rsidR="002A74AE" w:rsidRDefault="002A74AE" w:rsidP="002A74AE">
            <w:pPr>
              <w:rPr>
                <w:rFonts w:eastAsia="Times New Roman" w:cs="Arial"/>
              </w:rPr>
            </w:pPr>
            <w:r>
              <w:rPr>
                <w:rFonts w:eastAsia="Times New Roman" w:cs="Arial"/>
              </w:rPr>
              <w:t>Please note:</w:t>
            </w:r>
          </w:p>
          <w:p w:rsidR="002A74AE" w:rsidRDefault="002A74AE" w:rsidP="002A74AE">
            <w:pPr>
              <w:rPr>
                <w:rFonts w:eastAsia="Times New Roman" w:cs="Arial"/>
              </w:rPr>
            </w:pPr>
          </w:p>
          <w:p w:rsidR="002A74AE" w:rsidRDefault="002A74AE" w:rsidP="002A74AE">
            <w:pPr>
              <w:rPr>
                <w:rFonts w:eastAsia="Times New Roman" w:cs="Arial"/>
              </w:rPr>
            </w:pPr>
            <w:r>
              <w:rPr>
                <w:rFonts w:eastAsia="Times New Roman" w:cs="Arial"/>
              </w:rPr>
              <w:t>T</w:t>
            </w:r>
            <w:r w:rsidRPr="002A74AE">
              <w:rPr>
                <w:rFonts w:eastAsia="Times New Roman" w:cs="Arial"/>
              </w:rPr>
              <w:t>he deadline for receipt of clarification questions h</w:t>
            </w:r>
            <w:r>
              <w:rPr>
                <w:rFonts w:eastAsia="Times New Roman" w:cs="Arial"/>
              </w:rPr>
              <w:t xml:space="preserve">as been extended to </w:t>
            </w:r>
            <w:bookmarkStart w:id="0" w:name="_GoBack"/>
            <w:bookmarkEnd w:id="0"/>
            <w:r>
              <w:rPr>
                <w:rFonts w:eastAsia="Times New Roman" w:cs="Arial"/>
              </w:rPr>
              <w:t>5.00pm</w:t>
            </w:r>
            <w:r w:rsidRPr="002A74AE">
              <w:rPr>
                <w:rFonts w:eastAsia="Times New Roman" w:cs="Arial"/>
              </w:rPr>
              <w:t xml:space="preserve"> on Wednesday 29 November 2017.</w:t>
            </w:r>
          </w:p>
          <w:p w:rsidR="002A74AE" w:rsidRPr="002A74AE" w:rsidRDefault="002A74AE" w:rsidP="002A74AE">
            <w:pPr>
              <w:rPr>
                <w:rFonts w:eastAsia="Times New Roman" w:cs="Arial"/>
              </w:rPr>
            </w:pPr>
          </w:p>
          <w:p w:rsidR="002A74AE" w:rsidRDefault="002A74AE" w:rsidP="002A74AE">
            <w:pPr>
              <w:rPr>
                <w:rFonts w:eastAsia="Times New Roman" w:cs="Arial"/>
              </w:rPr>
            </w:pPr>
            <w:r>
              <w:rPr>
                <w:rFonts w:eastAsia="Times New Roman" w:cs="Arial"/>
              </w:rPr>
              <w:t xml:space="preserve">The deadline </w:t>
            </w:r>
            <w:r w:rsidR="00142C79">
              <w:rPr>
                <w:rFonts w:eastAsia="Times New Roman" w:cs="Arial"/>
              </w:rPr>
              <w:t>to view the premises</w:t>
            </w:r>
            <w:r>
              <w:rPr>
                <w:rFonts w:eastAsia="Times New Roman" w:cs="Arial"/>
              </w:rPr>
              <w:t xml:space="preserve"> is 3.00pm on Wednesday 29</w:t>
            </w:r>
            <w:r w:rsidRPr="002A74AE">
              <w:rPr>
                <w:rFonts w:eastAsia="Times New Roman" w:cs="Arial"/>
                <w:vertAlign w:val="superscript"/>
              </w:rPr>
              <w:t>th</w:t>
            </w:r>
            <w:r>
              <w:rPr>
                <w:rFonts w:eastAsia="Times New Roman" w:cs="Arial"/>
              </w:rPr>
              <w:t xml:space="preserve"> November 2017.</w:t>
            </w:r>
          </w:p>
          <w:p w:rsidR="00604971" w:rsidRDefault="00604971" w:rsidP="00604971"/>
        </w:tc>
        <w:tc>
          <w:tcPr>
            <w:tcW w:w="1276" w:type="dxa"/>
          </w:tcPr>
          <w:p w:rsidR="00604971" w:rsidRDefault="002A74AE" w:rsidP="00604971">
            <w:r>
              <w:t>23.11.17</w:t>
            </w:r>
          </w:p>
        </w:tc>
      </w:tr>
      <w:tr w:rsidR="00604971" w:rsidRPr="002C4161" w:rsidTr="00692213">
        <w:tc>
          <w:tcPr>
            <w:tcW w:w="675" w:type="dxa"/>
          </w:tcPr>
          <w:p w:rsidR="00604971" w:rsidRDefault="00604971" w:rsidP="00604971">
            <w:r>
              <w:t>10</w:t>
            </w:r>
          </w:p>
        </w:tc>
        <w:tc>
          <w:tcPr>
            <w:tcW w:w="1191" w:type="dxa"/>
          </w:tcPr>
          <w:p w:rsidR="00604971" w:rsidRDefault="00604971" w:rsidP="00604971">
            <w:r>
              <w:t>21/11/17</w:t>
            </w:r>
          </w:p>
        </w:tc>
        <w:tc>
          <w:tcPr>
            <w:tcW w:w="6039" w:type="dxa"/>
          </w:tcPr>
          <w:p w:rsidR="00604971" w:rsidRDefault="00604971" w:rsidP="00604971">
            <w:r>
              <w:t>What staffing ratio do you expect to see overnight?</w:t>
            </w:r>
          </w:p>
        </w:tc>
        <w:tc>
          <w:tcPr>
            <w:tcW w:w="5528" w:type="dxa"/>
          </w:tcPr>
          <w:p w:rsidR="00604971" w:rsidRDefault="00604971" w:rsidP="00604971">
            <w:r>
              <w:t xml:space="preserve">Please refer to Schedule 1 section 8. </w:t>
            </w:r>
          </w:p>
        </w:tc>
        <w:tc>
          <w:tcPr>
            <w:tcW w:w="1276" w:type="dxa"/>
          </w:tcPr>
          <w:p w:rsidR="00604971" w:rsidRDefault="00604971" w:rsidP="00604971">
            <w:r>
              <w:t>22/11/17</w:t>
            </w:r>
          </w:p>
        </w:tc>
      </w:tr>
      <w:tr w:rsidR="00604971" w:rsidRPr="002C4161" w:rsidTr="00692213">
        <w:tc>
          <w:tcPr>
            <w:tcW w:w="675" w:type="dxa"/>
          </w:tcPr>
          <w:p w:rsidR="00604971" w:rsidRDefault="00604971" w:rsidP="00604971">
            <w:r>
              <w:t>9</w:t>
            </w:r>
          </w:p>
        </w:tc>
        <w:tc>
          <w:tcPr>
            <w:tcW w:w="1191" w:type="dxa"/>
          </w:tcPr>
          <w:p w:rsidR="00604971" w:rsidRDefault="00604971" w:rsidP="00604971">
            <w:r>
              <w:t>21/11/17</w:t>
            </w:r>
          </w:p>
        </w:tc>
        <w:tc>
          <w:tcPr>
            <w:tcW w:w="6039" w:type="dxa"/>
          </w:tcPr>
          <w:p w:rsidR="00604971" w:rsidRPr="005A3BA5" w:rsidRDefault="00604971" w:rsidP="00604971">
            <w:r>
              <w:t>As per point 58.1 re maintaining, replacing and renewing items as listed in Schedule 7, can we confirm that you would expect to see this cost as part of the hourly rate?</w:t>
            </w:r>
          </w:p>
        </w:tc>
        <w:tc>
          <w:tcPr>
            <w:tcW w:w="5528" w:type="dxa"/>
          </w:tcPr>
          <w:p w:rsidR="00604971" w:rsidRPr="007228F3" w:rsidRDefault="00604971" w:rsidP="00604971">
            <w:r>
              <w:t>Please refer to Schedule 2 under the heading “Maintenance”.</w:t>
            </w:r>
          </w:p>
        </w:tc>
        <w:tc>
          <w:tcPr>
            <w:tcW w:w="1276" w:type="dxa"/>
          </w:tcPr>
          <w:p w:rsidR="00604971" w:rsidRDefault="00604971" w:rsidP="00604971">
            <w:r>
              <w:t>22/11/17</w:t>
            </w:r>
          </w:p>
        </w:tc>
      </w:tr>
      <w:tr w:rsidR="00604971" w:rsidRPr="002C4161" w:rsidTr="00692213">
        <w:tc>
          <w:tcPr>
            <w:tcW w:w="675" w:type="dxa"/>
          </w:tcPr>
          <w:p w:rsidR="00604971" w:rsidRDefault="00604971" w:rsidP="00604971">
            <w:r>
              <w:t>8</w:t>
            </w:r>
          </w:p>
        </w:tc>
        <w:tc>
          <w:tcPr>
            <w:tcW w:w="1191" w:type="dxa"/>
          </w:tcPr>
          <w:p w:rsidR="00604971" w:rsidRDefault="00604971" w:rsidP="00604971">
            <w:r>
              <w:t>21/11/17</w:t>
            </w:r>
          </w:p>
        </w:tc>
        <w:tc>
          <w:tcPr>
            <w:tcW w:w="6039" w:type="dxa"/>
          </w:tcPr>
          <w:p w:rsidR="00604971" w:rsidRPr="005A3BA5" w:rsidRDefault="00604971" w:rsidP="00604971">
            <w:r>
              <w:t>Are direct payment hours for Outreach part of this tender?</w:t>
            </w:r>
          </w:p>
        </w:tc>
        <w:tc>
          <w:tcPr>
            <w:tcW w:w="5528" w:type="dxa"/>
          </w:tcPr>
          <w:p w:rsidR="00604971" w:rsidRDefault="00604971" w:rsidP="00604971">
            <w:r>
              <w:t xml:space="preserve">The anticipated scope of the opportunity includes direct payment hours. However, please note that WBC has no control over direct payments so there is no guarantee of any specific level of work. Additionally the contract for services provided under direct payment hours lies directly between the supplier and the customer alone. </w:t>
            </w:r>
          </w:p>
          <w:p w:rsidR="00604971" w:rsidRPr="007228F3" w:rsidRDefault="00604971" w:rsidP="00604971"/>
        </w:tc>
        <w:tc>
          <w:tcPr>
            <w:tcW w:w="1276" w:type="dxa"/>
          </w:tcPr>
          <w:p w:rsidR="00604971" w:rsidRDefault="00604971" w:rsidP="00604971">
            <w:r>
              <w:t>22/11/17</w:t>
            </w:r>
          </w:p>
        </w:tc>
      </w:tr>
      <w:tr w:rsidR="00604971" w:rsidRPr="002C4161" w:rsidTr="00692213">
        <w:tc>
          <w:tcPr>
            <w:tcW w:w="675" w:type="dxa"/>
          </w:tcPr>
          <w:p w:rsidR="00604971" w:rsidRDefault="00604971" w:rsidP="00604971">
            <w:r>
              <w:t>7</w:t>
            </w:r>
          </w:p>
        </w:tc>
        <w:tc>
          <w:tcPr>
            <w:tcW w:w="1191" w:type="dxa"/>
          </w:tcPr>
          <w:p w:rsidR="00604971" w:rsidRDefault="00604971" w:rsidP="00604971">
            <w:r>
              <w:t>21/11/17</w:t>
            </w:r>
          </w:p>
        </w:tc>
        <w:tc>
          <w:tcPr>
            <w:tcW w:w="6039" w:type="dxa"/>
          </w:tcPr>
          <w:p w:rsidR="00604971" w:rsidRPr="005A3BA5" w:rsidRDefault="00604971" w:rsidP="00604971">
            <w:r>
              <w:t>Are there any plans by WBC/Ability to renovate the premises to make it more fit for purpose?</w:t>
            </w:r>
          </w:p>
        </w:tc>
        <w:tc>
          <w:tcPr>
            <w:tcW w:w="5528" w:type="dxa"/>
          </w:tcPr>
          <w:p w:rsidR="00604971" w:rsidRDefault="00604971" w:rsidP="00604971">
            <w:r>
              <w:t xml:space="preserve">WBC are currently in the process of determining what improvements need to be undertaken that fall to the responsibility of the Council.  </w:t>
            </w:r>
          </w:p>
          <w:p w:rsidR="00604971" w:rsidRDefault="00604971" w:rsidP="00604971"/>
          <w:p w:rsidR="00604971" w:rsidRPr="007228F3" w:rsidRDefault="00604971" w:rsidP="00604971">
            <w:r>
              <w:t xml:space="preserve">We are not currently aware of any plans for Ability to undertake improvements to the building. </w:t>
            </w:r>
          </w:p>
        </w:tc>
        <w:tc>
          <w:tcPr>
            <w:tcW w:w="1276" w:type="dxa"/>
          </w:tcPr>
          <w:p w:rsidR="00604971" w:rsidRDefault="00604971" w:rsidP="00604971">
            <w:r>
              <w:t>22/11/17</w:t>
            </w:r>
          </w:p>
        </w:tc>
      </w:tr>
      <w:tr w:rsidR="00604971" w:rsidRPr="002C4161" w:rsidTr="00692213">
        <w:tc>
          <w:tcPr>
            <w:tcW w:w="675" w:type="dxa"/>
          </w:tcPr>
          <w:p w:rsidR="00604971" w:rsidRDefault="00604971" w:rsidP="00604971">
            <w:r>
              <w:t>6</w:t>
            </w:r>
          </w:p>
        </w:tc>
        <w:tc>
          <w:tcPr>
            <w:tcW w:w="1191" w:type="dxa"/>
          </w:tcPr>
          <w:p w:rsidR="00604971" w:rsidRDefault="00604971" w:rsidP="00604971">
            <w:r>
              <w:t>20/11/17</w:t>
            </w:r>
          </w:p>
        </w:tc>
        <w:tc>
          <w:tcPr>
            <w:tcW w:w="6039" w:type="dxa"/>
          </w:tcPr>
          <w:p w:rsidR="00604971" w:rsidRDefault="00604971" w:rsidP="00604971">
            <w:r>
              <w:t>Could you clarify the statements from Schedule 1 – Service Specification:</w:t>
            </w:r>
          </w:p>
          <w:p w:rsidR="00604971" w:rsidRPr="00A67E21" w:rsidRDefault="00604971" w:rsidP="00604971">
            <w:pPr>
              <w:pStyle w:val="ListParagraph"/>
              <w:numPr>
                <w:ilvl w:val="0"/>
                <w:numId w:val="6"/>
              </w:numPr>
              <w:rPr>
                <w:rFonts w:asciiTheme="minorHAnsi" w:hAnsiTheme="minorHAnsi" w:cstheme="minorHAnsi"/>
                <w:sz w:val="22"/>
                <w:szCs w:val="22"/>
              </w:rPr>
            </w:pPr>
            <w:r w:rsidRPr="00A67E21">
              <w:rPr>
                <w:rFonts w:asciiTheme="minorHAnsi" w:hAnsiTheme="minorHAnsi" w:cstheme="minorHAnsi"/>
                <w:sz w:val="22"/>
                <w:szCs w:val="22"/>
              </w:rPr>
              <w:t xml:space="preserve">Page 1 “Wokingham Borough Council will fund a minimum of 62.5% of overnight respite capacity whilst </w:t>
            </w:r>
            <w:r w:rsidRPr="00A67E21">
              <w:rPr>
                <w:rFonts w:asciiTheme="minorHAnsi" w:hAnsiTheme="minorHAnsi" w:cstheme="minorHAnsi"/>
                <w:sz w:val="22"/>
                <w:szCs w:val="22"/>
              </w:rPr>
              <w:lastRenderedPageBreak/>
              <w:t>reserving the option to purchase further capacity as set out in this specification”</w:t>
            </w:r>
          </w:p>
          <w:p w:rsidR="00604971" w:rsidRPr="00A67E21" w:rsidRDefault="00604971" w:rsidP="00604971">
            <w:pPr>
              <w:pStyle w:val="ListParagraph"/>
              <w:numPr>
                <w:ilvl w:val="0"/>
                <w:numId w:val="6"/>
              </w:numPr>
            </w:pPr>
            <w:r w:rsidRPr="00A67E21">
              <w:rPr>
                <w:rFonts w:asciiTheme="minorHAnsi" w:hAnsiTheme="minorHAnsi" w:cstheme="minorHAnsi"/>
                <w:sz w:val="22"/>
                <w:szCs w:val="22"/>
              </w:rPr>
              <w:t>Page 11 “ The 62.5% of capacity reserved for the Council will be subject to spot purchase at this rate</w:t>
            </w:r>
            <w:r>
              <w:rPr>
                <w:rFonts w:asciiTheme="minorHAnsi" w:hAnsiTheme="minorHAnsi" w:cstheme="minorHAnsi"/>
                <w:sz w:val="22"/>
                <w:szCs w:val="22"/>
              </w:rPr>
              <w:t>”</w:t>
            </w:r>
          </w:p>
          <w:p w:rsidR="00604971" w:rsidRDefault="00604971" w:rsidP="00604971">
            <w:pPr>
              <w:pStyle w:val="ListParagraph"/>
              <w:rPr>
                <w:rFonts w:asciiTheme="minorHAnsi" w:hAnsiTheme="minorHAnsi" w:cstheme="minorHAnsi"/>
                <w:sz w:val="22"/>
                <w:szCs w:val="22"/>
              </w:rPr>
            </w:pPr>
          </w:p>
          <w:p w:rsidR="00604971" w:rsidRPr="005A3BA5" w:rsidRDefault="00604971" w:rsidP="00604971">
            <w:r>
              <w:t>Are we right in assuming that WBC will guarantee payment of a minimum of 62.5% of capacity, or is it simply the case that the provider must reserve this percentage for Council spot purchases?</w:t>
            </w:r>
          </w:p>
        </w:tc>
        <w:tc>
          <w:tcPr>
            <w:tcW w:w="5528" w:type="dxa"/>
          </w:tcPr>
          <w:p w:rsidR="00604971" w:rsidRDefault="00604971" w:rsidP="00604971">
            <w:r>
              <w:lastRenderedPageBreak/>
              <w:t>In respect of the overnight respite service:</w:t>
            </w:r>
          </w:p>
          <w:p w:rsidR="00604971" w:rsidRDefault="00604971" w:rsidP="00604971"/>
          <w:p w:rsidR="00604971" w:rsidRPr="00783545" w:rsidRDefault="00604971" w:rsidP="00604971">
            <w:pPr>
              <w:pStyle w:val="ListParagraph"/>
              <w:numPr>
                <w:ilvl w:val="0"/>
                <w:numId w:val="7"/>
              </w:numPr>
              <w:rPr>
                <w:rFonts w:asciiTheme="minorHAnsi" w:hAnsiTheme="minorHAnsi" w:cstheme="minorHAnsi"/>
                <w:sz w:val="22"/>
                <w:szCs w:val="22"/>
              </w:rPr>
            </w:pPr>
            <w:r w:rsidRPr="00783545">
              <w:rPr>
                <w:rFonts w:asciiTheme="minorHAnsi" w:hAnsiTheme="minorHAnsi" w:cstheme="minorHAnsi"/>
                <w:sz w:val="22"/>
                <w:szCs w:val="22"/>
              </w:rPr>
              <w:t xml:space="preserve">62.5% of capacity must be reserved for Council spot purchases, (whether WBC commissioned or via WBC direct payment). </w:t>
            </w:r>
          </w:p>
          <w:p w:rsidR="00604971" w:rsidRPr="00783545" w:rsidRDefault="00604971" w:rsidP="00604971">
            <w:pPr>
              <w:rPr>
                <w:rFonts w:cstheme="minorHAnsi"/>
              </w:rPr>
            </w:pPr>
          </w:p>
          <w:p w:rsidR="00604971" w:rsidRPr="00783545" w:rsidRDefault="00604971" w:rsidP="00604971">
            <w:pPr>
              <w:pStyle w:val="ListParagraph"/>
              <w:numPr>
                <w:ilvl w:val="0"/>
                <w:numId w:val="7"/>
              </w:numPr>
              <w:rPr>
                <w:rFonts w:asciiTheme="minorHAnsi" w:hAnsiTheme="minorHAnsi" w:cstheme="minorHAnsi"/>
                <w:sz w:val="22"/>
                <w:szCs w:val="22"/>
              </w:rPr>
            </w:pPr>
            <w:r w:rsidRPr="00783545">
              <w:rPr>
                <w:rFonts w:asciiTheme="minorHAnsi" w:hAnsiTheme="minorHAnsi" w:cstheme="minorHAnsi"/>
                <w:sz w:val="22"/>
                <w:szCs w:val="22"/>
              </w:rPr>
              <w:t>The Council guarantees to fund 62.5% of available capacity, (whether WBC commissioned or via WBC direct payment).</w:t>
            </w:r>
          </w:p>
          <w:p w:rsidR="00604971" w:rsidRPr="00783545" w:rsidRDefault="00604971" w:rsidP="00604971">
            <w:pPr>
              <w:rPr>
                <w:rFonts w:cstheme="minorHAnsi"/>
              </w:rPr>
            </w:pPr>
            <w:r w:rsidRPr="00783545">
              <w:rPr>
                <w:rFonts w:cstheme="minorHAnsi"/>
              </w:rPr>
              <w:t> </w:t>
            </w:r>
          </w:p>
          <w:p w:rsidR="00604971" w:rsidRPr="007228F3" w:rsidRDefault="00604971" w:rsidP="00604971"/>
        </w:tc>
        <w:tc>
          <w:tcPr>
            <w:tcW w:w="1276" w:type="dxa"/>
          </w:tcPr>
          <w:p w:rsidR="00604971" w:rsidRDefault="00604971" w:rsidP="00604971">
            <w:r>
              <w:lastRenderedPageBreak/>
              <w:t>22/11/17</w:t>
            </w:r>
          </w:p>
        </w:tc>
      </w:tr>
      <w:tr w:rsidR="00604971" w:rsidRPr="002C4161" w:rsidTr="00692213">
        <w:tc>
          <w:tcPr>
            <w:tcW w:w="675" w:type="dxa"/>
          </w:tcPr>
          <w:p w:rsidR="00604971" w:rsidRDefault="00604971" w:rsidP="00604971">
            <w:r>
              <w:t>5</w:t>
            </w:r>
          </w:p>
        </w:tc>
        <w:tc>
          <w:tcPr>
            <w:tcW w:w="1191" w:type="dxa"/>
          </w:tcPr>
          <w:p w:rsidR="00604971" w:rsidRDefault="00604971" w:rsidP="00604971">
            <w:r>
              <w:t>20/11/17</w:t>
            </w:r>
          </w:p>
        </w:tc>
        <w:tc>
          <w:tcPr>
            <w:tcW w:w="6039" w:type="dxa"/>
          </w:tcPr>
          <w:p w:rsidR="00604971" w:rsidRPr="005A3BA5" w:rsidRDefault="00604971" w:rsidP="00604971">
            <w:r>
              <w:t>Is it possible to share further figures of the historical take up of both Outreach and Respite Services?</w:t>
            </w:r>
          </w:p>
        </w:tc>
        <w:tc>
          <w:tcPr>
            <w:tcW w:w="5528" w:type="dxa"/>
          </w:tcPr>
          <w:p w:rsidR="00604971" w:rsidRDefault="00604971" w:rsidP="00604971">
            <w:pPr>
              <w:pStyle w:val="ListParagraph"/>
              <w:numPr>
                <w:ilvl w:val="0"/>
                <w:numId w:val="9"/>
              </w:numPr>
              <w:rPr>
                <w:rFonts w:asciiTheme="minorHAnsi" w:hAnsiTheme="minorHAnsi" w:cstheme="minorHAnsi"/>
                <w:sz w:val="22"/>
                <w:szCs w:val="22"/>
              </w:rPr>
            </w:pPr>
            <w:r w:rsidRPr="00C815F8">
              <w:rPr>
                <w:rFonts w:asciiTheme="minorHAnsi" w:hAnsiTheme="minorHAnsi" w:cstheme="minorHAnsi"/>
                <w:sz w:val="22"/>
                <w:szCs w:val="22"/>
              </w:rPr>
              <w:t xml:space="preserve">During </w:t>
            </w:r>
            <w:r>
              <w:rPr>
                <w:rFonts w:asciiTheme="minorHAnsi" w:hAnsiTheme="minorHAnsi" w:cstheme="minorHAnsi"/>
                <w:sz w:val="22"/>
                <w:szCs w:val="22"/>
              </w:rPr>
              <w:t xml:space="preserve">the </w:t>
            </w:r>
            <w:r w:rsidRPr="00C815F8">
              <w:rPr>
                <w:rFonts w:asciiTheme="minorHAnsi" w:hAnsiTheme="minorHAnsi" w:cstheme="minorHAnsi"/>
                <w:sz w:val="22"/>
                <w:szCs w:val="22"/>
              </w:rPr>
              <w:t xml:space="preserve">2016 </w:t>
            </w:r>
            <w:r>
              <w:rPr>
                <w:rFonts w:asciiTheme="minorHAnsi" w:hAnsiTheme="minorHAnsi" w:cstheme="minorHAnsi"/>
                <w:sz w:val="22"/>
                <w:szCs w:val="22"/>
              </w:rPr>
              <w:t xml:space="preserve">calendar year </w:t>
            </w:r>
            <w:r w:rsidRPr="00C815F8">
              <w:rPr>
                <w:rFonts w:asciiTheme="minorHAnsi" w:hAnsiTheme="minorHAnsi" w:cstheme="minorHAnsi"/>
                <w:sz w:val="22"/>
                <w:szCs w:val="22"/>
              </w:rPr>
              <w:t xml:space="preserve">the occupancy levels for the overnight respite service, (including via WBC direct payments) </w:t>
            </w:r>
            <w:r>
              <w:rPr>
                <w:rFonts w:asciiTheme="minorHAnsi" w:hAnsiTheme="minorHAnsi" w:cstheme="minorHAnsi"/>
                <w:sz w:val="22"/>
                <w:szCs w:val="22"/>
              </w:rPr>
              <w:t>ranged between 62.5% to 81.05% of available nights each month.</w:t>
            </w:r>
          </w:p>
          <w:p w:rsidR="00604971" w:rsidRPr="00C815F8" w:rsidRDefault="00604971" w:rsidP="00604971">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We do not have additional information available for the outreach service.</w:t>
            </w:r>
          </w:p>
          <w:p w:rsidR="00604971" w:rsidRDefault="00604971" w:rsidP="00604971">
            <w:pPr>
              <w:rPr>
                <w:rFonts w:cstheme="minorHAnsi"/>
              </w:rPr>
            </w:pPr>
          </w:p>
          <w:p w:rsidR="00604971" w:rsidRPr="00C815F8" w:rsidRDefault="00604971" w:rsidP="00604971">
            <w:pPr>
              <w:rPr>
                <w:rFonts w:cstheme="minorHAnsi"/>
              </w:rPr>
            </w:pPr>
            <w:r w:rsidRPr="00C815F8">
              <w:rPr>
                <w:rFonts w:cstheme="minorHAnsi"/>
              </w:rPr>
              <w:t>The figures are not any guarantee of future demand/utilisation for any element of the new service and are provided for information only</w:t>
            </w:r>
            <w:r w:rsidRPr="00FA1848">
              <w:rPr>
                <w:rFonts w:ascii="Arial" w:hAnsi="Arial" w:cs="Arial"/>
                <w:b/>
                <w:sz w:val="24"/>
                <w:szCs w:val="24"/>
              </w:rPr>
              <w:t>.</w:t>
            </w:r>
            <w:r>
              <w:rPr>
                <w:rFonts w:ascii="Arial" w:hAnsi="Arial" w:cs="Arial"/>
                <w:b/>
                <w:sz w:val="24"/>
                <w:szCs w:val="24"/>
              </w:rPr>
              <w:t xml:space="preserve"> </w:t>
            </w:r>
            <w:r w:rsidRPr="00C815F8">
              <w:rPr>
                <w:rFonts w:cstheme="minorHAnsi"/>
              </w:rPr>
              <w:t xml:space="preserve">WBC </w:t>
            </w:r>
            <w:proofErr w:type="gramStart"/>
            <w:r w:rsidRPr="00C815F8">
              <w:rPr>
                <w:rFonts w:cstheme="minorHAnsi"/>
              </w:rPr>
              <w:t>cannot be held</w:t>
            </w:r>
            <w:proofErr w:type="gramEnd"/>
            <w:r w:rsidRPr="00C815F8">
              <w:rPr>
                <w:rFonts w:cstheme="minorHAnsi"/>
              </w:rPr>
              <w:t xml:space="preserve"> responsible for the accuracy of these figures.</w:t>
            </w:r>
          </w:p>
        </w:tc>
        <w:tc>
          <w:tcPr>
            <w:tcW w:w="1276" w:type="dxa"/>
          </w:tcPr>
          <w:p w:rsidR="00604971" w:rsidRDefault="00604971" w:rsidP="00604971">
            <w:r>
              <w:t>22/11/17</w:t>
            </w:r>
          </w:p>
        </w:tc>
      </w:tr>
      <w:tr w:rsidR="00604971" w:rsidRPr="002C4161" w:rsidTr="00692213">
        <w:tc>
          <w:tcPr>
            <w:tcW w:w="675" w:type="dxa"/>
          </w:tcPr>
          <w:p w:rsidR="00604971" w:rsidRDefault="00604971" w:rsidP="00604971">
            <w:r>
              <w:t>4</w:t>
            </w:r>
          </w:p>
        </w:tc>
        <w:tc>
          <w:tcPr>
            <w:tcW w:w="1191" w:type="dxa"/>
          </w:tcPr>
          <w:p w:rsidR="00604971" w:rsidRDefault="00604971" w:rsidP="00604971">
            <w:r>
              <w:t>20/11/17</w:t>
            </w:r>
          </w:p>
        </w:tc>
        <w:tc>
          <w:tcPr>
            <w:tcW w:w="6039" w:type="dxa"/>
          </w:tcPr>
          <w:p w:rsidR="00604971" w:rsidRPr="005A3BA5" w:rsidRDefault="00604971" w:rsidP="00604971">
            <w:r>
              <w:t>Is rent due on the staff sleep in room/office?</w:t>
            </w:r>
          </w:p>
        </w:tc>
        <w:tc>
          <w:tcPr>
            <w:tcW w:w="5528" w:type="dxa"/>
          </w:tcPr>
          <w:p w:rsidR="00604971" w:rsidRPr="007228F3" w:rsidRDefault="00604971" w:rsidP="00604971">
            <w:r>
              <w:t>There is no additional rent due for the use of this space, it is included in the annual rent specified in clause 1.10 of the sub under-lease.</w:t>
            </w:r>
          </w:p>
        </w:tc>
        <w:tc>
          <w:tcPr>
            <w:tcW w:w="1276" w:type="dxa"/>
          </w:tcPr>
          <w:p w:rsidR="00604971" w:rsidRDefault="00604971" w:rsidP="00604971">
            <w:r>
              <w:t>22/11/17</w:t>
            </w:r>
          </w:p>
        </w:tc>
      </w:tr>
      <w:tr w:rsidR="00604971" w:rsidRPr="002C4161" w:rsidTr="00692213">
        <w:tc>
          <w:tcPr>
            <w:tcW w:w="675" w:type="dxa"/>
          </w:tcPr>
          <w:p w:rsidR="00604971" w:rsidRPr="002C4161" w:rsidRDefault="00604971" w:rsidP="00604971">
            <w:r>
              <w:t>3</w:t>
            </w:r>
          </w:p>
        </w:tc>
        <w:tc>
          <w:tcPr>
            <w:tcW w:w="1191" w:type="dxa"/>
          </w:tcPr>
          <w:p w:rsidR="00604971" w:rsidRDefault="00604971" w:rsidP="00604971">
            <w:r>
              <w:t>14/11/17</w:t>
            </w:r>
          </w:p>
        </w:tc>
        <w:tc>
          <w:tcPr>
            <w:tcW w:w="6039" w:type="dxa"/>
          </w:tcPr>
          <w:p w:rsidR="00604971" w:rsidRPr="005A3BA5" w:rsidRDefault="00604971" w:rsidP="00604971">
            <w:r w:rsidRPr="005A3BA5">
              <w:t>Can I just confirm that the SQ and the tender both share the deadline of 08/12/2017?</w:t>
            </w:r>
          </w:p>
          <w:p w:rsidR="00604971" w:rsidRPr="00CA09F7" w:rsidRDefault="00604971" w:rsidP="00604971">
            <w:pPr>
              <w:rPr>
                <w:rFonts w:eastAsia="Times New Roman" w:cs="Arial"/>
              </w:rPr>
            </w:pPr>
          </w:p>
        </w:tc>
        <w:tc>
          <w:tcPr>
            <w:tcW w:w="5528" w:type="dxa"/>
          </w:tcPr>
          <w:p w:rsidR="00604971" w:rsidRPr="007228F3" w:rsidRDefault="00604971" w:rsidP="00604971">
            <w:r w:rsidRPr="007228F3">
              <w:t>Yes</w:t>
            </w:r>
            <w:r>
              <w:t>,</w:t>
            </w:r>
            <w:r w:rsidRPr="007228F3">
              <w:t xml:space="preserve"> there is the one deadline for the submission of the full ITT documents.</w:t>
            </w:r>
          </w:p>
          <w:p w:rsidR="00604971" w:rsidRPr="00850894" w:rsidRDefault="00604971" w:rsidP="00604971"/>
        </w:tc>
        <w:tc>
          <w:tcPr>
            <w:tcW w:w="1276" w:type="dxa"/>
          </w:tcPr>
          <w:p w:rsidR="00604971" w:rsidRDefault="00604971" w:rsidP="00604971">
            <w:r>
              <w:t>14/11/17</w:t>
            </w:r>
          </w:p>
          <w:p w:rsidR="00604971" w:rsidRPr="002443E8" w:rsidRDefault="00604971" w:rsidP="00604971"/>
        </w:tc>
      </w:tr>
      <w:tr w:rsidR="00604971" w:rsidRPr="002C4161" w:rsidTr="00692213">
        <w:tc>
          <w:tcPr>
            <w:tcW w:w="675" w:type="dxa"/>
          </w:tcPr>
          <w:p w:rsidR="00604971" w:rsidRPr="002C4161" w:rsidRDefault="00604971" w:rsidP="00604971">
            <w:r>
              <w:t>2</w:t>
            </w:r>
          </w:p>
        </w:tc>
        <w:tc>
          <w:tcPr>
            <w:tcW w:w="1191" w:type="dxa"/>
          </w:tcPr>
          <w:p w:rsidR="00604971" w:rsidRDefault="00604971" w:rsidP="00604971">
            <w:r>
              <w:t>14/11/17</w:t>
            </w:r>
          </w:p>
        </w:tc>
        <w:tc>
          <w:tcPr>
            <w:tcW w:w="6039" w:type="dxa"/>
          </w:tcPr>
          <w:p w:rsidR="00604971" w:rsidRPr="00E1753A" w:rsidRDefault="00604971" w:rsidP="00604971">
            <w:pPr>
              <w:rPr>
                <w:rFonts w:eastAsia="Times New Roman" w:cs="Arial"/>
                <w:color w:val="FF0000"/>
              </w:rPr>
            </w:pPr>
            <w:r w:rsidRPr="00E1753A">
              <w:rPr>
                <w:rFonts w:eastAsia="Times New Roman" w:cs="Arial"/>
                <w:color w:val="FF0000"/>
              </w:rPr>
              <w:t>WBC Notification:</w:t>
            </w:r>
          </w:p>
          <w:p w:rsidR="00604971" w:rsidRDefault="00604971" w:rsidP="00604971">
            <w:r>
              <w:rPr>
                <w:rFonts w:eastAsia="Times New Roman" w:cs="Arial"/>
              </w:rPr>
              <w:t>Schedule 5 TUPE Information has been updated</w:t>
            </w:r>
          </w:p>
        </w:tc>
        <w:tc>
          <w:tcPr>
            <w:tcW w:w="5528" w:type="dxa"/>
          </w:tcPr>
          <w:p w:rsidR="00604971" w:rsidRDefault="00604971" w:rsidP="00604971">
            <w:r>
              <w:t>Please refer to the updated document uploaded onto Contracts Finder:</w:t>
            </w:r>
          </w:p>
          <w:p w:rsidR="00604971" w:rsidRDefault="00604971" w:rsidP="00604971">
            <w:r>
              <w:t>Schedule 5 TUPE Informationv2 (002) 14.11.17</w:t>
            </w:r>
          </w:p>
          <w:p w:rsidR="00604971" w:rsidRPr="00850894" w:rsidRDefault="00604971" w:rsidP="00604971"/>
        </w:tc>
        <w:tc>
          <w:tcPr>
            <w:tcW w:w="1276" w:type="dxa"/>
          </w:tcPr>
          <w:p w:rsidR="00604971" w:rsidRPr="002443E8" w:rsidRDefault="00604971" w:rsidP="00604971">
            <w:r>
              <w:t>14/11/17</w:t>
            </w:r>
          </w:p>
        </w:tc>
      </w:tr>
      <w:tr w:rsidR="00604971" w:rsidRPr="002C4161" w:rsidTr="00692213">
        <w:tc>
          <w:tcPr>
            <w:tcW w:w="675" w:type="dxa"/>
          </w:tcPr>
          <w:p w:rsidR="00604971" w:rsidRPr="002C4161" w:rsidRDefault="00604971" w:rsidP="00604971">
            <w:r w:rsidRPr="002C4161">
              <w:t>1</w:t>
            </w:r>
          </w:p>
        </w:tc>
        <w:tc>
          <w:tcPr>
            <w:tcW w:w="1191" w:type="dxa"/>
          </w:tcPr>
          <w:p w:rsidR="00604971" w:rsidRPr="00CA09F7" w:rsidRDefault="00604971" w:rsidP="00604971">
            <w:r>
              <w:t>09/11/17</w:t>
            </w:r>
          </w:p>
        </w:tc>
        <w:tc>
          <w:tcPr>
            <w:tcW w:w="6039" w:type="dxa"/>
          </w:tcPr>
          <w:p w:rsidR="00604971" w:rsidRPr="000B5C3A" w:rsidRDefault="00604971" w:rsidP="00604971">
            <w:r>
              <w:t>W</w:t>
            </w:r>
            <w:r w:rsidRPr="00850894">
              <w:t>ould</w:t>
            </w:r>
            <w:r>
              <w:t xml:space="preserve"> we</w:t>
            </w:r>
            <w:r w:rsidRPr="00850894">
              <w:t xml:space="preserve"> be able to use Wokingham as one of o</w:t>
            </w:r>
            <w:r>
              <w:t xml:space="preserve">ur contract examples, or are you </w:t>
            </w:r>
            <w:r w:rsidRPr="00850894">
              <w:t xml:space="preserve">looking for references from outside </w:t>
            </w:r>
            <w:r w:rsidRPr="005A3BA5">
              <w:t>organisations only?</w:t>
            </w:r>
          </w:p>
        </w:tc>
        <w:tc>
          <w:tcPr>
            <w:tcW w:w="5528" w:type="dxa"/>
          </w:tcPr>
          <w:p w:rsidR="00604971" w:rsidRPr="005A3BA5" w:rsidRDefault="00604971" w:rsidP="00604971">
            <w:r w:rsidRPr="00850894">
              <w:t>Yes, you would be able to use Wokingham as one of your contract examples, if the service was relevant to the service requirements.</w:t>
            </w:r>
          </w:p>
        </w:tc>
        <w:tc>
          <w:tcPr>
            <w:tcW w:w="1276" w:type="dxa"/>
          </w:tcPr>
          <w:p w:rsidR="00604971" w:rsidRPr="002C4161" w:rsidRDefault="00604971" w:rsidP="00604971">
            <w:pPr>
              <w:rPr>
                <w:color w:val="FF0000"/>
              </w:rPr>
            </w:pPr>
            <w:r w:rsidRPr="002443E8">
              <w:t>09/11/17</w:t>
            </w:r>
          </w:p>
        </w:tc>
      </w:tr>
    </w:tbl>
    <w:p w:rsidR="00051F26" w:rsidRDefault="00051F26"/>
    <w:sectPr w:rsidR="00051F26" w:rsidSect="0099086A">
      <w:footerReference w:type="even" r:id="rId7"/>
      <w:footerReference w:type="default" r:id="rId8"/>
      <w:footerReference w:type="first" r:id="rId9"/>
      <w:pgSz w:w="16838" w:h="11906" w:orient="landscape"/>
      <w:pgMar w:top="1134" w:right="1245" w:bottom="1134" w:left="1134"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442" w:rsidRDefault="00DA6442" w:rsidP="007D5240">
      <w:r>
        <w:separator/>
      </w:r>
    </w:p>
  </w:endnote>
  <w:endnote w:type="continuationSeparator" w:id="0">
    <w:p w:rsidR="00DA6442" w:rsidRDefault="00DA6442"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0B5C3A">
      <w:rPr>
        <w:noProof/>
      </w:rPr>
      <w:t>1</w:t>
    </w:r>
    <w:r>
      <w:fldChar w:fldCharType="end"/>
    </w:r>
    <w:r>
      <w:t xml:space="preserve"> of </w:t>
    </w:r>
    <w:fldSimple w:instr=" NUMPAGES \* MERGEFORMAT \* MERGEFORMAT ">
      <w:r w:rsidR="000B5C3A">
        <w:rPr>
          <w:noProof/>
        </w:rPr>
        <w:t>2</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442" w:rsidRDefault="00DA6442" w:rsidP="007D5240">
      <w:r>
        <w:separator/>
      </w:r>
    </w:p>
  </w:footnote>
  <w:footnote w:type="continuationSeparator" w:id="0">
    <w:p w:rsidR="00DA6442" w:rsidRDefault="00DA6442" w:rsidP="007D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E0D"/>
    <w:multiLevelType w:val="hybridMultilevel"/>
    <w:tmpl w:val="6EC28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03B5F"/>
    <w:multiLevelType w:val="hybridMultilevel"/>
    <w:tmpl w:val="D250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C4989"/>
    <w:multiLevelType w:val="hybridMultilevel"/>
    <w:tmpl w:val="9050F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3A86F97"/>
    <w:multiLevelType w:val="hybridMultilevel"/>
    <w:tmpl w:val="6DF6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8"/>
  </w:num>
  <w:num w:numId="5">
    <w:abstractNumId w:val="3"/>
  </w:num>
  <w:num w:numId="6">
    <w:abstractNumId w:val="0"/>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26"/>
    <w:rsid w:val="00005F18"/>
    <w:rsid w:val="00012474"/>
    <w:rsid w:val="00051F26"/>
    <w:rsid w:val="00072146"/>
    <w:rsid w:val="00077979"/>
    <w:rsid w:val="000B5C3A"/>
    <w:rsid w:val="000C635A"/>
    <w:rsid w:val="000D30CD"/>
    <w:rsid w:val="000E0B8B"/>
    <w:rsid w:val="000F3642"/>
    <w:rsid w:val="000F525F"/>
    <w:rsid w:val="00135E47"/>
    <w:rsid w:val="00142C79"/>
    <w:rsid w:val="00144323"/>
    <w:rsid w:val="00195600"/>
    <w:rsid w:val="002443E8"/>
    <w:rsid w:val="00262F61"/>
    <w:rsid w:val="002A74AE"/>
    <w:rsid w:val="002B362B"/>
    <w:rsid w:val="002C4161"/>
    <w:rsid w:val="0033542A"/>
    <w:rsid w:val="003429A8"/>
    <w:rsid w:val="003D34E6"/>
    <w:rsid w:val="003F2C96"/>
    <w:rsid w:val="004217CD"/>
    <w:rsid w:val="00450D8E"/>
    <w:rsid w:val="00476100"/>
    <w:rsid w:val="00484612"/>
    <w:rsid w:val="004D4B66"/>
    <w:rsid w:val="00540A2E"/>
    <w:rsid w:val="005925DE"/>
    <w:rsid w:val="005A3BA5"/>
    <w:rsid w:val="005D2CEE"/>
    <w:rsid w:val="00604971"/>
    <w:rsid w:val="00676852"/>
    <w:rsid w:val="00692213"/>
    <w:rsid w:val="007228F3"/>
    <w:rsid w:val="007242EE"/>
    <w:rsid w:val="00730E28"/>
    <w:rsid w:val="00783545"/>
    <w:rsid w:val="00787607"/>
    <w:rsid w:val="007D5240"/>
    <w:rsid w:val="007E6187"/>
    <w:rsid w:val="00850894"/>
    <w:rsid w:val="008771D8"/>
    <w:rsid w:val="00891463"/>
    <w:rsid w:val="008E7E4A"/>
    <w:rsid w:val="00937D34"/>
    <w:rsid w:val="009624D8"/>
    <w:rsid w:val="0099086A"/>
    <w:rsid w:val="00993930"/>
    <w:rsid w:val="00A67E21"/>
    <w:rsid w:val="00AB4F75"/>
    <w:rsid w:val="00B036AD"/>
    <w:rsid w:val="00C815F8"/>
    <w:rsid w:val="00C81698"/>
    <w:rsid w:val="00CA09F7"/>
    <w:rsid w:val="00CD3923"/>
    <w:rsid w:val="00CF67EF"/>
    <w:rsid w:val="00CF7EEA"/>
    <w:rsid w:val="00D42F0C"/>
    <w:rsid w:val="00D54594"/>
    <w:rsid w:val="00DA6442"/>
    <w:rsid w:val="00DE6302"/>
    <w:rsid w:val="00E1753A"/>
    <w:rsid w:val="00E552AB"/>
    <w:rsid w:val="00E87C4D"/>
    <w:rsid w:val="00E918CD"/>
    <w:rsid w:val="00EA033F"/>
    <w:rsid w:val="00EE7C06"/>
    <w:rsid w:val="00F32847"/>
    <w:rsid w:val="00F41D66"/>
    <w:rsid w:val="00F56FA4"/>
    <w:rsid w:val="00FB7AB2"/>
    <w:rsid w:val="00FC7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DB6D7B"/>
  <w15:docId w15:val="{504DBCCF-4AE6-4C45-B46B-CD57731B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1621">
      <w:bodyDiv w:val="1"/>
      <w:marLeft w:val="0"/>
      <w:marRight w:val="0"/>
      <w:marTop w:val="0"/>
      <w:marBottom w:val="0"/>
      <w:divBdr>
        <w:top w:val="none" w:sz="0" w:space="0" w:color="auto"/>
        <w:left w:val="none" w:sz="0" w:space="0" w:color="auto"/>
        <w:bottom w:val="none" w:sz="0" w:space="0" w:color="auto"/>
        <w:right w:val="none" w:sz="0" w:space="0" w:color="auto"/>
      </w:divBdr>
    </w:div>
    <w:div w:id="64643762">
      <w:bodyDiv w:val="1"/>
      <w:marLeft w:val="0"/>
      <w:marRight w:val="0"/>
      <w:marTop w:val="0"/>
      <w:marBottom w:val="0"/>
      <w:divBdr>
        <w:top w:val="none" w:sz="0" w:space="0" w:color="auto"/>
        <w:left w:val="none" w:sz="0" w:space="0" w:color="auto"/>
        <w:bottom w:val="none" w:sz="0" w:space="0" w:color="auto"/>
        <w:right w:val="none" w:sz="0" w:space="0" w:color="auto"/>
      </w:divBdr>
    </w:div>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535264863">
      <w:bodyDiv w:val="1"/>
      <w:marLeft w:val="0"/>
      <w:marRight w:val="0"/>
      <w:marTop w:val="0"/>
      <w:marBottom w:val="0"/>
      <w:divBdr>
        <w:top w:val="none" w:sz="0" w:space="0" w:color="auto"/>
        <w:left w:val="none" w:sz="0" w:space="0" w:color="auto"/>
        <w:bottom w:val="none" w:sz="0" w:space="0" w:color="auto"/>
        <w:right w:val="none" w:sz="0" w:space="0" w:color="auto"/>
      </w:divBdr>
    </w:div>
    <w:div w:id="1586265421">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75931804">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Wheeler</dc:creator>
  <cp:lastModifiedBy>Richard Turner (Procurement)</cp:lastModifiedBy>
  <cp:revision>4</cp:revision>
  <dcterms:created xsi:type="dcterms:W3CDTF">2017-11-22T16:16:00Z</dcterms:created>
  <dcterms:modified xsi:type="dcterms:W3CDTF">2017-11-23T10:19:00Z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