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ADBC6" w14:textId="06422DFB" w:rsidR="00251AE6" w:rsidRDefault="00E907EE" w:rsidP="00AE4296">
      <w:r w:rsidRPr="00E907EE">
        <w:rPr>
          <w:noProof/>
        </w:rPr>
        <w:drawing>
          <wp:inline distT="0" distB="0" distL="0" distR="0" wp14:anchorId="08A58B65" wp14:editId="268B6257">
            <wp:extent cx="1150620" cy="998220"/>
            <wp:effectExtent l="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1150620" cy="998220"/>
                    </a:xfrm>
                    <a:prstGeom prst="rect">
                      <a:avLst/>
                    </a:prstGeom>
                    <a:noFill/>
                    <a:ln w="9525">
                      <a:noFill/>
                      <a:miter lim="800000"/>
                      <a:headEnd/>
                      <a:tailEnd/>
                    </a:ln>
                  </pic:spPr>
                </pic:pic>
              </a:graphicData>
            </a:graphic>
          </wp:inline>
        </w:drawing>
      </w:r>
      <w:r w:rsidR="009825FB">
        <w:tab/>
      </w:r>
      <w:r w:rsidR="009825FB">
        <w:tab/>
      </w:r>
      <w:r w:rsidR="009825FB">
        <w:tab/>
      </w:r>
      <w:r w:rsidR="009825FB">
        <w:tab/>
      </w:r>
      <w:r w:rsidR="009825FB">
        <w:tab/>
      </w:r>
      <w:r w:rsidR="009825FB">
        <w:tab/>
      </w:r>
      <w:r w:rsidR="009825FB">
        <w:rPr>
          <w:noProof/>
        </w:rPr>
        <w:drawing>
          <wp:inline distT="0" distB="0" distL="0" distR="0" wp14:anchorId="3755392F" wp14:editId="4ECC14AE">
            <wp:extent cx="2329180" cy="12865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9180" cy="1286510"/>
                    </a:xfrm>
                    <a:prstGeom prst="rect">
                      <a:avLst/>
                    </a:prstGeom>
                    <a:noFill/>
                  </pic:spPr>
                </pic:pic>
              </a:graphicData>
            </a:graphic>
          </wp:inline>
        </w:drawing>
      </w:r>
    </w:p>
    <w:p w14:paraId="5A4E2B52" w14:textId="41706F19" w:rsidR="00AE4296" w:rsidRDefault="00D0631D" w:rsidP="00AE4296">
      <w:pPr>
        <w:pStyle w:val="BodyText"/>
        <w:spacing w:before="120"/>
        <w:jc w:val="center"/>
        <w:rPr>
          <w:rFonts w:cs="Arial"/>
          <w:b/>
          <w:sz w:val="22"/>
          <w:szCs w:val="22"/>
        </w:rPr>
      </w:pPr>
      <w:r>
        <w:rPr>
          <w:rFonts w:cs="Arial"/>
          <w:b/>
          <w:sz w:val="22"/>
          <w:szCs w:val="22"/>
        </w:rPr>
        <w:t xml:space="preserve">                                                                                                                                                                                                                                                                                                                                                                                                                                                                                                                                                                                                                                                                                                                                                                  </w:t>
      </w:r>
    </w:p>
    <w:p w14:paraId="03E0D451" w14:textId="77777777" w:rsidR="00AE4296" w:rsidRDefault="00AE4296" w:rsidP="00AE4296">
      <w:pPr>
        <w:pStyle w:val="BodyText"/>
        <w:spacing w:before="120"/>
        <w:jc w:val="center"/>
        <w:rPr>
          <w:rFonts w:cs="Arial"/>
          <w:b/>
          <w:sz w:val="22"/>
          <w:szCs w:val="22"/>
        </w:rPr>
      </w:pPr>
    </w:p>
    <w:p w14:paraId="633DCDA3" w14:textId="77777777" w:rsidR="00AE4296" w:rsidRPr="004F3794" w:rsidRDefault="00AE4296" w:rsidP="00AE4296">
      <w:pPr>
        <w:pStyle w:val="BodyText"/>
        <w:spacing w:before="120"/>
        <w:jc w:val="center"/>
        <w:rPr>
          <w:rFonts w:cs="Arial"/>
          <w:b/>
          <w:sz w:val="22"/>
          <w:szCs w:val="22"/>
        </w:rPr>
      </w:pPr>
    </w:p>
    <w:p w14:paraId="5506D87B" w14:textId="77777777" w:rsidR="00AE4296" w:rsidRPr="004F3794" w:rsidRDefault="00AE4296" w:rsidP="00AE4296">
      <w:pPr>
        <w:pStyle w:val="BodyText"/>
        <w:spacing w:before="120"/>
        <w:jc w:val="center"/>
        <w:rPr>
          <w:rFonts w:cs="Arial"/>
          <w:b/>
          <w:sz w:val="22"/>
          <w:szCs w:val="22"/>
        </w:rPr>
      </w:pPr>
      <w:r w:rsidRPr="004F3794">
        <w:rPr>
          <w:rFonts w:cs="Arial"/>
          <w:b/>
          <w:sz w:val="22"/>
          <w:szCs w:val="22"/>
        </w:rPr>
        <w:t>INVITATION TO TENDER</w:t>
      </w:r>
    </w:p>
    <w:p w14:paraId="02ABC09A" w14:textId="77777777" w:rsidR="00AE4296" w:rsidRPr="004F3794" w:rsidRDefault="00AE4296" w:rsidP="00AE4296">
      <w:pPr>
        <w:pStyle w:val="MarginText"/>
        <w:jc w:val="center"/>
        <w:rPr>
          <w:rFonts w:cs="Arial"/>
          <w:b/>
          <w:sz w:val="22"/>
          <w:szCs w:val="22"/>
        </w:rPr>
      </w:pPr>
    </w:p>
    <w:p w14:paraId="1208863A" w14:textId="4464DE42" w:rsidR="00AE4296" w:rsidRPr="00563452" w:rsidRDefault="005B2F36" w:rsidP="00AE4296">
      <w:pPr>
        <w:pStyle w:val="MarginText"/>
        <w:jc w:val="center"/>
        <w:rPr>
          <w:rFonts w:cs="Arial"/>
          <w:b/>
          <w:sz w:val="22"/>
          <w:szCs w:val="22"/>
        </w:rPr>
      </w:pPr>
      <w:r>
        <w:rPr>
          <w:rFonts w:cs="Arial"/>
          <w:b/>
          <w:sz w:val="22"/>
          <w:szCs w:val="22"/>
        </w:rPr>
        <w:t>SERVICE PROVISION FOR FINANCIAL MANAGEMENT REFORM COSTING PROGRAMME</w:t>
      </w:r>
    </w:p>
    <w:p w14:paraId="6C120DFA" w14:textId="77777777" w:rsidR="00AE4296" w:rsidRPr="00563452" w:rsidRDefault="00AE4296" w:rsidP="00AE4296">
      <w:pPr>
        <w:pStyle w:val="MarginText"/>
        <w:jc w:val="center"/>
        <w:rPr>
          <w:rFonts w:cs="Arial"/>
          <w:b/>
          <w:sz w:val="22"/>
          <w:szCs w:val="22"/>
        </w:rPr>
      </w:pPr>
    </w:p>
    <w:p w14:paraId="0BAF156D" w14:textId="77777777" w:rsidR="00AE4296" w:rsidRPr="00563452" w:rsidRDefault="00AE4296" w:rsidP="00AE4296">
      <w:pPr>
        <w:pStyle w:val="MarginText"/>
        <w:jc w:val="center"/>
        <w:rPr>
          <w:rFonts w:cs="Arial"/>
          <w:b/>
          <w:sz w:val="22"/>
          <w:szCs w:val="22"/>
        </w:rPr>
      </w:pPr>
      <w:r w:rsidRPr="00563452">
        <w:rPr>
          <w:rFonts w:cs="Arial"/>
          <w:b/>
          <w:sz w:val="22"/>
          <w:szCs w:val="22"/>
        </w:rPr>
        <w:t>REFERENCE NUMBER</w:t>
      </w:r>
    </w:p>
    <w:p w14:paraId="56D5B5C3" w14:textId="77777777" w:rsidR="00AE4296" w:rsidRPr="00563452" w:rsidRDefault="00AE4296" w:rsidP="00AE4296">
      <w:pPr>
        <w:pStyle w:val="MarginText"/>
        <w:jc w:val="center"/>
        <w:rPr>
          <w:rFonts w:cs="Arial"/>
          <w:b/>
          <w:sz w:val="22"/>
          <w:szCs w:val="22"/>
        </w:rPr>
      </w:pPr>
    </w:p>
    <w:p w14:paraId="5FAAD866" w14:textId="59FABC96" w:rsidR="00AE4296" w:rsidRPr="00563452" w:rsidRDefault="00BB4EB3" w:rsidP="00AE4296">
      <w:pPr>
        <w:pStyle w:val="MarginText"/>
        <w:jc w:val="center"/>
        <w:rPr>
          <w:rFonts w:cs="Arial"/>
          <w:b/>
          <w:sz w:val="22"/>
          <w:szCs w:val="22"/>
        </w:rPr>
      </w:pPr>
      <w:r>
        <w:rPr>
          <w:rFonts w:cs="Arial"/>
          <w:b/>
          <w:sz w:val="22"/>
          <w:szCs w:val="22"/>
        </w:rPr>
        <w:t xml:space="preserve">RM </w:t>
      </w:r>
      <w:r w:rsidR="005B2F36">
        <w:rPr>
          <w:rFonts w:cs="Arial"/>
          <w:b/>
          <w:sz w:val="22"/>
          <w:szCs w:val="22"/>
        </w:rPr>
        <w:t>4681</w:t>
      </w:r>
    </w:p>
    <w:p w14:paraId="383CA3BC" w14:textId="77777777" w:rsidR="00AE4296" w:rsidRPr="00563452" w:rsidRDefault="00AE4296" w:rsidP="00AE4296">
      <w:pPr>
        <w:pStyle w:val="MarginText"/>
        <w:jc w:val="center"/>
        <w:rPr>
          <w:rFonts w:cs="Arial"/>
          <w:b/>
          <w:sz w:val="22"/>
          <w:szCs w:val="22"/>
        </w:rPr>
      </w:pPr>
    </w:p>
    <w:p w14:paraId="0962459B" w14:textId="77777777" w:rsidR="00AE4296" w:rsidRPr="00563452" w:rsidRDefault="00AE4296" w:rsidP="00AE4296">
      <w:pPr>
        <w:pStyle w:val="MarginText"/>
        <w:jc w:val="center"/>
        <w:rPr>
          <w:rFonts w:cs="Arial"/>
          <w:b/>
          <w:sz w:val="22"/>
          <w:szCs w:val="22"/>
        </w:rPr>
      </w:pPr>
      <w:r w:rsidRPr="00563452">
        <w:rPr>
          <w:rFonts w:cs="Arial"/>
          <w:b/>
          <w:sz w:val="22"/>
          <w:szCs w:val="22"/>
        </w:rPr>
        <w:t xml:space="preserve">ATTACHMENT </w:t>
      </w:r>
      <w:r w:rsidR="00563452" w:rsidRPr="00563452">
        <w:rPr>
          <w:rFonts w:cs="Arial"/>
          <w:b/>
          <w:sz w:val="22"/>
          <w:szCs w:val="22"/>
        </w:rPr>
        <w:t>1</w:t>
      </w:r>
    </w:p>
    <w:p w14:paraId="7116C867" w14:textId="4A33F191" w:rsidR="009D7694" w:rsidRDefault="009D7694" w:rsidP="005D2308">
      <w:pPr>
        <w:tabs>
          <w:tab w:val="center" w:pos="5233"/>
        </w:tabs>
      </w:pPr>
    </w:p>
    <w:p w14:paraId="35E5DBEB" w14:textId="77777777" w:rsidR="009D7694" w:rsidRPr="009D7694" w:rsidRDefault="009D7694" w:rsidP="009D7694"/>
    <w:p w14:paraId="0475E91B" w14:textId="77777777" w:rsidR="009D7694" w:rsidRPr="009D7694" w:rsidRDefault="009D7694" w:rsidP="009D7694"/>
    <w:p w14:paraId="53817AC6" w14:textId="77777777" w:rsidR="009D7694" w:rsidRPr="009D7694" w:rsidRDefault="009D7694" w:rsidP="009D7694"/>
    <w:p w14:paraId="45C7372B" w14:textId="294FE003" w:rsidR="009D7694" w:rsidRDefault="009D7694" w:rsidP="005D2308">
      <w:pPr>
        <w:tabs>
          <w:tab w:val="center" w:pos="5233"/>
        </w:tabs>
      </w:pPr>
    </w:p>
    <w:p w14:paraId="7851A402" w14:textId="26932411" w:rsidR="009D7694" w:rsidRDefault="009D7694" w:rsidP="009D7694">
      <w:pPr>
        <w:tabs>
          <w:tab w:val="left" w:pos="2525"/>
        </w:tabs>
      </w:pPr>
      <w:r>
        <w:tab/>
      </w:r>
    </w:p>
    <w:p w14:paraId="0377D0D5" w14:textId="77777777" w:rsidR="00AE4296" w:rsidRDefault="00AE4296" w:rsidP="005D2308">
      <w:pPr>
        <w:tabs>
          <w:tab w:val="center" w:pos="5233"/>
        </w:tabs>
      </w:pPr>
      <w:r w:rsidRPr="009D7694">
        <w:br w:type="page"/>
      </w:r>
      <w:r w:rsidR="002577C8">
        <w:lastRenderedPageBreak/>
        <w:tab/>
      </w:r>
    </w:p>
    <w:sdt>
      <w:sdtPr>
        <w:rPr>
          <w:rFonts w:asciiTheme="minorHAnsi" w:eastAsiaTheme="minorEastAsia" w:hAnsiTheme="minorHAnsi" w:cstheme="minorBidi"/>
          <w:b w:val="0"/>
          <w:bCs w:val="0"/>
          <w:color w:val="auto"/>
          <w:sz w:val="22"/>
          <w:szCs w:val="22"/>
          <w:lang w:val="en-GB" w:eastAsia="en-GB"/>
        </w:rPr>
        <w:id w:val="-1395044128"/>
        <w:docPartObj>
          <w:docPartGallery w:val="Table of Contents"/>
          <w:docPartUnique/>
        </w:docPartObj>
      </w:sdtPr>
      <w:sdtEndPr>
        <w:rPr>
          <w:noProof/>
        </w:rPr>
      </w:sdtEndPr>
      <w:sdtContent>
        <w:p w14:paraId="2619E6A8" w14:textId="56DE0923" w:rsidR="00D62F53" w:rsidRPr="001D1216" w:rsidRDefault="00D62F53" w:rsidP="00E85D1B">
          <w:pPr>
            <w:pStyle w:val="TOCHeading"/>
            <w:jc w:val="center"/>
            <w:rPr>
              <w:rFonts w:ascii="Arial" w:hAnsi="Arial" w:cs="Arial"/>
              <w:color w:val="auto"/>
            </w:rPr>
          </w:pPr>
          <w:r w:rsidRPr="001D1216">
            <w:rPr>
              <w:rFonts w:ascii="Arial" w:hAnsi="Arial" w:cs="Arial"/>
              <w:color w:val="auto"/>
            </w:rPr>
            <w:t>Contents</w:t>
          </w:r>
        </w:p>
        <w:p w14:paraId="672D374F" w14:textId="77777777" w:rsidR="001F6470" w:rsidRDefault="00D62F53">
          <w:pPr>
            <w:pStyle w:val="TOC1"/>
            <w:rPr>
              <w:rFonts w:asciiTheme="minorHAnsi" w:eastAsiaTheme="minorEastAsia" w:hAnsiTheme="minorHAnsi" w:cstheme="minorBidi"/>
              <w:caps w:val="0"/>
              <w:noProof/>
              <w:szCs w:val="22"/>
              <w:lang w:eastAsia="en-GB"/>
            </w:rPr>
          </w:pPr>
          <w:r>
            <w:fldChar w:fldCharType="begin"/>
          </w:r>
          <w:r>
            <w:instrText xml:space="preserve"> TOC \o "1-3" \h \z \u </w:instrText>
          </w:r>
          <w:r>
            <w:fldChar w:fldCharType="separate"/>
          </w:r>
          <w:hyperlink w:anchor="_Toc433035500" w:history="1">
            <w:r w:rsidR="001F6470" w:rsidRPr="00B36739">
              <w:rPr>
                <w:rStyle w:val="Hyperlink"/>
                <w:noProof/>
                <w:kern w:val="28"/>
              </w:rPr>
              <w:t>1.</w:t>
            </w:r>
            <w:r w:rsidR="001F6470">
              <w:rPr>
                <w:rFonts w:asciiTheme="minorHAnsi" w:eastAsiaTheme="minorEastAsia" w:hAnsiTheme="minorHAnsi" w:cstheme="minorBidi"/>
                <w:caps w:val="0"/>
                <w:noProof/>
                <w:szCs w:val="22"/>
                <w:lang w:eastAsia="en-GB"/>
              </w:rPr>
              <w:tab/>
            </w:r>
            <w:r w:rsidR="001F6470" w:rsidRPr="00B36739">
              <w:rPr>
                <w:rStyle w:val="Hyperlink"/>
                <w:noProof/>
              </w:rPr>
              <w:t>INTRODUCTION</w:t>
            </w:r>
            <w:r w:rsidR="001F6470">
              <w:rPr>
                <w:noProof/>
                <w:webHidden/>
              </w:rPr>
              <w:tab/>
            </w:r>
            <w:r w:rsidR="001F6470">
              <w:rPr>
                <w:noProof/>
                <w:webHidden/>
              </w:rPr>
              <w:fldChar w:fldCharType="begin"/>
            </w:r>
            <w:r w:rsidR="001F6470">
              <w:rPr>
                <w:noProof/>
                <w:webHidden/>
              </w:rPr>
              <w:instrText xml:space="preserve"> PAGEREF _Toc433035500 \h </w:instrText>
            </w:r>
            <w:r w:rsidR="001F6470">
              <w:rPr>
                <w:noProof/>
                <w:webHidden/>
              </w:rPr>
            </w:r>
            <w:r w:rsidR="001F6470">
              <w:rPr>
                <w:noProof/>
                <w:webHidden/>
              </w:rPr>
              <w:fldChar w:fldCharType="separate"/>
            </w:r>
            <w:r w:rsidR="00A3785F">
              <w:rPr>
                <w:noProof/>
                <w:webHidden/>
              </w:rPr>
              <w:t>3</w:t>
            </w:r>
            <w:r w:rsidR="001F6470">
              <w:rPr>
                <w:noProof/>
                <w:webHidden/>
              </w:rPr>
              <w:fldChar w:fldCharType="end"/>
            </w:r>
          </w:hyperlink>
        </w:p>
        <w:p w14:paraId="4CAFC10B" w14:textId="77777777" w:rsidR="001F6470" w:rsidRDefault="009E5D58">
          <w:pPr>
            <w:pStyle w:val="TOC1"/>
            <w:rPr>
              <w:rFonts w:asciiTheme="minorHAnsi" w:eastAsiaTheme="minorEastAsia" w:hAnsiTheme="minorHAnsi" w:cstheme="minorBidi"/>
              <w:caps w:val="0"/>
              <w:noProof/>
              <w:szCs w:val="22"/>
              <w:lang w:eastAsia="en-GB"/>
            </w:rPr>
          </w:pPr>
          <w:hyperlink w:anchor="_Toc433035501" w:history="1">
            <w:r w:rsidR="001F6470" w:rsidRPr="00B36739">
              <w:rPr>
                <w:rStyle w:val="Hyperlink"/>
                <w:noProof/>
                <w:kern w:val="28"/>
              </w:rPr>
              <w:t>2.</w:t>
            </w:r>
            <w:r w:rsidR="001F6470">
              <w:rPr>
                <w:rFonts w:asciiTheme="minorHAnsi" w:eastAsiaTheme="minorEastAsia" w:hAnsiTheme="minorHAnsi" w:cstheme="minorBidi"/>
                <w:caps w:val="0"/>
                <w:noProof/>
                <w:szCs w:val="22"/>
                <w:lang w:eastAsia="en-GB"/>
              </w:rPr>
              <w:tab/>
            </w:r>
            <w:r w:rsidR="001F6470" w:rsidRPr="00B36739">
              <w:rPr>
                <w:rStyle w:val="Hyperlink"/>
                <w:noProof/>
              </w:rPr>
              <w:t>THE FRAMEWORK AGREEMENT AND CALL OFF AGREEMENTS</w:t>
            </w:r>
            <w:r w:rsidR="001F6470">
              <w:rPr>
                <w:noProof/>
                <w:webHidden/>
              </w:rPr>
              <w:tab/>
            </w:r>
            <w:r w:rsidR="001F6470">
              <w:rPr>
                <w:noProof/>
                <w:webHidden/>
              </w:rPr>
              <w:fldChar w:fldCharType="begin"/>
            </w:r>
            <w:r w:rsidR="001F6470">
              <w:rPr>
                <w:noProof/>
                <w:webHidden/>
              </w:rPr>
              <w:instrText xml:space="preserve"> PAGEREF _Toc433035501 \h </w:instrText>
            </w:r>
            <w:r w:rsidR="001F6470">
              <w:rPr>
                <w:noProof/>
                <w:webHidden/>
              </w:rPr>
            </w:r>
            <w:r w:rsidR="001F6470">
              <w:rPr>
                <w:noProof/>
                <w:webHidden/>
              </w:rPr>
              <w:fldChar w:fldCharType="separate"/>
            </w:r>
            <w:r w:rsidR="00A3785F">
              <w:rPr>
                <w:noProof/>
                <w:webHidden/>
              </w:rPr>
              <w:t>5</w:t>
            </w:r>
            <w:r w:rsidR="001F6470">
              <w:rPr>
                <w:noProof/>
                <w:webHidden/>
              </w:rPr>
              <w:fldChar w:fldCharType="end"/>
            </w:r>
          </w:hyperlink>
        </w:p>
        <w:p w14:paraId="0D8D99B1" w14:textId="77777777" w:rsidR="001F6470" w:rsidRDefault="009E5D58">
          <w:pPr>
            <w:pStyle w:val="TOC1"/>
            <w:rPr>
              <w:rFonts w:asciiTheme="minorHAnsi" w:eastAsiaTheme="minorEastAsia" w:hAnsiTheme="minorHAnsi" w:cstheme="minorBidi"/>
              <w:caps w:val="0"/>
              <w:noProof/>
              <w:szCs w:val="22"/>
              <w:lang w:eastAsia="en-GB"/>
            </w:rPr>
          </w:pPr>
          <w:hyperlink w:anchor="_Toc433035502" w:history="1">
            <w:r w:rsidR="001F6470" w:rsidRPr="00B36739">
              <w:rPr>
                <w:rStyle w:val="Hyperlink"/>
                <w:noProof/>
                <w:kern w:val="28"/>
              </w:rPr>
              <w:t>3.</w:t>
            </w:r>
            <w:r w:rsidR="001F6470">
              <w:rPr>
                <w:rFonts w:asciiTheme="minorHAnsi" w:eastAsiaTheme="minorEastAsia" w:hAnsiTheme="minorHAnsi" w:cstheme="minorBidi"/>
                <w:caps w:val="0"/>
                <w:noProof/>
                <w:szCs w:val="22"/>
                <w:lang w:eastAsia="en-GB"/>
              </w:rPr>
              <w:tab/>
            </w:r>
            <w:r w:rsidR="001F6470" w:rsidRPr="00B36739">
              <w:rPr>
                <w:rStyle w:val="Hyperlink"/>
                <w:noProof/>
              </w:rPr>
              <w:t>ReqUirements</w:t>
            </w:r>
            <w:r w:rsidR="001F6470">
              <w:rPr>
                <w:noProof/>
                <w:webHidden/>
              </w:rPr>
              <w:tab/>
            </w:r>
            <w:r w:rsidR="001F6470">
              <w:rPr>
                <w:noProof/>
                <w:webHidden/>
              </w:rPr>
              <w:fldChar w:fldCharType="begin"/>
            </w:r>
            <w:r w:rsidR="001F6470">
              <w:rPr>
                <w:noProof/>
                <w:webHidden/>
              </w:rPr>
              <w:instrText xml:space="preserve"> PAGEREF _Toc433035502 \h </w:instrText>
            </w:r>
            <w:r w:rsidR="001F6470">
              <w:rPr>
                <w:noProof/>
                <w:webHidden/>
              </w:rPr>
            </w:r>
            <w:r w:rsidR="001F6470">
              <w:rPr>
                <w:noProof/>
                <w:webHidden/>
              </w:rPr>
              <w:fldChar w:fldCharType="separate"/>
            </w:r>
            <w:r w:rsidR="00A3785F">
              <w:rPr>
                <w:noProof/>
                <w:webHidden/>
              </w:rPr>
              <w:t>6</w:t>
            </w:r>
            <w:r w:rsidR="001F6470">
              <w:rPr>
                <w:noProof/>
                <w:webHidden/>
              </w:rPr>
              <w:fldChar w:fldCharType="end"/>
            </w:r>
          </w:hyperlink>
        </w:p>
        <w:p w14:paraId="0C4DD4D9" w14:textId="77777777" w:rsidR="001F6470" w:rsidRDefault="009E5D58">
          <w:pPr>
            <w:pStyle w:val="TOC1"/>
            <w:rPr>
              <w:rFonts w:asciiTheme="minorHAnsi" w:eastAsiaTheme="minorEastAsia" w:hAnsiTheme="minorHAnsi" w:cstheme="minorBidi"/>
              <w:caps w:val="0"/>
              <w:noProof/>
              <w:szCs w:val="22"/>
              <w:lang w:eastAsia="en-GB"/>
            </w:rPr>
          </w:pPr>
          <w:hyperlink w:anchor="_Toc433035503" w:history="1">
            <w:r w:rsidR="001F6470" w:rsidRPr="00B36739">
              <w:rPr>
                <w:rStyle w:val="Hyperlink"/>
                <w:noProof/>
                <w:kern w:val="28"/>
              </w:rPr>
              <w:t>4.</w:t>
            </w:r>
            <w:r w:rsidR="001F6470">
              <w:rPr>
                <w:rFonts w:asciiTheme="minorHAnsi" w:eastAsiaTheme="minorEastAsia" w:hAnsiTheme="minorHAnsi" w:cstheme="minorBidi"/>
                <w:caps w:val="0"/>
                <w:noProof/>
                <w:szCs w:val="22"/>
                <w:lang w:eastAsia="en-GB"/>
              </w:rPr>
              <w:tab/>
            </w:r>
            <w:r w:rsidR="001F6470" w:rsidRPr="00B36739">
              <w:rPr>
                <w:rStyle w:val="Hyperlink"/>
                <w:noProof/>
              </w:rPr>
              <w:t>procurement timEtable</w:t>
            </w:r>
            <w:r w:rsidR="001F6470">
              <w:rPr>
                <w:noProof/>
                <w:webHidden/>
              </w:rPr>
              <w:tab/>
            </w:r>
            <w:r w:rsidR="001F6470">
              <w:rPr>
                <w:noProof/>
                <w:webHidden/>
              </w:rPr>
              <w:fldChar w:fldCharType="begin"/>
            </w:r>
            <w:r w:rsidR="001F6470">
              <w:rPr>
                <w:noProof/>
                <w:webHidden/>
              </w:rPr>
              <w:instrText xml:space="preserve"> PAGEREF _Toc433035503 \h </w:instrText>
            </w:r>
            <w:r w:rsidR="001F6470">
              <w:rPr>
                <w:noProof/>
                <w:webHidden/>
              </w:rPr>
            </w:r>
            <w:r w:rsidR="001F6470">
              <w:rPr>
                <w:noProof/>
                <w:webHidden/>
              </w:rPr>
              <w:fldChar w:fldCharType="separate"/>
            </w:r>
            <w:r w:rsidR="00A3785F">
              <w:rPr>
                <w:noProof/>
                <w:webHidden/>
              </w:rPr>
              <w:t>7</w:t>
            </w:r>
            <w:r w:rsidR="001F6470">
              <w:rPr>
                <w:noProof/>
                <w:webHidden/>
              </w:rPr>
              <w:fldChar w:fldCharType="end"/>
            </w:r>
          </w:hyperlink>
        </w:p>
        <w:p w14:paraId="20EB4F7E" w14:textId="77777777" w:rsidR="001F6470" w:rsidRDefault="009E5D58">
          <w:pPr>
            <w:pStyle w:val="TOC1"/>
            <w:rPr>
              <w:rFonts w:asciiTheme="minorHAnsi" w:eastAsiaTheme="minorEastAsia" w:hAnsiTheme="minorHAnsi" w:cstheme="minorBidi"/>
              <w:caps w:val="0"/>
              <w:noProof/>
              <w:szCs w:val="22"/>
              <w:lang w:eastAsia="en-GB"/>
            </w:rPr>
          </w:pPr>
          <w:hyperlink w:anchor="_Toc433035504" w:history="1">
            <w:r w:rsidR="001F6470" w:rsidRPr="00B36739">
              <w:rPr>
                <w:rStyle w:val="Hyperlink"/>
                <w:noProof/>
                <w:kern w:val="28"/>
              </w:rPr>
              <w:t>5.</w:t>
            </w:r>
            <w:r w:rsidR="001F6470">
              <w:rPr>
                <w:rFonts w:asciiTheme="minorHAnsi" w:eastAsiaTheme="minorEastAsia" w:hAnsiTheme="minorHAnsi" w:cstheme="minorBidi"/>
                <w:caps w:val="0"/>
                <w:noProof/>
                <w:szCs w:val="22"/>
                <w:lang w:eastAsia="en-GB"/>
              </w:rPr>
              <w:tab/>
            </w:r>
            <w:r w:rsidR="001F6470" w:rsidRPr="00B36739">
              <w:rPr>
                <w:rStyle w:val="Hyperlink"/>
                <w:noProof/>
              </w:rPr>
              <w:t>completiNG AND SUBMITTING A tender</w:t>
            </w:r>
            <w:r w:rsidR="001F6470">
              <w:rPr>
                <w:noProof/>
                <w:webHidden/>
              </w:rPr>
              <w:tab/>
            </w:r>
            <w:r w:rsidR="001F6470">
              <w:rPr>
                <w:noProof/>
                <w:webHidden/>
              </w:rPr>
              <w:fldChar w:fldCharType="begin"/>
            </w:r>
            <w:r w:rsidR="001F6470">
              <w:rPr>
                <w:noProof/>
                <w:webHidden/>
              </w:rPr>
              <w:instrText xml:space="preserve"> PAGEREF _Toc433035504 \h </w:instrText>
            </w:r>
            <w:r w:rsidR="001F6470">
              <w:rPr>
                <w:noProof/>
                <w:webHidden/>
              </w:rPr>
            </w:r>
            <w:r w:rsidR="001F6470">
              <w:rPr>
                <w:noProof/>
                <w:webHidden/>
              </w:rPr>
              <w:fldChar w:fldCharType="separate"/>
            </w:r>
            <w:r w:rsidR="00A3785F">
              <w:rPr>
                <w:noProof/>
                <w:webHidden/>
              </w:rPr>
              <w:t>8</w:t>
            </w:r>
            <w:r w:rsidR="001F6470">
              <w:rPr>
                <w:noProof/>
                <w:webHidden/>
              </w:rPr>
              <w:fldChar w:fldCharType="end"/>
            </w:r>
          </w:hyperlink>
        </w:p>
        <w:p w14:paraId="7E555343" w14:textId="77777777" w:rsidR="001F6470" w:rsidRDefault="009E5D58">
          <w:pPr>
            <w:pStyle w:val="TOC1"/>
            <w:rPr>
              <w:rFonts w:asciiTheme="minorHAnsi" w:eastAsiaTheme="minorEastAsia" w:hAnsiTheme="minorHAnsi" w:cstheme="minorBidi"/>
              <w:caps w:val="0"/>
              <w:noProof/>
              <w:szCs w:val="22"/>
              <w:lang w:eastAsia="en-GB"/>
            </w:rPr>
          </w:pPr>
          <w:hyperlink w:anchor="_Toc433035505" w:history="1">
            <w:r w:rsidR="001F6470" w:rsidRPr="00B36739">
              <w:rPr>
                <w:rStyle w:val="Hyperlink"/>
                <w:noProof/>
                <w:kern w:val="28"/>
              </w:rPr>
              <w:t>6.</w:t>
            </w:r>
            <w:r w:rsidR="001F6470">
              <w:rPr>
                <w:rFonts w:asciiTheme="minorHAnsi" w:eastAsiaTheme="minorEastAsia" w:hAnsiTheme="minorHAnsi" w:cstheme="minorBidi"/>
                <w:caps w:val="0"/>
                <w:noProof/>
                <w:szCs w:val="22"/>
                <w:lang w:eastAsia="en-GB"/>
              </w:rPr>
              <w:tab/>
            </w:r>
            <w:r w:rsidR="001F6470" w:rsidRPr="00B36739">
              <w:rPr>
                <w:rStyle w:val="Hyperlink"/>
                <w:noProof/>
              </w:rPr>
              <w:t>CONTRACTING ARRANGEMENTS (Sub-contractORS AND groups of economic operators)</w:t>
            </w:r>
            <w:r w:rsidR="001F6470">
              <w:rPr>
                <w:noProof/>
                <w:webHidden/>
              </w:rPr>
              <w:tab/>
            </w:r>
            <w:r w:rsidR="001F6470">
              <w:rPr>
                <w:noProof/>
                <w:webHidden/>
              </w:rPr>
              <w:fldChar w:fldCharType="begin"/>
            </w:r>
            <w:r w:rsidR="001F6470">
              <w:rPr>
                <w:noProof/>
                <w:webHidden/>
              </w:rPr>
              <w:instrText xml:space="preserve"> PAGEREF _Toc433035505 \h </w:instrText>
            </w:r>
            <w:r w:rsidR="001F6470">
              <w:rPr>
                <w:noProof/>
                <w:webHidden/>
              </w:rPr>
            </w:r>
            <w:r w:rsidR="001F6470">
              <w:rPr>
                <w:noProof/>
                <w:webHidden/>
              </w:rPr>
              <w:fldChar w:fldCharType="separate"/>
            </w:r>
            <w:r w:rsidR="00A3785F">
              <w:rPr>
                <w:noProof/>
                <w:webHidden/>
              </w:rPr>
              <w:t>11</w:t>
            </w:r>
            <w:r w:rsidR="001F6470">
              <w:rPr>
                <w:noProof/>
                <w:webHidden/>
              </w:rPr>
              <w:fldChar w:fldCharType="end"/>
            </w:r>
          </w:hyperlink>
        </w:p>
        <w:p w14:paraId="2A681DEA" w14:textId="77777777" w:rsidR="001F6470" w:rsidRDefault="009E5D58">
          <w:pPr>
            <w:pStyle w:val="TOC1"/>
            <w:rPr>
              <w:rFonts w:asciiTheme="minorHAnsi" w:eastAsiaTheme="minorEastAsia" w:hAnsiTheme="minorHAnsi" w:cstheme="minorBidi"/>
              <w:caps w:val="0"/>
              <w:noProof/>
              <w:szCs w:val="22"/>
              <w:lang w:eastAsia="en-GB"/>
            </w:rPr>
          </w:pPr>
          <w:hyperlink w:anchor="_Toc433035506" w:history="1">
            <w:r w:rsidR="001F6470" w:rsidRPr="00B36739">
              <w:rPr>
                <w:rStyle w:val="Hyperlink"/>
                <w:noProof/>
                <w:kern w:val="28"/>
              </w:rPr>
              <w:t>7.</w:t>
            </w:r>
            <w:r w:rsidR="001F6470">
              <w:rPr>
                <w:rFonts w:asciiTheme="minorHAnsi" w:eastAsiaTheme="minorEastAsia" w:hAnsiTheme="minorHAnsi" w:cstheme="minorBidi"/>
                <w:caps w:val="0"/>
                <w:noProof/>
                <w:szCs w:val="22"/>
                <w:lang w:eastAsia="en-GB"/>
              </w:rPr>
              <w:tab/>
            </w:r>
            <w:r w:rsidR="001F6470" w:rsidRPr="00B36739">
              <w:rPr>
                <w:rStyle w:val="Hyperlink"/>
                <w:noProof/>
              </w:rPr>
              <w:t>QUESTIONS AND CLARIFICATIONS</w:t>
            </w:r>
            <w:r w:rsidR="001F6470">
              <w:rPr>
                <w:noProof/>
                <w:webHidden/>
              </w:rPr>
              <w:tab/>
            </w:r>
            <w:r w:rsidR="001F6470">
              <w:rPr>
                <w:noProof/>
                <w:webHidden/>
              </w:rPr>
              <w:fldChar w:fldCharType="begin"/>
            </w:r>
            <w:r w:rsidR="001F6470">
              <w:rPr>
                <w:noProof/>
                <w:webHidden/>
              </w:rPr>
              <w:instrText xml:space="preserve"> PAGEREF _Toc433035506 \h </w:instrText>
            </w:r>
            <w:r w:rsidR="001F6470">
              <w:rPr>
                <w:noProof/>
                <w:webHidden/>
              </w:rPr>
            </w:r>
            <w:r w:rsidR="001F6470">
              <w:rPr>
                <w:noProof/>
                <w:webHidden/>
              </w:rPr>
              <w:fldChar w:fldCharType="separate"/>
            </w:r>
            <w:r w:rsidR="00A3785F">
              <w:rPr>
                <w:noProof/>
                <w:webHidden/>
              </w:rPr>
              <w:t>12</w:t>
            </w:r>
            <w:r w:rsidR="001F6470">
              <w:rPr>
                <w:noProof/>
                <w:webHidden/>
              </w:rPr>
              <w:fldChar w:fldCharType="end"/>
            </w:r>
          </w:hyperlink>
        </w:p>
        <w:p w14:paraId="77505520" w14:textId="77777777" w:rsidR="001F6470" w:rsidRDefault="009E5D58">
          <w:pPr>
            <w:pStyle w:val="TOC1"/>
            <w:rPr>
              <w:rFonts w:asciiTheme="minorHAnsi" w:eastAsiaTheme="minorEastAsia" w:hAnsiTheme="minorHAnsi" w:cstheme="minorBidi"/>
              <w:caps w:val="0"/>
              <w:noProof/>
              <w:szCs w:val="22"/>
              <w:lang w:eastAsia="en-GB"/>
            </w:rPr>
          </w:pPr>
          <w:hyperlink w:anchor="_Toc433035507" w:history="1">
            <w:r w:rsidR="001F6470" w:rsidRPr="00B36739">
              <w:rPr>
                <w:rStyle w:val="Hyperlink"/>
                <w:noProof/>
                <w:kern w:val="28"/>
              </w:rPr>
              <w:t>8.</w:t>
            </w:r>
            <w:r w:rsidR="001F6470">
              <w:rPr>
                <w:rFonts w:asciiTheme="minorHAnsi" w:eastAsiaTheme="minorEastAsia" w:hAnsiTheme="minorHAnsi" w:cstheme="minorBidi"/>
                <w:caps w:val="0"/>
                <w:noProof/>
                <w:szCs w:val="22"/>
                <w:lang w:eastAsia="en-GB"/>
              </w:rPr>
              <w:tab/>
            </w:r>
            <w:r w:rsidR="001F6470" w:rsidRPr="00B36739">
              <w:rPr>
                <w:rStyle w:val="Hyperlink"/>
                <w:noProof/>
              </w:rPr>
              <w:t>OVERVIEW OF THE EVALUATION PROCESS</w:t>
            </w:r>
            <w:r w:rsidR="001F6470">
              <w:rPr>
                <w:noProof/>
                <w:webHidden/>
              </w:rPr>
              <w:tab/>
            </w:r>
            <w:r w:rsidR="001F6470">
              <w:rPr>
                <w:noProof/>
                <w:webHidden/>
              </w:rPr>
              <w:fldChar w:fldCharType="begin"/>
            </w:r>
            <w:r w:rsidR="001F6470">
              <w:rPr>
                <w:noProof/>
                <w:webHidden/>
              </w:rPr>
              <w:instrText xml:space="preserve"> PAGEREF _Toc433035507 \h </w:instrText>
            </w:r>
            <w:r w:rsidR="001F6470">
              <w:rPr>
                <w:noProof/>
                <w:webHidden/>
              </w:rPr>
            </w:r>
            <w:r w:rsidR="001F6470">
              <w:rPr>
                <w:noProof/>
                <w:webHidden/>
              </w:rPr>
              <w:fldChar w:fldCharType="separate"/>
            </w:r>
            <w:r w:rsidR="00A3785F">
              <w:rPr>
                <w:noProof/>
                <w:webHidden/>
              </w:rPr>
              <w:t>13</w:t>
            </w:r>
            <w:r w:rsidR="001F6470">
              <w:rPr>
                <w:noProof/>
                <w:webHidden/>
              </w:rPr>
              <w:fldChar w:fldCharType="end"/>
            </w:r>
          </w:hyperlink>
        </w:p>
        <w:p w14:paraId="5FDE9287" w14:textId="77777777" w:rsidR="001F6470" w:rsidRDefault="009E5D58">
          <w:pPr>
            <w:pStyle w:val="TOC1"/>
            <w:rPr>
              <w:rFonts w:asciiTheme="minorHAnsi" w:eastAsiaTheme="minorEastAsia" w:hAnsiTheme="minorHAnsi" w:cstheme="minorBidi"/>
              <w:caps w:val="0"/>
              <w:noProof/>
              <w:szCs w:val="22"/>
              <w:lang w:eastAsia="en-GB"/>
            </w:rPr>
          </w:pPr>
          <w:hyperlink w:anchor="_Toc433035508" w:history="1">
            <w:r w:rsidR="001F6470" w:rsidRPr="00B36739">
              <w:rPr>
                <w:rStyle w:val="Hyperlink"/>
                <w:noProof/>
                <w:kern w:val="28"/>
              </w:rPr>
              <w:t>9.</w:t>
            </w:r>
            <w:r w:rsidR="001F6470">
              <w:rPr>
                <w:rFonts w:asciiTheme="minorHAnsi" w:eastAsiaTheme="minorEastAsia" w:hAnsiTheme="minorHAnsi" w:cstheme="minorBidi"/>
                <w:caps w:val="0"/>
                <w:noProof/>
                <w:szCs w:val="22"/>
                <w:lang w:eastAsia="en-GB"/>
              </w:rPr>
              <w:tab/>
            </w:r>
            <w:r w:rsidR="001F6470" w:rsidRPr="00B36739">
              <w:rPr>
                <w:rStyle w:val="Hyperlink"/>
                <w:noProof/>
              </w:rPr>
              <w:t>COMPLIANCE/VALIDATION STAGE</w:t>
            </w:r>
            <w:r w:rsidR="001F6470">
              <w:rPr>
                <w:noProof/>
                <w:webHidden/>
              </w:rPr>
              <w:tab/>
            </w:r>
            <w:r w:rsidR="001F6470">
              <w:rPr>
                <w:noProof/>
                <w:webHidden/>
              </w:rPr>
              <w:fldChar w:fldCharType="begin"/>
            </w:r>
            <w:r w:rsidR="001F6470">
              <w:rPr>
                <w:noProof/>
                <w:webHidden/>
              </w:rPr>
              <w:instrText xml:space="preserve"> PAGEREF _Toc433035508 \h </w:instrText>
            </w:r>
            <w:r w:rsidR="001F6470">
              <w:rPr>
                <w:noProof/>
                <w:webHidden/>
              </w:rPr>
            </w:r>
            <w:r w:rsidR="001F6470">
              <w:rPr>
                <w:noProof/>
                <w:webHidden/>
              </w:rPr>
              <w:fldChar w:fldCharType="separate"/>
            </w:r>
            <w:r w:rsidR="00A3785F">
              <w:rPr>
                <w:noProof/>
                <w:webHidden/>
              </w:rPr>
              <w:t>15</w:t>
            </w:r>
            <w:r w:rsidR="001F6470">
              <w:rPr>
                <w:noProof/>
                <w:webHidden/>
              </w:rPr>
              <w:fldChar w:fldCharType="end"/>
            </w:r>
          </w:hyperlink>
        </w:p>
        <w:p w14:paraId="78A82014" w14:textId="77777777" w:rsidR="001F6470" w:rsidRDefault="009E5D58">
          <w:pPr>
            <w:pStyle w:val="TOC1"/>
            <w:rPr>
              <w:rFonts w:asciiTheme="minorHAnsi" w:eastAsiaTheme="minorEastAsia" w:hAnsiTheme="minorHAnsi" w:cstheme="minorBidi"/>
              <w:caps w:val="0"/>
              <w:noProof/>
              <w:szCs w:val="22"/>
              <w:lang w:eastAsia="en-GB"/>
            </w:rPr>
          </w:pPr>
          <w:hyperlink w:anchor="_Toc433035509" w:history="1">
            <w:r w:rsidR="001F6470" w:rsidRPr="00B36739">
              <w:rPr>
                <w:rStyle w:val="Hyperlink"/>
                <w:noProof/>
                <w:kern w:val="28"/>
              </w:rPr>
              <w:t>10.</w:t>
            </w:r>
            <w:r w:rsidR="001F6470">
              <w:rPr>
                <w:rFonts w:asciiTheme="minorHAnsi" w:eastAsiaTheme="minorEastAsia" w:hAnsiTheme="minorHAnsi" w:cstheme="minorBidi"/>
                <w:caps w:val="0"/>
                <w:noProof/>
                <w:szCs w:val="22"/>
                <w:lang w:eastAsia="en-GB"/>
              </w:rPr>
              <w:tab/>
            </w:r>
            <w:r w:rsidR="001F6470" w:rsidRPr="00B36739">
              <w:rPr>
                <w:rStyle w:val="Hyperlink"/>
                <w:noProof/>
              </w:rPr>
              <w:t>SELECTION STAGE EVALUATION</w:t>
            </w:r>
            <w:r w:rsidR="001F6470">
              <w:rPr>
                <w:noProof/>
                <w:webHidden/>
              </w:rPr>
              <w:tab/>
            </w:r>
            <w:r w:rsidR="001F6470">
              <w:rPr>
                <w:noProof/>
                <w:webHidden/>
              </w:rPr>
              <w:fldChar w:fldCharType="begin"/>
            </w:r>
            <w:r w:rsidR="001F6470">
              <w:rPr>
                <w:noProof/>
                <w:webHidden/>
              </w:rPr>
              <w:instrText xml:space="preserve"> PAGEREF _Toc433035509 \h </w:instrText>
            </w:r>
            <w:r w:rsidR="001F6470">
              <w:rPr>
                <w:noProof/>
                <w:webHidden/>
              </w:rPr>
            </w:r>
            <w:r w:rsidR="001F6470">
              <w:rPr>
                <w:noProof/>
                <w:webHidden/>
              </w:rPr>
              <w:fldChar w:fldCharType="separate"/>
            </w:r>
            <w:r w:rsidR="00A3785F">
              <w:rPr>
                <w:noProof/>
                <w:webHidden/>
              </w:rPr>
              <w:t>15</w:t>
            </w:r>
            <w:r w:rsidR="001F6470">
              <w:rPr>
                <w:noProof/>
                <w:webHidden/>
              </w:rPr>
              <w:fldChar w:fldCharType="end"/>
            </w:r>
          </w:hyperlink>
        </w:p>
        <w:p w14:paraId="64E393B4" w14:textId="77777777" w:rsidR="001F6470" w:rsidRDefault="009E5D58">
          <w:pPr>
            <w:pStyle w:val="TOC1"/>
            <w:rPr>
              <w:rFonts w:asciiTheme="minorHAnsi" w:eastAsiaTheme="minorEastAsia" w:hAnsiTheme="minorHAnsi" w:cstheme="minorBidi"/>
              <w:caps w:val="0"/>
              <w:noProof/>
              <w:szCs w:val="22"/>
              <w:lang w:eastAsia="en-GB"/>
            </w:rPr>
          </w:pPr>
          <w:hyperlink w:anchor="_Toc433035510" w:history="1">
            <w:r w:rsidR="001F6470" w:rsidRPr="00B36739">
              <w:rPr>
                <w:rStyle w:val="Hyperlink"/>
                <w:noProof/>
                <w:kern w:val="28"/>
              </w:rPr>
              <w:t>11.</w:t>
            </w:r>
            <w:r w:rsidR="001F6470">
              <w:rPr>
                <w:rFonts w:asciiTheme="minorHAnsi" w:eastAsiaTheme="minorEastAsia" w:hAnsiTheme="minorHAnsi" w:cstheme="minorBidi"/>
                <w:caps w:val="0"/>
                <w:noProof/>
                <w:szCs w:val="22"/>
                <w:lang w:eastAsia="en-GB"/>
              </w:rPr>
              <w:tab/>
            </w:r>
            <w:r w:rsidR="001F6470" w:rsidRPr="00B36739">
              <w:rPr>
                <w:rStyle w:val="Hyperlink"/>
                <w:noProof/>
              </w:rPr>
              <w:t>AWARD STAGE EVALUATION</w:t>
            </w:r>
            <w:r w:rsidR="001F6470">
              <w:rPr>
                <w:noProof/>
                <w:webHidden/>
              </w:rPr>
              <w:tab/>
            </w:r>
            <w:r w:rsidR="001F6470">
              <w:rPr>
                <w:noProof/>
                <w:webHidden/>
              </w:rPr>
              <w:fldChar w:fldCharType="begin"/>
            </w:r>
            <w:r w:rsidR="001F6470">
              <w:rPr>
                <w:noProof/>
                <w:webHidden/>
              </w:rPr>
              <w:instrText xml:space="preserve"> PAGEREF _Toc433035510 \h </w:instrText>
            </w:r>
            <w:r w:rsidR="001F6470">
              <w:rPr>
                <w:noProof/>
                <w:webHidden/>
              </w:rPr>
            </w:r>
            <w:r w:rsidR="001F6470">
              <w:rPr>
                <w:noProof/>
                <w:webHidden/>
              </w:rPr>
              <w:fldChar w:fldCharType="separate"/>
            </w:r>
            <w:r w:rsidR="00A3785F">
              <w:rPr>
                <w:noProof/>
                <w:webHidden/>
              </w:rPr>
              <w:t>20</w:t>
            </w:r>
            <w:r w:rsidR="001F6470">
              <w:rPr>
                <w:noProof/>
                <w:webHidden/>
              </w:rPr>
              <w:fldChar w:fldCharType="end"/>
            </w:r>
          </w:hyperlink>
        </w:p>
        <w:p w14:paraId="09A644B9" w14:textId="77777777" w:rsidR="001F6470" w:rsidRDefault="009E5D58">
          <w:pPr>
            <w:pStyle w:val="TOC1"/>
            <w:rPr>
              <w:rFonts w:asciiTheme="minorHAnsi" w:eastAsiaTheme="minorEastAsia" w:hAnsiTheme="minorHAnsi" w:cstheme="minorBidi"/>
              <w:caps w:val="0"/>
              <w:noProof/>
              <w:szCs w:val="22"/>
              <w:lang w:eastAsia="en-GB"/>
            </w:rPr>
          </w:pPr>
          <w:hyperlink w:anchor="_Toc433035511" w:history="1">
            <w:r w:rsidR="001F6470" w:rsidRPr="00B36739">
              <w:rPr>
                <w:rStyle w:val="Hyperlink"/>
                <w:noProof/>
                <w:kern w:val="28"/>
              </w:rPr>
              <w:t>12.</w:t>
            </w:r>
            <w:r w:rsidR="001F6470">
              <w:rPr>
                <w:rFonts w:asciiTheme="minorHAnsi" w:eastAsiaTheme="minorEastAsia" w:hAnsiTheme="minorHAnsi" w:cstheme="minorBidi"/>
                <w:caps w:val="0"/>
                <w:noProof/>
                <w:szCs w:val="22"/>
                <w:lang w:eastAsia="en-GB"/>
              </w:rPr>
              <w:tab/>
            </w:r>
            <w:r w:rsidR="001F6470" w:rsidRPr="00B36739">
              <w:rPr>
                <w:rStyle w:val="Hyperlink"/>
                <w:noProof/>
              </w:rPr>
              <w:t>FINAL DECISION TO AWARD</w:t>
            </w:r>
            <w:r w:rsidR="001F6470">
              <w:rPr>
                <w:noProof/>
                <w:webHidden/>
              </w:rPr>
              <w:tab/>
            </w:r>
            <w:r w:rsidR="001F6470">
              <w:rPr>
                <w:noProof/>
                <w:webHidden/>
              </w:rPr>
              <w:fldChar w:fldCharType="begin"/>
            </w:r>
            <w:r w:rsidR="001F6470">
              <w:rPr>
                <w:noProof/>
                <w:webHidden/>
              </w:rPr>
              <w:instrText xml:space="preserve"> PAGEREF _Toc433035511 \h </w:instrText>
            </w:r>
            <w:r w:rsidR="001F6470">
              <w:rPr>
                <w:noProof/>
                <w:webHidden/>
              </w:rPr>
            </w:r>
            <w:r w:rsidR="001F6470">
              <w:rPr>
                <w:noProof/>
                <w:webHidden/>
              </w:rPr>
              <w:fldChar w:fldCharType="separate"/>
            </w:r>
            <w:r w:rsidR="00A3785F">
              <w:rPr>
                <w:noProof/>
                <w:webHidden/>
              </w:rPr>
              <w:t>27</w:t>
            </w:r>
            <w:r w:rsidR="001F6470">
              <w:rPr>
                <w:noProof/>
                <w:webHidden/>
              </w:rPr>
              <w:fldChar w:fldCharType="end"/>
            </w:r>
          </w:hyperlink>
        </w:p>
        <w:p w14:paraId="4AA72900" w14:textId="77777777" w:rsidR="001F6470" w:rsidRDefault="009E5D58">
          <w:pPr>
            <w:pStyle w:val="TOC1"/>
            <w:rPr>
              <w:rFonts w:asciiTheme="minorHAnsi" w:eastAsiaTheme="minorEastAsia" w:hAnsiTheme="minorHAnsi" w:cstheme="minorBidi"/>
              <w:caps w:val="0"/>
              <w:noProof/>
              <w:szCs w:val="22"/>
              <w:lang w:eastAsia="en-GB"/>
            </w:rPr>
          </w:pPr>
          <w:hyperlink w:anchor="_Toc433035512" w:history="1">
            <w:r w:rsidR="001F6470" w:rsidRPr="00B36739">
              <w:rPr>
                <w:rStyle w:val="Hyperlink"/>
                <w:noProof/>
                <w:kern w:val="28"/>
              </w:rPr>
              <w:t>13.</w:t>
            </w:r>
            <w:r w:rsidR="001F6470">
              <w:rPr>
                <w:rFonts w:asciiTheme="minorHAnsi" w:eastAsiaTheme="minorEastAsia" w:hAnsiTheme="minorHAnsi" w:cstheme="minorBidi"/>
                <w:caps w:val="0"/>
                <w:noProof/>
                <w:szCs w:val="22"/>
                <w:lang w:eastAsia="en-GB"/>
              </w:rPr>
              <w:tab/>
            </w:r>
            <w:r w:rsidR="001F6470" w:rsidRPr="00B36739">
              <w:rPr>
                <w:rStyle w:val="Hyperlink"/>
                <w:noProof/>
              </w:rPr>
              <w:t>GLOSSARY</w:t>
            </w:r>
            <w:r w:rsidR="001F6470">
              <w:rPr>
                <w:noProof/>
                <w:webHidden/>
              </w:rPr>
              <w:tab/>
            </w:r>
            <w:r w:rsidR="001F6470">
              <w:rPr>
                <w:noProof/>
                <w:webHidden/>
              </w:rPr>
              <w:fldChar w:fldCharType="begin"/>
            </w:r>
            <w:r w:rsidR="001F6470">
              <w:rPr>
                <w:noProof/>
                <w:webHidden/>
              </w:rPr>
              <w:instrText xml:space="preserve"> PAGEREF _Toc433035512 \h </w:instrText>
            </w:r>
            <w:r w:rsidR="001F6470">
              <w:rPr>
                <w:noProof/>
                <w:webHidden/>
              </w:rPr>
            </w:r>
            <w:r w:rsidR="001F6470">
              <w:rPr>
                <w:noProof/>
                <w:webHidden/>
              </w:rPr>
              <w:fldChar w:fldCharType="separate"/>
            </w:r>
            <w:r w:rsidR="00A3785F">
              <w:rPr>
                <w:noProof/>
                <w:webHidden/>
              </w:rPr>
              <w:t>28</w:t>
            </w:r>
            <w:r w:rsidR="001F6470">
              <w:rPr>
                <w:noProof/>
                <w:webHidden/>
              </w:rPr>
              <w:fldChar w:fldCharType="end"/>
            </w:r>
          </w:hyperlink>
        </w:p>
        <w:p w14:paraId="4AB28117" w14:textId="14CD0642" w:rsidR="00D62F53" w:rsidRDefault="00D62F53">
          <w:r>
            <w:rPr>
              <w:b/>
              <w:bCs/>
              <w:noProof/>
            </w:rPr>
            <w:fldChar w:fldCharType="end"/>
          </w:r>
        </w:p>
      </w:sdtContent>
    </w:sdt>
    <w:p w14:paraId="46B94000" w14:textId="4A12AA10" w:rsidR="00DB0528" w:rsidRPr="00B3341B" w:rsidRDefault="00AE4296" w:rsidP="00B3341B">
      <w:pPr>
        <w:ind w:left="2160" w:hanging="2160"/>
        <w:rPr>
          <w:rFonts w:ascii="Arial" w:eastAsia="Times New Roman" w:hAnsi="Arial" w:cs="Arial"/>
          <w:noProof/>
        </w:rPr>
      </w:pPr>
      <w:r w:rsidRPr="00B3341B">
        <w:rPr>
          <w:rFonts w:ascii="Arial" w:eastAsia="Times New Roman" w:hAnsi="Arial" w:cs="Arial"/>
          <w:noProof/>
        </w:rPr>
        <w:t xml:space="preserve">ATTACHMENT 2 </w:t>
      </w:r>
      <w:r w:rsidRPr="00B3341B">
        <w:rPr>
          <w:rFonts w:ascii="Arial" w:eastAsia="Times New Roman" w:hAnsi="Arial" w:cs="Arial"/>
          <w:noProof/>
        </w:rPr>
        <w:tab/>
      </w:r>
      <w:r w:rsidR="00B3341B" w:rsidRPr="00B3341B">
        <w:rPr>
          <w:rFonts w:ascii="Arial" w:eastAsia="Times New Roman" w:hAnsi="Arial" w:cs="Arial"/>
          <w:noProof/>
        </w:rPr>
        <w:t xml:space="preserve">PARTICIPATION REQUIREMENTS AND </w:t>
      </w:r>
      <w:r w:rsidR="00DB0528" w:rsidRPr="00B3341B">
        <w:rPr>
          <w:rFonts w:ascii="Arial" w:eastAsia="Times New Roman" w:hAnsi="Arial" w:cs="Arial"/>
          <w:noProof/>
        </w:rPr>
        <w:t>SELECTION QUESTIONNAIRE GUIDANC</w:t>
      </w:r>
      <w:r w:rsidR="00155B09" w:rsidRPr="00B3341B">
        <w:rPr>
          <w:rFonts w:ascii="Arial" w:eastAsia="Times New Roman" w:hAnsi="Arial" w:cs="Arial"/>
          <w:noProof/>
        </w:rPr>
        <w:t>E</w:t>
      </w:r>
    </w:p>
    <w:p w14:paraId="4BD90A67" w14:textId="601810C1" w:rsidR="00AE4296" w:rsidRPr="00AE4296" w:rsidRDefault="00AE4296" w:rsidP="00AE4296">
      <w:pPr>
        <w:ind w:left="2160" w:hanging="2160"/>
        <w:rPr>
          <w:rFonts w:ascii="Arial" w:eastAsia="Times New Roman" w:hAnsi="Arial" w:cs="Arial"/>
          <w:noProof/>
        </w:rPr>
      </w:pPr>
      <w:r w:rsidRPr="00AE4296">
        <w:rPr>
          <w:rFonts w:ascii="Arial" w:hAnsi="Arial" w:cs="Arial"/>
          <w:noProof/>
        </w:rPr>
        <w:t xml:space="preserve">ATTACHMENT 3 </w:t>
      </w:r>
      <w:r w:rsidRPr="00AE4296">
        <w:rPr>
          <w:rFonts w:ascii="Arial" w:hAnsi="Arial" w:cs="Arial"/>
          <w:noProof/>
        </w:rPr>
        <w:tab/>
      </w:r>
      <w:r w:rsidRPr="00AE4296">
        <w:rPr>
          <w:rFonts w:ascii="Arial" w:eastAsia="Times New Roman" w:hAnsi="Arial" w:cs="Arial"/>
          <w:noProof/>
        </w:rPr>
        <w:t xml:space="preserve">AWARD QUESTIONNAIRE </w:t>
      </w:r>
      <w:r w:rsidR="00CC4496">
        <w:rPr>
          <w:rFonts w:ascii="Arial" w:eastAsia="Times New Roman" w:hAnsi="Arial" w:cs="Arial"/>
          <w:noProof/>
        </w:rPr>
        <w:t xml:space="preserve">RESPONSE GUIDANCE, EVALUATION </w:t>
      </w:r>
      <w:r w:rsidR="00155B09">
        <w:rPr>
          <w:rFonts w:ascii="Arial" w:eastAsia="Times New Roman" w:hAnsi="Arial" w:cs="Arial"/>
          <w:noProof/>
        </w:rPr>
        <w:t xml:space="preserve">AND </w:t>
      </w:r>
      <w:r w:rsidR="00CC4496">
        <w:rPr>
          <w:rFonts w:ascii="Arial" w:eastAsia="Times New Roman" w:hAnsi="Arial" w:cs="Arial"/>
          <w:noProof/>
        </w:rPr>
        <w:t>MARKING SCHEME</w:t>
      </w:r>
    </w:p>
    <w:p w14:paraId="6070F96B" w14:textId="079960B6" w:rsid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4</w:t>
      </w:r>
      <w:r w:rsidRPr="00AE4296">
        <w:rPr>
          <w:rFonts w:ascii="Arial" w:eastAsia="Times New Roman" w:hAnsi="Arial" w:cs="Arial"/>
          <w:noProof/>
        </w:rPr>
        <w:t xml:space="preserve"> </w:t>
      </w:r>
      <w:r w:rsidRPr="00AE4296">
        <w:rPr>
          <w:rFonts w:ascii="Arial" w:eastAsia="Times New Roman" w:hAnsi="Arial" w:cs="Arial"/>
          <w:noProof/>
        </w:rPr>
        <w:tab/>
        <w:t xml:space="preserve">FRAMEWORK AGREEMENT </w:t>
      </w:r>
    </w:p>
    <w:p w14:paraId="691D5C34" w14:textId="4692C4EC" w:rsidR="00FF5703" w:rsidRPr="00AE4296" w:rsidRDefault="00FF5703" w:rsidP="00FF5703">
      <w:pPr>
        <w:ind w:left="2160" w:hanging="2160"/>
        <w:rPr>
          <w:rFonts w:ascii="Arial" w:eastAsia="Times New Roman" w:hAnsi="Arial" w:cs="Arial"/>
          <w:noProof/>
        </w:rPr>
      </w:pPr>
      <w:r>
        <w:rPr>
          <w:rFonts w:ascii="Arial" w:eastAsia="Times New Roman" w:hAnsi="Arial" w:cs="Arial"/>
          <w:noProof/>
        </w:rPr>
        <w:t xml:space="preserve">ATTACHMENT </w:t>
      </w:r>
      <w:r w:rsidR="002A3178">
        <w:rPr>
          <w:rFonts w:ascii="Arial" w:eastAsia="Times New Roman" w:hAnsi="Arial" w:cs="Arial"/>
          <w:noProof/>
        </w:rPr>
        <w:t>5</w:t>
      </w:r>
      <w:r>
        <w:rPr>
          <w:rFonts w:ascii="Arial" w:eastAsia="Times New Roman" w:hAnsi="Arial" w:cs="Arial"/>
          <w:noProof/>
        </w:rPr>
        <w:tab/>
        <w:t>FRA</w:t>
      </w:r>
      <w:r w:rsidR="00FE7CE7">
        <w:rPr>
          <w:rFonts w:ascii="Arial" w:eastAsia="Times New Roman" w:hAnsi="Arial" w:cs="Arial"/>
          <w:noProof/>
        </w:rPr>
        <w:t>M</w:t>
      </w:r>
      <w:r>
        <w:rPr>
          <w:rFonts w:ascii="Arial" w:eastAsia="Times New Roman" w:hAnsi="Arial" w:cs="Arial"/>
          <w:noProof/>
        </w:rPr>
        <w:t xml:space="preserve">EWORK AGREEMENT </w:t>
      </w:r>
      <w:r w:rsidR="006020C8">
        <w:rPr>
          <w:rFonts w:ascii="Arial" w:eastAsia="Times New Roman" w:hAnsi="Arial" w:cs="Arial"/>
          <w:noProof/>
        </w:rPr>
        <w:t>SCHEDULE 2 PART A (SERVICES)</w:t>
      </w:r>
    </w:p>
    <w:p w14:paraId="26672B08" w14:textId="0854CEA4" w:rsidR="00FF5703" w:rsidRPr="00AE4296" w:rsidRDefault="00AE4296" w:rsidP="00A33A16">
      <w:pPr>
        <w:ind w:left="2160" w:hanging="2160"/>
        <w:rPr>
          <w:rFonts w:ascii="Arial" w:eastAsia="Times New Roman" w:hAnsi="Arial" w:cs="Arial"/>
          <w:noProof/>
        </w:rPr>
      </w:pPr>
      <w:r w:rsidRPr="00AE4296">
        <w:rPr>
          <w:rFonts w:ascii="Arial" w:eastAsia="Times New Roman" w:hAnsi="Arial" w:cs="Arial"/>
          <w:noProof/>
        </w:rPr>
        <w:t xml:space="preserve">ATTACHMENT </w:t>
      </w:r>
      <w:r w:rsidR="002A3178">
        <w:rPr>
          <w:rFonts w:ascii="Arial" w:eastAsia="Times New Roman" w:hAnsi="Arial" w:cs="Arial"/>
          <w:noProof/>
        </w:rPr>
        <w:t>6</w:t>
      </w:r>
      <w:r w:rsidRPr="00AE4296">
        <w:rPr>
          <w:rFonts w:ascii="Arial" w:eastAsia="Times New Roman" w:hAnsi="Arial" w:cs="Arial"/>
          <w:noProof/>
        </w:rPr>
        <w:t xml:space="preserve"> </w:t>
      </w:r>
      <w:r w:rsidRPr="00AE4296">
        <w:rPr>
          <w:rFonts w:ascii="Arial" w:eastAsia="Times New Roman" w:hAnsi="Arial" w:cs="Arial"/>
          <w:noProof/>
        </w:rPr>
        <w:tab/>
      </w:r>
      <w:r w:rsidR="00FF5703">
        <w:rPr>
          <w:rFonts w:ascii="Arial" w:eastAsia="Times New Roman" w:hAnsi="Arial" w:cs="Arial"/>
          <w:noProof/>
        </w:rPr>
        <w:t xml:space="preserve">FRAMEWORK AGREEMENT SCHEDULE 4 </w:t>
      </w:r>
      <w:r w:rsidR="00CC5262">
        <w:rPr>
          <w:rFonts w:ascii="Arial" w:eastAsia="Times New Roman" w:hAnsi="Arial" w:cs="Arial"/>
          <w:noProof/>
        </w:rPr>
        <w:t>ORDER</w:t>
      </w:r>
      <w:r w:rsidR="001D1216">
        <w:rPr>
          <w:rFonts w:ascii="Arial" w:eastAsia="Times New Roman" w:hAnsi="Arial" w:cs="Arial"/>
          <w:noProof/>
        </w:rPr>
        <w:t xml:space="preserve"> </w:t>
      </w:r>
      <w:r w:rsidR="00CC5262">
        <w:rPr>
          <w:rFonts w:ascii="Arial" w:eastAsia="Times New Roman" w:hAnsi="Arial" w:cs="Arial"/>
          <w:noProof/>
        </w:rPr>
        <w:t>FORM AND CALL OFF TERMS</w:t>
      </w:r>
    </w:p>
    <w:p w14:paraId="5EEA9A36" w14:textId="5884B71E"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2A3178">
        <w:rPr>
          <w:rFonts w:ascii="Arial" w:eastAsia="Times New Roman" w:hAnsi="Arial" w:cs="Arial"/>
          <w:noProof/>
        </w:rPr>
        <w:t>7</w:t>
      </w:r>
      <w:r w:rsidRPr="00AE4296">
        <w:rPr>
          <w:rFonts w:ascii="Arial" w:eastAsia="Times New Roman" w:hAnsi="Arial" w:cs="Arial"/>
          <w:noProof/>
        </w:rPr>
        <w:t xml:space="preserve"> </w:t>
      </w:r>
      <w:r w:rsidRPr="00AE4296">
        <w:rPr>
          <w:rFonts w:ascii="Arial" w:eastAsia="Times New Roman" w:hAnsi="Arial" w:cs="Arial"/>
          <w:noProof/>
        </w:rPr>
        <w:tab/>
        <w:t>TERMS OF PARTICIPATION</w:t>
      </w:r>
    </w:p>
    <w:p w14:paraId="692AEE52" w14:textId="0C52979B" w:rsidR="00AE4296" w:rsidRDefault="00AE4296" w:rsidP="00AE4296">
      <w:pPr>
        <w:rPr>
          <w:rFonts w:ascii="Arial" w:eastAsia="Times New Roman" w:hAnsi="Arial" w:cs="Arial"/>
          <w:noProof/>
        </w:rPr>
      </w:pPr>
      <w:r w:rsidRPr="00AE4296">
        <w:rPr>
          <w:rFonts w:ascii="Arial" w:eastAsia="Times New Roman" w:hAnsi="Arial" w:cs="Arial"/>
          <w:noProof/>
        </w:rPr>
        <w:t>ATTACHME</w:t>
      </w:r>
      <w:r w:rsidR="003979E5">
        <w:rPr>
          <w:rFonts w:ascii="Arial" w:eastAsia="Times New Roman" w:hAnsi="Arial" w:cs="Arial"/>
          <w:noProof/>
        </w:rPr>
        <w:t xml:space="preserve">NT </w:t>
      </w:r>
      <w:r w:rsidR="002A3178">
        <w:rPr>
          <w:rFonts w:ascii="Arial" w:eastAsia="Times New Roman" w:hAnsi="Arial" w:cs="Arial"/>
          <w:noProof/>
        </w:rPr>
        <w:t>8</w:t>
      </w:r>
      <w:r w:rsidR="003979E5">
        <w:rPr>
          <w:rFonts w:ascii="Arial" w:eastAsia="Times New Roman" w:hAnsi="Arial" w:cs="Arial"/>
          <w:noProof/>
        </w:rPr>
        <w:tab/>
        <w:t>DECLARATION OF COMPLIANCE</w:t>
      </w:r>
    </w:p>
    <w:p w14:paraId="059B7EE3" w14:textId="06A3D221" w:rsidR="00FA7E24" w:rsidRDefault="003979E5" w:rsidP="00AE4296">
      <w:pPr>
        <w:rPr>
          <w:rFonts w:ascii="Arial" w:eastAsia="Times New Roman" w:hAnsi="Arial" w:cs="Arial"/>
          <w:noProof/>
        </w:rPr>
      </w:pPr>
      <w:r>
        <w:rPr>
          <w:rFonts w:ascii="Arial" w:eastAsia="Times New Roman" w:hAnsi="Arial" w:cs="Arial"/>
          <w:noProof/>
        </w:rPr>
        <w:t xml:space="preserve">ATTACHMENT </w:t>
      </w:r>
      <w:r w:rsidR="002A3178">
        <w:rPr>
          <w:rFonts w:ascii="Arial" w:eastAsia="Times New Roman" w:hAnsi="Arial" w:cs="Arial"/>
          <w:noProof/>
        </w:rPr>
        <w:t>9</w:t>
      </w:r>
      <w:r w:rsidR="00DB0528">
        <w:rPr>
          <w:rFonts w:ascii="Arial" w:eastAsia="Times New Roman" w:hAnsi="Arial" w:cs="Arial"/>
          <w:noProof/>
        </w:rPr>
        <w:tab/>
      </w:r>
      <w:r w:rsidR="002A3178">
        <w:rPr>
          <w:rFonts w:ascii="Arial" w:eastAsia="Times New Roman" w:hAnsi="Arial" w:cs="Arial"/>
          <w:noProof/>
        </w:rPr>
        <w:t>PRICING MATRIX</w:t>
      </w:r>
      <w:r w:rsidR="00FF5703">
        <w:rPr>
          <w:rFonts w:ascii="Arial" w:eastAsia="Times New Roman" w:hAnsi="Arial" w:cs="Arial"/>
          <w:noProof/>
        </w:rPr>
        <w:t xml:space="preserve"> </w:t>
      </w:r>
    </w:p>
    <w:p w14:paraId="685C2511" w14:textId="60E75724" w:rsidR="00FF5703" w:rsidRDefault="00A33A16" w:rsidP="00AE4296">
      <w:pPr>
        <w:rPr>
          <w:rFonts w:ascii="Arial" w:eastAsia="Times New Roman" w:hAnsi="Arial" w:cs="Arial"/>
          <w:noProof/>
        </w:rPr>
      </w:pPr>
      <w:r>
        <w:rPr>
          <w:rFonts w:ascii="Arial" w:eastAsia="Times New Roman" w:hAnsi="Arial" w:cs="Arial"/>
          <w:noProof/>
        </w:rPr>
        <w:t>ATTACHMENT 1</w:t>
      </w:r>
      <w:r w:rsidR="007038B8">
        <w:rPr>
          <w:rFonts w:ascii="Arial" w:eastAsia="Times New Roman" w:hAnsi="Arial" w:cs="Arial"/>
          <w:noProof/>
        </w:rPr>
        <w:t>0</w:t>
      </w:r>
      <w:r w:rsidR="00FF5703">
        <w:rPr>
          <w:rFonts w:ascii="Arial" w:eastAsia="Times New Roman" w:hAnsi="Arial" w:cs="Arial"/>
          <w:noProof/>
        </w:rPr>
        <w:tab/>
        <w:t>FRAMEWORK AGREEMENT POPULATION TEMPLATE</w:t>
      </w:r>
    </w:p>
    <w:p w14:paraId="4D39B1B1" w14:textId="4D7DB660" w:rsidR="0005574A" w:rsidRDefault="0005574A" w:rsidP="00AE4296">
      <w:pPr>
        <w:rPr>
          <w:rFonts w:ascii="Arial" w:eastAsia="Times New Roman" w:hAnsi="Arial" w:cs="Arial"/>
          <w:noProof/>
        </w:rPr>
      </w:pPr>
      <w:r>
        <w:rPr>
          <w:rFonts w:ascii="Arial" w:eastAsia="Times New Roman" w:hAnsi="Arial" w:cs="Arial"/>
          <w:noProof/>
        </w:rPr>
        <w:t>ATTACHMENT 1</w:t>
      </w:r>
      <w:r w:rsidR="007038B8">
        <w:rPr>
          <w:rFonts w:ascii="Arial" w:eastAsia="Times New Roman" w:hAnsi="Arial" w:cs="Arial"/>
          <w:noProof/>
        </w:rPr>
        <w:t>1</w:t>
      </w:r>
      <w:r>
        <w:rPr>
          <w:rFonts w:ascii="Arial" w:eastAsia="Times New Roman" w:hAnsi="Arial" w:cs="Arial"/>
          <w:noProof/>
        </w:rPr>
        <w:tab/>
        <w:t>FINANCIAL ASSES</w:t>
      </w:r>
      <w:r w:rsidR="00257383">
        <w:rPr>
          <w:rFonts w:ascii="Arial" w:eastAsia="Times New Roman" w:hAnsi="Arial" w:cs="Arial"/>
          <w:noProof/>
        </w:rPr>
        <w:t>S</w:t>
      </w:r>
      <w:r>
        <w:rPr>
          <w:rFonts w:ascii="Arial" w:eastAsia="Times New Roman" w:hAnsi="Arial" w:cs="Arial"/>
          <w:noProof/>
        </w:rPr>
        <w:t>MENT TEMPLATE</w:t>
      </w:r>
    </w:p>
    <w:p w14:paraId="4FC9D571" w14:textId="663973B1" w:rsidR="00CD2D44" w:rsidRDefault="00CD2D44" w:rsidP="00CD2D44">
      <w:pPr>
        <w:rPr>
          <w:rFonts w:ascii="Arial" w:eastAsia="Times New Roman" w:hAnsi="Arial" w:cs="Arial"/>
          <w:noProof/>
        </w:rPr>
      </w:pPr>
      <w:r>
        <w:rPr>
          <w:rFonts w:ascii="Arial" w:eastAsia="Times New Roman" w:hAnsi="Arial" w:cs="Arial"/>
          <w:noProof/>
        </w:rPr>
        <w:t>A</w:t>
      </w:r>
      <w:r w:rsidR="002A3178">
        <w:rPr>
          <w:rFonts w:ascii="Arial" w:eastAsia="Times New Roman" w:hAnsi="Arial" w:cs="Arial"/>
          <w:noProof/>
        </w:rPr>
        <w:t xml:space="preserve">TTACHMENT 12 </w:t>
      </w:r>
      <w:r w:rsidR="002A3178">
        <w:rPr>
          <w:rFonts w:ascii="Arial" w:eastAsia="Times New Roman" w:hAnsi="Arial" w:cs="Arial"/>
          <w:noProof/>
        </w:rPr>
        <w:tab/>
        <w:t>SUPPLIER GUIDANCE</w:t>
      </w:r>
    </w:p>
    <w:p w14:paraId="64351C72" w14:textId="64911E19" w:rsidR="00321A22" w:rsidRDefault="00321A22" w:rsidP="00CD2D44">
      <w:pPr>
        <w:rPr>
          <w:rFonts w:ascii="Arial" w:eastAsia="Times New Roman" w:hAnsi="Arial" w:cs="Arial"/>
          <w:noProof/>
        </w:rPr>
      </w:pPr>
      <w:r>
        <w:rPr>
          <w:rFonts w:ascii="Arial" w:eastAsia="Times New Roman" w:hAnsi="Arial" w:cs="Arial"/>
          <w:noProof/>
        </w:rPr>
        <w:t>ATTACHMENT 13</w:t>
      </w:r>
      <w:r>
        <w:rPr>
          <w:rFonts w:ascii="Arial" w:eastAsia="Times New Roman" w:hAnsi="Arial" w:cs="Arial"/>
          <w:noProof/>
        </w:rPr>
        <w:tab/>
        <w:t>MI TEMPLATE</w:t>
      </w:r>
    </w:p>
    <w:p w14:paraId="76BC8172" w14:textId="77777777" w:rsidR="00777AD8" w:rsidRDefault="00777AD8" w:rsidP="00CD2D44">
      <w:pPr>
        <w:rPr>
          <w:rFonts w:ascii="Arial" w:eastAsia="Times New Roman" w:hAnsi="Arial" w:cs="Arial"/>
          <w:noProof/>
        </w:rPr>
      </w:pPr>
    </w:p>
    <w:p w14:paraId="7913E00A" w14:textId="71F35161" w:rsidR="00AE4296" w:rsidRPr="00FA2CB6" w:rsidRDefault="002C6C7C" w:rsidP="001D1216">
      <w:pPr>
        <w:pStyle w:val="Style7"/>
      </w:pPr>
      <w:bookmarkStart w:id="0" w:name="_Toc433035500"/>
      <w:r>
        <w:lastRenderedPageBreak/>
        <w:t>INTRODUCTION</w:t>
      </w:r>
      <w:bookmarkEnd w:id="0"/>
    </w:p>
    <w:p w14:paraId="0A86C696" w14:textId="499FFFD1" w:rsidR="005D1BB5" w:rsidRPr="000E69A7" w:rsidRDefault="00AE4296" w:rsidP="001D1216">
      <w:pPr>
        <w:pStyle w:val="Style8"/>
      </w:pPr>
      <w:r w:rsidRPr="00E26C18">
        <w:t xml:space="preserve">Welcome to this Procurement which is being managed by </w:t>
      </w:r>
      <w:r w:rsidR="009F5FF7" w:rsidRPr="00E26C18">
        <w:t>Crown Commercial Service</w:t>
      </w:r>
      <w:r w:rsidR="005B1A98">
        <w:t xml:space="preserve"> (referred to as the Agent within </w:t>
      </w:r>
      <w:r w:rsidR="002577C8">
        <w:t>this Invitation to Tender (ITT)</w:t>
      </w:r>
      <w:r w:rsidR="005B1A98">
        <w:t xml:space="preserve"> on behalf </w:t>
      </w:r>
      <w:r w:rsidR="00E36040">
        <w:t>of Her</w:t>
      </w:r>
      <w:r w:rsidR="005B1A98">
        <w:t xml:space="preserve"> Maje</w:t>
      </w:r>
      <w:r w:rsidR="00386867">
        <w:t>sty’s</w:t>
      </w:r>
      <w:r w:rsidR="002577C8">
        <w:t xml:space="preserve"> Treasury (HMT)</w:t>
      </w:r>
      <w:r w:rsidR="005D1BB5" w:rsidRPr="000E69A7">
        <w:t>.</w:t>
      </w:r>
    </w:p>
    <w:p w14:paraId="00E5D5A1" w14:textId="77777777" w:rsidR="002A3178" w:rsidRDefault="002577C8" w:rsidP="001D1216">
      <w:pPr>
        <w:pStyle w:val="Style8"/>
      </w:pPr>
      <w:r>
        <w:t>H</w:t>
      </w:r>
      <w:r w:rsidR="002A3178">
        <w:t>MT are</w:t>
      </w:r>
      <w:r w:rsidR="009F5FF7" w:rsidRPr="000E69A7">
        <w:t xml:space="preserve"> referred to as the </w:t>
      </w:r>
      <w:r>
        <w:t xml:space="preserve">Contracting </w:t>
      </w:r>
      <w:r w:rsidR="009F5FF7" w:rsidRPr="000E69A7">
        <w:t>Author</w:t>
      </w:r>
      <w:r w:rsidR="002A3178">
        <w:t>ity in this ITT</w:t>
      </w:r>
      <w:r w:rsidR="009F5FF7" w:rsidRPr="000E69A7">
        <w:t xml:space="preserve">, and you, </w:t>
      </w:r>
      <w:r w:rsidR="00AF1821" w:rsidRPr="00B37FC9">
        <w:t>along with other organisations participating in this Procurement, are referred to as Potent</w:t>
      </w:r>
      <w:r w:rsidR="00AF1821" w:rsidRPr="00EF6860">
        <w:t>ial Providers</w:t>
      </w:r>
      <w:r w:rsidR="009F5FF7" w:rsidRPr="00EF6860">
        <w:t xml:space="preserve">. </w:t>
      </w:r>
    </w:p>
    <w:p w14:paraId="6F7D3225" w14:textId="3AA1189D" w:rsidR="00A93A1E" w:rsidRPr="006020C8" w:rsidRDefault="00444842" w:rsidP="001D1216">
      <w:pPr>
        <w:pStyle w:val="Style8"/>
      </w:pPr>
      <w:r w:rsidRPr="00AF0006">
        <w:t>This Procurement will establish a</w:t>
      </w:r>
      <w:r w:rsidR="00E85D1B">
        <w:t xml:space="preserve"> </w:t>
      </w:r>
      <w:r w:rsidR="00321A22">
        <w:t>m</w:t>
      </w:r>
      <w:r w:rsidR="002577C8">
        <w:t xml:space="preserve">ulti </w:t>
      </w:r>
      <w:r w:rsidRPr="00AF0006">
        <w:t xml:space="preserve">Supplier </w:t>
      </w:r>
      <w:r w:rsidR="000740CC">
        <w:t>Framework Agreement for b</w:t>
      </w:r>
      <w:r w:rsidR="00CC4496">
        <w:t xml:space="preserve">oth Central </w:t>
      </w:r>
      <w:r w:rsidR="00CC4496" w:rsidRPr="006020C8">
        <w:t xml:space="preserve">Government and the </w:t>
      </w:r>
      <w:r w:rsidR="002A3178" w:rsidRPr="006020C8">
        <w:t>Wider Public S</w:t>
      </w:r>
      <w:r w:rsidR="0009004F">
        <w:t>ector for the supply</w:t>
      </w:r>
      <w:r w:rsidR="007F36AC">
        <w:t xml:space="preserve"> of </w:t>
      </w:r>
      <w:r w:rsidR="002577C8" w:rsidRPr="006020C8">
        <w:t xml:space="preserve">Financial Management Reform Costing Programme </w:t>
      </w:r>
      <w:r w:rsidR="007F36AC">
        <w:t xml:space="preserve">Services </w:t>
      </w:r>
      <w:r w:rsidR="002577C8" w:rsidRPr="006020C8">
        <w:t>(FMRCP)</w:t>
      </w:r>
      <w:r w:rsidR="00EC2C4C" w:rsidRPr="006020C8">
        <w:rPr>
          <w:rStyle w:val="CommentReference"/>
          <w:rFonts w:asciiTheme="minorHAnsi" w:eastAsiaTheme="minorEastAsia" w:hAnsiTheme="minorHAnsi" w:cstheme="minorBidi"/>
        </w:rPr>
        <w:t>.</w:t>
      </w:r>
      <w:r w:rsidR="009F5FF7" w:rsidRPr="006020C8">
        <w:t xml:space="preserve"> </w:t>
      </w:r>
    </w:p>
    <w:p w14:paraId="76364B0B" w14:textId="3A37EF5E" w:rsidR="00321A22" w:rsidRPr="00321A22" w:rsidRDefault="00E36040" w:rsidP="00321A22">
      <w:pPr>
        <w:pStyle w:val="Style8"/>
      </w:pPr>
      <w:r w:rsidRPr="006020C8">
        <w:t>The</w:t>
      </w:r>
      <w:r w:rsidR="00BE4AFC" w:rsidRPr="006020C8">
        <w:t xml:space="preserve"> Contracting</w:t>
      </w:r>
      <w:r w:rsidRPr="006020C8">
        <w:t xml:space="preserve"> Authority has decided that this Procurement is</w:t>
      </w:r>
      <w:r w:rsidR="007F36AC">
        <w:t xml:space="preserve"> being tendered as a single Lot.</w:t>
      </w:r>
      <w:r w:rsidRPr="006020C8">
        <w:t xml:space="preserve"> </w:t>
      </w:r>
      <w:r w:rsidR="007F36AC">
        <w:t>T</w:t>
      </w:r>
      <w:r w:rsidR="00BE4AFC" w:rsidRPr="006020C8">
        <w:t>he rational</w:t>
      </w:r>
      <w:r w:rsidR="007F36AC">
        <w:t>e</w:t>
      </w:r>
      <w:r w:rsidR="00BE4AFC" w:rsidRPr="006020C8">
        <w:t xml:space="preserve"> for this decision is based on </w:t>
      </w:r>
      <w:r w:rsidR="00321A22" w:rsidRPr="00321A22">
        <w:t>the co</w:t>
      </w:r>
      <w:r w:rsidR="007F36AC">
        <w:t>nstraints on public expenditure.</w:t>
      </w:r>
      <w:r w:rsidR="00321A22" w:rsidRPr="00321A22">
        <w:t xml:space="preserve"> Costing Projects can help identify efficiencies or transformative opportunities, particularly in complex, cross-cutting areas of government spend. This Procurement has not been sub-divided into separate lots because the HMT’s Centre of Excellence is required to deliver Costing Projects which will result in raising internal costing capabilities widely within different organisations across the whole of HMG. Delivering Costing Projects under a single lot will enable HMT to crea</w:t>
      </w:r>
      <w:r w:rsidR="0009004F">
        <w:t>te a single version</w:t>
      </w:r>
      <w:r w:rsidR="00321A22" w:rsidRPr="00321A22">
        <w:t xml:space="preserve"> of what HMG spends on public services, and will improve HMT’s ability to improve the robustness, relevance, consistency and timeliness of spending data to support effective monitoring of public spending by the centre of HMG</w:t>
      </w:r>
      <w:r w:rsidR="007F36AC">
        <w:t xml:space="preserve">. This in turn will enable the identification </w:t>
      </w:r>
      <w:r w:rsidR="00321A22" w:rsidRPr="00321A22">
        <w:t>cost savings and improve cost effectiveness, and facilitate HMT to share costing capability more widely, in order to help HMG meets its objectives under the Financial Management Review.</w:t>
      </w:r>
    </w:p>
    <w:p w14:paraId="358540E7" w14:textId="118151CF" w:rsidR="00DA50FF" w:rsidRDefault="00DA50FF" w:rsidP="00B66C29">
      <w:pPr>
        <w:pStyle w:val="Style8"/>
      </w:pPr>
      <w:r w:rsidRPr="00DA50FF">
        <w:t>T</w:t>
      </w:r>
      <w:r w:rsidR="00EE368D">
        <w:t>his Procurement -</w:t>
      </w:r>
      <w:r w:rsidR="002577C8">
        <w:t xml:space="preserve"> Service Provision </w:t>
      </w:r>
      <w:r w:rsidR="001253D6">
        <w:t>for</w:t>
      </w:r>
      <w:r w:rsidR="002577C8">
        <w:t xml:space="preserve"> Financial Management Reform Costing Programme</w:t>
      </w:r>
      <w:r w:rsidR="002577C8" w:rsidRPr="00DA50FF">
        <w:t xml:space="preserve"> </w:t>
      </w:r>
      <w:r w:rsidRPr="00DA50FF">
        <w:t xml:space="preserve">Scheme </w:t>
      </w:r>
      <w:r w:rsidR="002577C8">
        <w:t>RM4681</w:t>
      </w:r>
      <w:r w:rsidR="00EE368D">
        <w:t>,</w:t>
      </w:r>
      <w:r w:rsidRPr="00DA50FF">
        <w:t xml:space="preserve"> </w:t>
      </w:r>
      <w:r w:rsidR="007F36AC">
        <w:t xml:space="preserve">is being </w:t>
      </w:r>
      <w:r w:rsidRPr="00DA50FF">
        <w:t xml:space="preserve">tendered as a </w:t>
      </w:r>
      <w:r w:rsidR="007F36AC">
        <w:t>m</w:t>
      </w:r>
      <w:r w:rsidR="00EE368D">
        <w:t>ulti Supplier Framework Agreement</w:t>
      </w:r>
      <w:r w:rsidR="00B3341B">
        <w:t>.</w:t>
      </w:r>
      <w:r w:rsidRPr="00DA50FF">
        <w:t xml:space="preserve"> </w:t>
      </w:r>
    </w:p>
    <w:p w14:paraId="30F9A47D" w14:textId="74E80100" w:rsidR="00A93A1E" w:rsidRPr="001D1216" w:rsidRDefault="009F5FF7" w:rsidP="001D1216">
      <w:pPr>
        <w:pStyle w:val="Style8"/>
      </w:pPr>
      <w:r w:rsidRPr="00CA156D">
        <w:t xml:space="preserve">This </w:t>
      </w:r>
      <w:r w:rsidR="00AD7BC9" w:rsidRPr="000F03DC">
        <w:t>Invitation to Tender</w:t>
      </w:r>
      <w:r w:rsidRPr="00C9090B">
        <w:t xml:space="preserve"> </w:t>
      </w:r>
      <w:r w:rsidR="00AD7BC9" w:rsidRPr="00EC607B">
        <w:t>(</w:t>
      </w:r>
      <w:r w:rsidRPr="00EC607B">
        <w:t>ITT</w:t>
      </w:r>
      <w:r w:rsidR="00AD7BC9" w:rsidRPr="00D62F53">
        <w:t>)</w:t>
      </w:r>
      <w:r w:rsidR="00427F63" w:rsidRPr="00D62F53">
        <w:t xml:space="preserve"> </w:t>
      </w:r>
      <w:r w:rsidR="00AE4296" w:rsidRPr="00537786">
        <w:t>contain</w:t>
      </w:r>
      <w:r w:rsidR="00AD7BC9" w:rsidRPr="001D1216">
        <w:t>s</w:t>
      </w:r>
      <w:r w:rsidR="00AE4296" w:rsidRPr="001D1216">
        <w:t xml:space="preserve"> the information and instructions that </w:t>
      </w:r>
      <w:r w:rsidRPr="001D1216">
        <w:t xml:space="preserve">you need to </w:t>
      </w:r>
      <w:r w:rsidR="0009004F">
        <w:t xml:space="preserve">follow to </w:t>
      </w:r>
      <w:r w:rsidRPr="001D1216">
        <w:t xml:space="preserve">submit a completed </w:t>
      </w:r>
      <w:r w:rsidR="00427F63" w:rsidRPr="001D1216">
        <w:t xml:space="preserve">compliant </w:t>
      </w:r>
      <w:r w:rsidRPr="001D1216">
        <w:t>Tender. Words in this ITT and its Attachments which are capitalised have definitions either in that paragraph or in the glossary at paragraph</w:t>
      </w:r>
      <w:r w:rsidR="001F6470">
        <w:t xml:space="preserve"> 13.</w:t>
      </w:r>
    </w:p>
    <w:p w14:paraId="74280A60" w14:textId="6F244D3C" w:rsidR="00AD7BC9" w:rsidRPr="00777AD8" w:rsidRDefault="00AD7BC9" w:rsidP="001D1216">
      <w:pPr>
        <w:pStyle w:val="Style8"/>
      </w:pPr>
      <w:r w:rsidRPr="00E85D1B">
        <w:t xml:space="preserve">Please read this ITT carefully as non-compliance with the </w:t>
      </w:r>
      <w:r w:rsidRPr="00777AD8">
        <w:t>instructions contained in this document and all its Attachments may result in exclusion of your Tender from this Procurement.</w:t>
      </w:r>
    </w:p>
    <w:p w14:paraId="3F230334" w14:textId="3D809025" w:rsidR="00AD7BC9" w:rsidRPr="00777AD8" w:rsidRDefault="00AD7BC9" w:rsidP="001D1216">
      <w:pPr>
        <w:pStyle w:val="Style8"/>
      </w:pPr>
      <w:r w:rsidRPr="00777AD8">
        <w:t xml:space="preserve">The Terms of Participation at Attachment </w:t>
      </w:r>
      <w:r w:rsidR="006020C8" w:rsidRPr="00777AD8">
        <w:t>7</w:t>
      </w:r>
      <w:r w:rsidRPr="00777AD8">
        <w:t xml:space="preserve"> will apply throughout this Procurement. They set out further rights and obligations which apply to you and the </w:t>
      </w:r>
      <w:r w:rsidR="003A11CC" w:rsidRPr="00777AD8">
        <w:t>Agent</w:t>
      </w:r>
      <w:r w:rsidR="00B15B5C" w:rsidRPr="00777AD8">
        <w:t>.</w:t>
      </w:r>
    </w:p>
    <w:p w14:paraId="3D3EC552" w14:textId="4BD13271" w:rsidR="00A93A1E" w:rsidRPr="00777AD8" w:rsidRDefault="009F5FF7" w:rsidP="001D1216">
      <w:pPr>
        <w:pStyle w:val="Style8"/>
      </w:pPr>
      <w:r w:rsidRPr="00777AD8">
        <w:t xml:space="preserve">If you are participating in this Procurement as a member of a </w:t>
      </w:r>
      <w:r w:rsidR="00306FFB" w:rsidRPr="00777AD8">
        <w:t>Group of Economic Operators</w:t>
      </w:r>
      <w:r w:rsidRPr="00777AD8">
        <w:t>, or ar</w:t>
      </w:r>
      <w:r w:rsidR="000740CC" w:rsidRPr="00777AD8">
        <w:t>e using Sub-C</w:t>
      </w:r>
      <w:r w:rsidRPr="00777AD8">
        <w:t>ontracto</w:t>
      </w:r>
      <w:r w:rsidR="00AD7BC9" w:rsidRPr="00777AD8">
        <w:t>rs please read the guidance in pa</w:t>
      </w:r>
      <w:r w:rsidRPr="00777AD8">
        <w:t xml:space="preserve">ragraph </w:t>
      </w:r>
      <w:r w:rsidR="005E21DC" w:rsidRPr="00777AD8">
        <w:fldChar w:fldCharType="begin"/>
      </w:r>
      <w:r w:rsidR="005E21DC" w:rsidRPr="00777AD8">
        <w:instrText xml:space="preserve"> REF _Ref372795810 \r \h  \* MERGEFORMAT </w:instrText>
      </w:r>
      <w:r w:rsidR="005E21DC" w:rsidRPr="00777AD8">
        <w:fldChar w:fldCharType="separate"/>
      </w:r>
      <w:r w:rsidR="00A3785F">
        <w:t>6</w:t>
      </w:r>
      <w:r w:rsidR="005E21DC" w:rsidRPr="00777AD8">
        <w:fldChar w:fldCharType="end"/>
      </w:r>
      <w:r w:rsidRPr="00777AD8">
        <w:t>.</w:t>
      </w:r>
    </w:p>
    <w:p w14:paraId="2C24B60E" w14:textId="1B1D5DA0" w:rsidR="00AD7BC9" w:rsidRPr="001D1216" w:rsidRDefault="009F5FF7" w:rsidP="001D1216">
      <w:pPr>
        <w:pStyle w:val="Style8"/>
      </w:pPr>
      <w:r w:rsidRPr="00E85D1B">
        <w:t xml:space="preserve">The </w:t>
      </w:r>
      <w:r w:rsidR="003A11CC">
        <w:t>Agent</w:t>
      </w:r>
      <w:r w:rsidR="003A11CC" w:rsidRPr="00E85D1B">
        <w:t xml:space="preserve"> </w:t>
      </w:r>
      <w:r w:rsidRPr="00E85D1B">
        <w:t>is using an e-Sourcing Suite to manage this Procurement and to communicate with you. No hard copy documents will be issued and all communications with the</w:t>
      </w:r>
      <w:r w:rsidR="00EE368D">
        <w:t xml:space="preserve"> Contracting</w:t>
      </w:r>
      <w:r w:rsidRPr="00E85D1B">
        <w:t xml:space="preserve"> Authority (including the submission of Tenders) will be conducted via the e-Sourcing Suite. </w:t>
      </w:r>
      <w:r w:rsidR="00AD7BC9" w:rsidRPr="00E85D1B">
        <w:t xml:space="preserve">You must ensure that the details of the point of contact you nominate in the e-Sourcing Suite are accurate at all times as the </w:t>
      </w:r>
      <w:r w:rsidR="003A11CC">
        <w:t>Agent</w:t>
      </w:r>
      <w:r w:rsidR="003A11CC" w:rsidRPr="00E85D1B">
        <w:t xml:space="preserve"> </w:t>
      </w:r>
      <w:r w:rsidR="00AD7BC9" w:rsidRPr="00E85D1B">
        <w:t>will not be under any obligation to contact any other point of contact.</w:t>
      </w:r>
    </w:p>
    <w:p w14:paraId="25D5D268" w14:textId="51A34A34" w:rsidR="00791998" w:rsidRDefault="00CB502F" w:rsidP="001D1216">
      <w:pPr>
        <w:pStyle w:val="Style8"/>
      </w:pPr>
      <w:r w:rsidRPr="00E85D1B">
        <w:t xml:space="preserve">Your responses to the </w:t>
      </w:r>
      <w:r w:rsidRPr="006020C8">
        <w:t>Participation Requirements and Selection Questionnaire (Attachment 2) and the Award Questionnaire (Attachment 3) have been designed to be completed on-line in the e-Sourcing Suite. Guidance on how to use the e-Sourcing Suite can be found</w:t>
      </w:r>
      <w:r w:rsidR="00791998" w:rsidRPr="006020C8">
        <w:t xml:space="preserve"> by accessing the link below and at </w:t>
      </w:r>
      <w:r w:rsidR="006020C8" w:rsidRPr="006020C8">
        <w:t>Attachment 12</w:t>
      </w:r>
      <w:r w:rsidR="00791998" w:rsidRPr="006020C8">
        <w:t>.</w:t>
      </w:r>
    </w:p>
    <w:p w14:paraId="1768F3B5" w14:textId="66DD3FB4" w:rsidR="00CB502F" w:rsidRPr="00E26C18" w:rsidRDefault="00CB502F" w:rsidP="002A3178">
      <w:pPr>
        <w:pStyle w:val="Style8"/>
        <w:numPr>
          <w:ilvl w:val="0"/>
          <w:numId w:val="0"/>
        </w:numPr>
        <w:ind w:left="720"/>
      </w:pPr>
      <w:r w:rsidRPr="00E85D1B">
        <w:t xml:space="preserve"> </w:t>
      </w:r>
      <w:hyperlink r:id="rId13" w:history="1">
        <w:r w:rsidR="00791998" w:rsidRPr="00791998">
          <w:rPr>
            <w:rStyle w:val="Hyperlink"/>
          </w:rPr>
          <w:t>https://www.gov.uk/government/publications/esourcing-tool-guidance-for-suppliers</w:t>
        </w:r>
      </w:hyperlink>
      <w:r w:rsidRPr="00FA2CB6">
        <w:t xml:space="preserve">  </w:t>
      </w:r>
    </w:p>
    <w:p w14:paraId="305A1835" w14:textId="5F2E8EA0" w:rsidR="00CB502F" w:rsidRPr="001D1216" w:rsidRDefault="009F5FF7" w:rsidP="001D1216">
      <w:pPr>
        <w:pStyle w:val="Style8"/>
      </w:pPr>
      <w:r w:rsidRPr="000E69A7">
        <w:t xml:space="preserve">You are welcome to ask questions or seek clarification regarding this Procurement. See </w:t>
      </w:r>
      <w:r w:rsidRPr="00777AD8">
        <w:t xml:space="preserve">paragraph </w:t>
      </w:r>
      <w:r w:rsidR="005E21DC" w:rsidRPr="00777AD8">
        <w:fldChar w:fldCharType="begin"/>
      </w:r>
      <w:r w:rsidR="005E21DC" w:rsidRPr="00777AD8">
        <w:instrText xml:space="preserve"> REF _Ref286828015 \r \h  \* MERGEFORMAT </w:instrText>
      </w:r>
      <w:r w:rsidR="005E21DC" w:rsidRPr="00777AD8">
        <w:fldChar w:fldCharType="separate"/>
      </w:r>
      <w:r w:rsidR="00A3785F">
        <w:t>7</w:t>
      </w:r>
      <w:r w:rsidR="005E21DC" w:rsidRPr="00777AD8">
        <w:fldChar w:fldCharType="end"/>
      </w:r>
      <w:r w:rsidRPr="00777AD8">
        <w:t xml:space="preserve"> for details on how to do so. </w:t>
      </w:r>
      <w:r w:rsidR="00CB502F" w:rsidRPr="00777AD8">
        <w:t>Please ensure you have</w:t>
      </w:r>
      <w:r w:rsidRPr="00777AD8">
        <w:t xml:space="preserve"> read all the information contained within this</w:t>
      </w:r>
      <w:r w:rsidRPr="001D1216">
        <w:t xml:space="preserve"> ITT and its Atta</w:t>
      </w:r>
      <w:r w:rsidR="000B0C0A" w:rsidRPr="001D1216">
        <w:t>chments on the e-Sourcing Suite.</w:t>
      </w:r>
    </w:p>
    <w:p w14:paraId="69888926" w14:textId="4E84A11A" w:rsidR="005F449B" w:rsidRPr="001D1216" w:rsidRDefault="0017311D" w:rsidP="001D1216">
      <w:pPr>
        <w:pStyle w:val="Style8"/>
      </w:pPr>
      <w:r w:rsidRPr="00E85D1B">
        <w:lastRenderedPageBreak/>
        <w:t xml:space="preserve">The </w:t>
      </w:r>
      <w:r w:rsidR="003A11CC">
        <w:t>Agent</w:t>
      </w:r>
      <w:r w:rsidR="003A11CC" w:rsidRPr="00E85D1B">
        <w:t xml:space="preserve"> </w:t>
      </w:r>
      <w:r w:rsidRPr="00E85D1B">
        <w:t>is managing this Procurement in accordance with the Regulations and specifically in accordance with the open procedure (Regulation 27 of the Regulations) an</w:t>
      </w:r>
      <w:r w:rsidR="000740CC">
        <w:t xml:space="preserve">d the requirements relating to </w:t>
      </w:r>
      <w:r w:rsidR="00B15B5C">
        <w:t>Framework</w:t>
      </w:r>
      <w:r w:rsidR="000740CC">
        <w:t xml:space="preserve"> A</w:t>
      </w:r>
      <w:r w:rsidRPr="00E85D1B">
        <w:t>greements (Regulation 33 of the Regulations).</w:t>
      </w:r>
      <w:r w:rsidR="005F449B" w:rsidRPr="00E85D1B">
        <w:t xml:space="preserve"> </w:t>
      </w:r>
    </w:p>
    <w:p w14:paraId="36026147" w14:textId="037B4C0C" w:rsidR="00A27650" w:rsidRDefault="00A27650">
      <w:pPr>
        <w:rPr>
          <w:highlight w:val="yellow"/>
        </w:rPr>
      </w:pPr>
    </w:p>
    <w:p w14:paraId="0E938EBC" w14:textId="773AE7CE" w:rsidR="00AE4296" w:rsidRPr="004F3794" w:rsidRDefault="00AE4296" w:rsidP="00E85D1B">
      <w:pPr>
        <w:pStyle w:val="Style7"/>
      </w:pPr>
      <w:bookmarkStart w:id="1" w:name="_Toc422928917"/>
      <w:bookmarkStart w:id="2" w:name="_Toc422929077"/>
      <w:bookmarkStart w:id="3" w:name="_Toc422929119"/>
      <w:bookmarkStart w:id="4" w:name="_Toc422929218"/>
      <w:bookmarkStart w:id="5" w:name="_Toc422929245"/>
      <w:bookmarkStart w:id="6" w:name="_Toc422929275"/>
      <w:bookmarkStart w:id="7" w:name="_Toc422929966"/>
      <w:bookmarkStart w:id="8" w:name="_Toc422930024"/>
      <w:bookmarkStart w:id="9" w:name="_Toc422930070"/>
      <w:bookmarkStart w:id="10" w:name="_Toc422930122"/>
      <w:bookmarkStart w:id="11" w:name="_Toc422930167"/>
      <w:bookmarkStart w:id="12" w:name="_Toc422930207"/>
      <w:bookmarkStart w:id="13" w:name="_Toc422930239"/>
      <w:bookmarkStart w:id="14" w:name="_Toc422930264"/>
      <w:bookmarkStart w:id="15" w:name="_Toc422930287"/>
      <w:bookmarkStart w:id="16" w:name="_Toc433035501"/>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4F3794">
        <w:t xml:space="preserve">THE FRAMEWORK AGREEMENT AND </w:t>
      </w:r>
      <w:r w:rsidR="005D2308">
        <w:t>CALL OFF AGREEMENTS</w:t>
      </w:r>
      <w:bookmarkEnd w:id="16"/>
    </w:p>
    <w:p w14:paraId="4DD76E6E" w14:textId="3DB3FB11" w:rsidR="00A93A1E" w:rsidRPr="0046298C" w:rsidRDefault="00804C05" w:rsidP="0046298C">
      <w:pPr>
        <w:pStyle w:val="Style8"/>
      </w:pPr>
      <w:bookmarkStart w:id="17" w:name="_Ref285619824"/>
      <w:r w:rsidRPr="0046298C">
        <w:t>T</w:t>
      </w:r>
      <w:r w:rsidR="00600FA1" w:rsidRPr="0046298C">
        <w:t>h</w:t>
      </w:r>
      <w:r w:rsidR="00A27650" w:rsidRPr="0046298C">
        <w:t xml:space="preserve">is </w:t>
      </w:r>
      <w:r w:rsidRPr="0046298C">
        <w:t xml:space="preserve">Procurement </w:t>
      </w:r>
      <w:r w:rsidR="00A27650" w:rsidRPr="0046298C">
        <w:t>will resu</w:t>
      </w:r>
      <w:r w:rsidR="00E85D1B" w:rsidRPr="0046298C">
        <w:t>l</w:t>
      </w:r>
      <w:r w:rsidR="00A27650" w:rsidRPr="0046298C">
        <w:t xml:space="preserve">t in the award of a </w:t>
      </w:r>
      <w:r w:rsidRPr="0046298C">
        <w:t>Framework Agreement</w:t>
      </w:r>
      <w:r w:rsidR="00A27650" w:rsidRPr="0046298C">
        <w:t xml:space="preserve"> to </w:t>
      </w:r>
      <w:r w:rsidR="00321A22">
        <w:t>m</w:t>
      </w:r>
      <w:r w:rsidR="00EE368D">
        <w:t>ulti</w:t>
      </w:r>
      <w:r w:rsidR="00777AD8">
        <w:t>ple</w:t>
      </w:r>
      <w:r w:rsidR="00E85D1B" w:rsidRPr="0046298C">
        <w:t xml:space="preserve"> </w:t>
      </w:r>
      <w:r w:rsidR="0017311D" w:rsidRPr="0046298C">
        <w:t>s</w:t>
      </w:r>
      <w:r w:rsidRPr="0046298C">
        <w:t xml:space="preserve">uccessful </w:t>
      </w:r>
      <w:r w:rsidR="002138FB" w:rsidRPr="0046298C">
        <w:t>Potential Provider</w:t>
      </w:r>
      <w:r w:rsidR="00777AD8">
        <w:t>s</w:t>
      </w:r>
      <w:r w:rsidR="004D6F4A" w:rsidRPr="0046298C">
        <w:t>.</w:t>
      </w:r>
      <w:r w:rsidR="0017311D" w:rsidRPr="0046298C">
        <w:t xml:space="preserve"> </w:t>
      </w:r>
      <w:r w:rsidR="00E22D56" w:rsidRPr="0046298C">
        <w:t>Once the Framew</w:t>
      </w:r>
      <w:r w:rsidR="006E40C6">
        <w:t>ork Agreement has been executed,</w:t>
      </w:r>
      <w:r w:rsidR="00A24FD1" w:rsidRPr="0046298C">
        <w:t xml:space="preserve"> </w:t>
      </w:r>
      <w:r w:rsidR="00EE368D">
        <w:t>the</w:t>
      </w:r>
      <w:r w:rsidR="00A27650" w:rsidRPr="0046298C">
        <w:t xml:space="preserve"> </w:t>
      </w:r>
      <w:r w:rsidR="00E22D56" w:rsidRPr="0046298C">
        <w:t xml:space="preserve">successful </w:t>
      </w:r>
      <w:r w:rsidR="002138FB" w:rsidRPr="0046298C">
        <w:t>Potential Provider</w:t>
      </w:r>
      <w:r w:rsidR="00EE368D">
        <w:t>s</w:t>
      </w:r>
      <w:r w:rsidR="00E22D56" w:rsidRPr="0046298C">
        <w:t xml:space="preserve"> will become </w:t>
      </w:r>
      <w:r w:rsidR="00452C0E" w:rsidRPr="0046298C">
        <w:t xml:space="preserve">the </w:t>
      </w:r>
      <w:r w:rsidR="00E22D56" w:rsidRPr="0046298C">
        <w:t>Supplier</w:t>
      </w:r>
      <w:r w:rsidR="00EE368D">
        <w:t>s</w:t>
      </w:r>
      <w:r w:rsidR="00E22D56" w:rsidRPr="0046298C">
        <w:t>.</w:t>
      </w:r>
    </w:p>
    <w:p w14:paraId="5CB44B46" w14:textId="3AF1A031" w:rsidR="00A93A1E" w:rsidRPr="00E85D1B" w:rsidRDefault="00AE4296" w:rsidP="00E85D1B">
      <w:pPr>
        <w:pStyle w:val="Style8"/>
      </w:pPr>
      <w:r w:rsidRPr="00B85692">
        <w:t>The Framework Agreement will enable</w:t>
      </w:r>
      <w:r w:rsidR="00EE368D">
        <w:t xml:space="preserve"> Other</w:t>
      </w:r>
      <w:r w:rsidRPr="00B85692">
        <w:t xml:space="preserve"> Contracting </w:t>
      </w:r>
      <w:r w:rsidR="008A1F3F" w:rsidRPr="00B85692">
        <w:t xml:space="preserve">Authorities </w:t>
      </w:r>
      <w:r w:rsidRPr="00B85692">
        <w:t xml:space="preserve">to place orders </w:t>
      </w:r>
      <w:r w:rsidR="00804C05" w:rsidRPr="00B85692">
        <w:t xml:space="preserve">with </w:t>
      </w:r>
      <w:r w:rsidR="00A24FD1" w:rsidRPr="00B85692">
        <w:t xml:space="preserve">the </w:t>
      </w:r>
      <w:r w:rsidR="00804C05" w:rsidRPr="00B85692">
        <w:t xml:space="preserve">Supplier </w:t>
      </w:r>
      <w:r w:rsidRPr="00E85D1B">
        <w:t xml:space="preserve">for </w:t>
      </w:r>
      <w:r w:rsidR="00624CA1" w:rsidRPr="00E85D1B">
        <w:t xml:space="preserve">the </w:t>
      </w:r>
      <w:r w:rsidRPr="00E85D1B">
        <w:t>Services</w:t>
      </w:r>
      <w:r w:rsidR="007862AA" w:rsidRPr="00D02F19">
        <w:t xml:space="preserve"> </w:t>
      </w:r>
      <w:r w:rsidR="00EE368D">
        <w:t xml:space="preserve">via Call </w:t>
      </w:r>
      <w:proofErr w:type="gramStart"/>
      <w:r w:rsidR="00804C05" w:rsidRPr="00B85692">
        <w:t>Off</w:t>
      </w:r>
      <w:proofErr w:type="gramEnd"/>
      <w:r w:rsidR="00804C05" w:rsidRPr="00B85692">
        <w:t xml:space="preserve"> </w:t>
      </w:r>
      <w:r w:rsidR="00EE368D">
        <w:t>Agreements</w:t>
      </w:r>
      <w:r w:rsidR="00C5689D" w:rsidRPr="00B85692">
        <w:t>.</w:t>
      </w:r>
    </w:p>
    <w:p w14:paraId="0BB8AA0E" w14:textId="4DF30872" w:rsidR="00A93A1E" w:rsidRDefault="00EC3DFE" w:rsidP="00E85D1B">
      <w:pPr>
        <w:pStyle w:val="Style8"/>
      </w:pPr>
      <w:r>
        <w:t>The</w:t>
      </w:r>
      <w:r w:rsidR="00AE4296" w:rsidRPr="004F3794">
        <w:t xml:space="preserve"> </w:t>
      </w:r>
      <w:r w:rsidR="00AE4296" w:rsidRPr="006020C8">
        <w:t xml:space="preserve">Framework Agreement (including the Framework Schedules) and </w:t>
      </w:r>
      <w:r w:rsidR="005D2308" w:rsidRPr="006020C8">
        <w:t xml:space="preserve">Call </w:t>
      </w:r>
      <w:proofErr w:type="gramStart"/>
      <w:r w:rsidR="005D2308" w:rsidRPr="006020C8">
        <w:t>Off</w:t>
      </w:r>
      <w:proofErr w:type="gramEnd"/>
      <w:r w:rsidR="005D2308" w:rsidRPr="006020C8">
        <w:t xml:space="preserve"> Agreement</w:t>
      </w:r>
      <w:r w:rsidR="00EC2C4C" w:rsidRPr="006020C8">
        <w:t xml:space="preserve"> (</w:t>
      </w:r>
      <w:r w:rsidR="000B0C0A" w:rsidRPr="006020C8">
        <w:t>including the Call O</w:t>
      </w:r>
      <w:r w:rsidR="008A1F3F" w:rsidRPr="006020C8">
        <w:t xml:space="preserve">ff Schedules) </w:t>
      </w:r>
      <w:r w:rsidR="00AE4296" w:rsidRPr="006020C8">
        <w:t>terms and conditions</w:t>
      </w:r>
      <w:r w:rsidR="00E91B4C" w:rsidRPr="006020C8">
        <w:t xml:space="preserve"> </w:t>
      </w:r>
      <w:r w:rsidR="00AE4296" w:rsidRPr="006020C8">
        <w:t xml:space="preserve">are available at Attachments </w:t>
      </w:r>
      <w:r w:rsidR="006020C8" w:rsidRPr="006020C8">
        <w:t>4, 5</w:t>
      </w:r>
      <w:r w:rsidR="000241EE" w:rsidRPr="006020C8">
        <w:t xml:space="preserve"> </w:t>
      </w:r>
      <w:r w:rsidR="00BB4EB3" w:rsidRPr="006020C8">
        <w:t xml:space="preserve">and </w:t>
      </w:r>
      <w:r w:rsidR="006020C8" w:rsidRPr="006020C8">
        <w:t>6</w:t>
      </w:r>
      <w:r w:rsidR="00AE4296" w:rsidRPr="006020C8">
        <w:t xml:space="preserve">. Please </w:t>
      </w:r>
      <w:r w:rsidR="008A1F3F" w:rsidRPr="006020C8">
        <w:t xml:space="preserve">carefully </w:t>
      </w:r>
      <w:r w:rsidR="00AE4296" w:rsidRPr="006020C8">
        <w:t>review the</w:t>
      </w:r>
      <w:r w:rsidR="008A1F3F" w:rsidRPr="006020C8">
        <w:t>se documents</w:t>
      </w:r>
      <w:r w:rsidR="00A24FD1" w:rsidRPr="006020C8">
        <w:t xml:space="preserve"> </w:t>
      </w:r>
      <w:r w:rsidR="008A1F3F" w:rsidRPr="006020C8">
        <w:t>so that you fully understand</w:t>
      </w:r>
      <w:r w:rsidR="00AE4296" w:rsidRPr="006020C8">
        <w:t xml:space="preserve"> the rights and obligations t</w:t>
      </w:r>
      <w:r w:rsidR="006E40C6">
        <w:t>hey</w:t>
      </w:r>
      <w:r w:rsidR="00AE4296" w:rsidRPr="006020C8">
        <w:t xml:space="preserve"> confers</w:t>
      </w:r>
      <w:r w:rsidR="00AE4296" w:rsidRPr="004F3794">
        <w:t xml:space="preserve"> on the parties.</w:t>
      </w:r>
      <w:bookmarkEnd w:id="17"/>
    </w:p>
    <w:p w14:paraId="46608499" w14:textId="19DC55BA" w:rsidR="00A93A1E" w:rsidRPr="00DC1104" w:rsidRDefault="001B0C8A" w:rsidP="00537786">
      <w:pPr>
        <w:pStyle w:val="Style8"/>
      </w:pPr>
      <w:r>
        <w:t xml:space="preserve">The </w:t>
      </w:r>
      <w:r w:rsidR="00AE4296" w:rsidRPr="004F3794">
        <w:t>Framework Agreement and</w:t>
      </w:r>
      <w:r w:rsidR="00AE4296">
        <w:t xml:space="preserve"> </w:t>
      </w:r>
      <w:r w:rsidR="005D2308">
        <w:t xml:space="preserve">Call </w:t>
      </w:r>
      <w:proofErr w:type="gramStart"/>
      <w:r w:rsidR="005D2308">
        <w:t>Off</w:t>
      </w:r>
      <w:proofErr w:type="gramEnd"/>
      <w:r w:rsidR="005D2308">
        <w:t xml:space="preserve"> Agreement</w:t>
      </w:r>
      <w:r w:rsidR="00A24FD1">
        <w:t xml:space="preserve"> </w:t>
      </w:r>
      <w:r w:rsidR="00AE4296">
        <w:t>terms are non-</w:t>
      </w:r>
      <w:r w:rsidR="00AE4296" w:rsidRPr="004F3794">
        <w:t xml:space="preserve">negotiable, whether during the </w:t>
      </w:r>
      <w:r w:rsidR="00AE4296">
        <w:t>P</w:t>
      </w:r>
      <w:r w:rsidR="00AE4296" w:rsidRPr="004F3794">
        <w:t xml:space="preserve">rocurement or </w:t>
      </w:r>
      <w:r w:rsidR="00CF77C0">
        <w:t>post</w:t>
      </w:r>
      <w:r w:rsidR="00AE4296" w:rsidRPr="004F3794">
        <w:t xml:space="preserve"> award. </w:t>
      </w:r>
      <w:r w:rsidR="00AE4296">
        <w:t xml:space="preserve">However, </w:t>
      </w:r>
      <w:r w:rsidR="009C7984">
        <w:t>you</w:t>
      </w:r>
      <w:r w:rsidR="00AE4296" w:rsidRPr="004F3794">
        <w:t xml:space="preserve"> may seek clarification of any points of </w:t>
      </w:r>
      <w:r w:rsidR="00AE4296" w:rsidRPr="00777AD8">
        <w:t xml:space="preserve">ambiguity or apparent error in relation to the terms throughout the clarification period (see paragraph </w:t>
      </w:r>
      <w:r w:rsidR="005E21DC" w:rsidRPr="00777AD8">
        <w:fldChar w:fldCharType="begin"/>
      </w:r>
      <w:r w:rsidR="005E21DC" w:rsidRPr="00777AD8">
        <w:instrText xml:space="preserve"> REF _Ref286828015 \r \h  \* MERGEFORMAT </w:instrText>
      </w:r>
      <w:r w:rsidR="005E21DC" w:rsidRPr="00777AD8">
        <w:fldChar w:fldCharType="separate"/>
      </w:r>
      <w:r w:rsidR="00A3785F">
        <w:t>7</w:t>
      </w:r>
      <w:r w:rsidR="005E21DC" w:rsidRPr="00777AD8">
        <w:fldChar w:fldCharType="end"/>
      </w:r>
      <w:r w:rsidR="00AE4296" w:rsidRPr="00777AD8">
        <w:t>).</w:t>
      </w:r>
      <w:r w:rsidR="008A1F3F" w:rsidRPr="00777AD8">
        <w:t xml:space="preserve"> If, in its sole discretion, the </w:t>
      </w:r>
      <w:r w:rsidR="00DA05DC" w:rsidRPr="00777AD8">
        <w:t xml:space="preserve">Contracting </w:t>
      </w:r>
      <w:r w:rsidR="008A1F3F" w:rsidRPr="00777AD8">
        <w:t>Authority accepts that there is either ambiguity or error, then</w:t>
      </w:r>
      <w:r w:rsidR="008A1F3F" w:rsidRPr="00DC1104">
        <w:t xml:space="preserve"> it will make appropriate amendment.</w:t>
      </w:r>
    </w:p>
    <w:p w14:paraId="7FCBAD2E" w14:textId="3E143B68" w:rsidR="00A93A1E" w:rsidRPr="00DC1104" w:rsidRDefault="00E22D56" w:rsidP="00E85D1B">
      <w:pPr>
        <w:pStyle w:val="Style8"/>
      </w:pPr>
      <w:r w:rsidRPr="00DC1104">
        <w:t xml:space="preserve">Following the </w:t>
      </w:r>
      <w:r w:rsidR="00DA05DC" w:rsidRPr="00DC1104">
        <w:t xml:space="preserve">Contracting </w:t>
      </w:r>
      <w:r w:rsidRPr="00DC1104">
        <w:t>Authority’s decision to award</w:t>
      </w:r>
      <w:r w:rsidR="008A1F3F" w:rsidRPr="00DC1104">
        <w:t>,</w:t>
      </w:r>
      <w:r w:rsidR="002A1944" w:rsidRPr="00DC1104">
        <w:t xml:space="preserve"> </w:t>
      </w:r>
      <w:r w:rsidR="008A1F3F" w:rsidRPr="00DC1104">
        <w:t>the Framework Agreement</w:t>
      </w:r>
      <w:r w:rsidR="00AE4296" w:rsidRPr="00DC1104">
        <w:t xml:space="preserve"> </w:t>
      </w:r>
      <w:r w:rsidR="002A1944" w:rsidRPr="00DC1104">
        <w:t xml:space="preserve">will </w:t>
      </w:r>
      <w:r w:rsidR="008D58E8" w:rsidRPr="00DC1104">
        <w:t xml:space="preserve">be </w:t>
      </w:r>
      <w:r w:rsidR="002A1944" w:rsidRPr="00DC1104">
        <w:t>update</w:t>
      </w:r>
      <w:r w:rsidR="00DC1104">
        <w:t>d</w:t>
      </w:r>
      <w:r w:rsidR="002A1944" w:rsidRPr="00DC1104">
        <w:t xml:space="preserve"> to incorporate elements of the Tender including </w:t>
      </w:r>
      <w:r w:rsidR="00AE4296" w:rsidRPr="00DC1104">
        <w:t xml:space="preserve">(but not limited to) the </w:t>
      </w:r>
      <w:r w:rsidR="00187832" w:rsidRPr="00DC1104">
        <w:t xml:space="preserve">successful </w:t>
      </w:r>
      <w:r w:rsidR="002138FB" w:rsidRPr="00DC1104">
        <w:t>Potential Provider</w:t>
      </w:r>
      <w:r w:rsidR="00187832" w:rsidRPr="00DC1104">
        <w:t>’s</w:t>
      </w:r>
      <w:r w:rsidR="00AE4296" w:rsidRPr="00DC1104">
        <w:t xml:space="preserve"> </w:t>
      </w:r>
      <w:r w:rsidR="00DF0E6C" w:rsidRPr="00DC1104">
        <w:t>prices</w:t>
      </w:r>
      <w:r w:rsidR="00A24FD1" w:rsidRPr="00DC1104">
        <w:t xml:space="preserve">, </w:t>
      </w:r>
      <w:r w:rsidR="00380BBC" w:rsidRPr="00DC1104">
        <w:t xml:space="preserve">pricing methodology </w:t>
      </w:r>
      <w:r w:rsidR="00187832" w:rsidRPr="00DC1104">
        <w:t>and</w:t>
      </w:r>
      <w:r w:rsidR="00380BBC" w:rsidRPr="00DC1104">
        <w:t xml:space="preserve"> a</w:t>
      </w:r>
      <w:r w:rsidR="00AE4296" w:rsidRPr="00DC1104">
        <w:t>pproach to delivering the</w:t>
      </w:r>
      <w:r w:rsidR="007862AA" w:rsidRPr="00DC1104">
        <w:t xml:space="preserve"> </w:t>
      </w:r>
      <w:r w:rsidR="00291097" w:rsidRPr="00DC1104">
        <w:t>Services</w:t>
      </w:r>
      <w:r w:rsidR="001E4FD6" w:rsidRPr="00DC1104">
        <w:t>.</w:t>
      </w:r>
      <w:r w:rsidR="005236AC" w:rsidRPr="00DC1104">
        <w:t xml:space="preserve"> </w:t>
      </w:r>
    </w:p>
    <w:p w14:paraId="43BFC87A" w14:textId="6D71320B" w:rsidR="00A93A1E" w:rsidRPr="002B6228" w:rsidRDefault="00AE4296" w:rsidP="00E85D1B">
      <w:pPr>
        <w:pStyle w:val="Style8"/>
      </w:pPr>
      <w:bookmarkStart w:id="18" w:name="_Ref373234614"/>
      <w:r w:rsidRPr="00DC1104">
        <w:t xml:space="preserve">The </w:t>
      </w:r>
      <w:r w:rsidR="00DA05DC" w:rsidRPr="00DC1104">
        <w:t xml:space="preserve">Contracting </w:t>
      </w:r>
      <w:r w:rsidRPr="00DC1104">
        <w:t>Authority</w:t>
      </w:r>
      <w:r w:rsidRPr="002B6228">
        <w:t xml:space="preserve"> will manage the overall performance of the Framework Agreement and collect </w:t>
      </w:r>
      <w:r w:rsidR="00405EFE" w:rsidRPr="002B6228">
        <w:t>M</w:t>
      </w:r>
      <w:r w:rsidRPr="002B6228">
        <w:t xml:space="preserve">anagement </w:t>
      </w:r>
      <w:r w:rsidR="00405EFE" w:rsidRPr="002B6228">
        <w:t>I</w:t>
      </w:r>
      <w:r w:rsidRPr="002B6228">
        <w:t xml:space="preserve">nformation </w:t>
      </w:r>
      <w:r w:rsidR="008F4950">
        <w:t xml:space="preserve">from </w:t>
      </w:r>
      <w:r w:rsidR="00A24FD1">
        <w:t xml:space="preserve">the </w:t>
      </w:r>
      <w:r w:rsidRPr="002B6228">
        <w:t>Supplier</w:t>
      </w:r>
      <w:bookmarkEnd w:id="18"/>
      <w:r w:rsidR="009637D0" w:rsidRPr="002B6228">
        <w:t xml:space="preserve"> as defined </w:t>
      </w:r>
      <w:r w:rsidR="009637D0" w:rsidRPr="0046298C">
        <w:t>in</w:t>
      </w:r>
      <w:r w:rsidR="000B0C0A" w:rsidRPr="0046298C">
        <w:t xml:space="preserve"> </w:t>
      </w:r>
      <w:r w:rsidR="009637D0" w:rsidRPr="0046298C">
        <w:t>Schedule 9 of the Framework Agreement</w:t>
      </w:r>
      <w:r w:rsidR="00E91B4C" w:rsidRPr="0046298C">
        <w:t>.</w:t>
      </w:r>
    </w:p>
    <w:p w14:paraId="2F7AD972" w14:textId="77777777" w:rsidR="00A93A1E" w:rsidRPr="002B6228" w:rsidRDefault="009F5FF7" w:rsidP="00E85D1B">
      <w:pPr>
        <w:pStyle w:val="Style8"/>
        <w:rPr>
          <w:b/>
        </w:rPr>
      </w:pPr>
      <w:r w:rsidRPr="002B6228">
        <w:rPr>
          <w:b/>
        </w:rPr>
        <w:t xml:space="preserve">Contracting </w:t>
      </w:r>
      <w:r w:rsidR="008D58E8">
        <w:rPr>
          <w:b/>
        </w:rPr>
        <w:t>Authorities</w:t>
      </w:r>
    </w:p>
    <w:p w14:paraId="16F4BE30" w14:textId="28337290" w:rsidR="00A93A1E" w:rsidRPr="00E2493D" w:rsidRDefault="00AE4296" w:rsidP="00E85D1B">
      <w:pPr>
        <w:pStyle w:val="Style9"/>
      </w:pPr>
      <w:r w:rsidRPr="00E2493D">
        <w:t xml:space="preserve">The Framework Agreement will be available for use by </w:t>
      </w:r>
      <w:r w:rsidR="0063668F">
        <w:t xml:space="preserve">the Contracting Authority and/ or Other </w:t>
      </w:r>
      <w:r w:rsidRPr="00E2493D">
        <w:t xml:space="preserve">Contracting </w:t>
      </w:r>
      <w:r w:rsidR="008D58E8">
        <w:t>Au</w:t>
      </w:r>
      <w:r w:rsidR="00F52F6E">
        <w:t>t</w:t>
      </w:r>
      <w:r w:rsidR="008D58E8">
        <w:t>horities</w:t>
      </w:r>
      <w:r w:rsidRPr="00E2493D">
        <w:t xml:space="preserve"> throughout the whole of the UK, including Northern Ireland, Scotland and Wales as described in the OJEU Contract Notice. </w:t>
      </w:r>
    </w:p>
    <w:p w14:paraId="4630EDC3" w14:textId="17DCCFF2" w:rsidR="00A93A1E" w:rsidRPr="000D59F9" w:rsidRDefault="00A27650" w:rsidP="00E85D1B">
      <w:pPr>
        <w:pStyle w:val="Style9"/>
      </w:pPr>
      <w:r>
        <w:t xml:space="preserve">Any </w:t>
      </w:r>
      <w:r w:rsidR="008D58E8">
        <w:t>relevant</w:t>
      </w:r>
      <w:r w:rsidR="00E85D1B">
        <w:t xml:space="preserve"> </w:t>
      </w:r>
      <w:r w:rsidR="00D26FD6" w:rsidRPr="00E2493D">
        <w:t xml:space="preserve">Contracting </w:t>
      </w:r>
      <w:r w:rsidR="008D58E8">
        <w:t>Authorit</w:t>
      </w:r>
      <w:r w:rsidR="00F52F6E">
        <w:t>y</w:t>
      </w:r>
      <w:r w:rsidR="00D26FD6" w:rsidRPr="00E2493D">
        <w:t xml:space="preserve"> may purchase </w:t>
      </w:r>
      <w:r w:rsidR="00B365C8">
        <w:t xml:space="preserve">the </w:t>
      </w:r>
      <w:r w:rsidR="00B365C8" w:rsidRPr="00D02F19">
        <w:t>Services</w:t>
      </w:r>
      <w:r w:rsidR="00D26FD6" w:rsidRPr="00E2493D">
        <w:t xml:space="preserve"> </w:t>
      </w:r>
      <w:r w:rsidR="00EC2C4C" w:rsidRPr="00E2493D">
        <w:t xml:space="preserve">from </w:t>
      </w:r>
      <w:r w:rsidR="00EC2C4C">
        <w:t>any</w:t>
      </w:r>
      <w:r w:rsidR="00D26FD6" w:rsidRPr="00E2493D">
        <w:t xml:space="preserve"> </w:t>
      </w:r>
      <w:r>
        <w:t>S</w:t>
      </w:r>
      <w:r w:rsidR="00D26FD6" w:rsidRPr="00E2493D">
        <w:t xml:space="preserve">upplier outside of the Framework Agreement. Being appointed to this </w:t>
      </w:r>
      <w:r w:rsidR="00D26FD6" w:rsidRPr="00715E3E">
        <w:t>Framework</w:t>
      </w:r>
      <w:r w:rsidR="00D26FD6" w:rsidRPr="00E2493D">
        <w:t xml:space="preserve"> Agreement </w:t>
      </w:r>
      <w:r w:rsidR="00D26FD6" w:rsidRPr="000D59F9">
        <w:t>does not confer an exclusive right to supply</w:t>
      </w:r>
      <w:r w:rsidR="008D58E8" w:rsidRPr="000D59F9">
        <w:t xml:space="preserve"> on </w:t>
      </w:r>
      <w:r w:rsidR="00A24FD1" w:rsidRPr="000D59F9">
        <w:t xml:space="preserve">the </w:t>
      </w:r>
      <w:r w:rsidR="008D58E8" w:rsidRPr="000D59F9">
        <w:t>Supplier</w:t>
      </w:r>
      <w:r w:rsidR="00D26FD6" w:rsidRPr="000D59F9">
        <w:t xml:space="preserve"> </w:t>
      </w:r>
      <w:r w:rsidR="008D58E8" w:rsidRPr="000D59F9">
        <w:t xml:space="preserve">or </w:t>
      </w:r>
      <w:r w:rsidR="00D26FD6" w:rsidRPr="000D59F9">
        <w:t xml:space="preserve">guarantee that </w:t>
      </w:r>
      <w:r w:rsidR="00A24FD1" w:rsidRPr="000D59F9">
        <w:t xml:space="preserve">the </w:t>
      </w:r>
      <w:r w:rsidR="00D26FD6" w:rsidRPr="000D59F9">
        <w:t xml:space="preserve">Supplier will receive any business at all under the Framework Agreement. </w:t>
      </w:r>
    </w:p>
    <w:p w14:paraId="61231898" w14:textId="0189A239" w:rsidR="00D053F3" w:rsidRPr="00B619BC" w:rsidRDefault="009F5FF7" w:rsidP="00B619BC">
      <w:pPr>
        <w:pStyle w:val="Style8"/>
        <w:rPr>
          <w:b/>
        </w:rPr>
      </w:pPr>
      <w:bookmarkStart w:id="19" w:name="_Ref372796134"/>
      <w:r w:rsidRPr="000D59F9">
        <w:rPr>
          <w:b/>
        </w:rPr>
        <w:t>The ordering process and further evaluation criteria</w:t>
      </w:r>
      <w:bookmarkEnd w:id="19"/>
    </w:p>
    <w:p w14:paraId="21019D96" w14:textId="314DD644" w:rsidR="00B619BC" w:rsidRPr="00B619BC" w:rsidRDefault="00B619BC" w:rsidP="00E85D1B">
      <w:pPr>
        <w:pStyle w:val="Style9"/>
      </w:pPr>
      <w:bookmarkStart w:id="20" w:name="_Toc422929121"/>
      <w:r>
        <w:t xml:space="preserve">The Contracting Authority and/or Contracting Authorities may award Call </w:t>
      </w:r>
      <w:proofErr w:type="gramStart"/>
      <w:r>
        <w:t>Off</w:t>
      </w:r>
      <w:proofErr w:type="gramEnd"/>
      <w:r>
        <w:t xml:space="preserve"> Agreements for any of the Services by further competition. The procedures that the Contracting </w:t>
      </w:r>
      <w:r w:rsidR="001253D6">
        <w:t>Authority</w:t>
      </w:r>
      <w:r>
        <w:t xml:space="preserve"> and/or Other Contracting Authorities use </w:t>
      </w:r>
      <w:r w:rsidR="001253D6">
        <w:t>to</w:t>
      </w:r>
      <w:r>
        <w:t xml:space="preserve"> undertake a further competition are set out in Framework Schedule 5 (Call </w:t>
      </w:r>
      <w:proofErr w:type="gramStart"/>
      <w:r>
        <w:t>Off</w:t>
      </w:r>
      <w:proofErr w:type="gramEnd"/>
      <w:r>
        <w:t xml:space="preserve"> Procedure) at Attachment 4.</w:t>
      </w:r>
    </w:p>
    <w:p w14:paraId="5AE835C2" w14:textId="65B66D90" w:rsidR="00F10067" w:rsidRPr="00BF3BF9" w:rsidRDefault="001612F0" w:rsidP="00E85D1B">
      <w:pPr>
        <w:pStyle w:val="Style9"/>
      </w:pPr>
      <w:r w:rsidRPr="009C5F9D">
        <w:rPr>
          <w:rFonts w:eastAsia="STZhongsong"/>
        </w:rPr>
        <w:t xml:space="preserve">All </w:t>
      </w:r>
      <w:r w:rsidR="005D2308">
        <w:rPr>
          <w:rFonts w:eastAsia="STZhongsong"/>
        </w:rPr>
        <w:t xml:space="preserve">Call Off Agreements </w:t>
      </w:r>
      <w:r w:rsidR="00A40D85" w:rsidRPr="009C5F9D">
        <w:rPr>
          <w:rFonts w:eastAsia="STZhongsong"/>
        </w:rPr>
        <w:t>awar</w:t>
      </w:r>
      <w:r w:rsidR="006C0C71">
        <w:rPr>
          <w:rFonts w:eastAsia="STZhongsong"/>
        </w:rPr>
        <w:t>d</w:t>
      </w:r>
      <w:r w:rsidR="00A40D85" w:rsidRPr="009C5F9D">
        <w:rPr>
          <w:rFonts w:eastAsia="STZhongsong"/>
        </w:rPr>
        <w:t>ed by</w:t>
      </w:r>
      <w:r w:rsidR="0063668F">
        <w:rPr>
          <w:rFonts w:eastAsia="STZhongsong"/>
        </w:rPr>
        <w:t xml:space="preserve"> </w:t>
      </w:r>
      <w:r w:rsidR="0063668F">
        <w:t xml:space="preserve">the Contracting Authority and/or </w:t>
      </w:r>
      <w:r w:rsidR="000D59F9">
        <w:t>Other</w:t>
      </w:r>
      <w:r w:rsidRPr="009C5F9D">
        <w:rPr>
          <w:rFonts w:eastAsia="STZhongsong"/>
        </w:rPr>
        <w:t xml:space="preserve"> Contracting </w:t>
      </w:r>
      <w:r w:rsidR="00A40D85" w:rsidRPr="00DC1104">
        <w:rPr>
          <w:rFonts w:eastAsia="STZhongsong"/>
        </w:rPr>
        <w:t>Authorities</w:t>
      </w:r>
      <w:r w:rsidRPr="00DC1104">
        <w:rPr>
          <w:rFonts w:eastAsia="STZhongsong"/>
        </w:rPr>
        <w:t xml:space="preserve"> will be subject to the </w:t>
      </w:r>
      <w:r w:rsidR="005D2308" w:rsidRPr="00DC1104">
        <w:rPr>
          <w:rFonts w:eastAsia="STZhongsong"/>
        </w:rPr>
        <w:t>Call Off Agreement</w:t>
      </w:r>
      <w:r w:rsidRPr="00DC1104">
        <w:rPr>
          <w:rFonts w:eastAsia="STZhongsong"/>
        </w:rPr>
        <w:t xml:space="preserve"> terms and conditions contained within Attachment </w:t>
      </w:r>
      <w:r w:rsidR="00777AD8">
        <w:rPr>
          <w:rFonts w:eastAsia="STZhongsong"/>
        </w:rPr>
        <w:t>6</w:t>
      </w:r>
      <w:r w:rsidRPr="00DC1104">
        <w:rPr>
          <w:rFonts w:eastAsia="STZhongsong"/>
        </w:rPr>
        <w:t xml:space="preserve"> - Framework Schedule 4 (Order Form and Call Off</w:t>
      </w:r>
      <w:r w:rsidR="00C5689D" w:rsidRPr="00DC1104">
        <w:rPr>
          <w:rFonts w:eastAsia="STZhongsong"/>
        </w:rPr>
        <w:t xml:space="preserve"> Te</w:t>
      </w:r>
      <w:r w:rsidRPr="00DC1104">
        <w:rPr>
          <w:rFonts w:eastAsia="STZhongsong"/>
        </w:rPr>
        <w:t>rms) supplemented as appropriate by such additional details as may be necessary</w:t>
      </w:r>
      <w:bookmarkEnd w:id="20"/>
      <w:r w:rsidR="00A40D85" w:rsidRPr="00DC1104">
        <w:t xml:space="preserve"> and</w:t>
      </w:r>
      <w:r w:rsidR="00A40D85" w:rsidRPr="00AF0006">
        <w:t xml:space="preserve"> permissible.</w:t>
      </w:r>
      <w:r w:rsidRPr="00AF0006">
        <w:t xml:space="preserve"> </w:t>
      </w:r>
    </w:p>
    <w:p w14:paraId="0E1EAA6F" w14:textId="7F97EAF5" w:rsidR="00A93A1E" w:rsidRDefault="00AE4296" w:rsidP="00E85D1B">
      <w:pPr>
        <w:pStyle w:val="Style9"/>
      </w:pPr>
      <w:r w:rsidRPr="0063668F">
        <w:t>The</w:t>
      </w:r>
      <w:r w:rsidR="0063668F" w:rsidRPr="0063668F">
        <w:t xml:space="preserve"> relevant</w:t>
      </w:r>
      <w:r w:rsidRPr="0063668F">
        <w:t xml:space="preserve"> Contracting </w:t>
      </w:r>
      <w:r w:rsidR="00A40D85" w:rsidRPr="0063668F">
        <w:t>Authorit</w:t>
      </w:r>
      <w:r w:rsidR="006C0C71" w:rsidRPr="0063668F">
        <w:t>y</w:t>
      </w:r>
      <w:r w:rsidR="00D053F3" w:rsidRPr="0063668F">
        <w:t xml:space="preserve"> w</w:t>
      </w:r>
      <w:r w:rsidRPr="0063668F">
        <w:t>ill manage the Supplier's day to day performance of the Call</w:t>
      </w:r>
      <w:r w:rsidR="00D843EC" w:rsidRPr="0063668F">
        <w:t xml:space="preserve"> </w:t>
      </w:r>
      <w:proofErr w:type="gramStart"/>
      <w:r w:rsidRPr="0063668F">
        <w:t>Off</w:t>
      </w:r>
      <w:proofErr w:type="gramEnd"/>
      <w:r w:rsidRPr="0063668F">
        <w:t xml:space="preserve"> </w:t>
      </w:r>
      <w:r w:rsidR="0063668F" w:rsidRPr="0063668F">
        <w:t>Agreement</w:t>
      </w:r>
      <w:r w:rsidR="00A24FD1" w:rsidRPr="0063668F">
        <w:t xml:space="preserve"> </w:t>
      </w:r>
      <w:r w:rsidR="00A40D85" w:rsidRPr="0063668F">
        <w:t>it has entered</w:t>
      </w:r>
      <w:r w:rsidR="006E40C6">
        <w:t xml:space="preserve"> into</w:t>
      </w:r>
      <w:r w:rsidR="00A40D85" w:rsidRPr="0063668F">
        <w:t xml:space="preserve"> with the Supplier.</w:t>
      </w:r>
    </w:p>
    <w:p w14:paraId="72AE1D0B" w14:textId="77777777" w:rsidR="000D59F9" w:rsidRDefault="000D59F9" w:rsidP="000D59F9">
      <w:pPr>
        <w:pStyle w:val="Style9"/>
        <w:numPr>
          <w:ilvl w:val="0"/>
          <w:numId w:val="0"/>
        </w:numPr>
        <w:ind w:left="2160"/>
      </w:pPr>
    </w:p>
    <w:p w14:paraId="48D8EDD3" w14:textId="77777777" w:rsidR="000D59F9" w:rsidRPr="000D59F9" w:rsidRDefault="000D59F9" w:rsidP="000D59F9">
      <w:pPr>
        <w:pStyle w:val="Style10"/>
        <w:numPr>
          <w:ilvl w:val="0"/>
          <w:numId w:val="0"/>
        </w:numPr>
        <w:ind w:left="2880"/>
      </w:pPr>
    </w:p>
    <w:p w14:paraId="497D1FE4" w14:textId="77777777" w:rsidR="00A40D85" w:rsidRDefault="00A40D85" w:rsidP="00A40D85">
      <w:pPr>
        <w:pStyle w:val="Style2"/>
        <w:numPr>
          <w:ilvl w:val="0"/>
          <w:numId w:val="0"/>
        </w:numPr>
        <w:ind w:left="2155"/>
      </w:pPr>
    </w:p>
    <w:p w14:paraId="68F0B52E" w14:textId="3BCCBABC" w:rsidR="00C5689D" w:rsidRDefault="00C5689D">
      <w:pPr>
        <w:rPr>
          <w:rFonts w:ascii="Arial" w:eastAsia="STZhongsong" w:hAnsi="Arial" w:cs="Arial"/>
          <w:b/>
          <w:caps/>
          <w:lang w:eastAsia="zh-CN"/>
        </w:rPr>
      </w:pPr>
      <w:bookmarkStart w:id="21" w:name="_Ref284694562"/>
    </w:p>
    <w:p w14:paraId="603D572D" w14:textId="141BF6F4" w:rsidR="00AE4296" w:rsidRDefault="00AE4296" w:rsidP="009C5F9D">
      <w:pPr>
        <w:pStyle w:val="Style7"/>
      </w:pPr>
      <w:bookmarkStart w:id="22" w:name="_Toc433035502"/>
      <w:r w:rsidRPr="000F1A58">
        <w:t>ReqUirements</w:t>
      </w:r>
      <w:bookmarkEnd w:id="21"/>
      <w:bookmarkEnd w:id="22"/>
    </w:p>
    <w:p w14:paraId="7F11DF98" w14:textId="3BD83509" w:rsidR="008D6E54" w:rsidRPr="002A5365" w:rsidRDefault="008D6E54" w:rsidP="009C5F9D">
      <w:pPr>
        <w:pStyle w:val="Style8"/>
      </w:pPr>
      <w:r w:rsidRPr="002A5365">
        <w:t xml:space="preserve">A detailed description of the </w:t>
      </w:r>
      <w:r w:rsidRPr="00B85692">
        <w:t xml:space="preserve">Services that a Supplier will be required to supply is set out at Framework </w:t>
      </w:r>
      <w:r w:rsidR="001046E8" w:rsidRPr="009C5F9D">
        <w:t>Agreement</w:t>
      </w:r>
      <w:r w:rsidR="006E40C6">
        <w:t xml:space="preserve"> Attachment 5 </w:t>
      </w:r>
      <w:r w:rsidR="001253D6">
        <w:t xml:space="preserve">- </w:t>
      </w:r>
      <w:r w:rsidR="001253D6" w:rsidRPr="009C5F9D">
        <w:t>Schedule</w:t>
      </w:r>
      <w:r w:rsidRPr="00D02F19">
        <w:t xml:space="preserve"> 2</w:t>
      </w:r>
      <w:r w:rsidR="001046E8" w:rsidRPr="00B85692">
        <w:t>: Part A</w:t>
      </w:r>
      <w:r w:rsidRPr="00B85692">
        <w:t xml:space="preserve"> </w:t>
      </w:r>
      <w:r w:rsidR="001253D6" w:rsidRPr="00B85692">
        <w:t>(Services</w:t>
      </w:r>
      <w:r w:rsidR="001046E8" w:rsidRPr="00B85692">
        <w:t>)</w:t>
      </w:r>
      <w:r w:rsidR="00422782">
        <w:t xml:space="preserve"> </w:t>
      </w:r>
      <w:r w:rsidRPr="00B85692">
        <w:t>and</w:t>
      </w:r>
      <w:r>
        <w:t xml:space="preserve"> a short description is contained</w:t>
      </w:r>
      <w:r w:rsidRPr="002A5365">
        <w:t xml:space="preserve"> in the OJEU Contract Notice. A copy of the OJEU Contract Notice is published at </w:t>
      </w:r>
      <w:hyperlink r:id="rId14" w:history="1">
        <w:r w:rsidRPr="00C51120">
          <w:rPr>
            <w:rStyle w:val="Hyperlink"/>
          </w:rPr>
          <w:t>http://ccs-agreements.cabinetoffice.gov.uk/procurement-pipeline</w:t>
        </w:r>
      </w:hyperlink>
      <w:r>
        <w:t xml:space="preserve">. </w:t>
      </w:r>
    </w:p>
    <w:p w14:paraId="1DE6D134" w14:textId="77777777" w:rsidR="008D6E54" w:rsidRPr="000F1A58" w:rsidRDefault="008D6E54" w:rsidP="009C5F9D"/>
    <w:p w14:paraId="6BC0E244" w14:textId="311B73EE" w:rsidR="00344FF6" w:rsidRDefault="00344FF6" w:rsidP="009C5F9D"/>
    <w:p w14:paraId="2F604357" w14:textId="77777777" w:rsidR="006E70AE" w:rsidRPr="00FA2CB6" w:rsidRDefault="006E70AE" w:rsidP="009C5F9D"/>
    <w:p w14:paraId="1B0431C1" w14:textId="77777777" w:rsidR="00B539D3" w:rsidRDefault="00B539D3">
      <w:pPr>
        <w:rPr>
          <w:rFonts w:ascii="Arial" w:eastAsia="STZhongsong" w:hAnsi="Arial" w:cs="Times New Roman"/>
          <w:b/>
          <w:caps/>
          <w:sz w:val="20"/>
          <w:szCs w:val="20"/>
          <w:lang w:eastAsia="zh-CN"/>
        </w:rPr>
      </w:pPr>
      <w:r>
        <w:br w:type="page"/>
      </w:r>
    </w:p>
    <w:p w14:paraId="0AF58817" w14:textId="77777777" w:rsidR="005B0C2B" w:rsidRPr="00883FE4" w:rsidRDefault="005B0C2B" w:rsidP="009C5F9D">
      <w:pPr>
        <w:pStyle w:val="Style7"/>
      </w:pPr>
      <w:bookmarkStart w:id="23" w:name="_Ref284764423"/>
      <w:bookmarkStart w:id="24" w:name="_Toc433035503"/>
      <w:r w:rsidRPr="00883FE4">
        <w:lastRenderedPageBreak/>
        <w:t>procurement timEtable</w:t>
      </w:r>
      <w:bookmarkEnd w:id="23"/>
      <w:bookmarkEnd w:id="24"/>
    </w:p>
    <w:p w14:paraId="08729F12" w14:textId="6F1885F8" w:rsidR="005B0C2B" w:rsidRPr="0058734C" w:rsidRDefault="005B0C2B" w:rsidP="009C5F9D">
      <w:pPr>
        <w:pStyle w:val="Style8"/>
      </w:pPr>
      <w:r w:rsidRPr="0058734C">
        <w:t xml:space="preserve">The </w:t>
      </w:r>
      <w:r w:rsidR="001046E8">
        <w:t xml:space="preserve">anticipated </w:t>
      </w:r>
      <w:r w:rsidRPr="0058734C">
        <w:t xml:space="preserve">timetable for this Procurement is set out in the table </w:t>
      </w:r>
      <w:r>
        <w:t>below</w:t>
      </w:r>
      <w:r w:rsidRPr="0058734C">
        <w:t xml:space="preserve">. </w:t>
      </w:r>
    </w:p>
    <w:p w14:paraId="304D184F" w14:textId="6A09D200" w:rsidR="005B0C2B" w:rsidRDefault="005B0C2B" w:rsidP="009C5F9D">
      <w:pPr>
        <w:pStyle w:val="Style8"/>
      </w:pPr>
      <w:r w:rsidRPr="004F3794">
        <w:t xml:space="preserve">This timetable may be changed by the </w:t>
      </w:r>
      <w:r w:rsidR="003A11CC" w:rsidRPr="004F3794">
        <w:t>A</w:t>
      </w:r>
      <w:r w:rsidR="003A11CC">
        <w:t>gent</w:t>
      </w:r>
      <w:r w:rsidR="003A11CC" w:rsidRPr="004F3794">
        <w:t xml:space="preserve"> </w:t>
      </w:r>
      <w:r w:rsidRPr="004F3794">
        <w:t>at any time.</w:t>
      </w:r>
      <w:r>
        <w:t xml:space="preserve"> </w:t>
      </w:r>
      <w:r w:rsidRPr="004F3794">
        <w:t xml:space="preserve">Changes to any of the dates will be made in accordance with </w:t>
      </w:r>
      <w:r w:rsidRPr="003068ED">
        <w:t>the Regulations (where</w:t>
      </w:r>
      <w:r w:rsidRPr="004F3794">
        <w:t xml:space="preserve"> applicable).</w:t>
      </w:r>
      <w:r>
        <w:t xml:space="preserve"> You</w:t>
      </w:r>
      <w:r w:rsidRPr="004F3794">
        <w:t xml:space="preserve"> will be informed through the e-Sourcing Suite if the </w:t>
      </w:r>
      <w:r w:rsidR="003A11CC">
        <w:t>Agent</w:t>
      </w:r>
      <w:r w:rsidR="003A11CC" w:rsidRPr="004F3794">
        <w:t xml:space="preserve"> </w:t>
      </w:r>
      <w:r w:rsidRPr="004F3794">
        <w:t>decides that changes to this timetable are necessary.</w:t>
      </w:r>
    </w:p>
    <w:p w14:paraId="58577765" w14:textId="77777777" w:rsidR="00706CC1" w:rsidRPr="00EF713F" w:rsidRDefault="00706CC1" w:rsidP="00706CC1">
      <w:pPr>
        <w:pStyle w:val="Heading2"/>
        <w:numPr>
          <w:ilvl w:val="0"/>
          <w:numId w:val="0"/>
        </w:numPr>
        <w:tabs>
          <w:tab w:val="clear" w:pos="851"/>
        </w:tabs>
        <w:rPr>
          <w:sz w:val="8"/>
          <w:szCs w:val="8"/>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63668F" w14:paraId="128D9593" w14:textId="77777777" w:rsidTr="00CC5262">
        <w:trPr>
          <w:cantSplit/>
          <w:trHeight w:val="397"/>
          <w:tblHeader/>
        </w:trPr>
        <w:tc>
          <w:tcPr>
            <w:tcW w:w="2400" w:type="dxa"/>
            <w:shd w:val="clear" w:color="auto" w:fill="E0E0E0"/>
            <w:vAlign w:val="center"/>
          </w:tcPr>
          <w:p w14:paraId="2E8C4B76" w14:textId="77777777" w:rsidR="00706CC1" w:rsidRPr="0063668F" w:rsidRDefault="00706CC1" w:rsidP="00251AE6">
            <w:pPr>
              <w:pStyle w:val="MarginText"/>
              <w:jc w:val="center"/>
              <w:rPr>
                <w:b/>
                <w:sz w:val="22"/>
                <w:szCs w:val="22"/>
              </w:rPr>
            </w:pPr>
            <w:r w:rsidRPr="0063668F">
              <w:rPr>
                <w:b/>
                <w:sz w:val="22"/>
                <w:szCs w:val="22"/>
              </w:rPr>
              <w:t>DATE</w:t>
            </w:r>
          </w:p>
        </w:tc>
        <w:tc>
          <w:tcPr>
            <w:tcW w:w="6030" w:type="dxa"/>
            <w:shd w:val="clear" w:color="auto" w:fill="E0E0E0"/>
            <w:vAlign w:val="center"/>
          </w:tcPr>
          <w:p w14:paraId="5737CBAD" w14:textId="77777777" w:rsidR="00706CC1" w:rsidRPr="0063668F" w:rsidRDefault="00706CC1" w:rsidP="00251AE6">
            <w:pPr>
              <w:pStyle w:val="MarginText"/>
              <w:jc w:val="center"/>
              <w:rPr>
                <w:b/>
                <w:sz w:val="22"/>
                <w:szCs w:val="22"/>
              </w:rPr>
            </w:pPr>
            <w:r w:rsidRPr="0063668F">
              <w:rPr>
                <w:b/>
                <w:sz w:val="22"/>
                <w:szCs w:val="22"/>
              </w:rPr>
              <w:t>ACTIVITY</w:t>
            </w:r>
          </w:p>
        </w:tc>
      </w:tr>
      <w:tr w:rsidR="00706CC1" w:rsidRPr="0063668F" w14:paraId="6EA4C306" w14:textId="77777777" w:rsidTr="009C5F9D">
        <w:trPr>
          <w:cantSplit/>
          <w:trHeight w:val="397"/>
        </w:trPr>
        <w:tc>
          <w:tcPr>
            <w:tcW w:w="2400" w:type="dxa"/>
            <w:vAlign w:val="center"/>
          </w:tcPr>
          <w:p w14:paraId="5CAFE731" w14:textId="20BC7809" w:rsidR="00706CC1" w:rsidRPr="0063668F" w:rsidRDefault="00194CFF" w:rsidP="00C65CA1">
            <w:pPr>
              <w:pStyle w:val="MarginText"/>
              <w:jc w:val="center"/>
              <w:rPr>
                <w:sz w:val="22"/>
                <w:szCs w:val="22"/>
                <w:highlight w:val="cyan"/>
              </w:rPr>
            </w:pPr>
            <w:r w:rsidRPr="00194CFF">
              <w:rPr>
                <w:sz w:val="22"/>
                <w:szCs w:val="22"/>
              </w:rPr>
              <w:t>26/10/2015</w:t>
            </w:r>
          </w:p>
        </w:tc>
        <w:tc>
          <w:tcPr>
            <w:tcW w:w="6030" w:type="dxa"/>
            <w:vAlign w:val="center"/>
          </w:tcPr>
          <w:p w14:paraId="634524E1" w14:textId="7745D91F" w:rsidR="00706CC1" w:rsidRPr="0063668F" w:rsidRDefault="006E40C6" w:rsidP="009C5F9D">
            <w:pPr>
              <w:pStyle w:val="MarginText"/>
              <w:jc w:val="left"/>
              <w:rPr>
                <w:sz w:val="22"/>
                <w:szCs w:val="22"/>
              </w:rPr>
            </w:pPr>
            <w:r>
              <w:rPr>
                <w:sz w:val="22"/>
                <w:szCs w:val="22"/>
              </w:rPr>
              <w:t>Di</w:t>
            </w:r>
            <w:r w:rsidR="00343880" w:rsidRPr="0063668F">
              <w:rPr>
                <w:sz w:val="22"/>
                <w:szCs w:val="22"/>
              </w:rPr>
              <w:t xml:space="preserve">spatch </w:t>
            </w:r>
            <w:r w:rsidR="00706CC1" w:rsidRPr="0063668F">
              <w:rPr>
                <w:sz w:val="22"/>
                <w:szCs w:val="22"/>
              </w:rPr>
              <w:t>of the OJEU Contract Notice</w:t>
            </w:r>
          </w:p>
        </w:tc>
      </w:tr>
      <w:tr w:rsidR="00706CC1" w:rsidRPr="0063668F" w14:paraId="19E6170D" w14:textId="77777777" w:rsidTr="009C5F9D">
        <w:trPr>
          <w:cantSplit/>
          <w:trHeight w:val="397"/>
        </w:trPr>
        <w:tc>
          <w:tcPr>
            <w:tcW w:w="2400" w:type="dxa"/>
            <w:vAlign w:val="center"/>
          </w:tcPr>
          <w:p w14:paraId="41DA9D9D" w14:textId="7955C3EA" w:rsidR="00706CC1" w:rsidRPr="0063668F" w:rsidRDefault="00194CFF" w:rsidP="00C65CA1">
            <w:pPr>
              <w:pStyle w:val="MarginText"/>
              <w:jc w:val="center"/>
              <w:rPr>
                <w:sz w:val="22"/>
                <w:szCs w:val="22"/>
                <w:highlight w:val="cyan"/>
              </w:rPr>
            </w:pPr>
            <w:r w:rsidRPr="00194CFF">
              <w:rPr>
                <w:sz w:val="22"/>
                <w:szCs w:val="22"/>
              </w:rPr>
              <w:t>27/10/2015</w:t>
            </w:r>
          </w:p>
        </w:tc>
        <w:tc>
          <w:tcPr>
            <w:tcW w:w="6030" w:type="dxa"/>
            <w:vAlign w:val="center"/>
          </w:tcPr>
          <w:p w14:paraId="7ADD612E" w14:textId="77777777" w:rsidR="00706CC1" w:rsidRPr="0063668F" w:rsidRDefault="00706CC1" w:rsidP="009C5F9D">
            <w:pPr>
              <w:pStyle w:val="MarginText"/>
              <w:jc w:val="left"/>
              <w:rPr>
                <w:sz w:val="22"/>
                <w:szCs w:val="22"/>
              </w:rPr>
            </w:pPr>
            <w:r w:rsidRPr="0063668F">
              <w:rPr>
                <w:sz w:val="22"/>
                <w:szCs w:val="22"/>
              </w:rPr>
              <w:t>Clarification period starts</w:t>
            </w:r>
          </w:p>
        </w:tc>
      </w:tr>
      <w:tr w:rsidR="00706CC1" w:rsidRPr="0063668F" w14:paraId="4499C8B7" w14:textId="77777777" w:rsidTr="009C5F9D">
        <w:trPr>
          <w:cantSplit/>
          <w:trHeight w:val="397"/>
        </w:trPr>
        <w:tc>
          <w:tcPr>
            <w:tcW w:w="2400" w:type="dxa"/>
            <w:vAlign w:val="center"/>
          </w:tcPr>
          <w:p w14:paraId="2B0F1295" w14:textId="2E738925" w:rsidR="004B7D66" w:rsidRPr="0063668F" w:rsidRDefault="004B7D66" w:rsidP="001046E8">
            <w:pPr>
              <w:pStyle w:val="MarginText"/>
              <w:jc w:val="center"/>
              <w:rPr>
                <w:sz w:val="22"/>
                <w:szCs w:val="22"/>
              </w:rPr>
            </w:pPr>
            <w:r w:rsidRPr="0063668F">
              <w:rPr>
                <w:sz w:val="22"/>
                <w:szCs w:val="22"/>
              </w:rPr>
              <w:t>17:00.00</w:t>
            </w:r>
            <w:r w:rsidR="00706CC1" w:rsidRPr="0063668F">
              <w:rPr>
                <w:sz w:val="22"/>
                <w:szCs w:val="22"/>
              </w:rPr>
              <w:t xml:space="preserve"> </w:t>
            </w:r>
            <w:r w:rsidR="006E40C6">
              <w:rPr>
                <w:sz w:val="22"/>
                <w:szCs w:val="22"/>
              </w:rPr>
              <w:t>GMT</w:t>
            </w:r>
          </w:p>
          <w:p w14:paraId="7C48B531" w14:textId="6A49CF42" w:rsidR="00706CC1" w:rsidRPr="0063668F" w:rsidRDefault="00194CFF" w:rsidP="001046E8">
            <w:pPr>
              <w:pStyle w:val="MarginText"/>
              <w:jc w:val="center"/>
              <w:rPr>
                <w:sz w:val="22"/>
                <w:szCs w:val="22"/>
              </w:rPr>
            </w:pPr>
            <w:r>
              <w:rPr>
                <w:sz w:val="22"/>
                <w:szCs w:val="22"/>
              </w:rPr>
              <w:t>16/11</w:t>
            </w:r>
            <w:r w:rsidR="006B46B0" w:rsidRPr="0063668F">
              <w:rPr>
                <w:sz w:val="22"/>
                <w:szCs w:val="22"/>
              </w:rPr>
              <w:t>/2015</w:t>
            </w:r>
          </w:p>
        </w:tc>
        <w:tc>
          <w:tcPr>
            <w:tcW w:w="6030" w:type="dxa"/>
            <w:vAlign w:val="center"/>
          </w:tcPr>
          <w:p w14:paraId="0C5C1B8E" w14:textId="77777777" w:rsidR="00706CC1" w:rsidRPr="0063668F" w:rsidRDefault="00706CC1" w:rsidP="009C5F9D">
            <w:pPr>
              <w:pStyle w:val="MarginText"/>
              <w:jc w:val="left"/>
              <w:rPr>
                <w:sz w:val="22"/>
                <w:szCs w:val="22"/>
              </w:rPr>
            </w:pPr>
            <w:r w:rsidRPr="0063668F">
              <w:rPr>
                <w:sz w:val="22"/>
                <w:szCs w:val="22"/>
              </w:rPr>
              <w:t>Clarification period closes (“</w:t>
            </w:r>
            <w:r w:rsidRPr="0063668F">
              <w:rPr>
                <w:b/>
                <w:sz w:val="22"/>
                <w:szCs w:val="22"/>
              </w:rPr>
              <w:t>Tender Clarifications Deadline</w:t>
            </w:r>
            <w:r w:rsidRPr="0063668F">
              <w:rPr>
                <w:sz w:val="22"/>
                <w:szCs w:val="22"/>
              </w:rPr>
              <w:t>”)</w:t>
            </w:r>
          </w:p>
        </w:tc>
      </w:tr>
      <w:tr w:rsidR="00706CC1" w:rsidRPr="0063668F" w14:paraId="54DF911E" w14:textId="77777777" w:rsidTr="009C5F9D">
        <w:trPr>
          <w:cantSplit/>
          <w:trHeight w:val="397"/>
        </w:trPr>
        <w:tc>
          <w:tcPr>
            <w:tcW w:w="2400" w:type="dxa"/>
            <w:vAlign w:val="center"/>
          </w:tcPr>
          <w:p w14:paraId="5AB5DBD0" w14:textId="286BF4A6" w:rsidR="004B7D66" w:rsidRPr="0063668F" w:rsidRDefault="004B7D66" w:rsidP="001046E8">
            <w:pPr>
              <w:pStyle w:val="MarginText"/>
              <w:jc w:val="center"/>
              <w:rPr>
                <w:sz w:val="22"/>
                <w:szCs w:val="22"/>
              </w:rPr>
            </w:pPr>
            <w:r w:rsidRPr="0063668F">
              <w:rPr>
                <w:sz w:val="22"/>
                <w:szCs w:val="22"/>
              </w:rPr>
              <w:t>17:00.00</w:t>
            </w:r>
            <w:r w:rsidR="006E40C6">
              <w:rPr>
                <w:sz w:val="22"/>
                <w:szCs w:val="22"/>
              </w:rPr>
              <w:t xml:space="preserve"> GMT</w:t>
            </w:r>
          </w:p>
          <w:p w14:paraId="0DBE9168" w14:textId="25D374EB" w:rsidR="00706CC1" w:rsidRPr="0063668F" w:rsidRDefault="00194CFF" w:rsidP="001046E8">
            <w:pPr>
              <w:pStyle w:val="MarginText"/>
              <w:jc w:val="center"/>
              <w:rPr>
                <w:sz w:val="22"/>
                <w:szCs w:val="22"/>
              </w:rPr>
            </w:pPr>
            <w:r>
              <w:rPr>
                <w:sz w:val="22"/>
                <w:szCs w:val="22"/>
              </w:rPr>
              <w:t>20/11</w:t>
            </w:r>
            <w:r w:rsidR="006B46B0" w:rsidRPr="0063668F">
              <w:rPr>
                <w:sz w:val="22"/>
                <w:szCs w:val="22"/>
              </w:rPr>
              <w:t>/2015</w:t>
            </w:r>
          </w:p>
        </w:tc>
        <w:tc>
          <w:tcPr>
            <w:tcW w:w="6030" w:type="dxa"/>
            <w:vAlign w:val="center"/>
          </w:tcPr>
          <w:p w14:paraId="62DD0A43" w14:textId="77777777" w:rsidR="00706CC1" w:rsidRPr="0063668F" w:rsidRDefault="00706CC1" w:rsidP="009C5F9D">
            <w:pPr>
              <w:pStyle w:val="MarginText"/>
              <w:jc w:val="left"/>
              <w:rPr>
                <w:b/>
                <w:i/>
                <w:sz w:val="22"/>
                <w:szCs w:val="22"/>
              </w:rPr>
            </w:pPr>
            <w:r w:rsidRPr="0063668F">
              <w:rPr>
                <w:sz w:val="22"/>
                <w:szCs w:val="22"/>
              </w:rPr>
              <w:t xml:space="preserve">Deadline for the publication of responses to Tender Clarification questions </w:t>
            </w:r>
          </w:p>
        </w:tc>
      </w:tr>
      <w:tr w:rsidR="00706CC1" w:rsidRPr="0063668F" w14:paraId="4E483020" w14:textId="77777777" w:rsidTr="009C5F9D">
        <w:trPr>
          <w:cantSplit/>
          <w:trHeight w:val="397"/>
        </w:trPr>
        <w:tc>
          <w:tcPr>
            <w:tcW w:w="2400" w:type="dxa"/>
            <w:vAlign w:val="center"/>
          </w:tcPr>
          <w:p w14:paraId="1FCF1181" w14:textId="099D8D68" w:rsidR="004B7D66" w:rsidRPr="0063668F" w:rsidRDefault="004B7D66" w:rsidP="001046E8">
            <w:pPr>
              <w:pStyle w:val="MarginText"/>
              <w:jc w:val="center"/>
              <w:rPr>
                <w:sz w:val="22"/>
                <w:szCs w:val="22"/>
              </w:rPr>
            </w:pPr>
            <w:r w:rsidRPr="0063668F">
              <w:rPr>
                <w:sz w:val="22"/>
                <w:szCs w:val="22"/>
              </w:rPr>
              <w:t>15:00.00</w:t>
            </w:r>
            <w:r w:rsidR="00706CC1" w:rsidRPr="0063668F">
              <w:rPr>
                <w:sz w:val="22"/>
                <w:szCs w:val="22"/>
              </w:rPr>
              <w:t xml:space="preserve"> </w:t>
            </w:r>
            <w:r w:rsidR="006E40C6">
              <w:rPr>
                <w:sz w:val="22"/>
                <w:szCs w:val="22"/>
              </w:rPr>
              <w:t>GMT</w:t>
            </w:r>
          </w:p>
          <w:p w14:paraId="65DF4107" w14:textId="3C391750" w:rsidR="00706CC1" w:rsidRPr="0063668F" w:rsidRDefault="00194CFF" w:rsidP="001046E8">
            <w:pPr>
              <w:pStyle w:val="MarginText"/>
              <w:jc w:val="center"/>
              <w:rPr>
                <w:sz w:val="22"/>
                <w:szCs w:val="22"/>
              </w:rPr>
            </w:pPr>
            <w:r>
              <w:rPr>
                <w:sz w:val="22"/>
                <w:szCs w:val="22"/>
              </w:rPr>
              <w:t>27/11/</w:t>
            </w:r>
            <w:r w:rsidR="00CD2392" w:rsidRPr="0063668F">
              <w:rPr>
                <w:sz w:val="22"/>
                <w:szCs w:val="22"/>
              </w:rPr>
              <w:t>2015</w:t>
            </w:r>
          </w:p>
        </w:tc>
        <w:tc>
          <w:tcPr>
            <w:tcW w:w="6030" w:type="dxa"/>
            <w:vAlign w:val="center"/>
          </w:tcPr>
          <w:p w14:paraId="40CE881A" w14:textId="4090C998" w:rsidR="00706CC1" w:rsidRPr="0063668F" w:rsidRDefault="00706CC1" w:rsidP="006C294B">
            <w:pPr>
              <w:pStyle w:val="MarginText"/>
              <w:jc w:val="left"/>
              <w:rPr>
                <w:sz w:val="22"/>
                <w:szCs w:val="22"/>
              </w:rPr>
            </w:pPr>
            <w:r w:rsidRPr="0063668F">
              <w:rPr>
                <w:sz w:val="22"/>
                <w:szCs w:val="22"/>
              </w:rPr>
              <w:t xml:space="preserve">Deadline for submission of Tenders to the </w:t>
            </w:r>
            <w:r w:rsidR="006C294B" w:rsidRPr="0063668F">
              <w:rPr>
                <w:sz w:val="22"/>
                <w:szCs w:val="22"/>
              </w:rPr>
              <w:t>Agent</w:t>
            </w:r>
            <w:r w:rsidRPr="0063668F">
              <w:rPr>
                <w:sz w:val="22"/>
                <w:szCs w:val="22"/>
              </w:rPr>
              <w:t>(“</w:t>
            </w:r>
            <w:r w:rsidRPr="0063668F">
              <w:rPr>
                <w:b/>
                <w:sz w:val="22"/>
                <w:szCs w:val="22"/>
              </w:rPr>
              <w:t>Tender Submission Deadline</w:t>
            </w:r>
            <w:r w:rsidR="00074060" w:rsidRPr="0063668F">
              <w:rPr>
                <w:b/>
                <w:sz w:val="22"/>
                <w:szCs w:val="22"/>
              </w:rPr>
              <w:t>”)</w:t>
            </w:r>
          </w:p>
        </w:tc>
      </w:tr>
      <w:tr w:rsidR="00706CC1" w:rsidRPr="0063668F" w14:paraId="0E9EFFF5" w14:textId="77777777" w:rsidTr="009C5F9D">
        <w:trPr>
          <w:cantSplit/>
          <w:trHeight w:val="397"/>
        </w:trPr>
        <w:tc>
          <w:tcPr>
            <w:tcW w:w="2400" w:type="dxa"/>
            <w:vAlign w:val="center"/>
          </w:tcPr>
          <w:p w14:paraId="426B1DEE" w14:textId="75403DE3" w:rsidR="00706CC1" w:rsidRPr="0063668F" w:rsidRDefault="00194CFF" w:rsidP="00C65CA1">
            <w:pPr>
              <w:pStyle w:val="MarginText"/>
              <w:jc w:val="center"/>
              <w:rPr>
                <w:sz w:val="22"/>
                <w:szCs w:val="22"/>
              </w:rPr>
            </w:pPr>
            <w:r>
              <w:rPr>
                <w:sz w:val="22"/>
                <w:szCs w:val="22"/>
              </w:rPr>
              <w:t>01/02</w:t>
            </w:r>
            <w:r w:rsidR="006E40C6">
              <w:rPr>
                <w:sz w:val="22"/>
                <w:szCs w:val="22"/>
              </w:rPr>
              <w:t>/2016</w:t>
            </w:r>
          </w:p>
        </w:tc>
        <w:tc>
          <w:tcPr>
            <w:tcW w:w="6030" w:type="dxa"/>
            <w:vAlign w:val="center"/>
          </w:tcPr>
          <w:p w14:paraId="2268194A" w14:textId="77777777" w:rsidR="00706CC1" w:rsidRPr="0063668F" w:rsidRDefault="00706CC1" w:rsidP="009C5F9D">
            <w:pPr>
              <w:pStyle w:val="MarginText"/>
              <w:jc w:val="left"/>
              <w:rPr>
                <w:sz w:val="22"/>
                <w:szCs w:val="22"/>
              </w:rPr>
            </w:pPr>
            <w:r w:rsidRPr="0063668F">
              <w:rPr>
                <w:sz w:val="22"/>
                <w:szCs w:val="22"/>
              </w:rPr>
              <w:t>Intention to award notification issued to successful and unsuccessful Potential Providers.</w:t>
            </w:r>
          </w:p>
        </w:tc>
      </w:tr>
      <w:tr w:rsidR="00706CC1" w:rsidRPr="0063668F" w14:paraId="4147C09A" w14:textId="77777777" w:rsidTr="009C5F9D">
        <w:trPr>
          <w:cantSplit/>
          <w:trHeight w:val="397"/>
        </w:trPr>
        <w:tc>
          <w:tcPr>
            <w:tcW w:w="2400" w:type="dxa"/>
            <w:vAlign w:val="center"/>
          </w:tcPr>
          <w:p w14:paraId="04CE05D7" w14:textId="3B4BC845" w:rsidR="00706CC1" w:rsidRPr="0063668F" w:rsidRDefault="00194CFF" w:rsidP="00194CFF">
            <w:pPr>
              <w:pStyle w:val="MarginText"/>
              <w:jc w:val="center"/>
              <w:rPr>
                <w:sz w:val="22"/>
                <w:szCs w:val="22"/>
              </w:rPr>
            </w:pPr>
            <w:r>
              <w:rPr>
                <w:sz w:val="22"/>
                <w:szCs w:val="22"/>
              </w:rPr>
              <w:t>11/02/</w:t>
            </w:r>
            <w:r w:rsidR="006E40C6">
              <w:rPr>
                <w:sz w:val="22"/>
                <w:szCs w:val="22"/>
              </w:rPr>
              <w:t>2016</w:t>
            </w:r>
            <w:r>
              <w:rPr>
                <w:sz w:val="22"/>
                <w:szCs w:val="22"/>
              </w:rPr>
              <w:t xml:space="preserve"> </w:t>
            </w:r>
          </w:p>
        </w:tc>
        <w:tc>
          <w:tcPr>
            <w:tcW w:w="6030" w:type="dxa"/>
            <w:vAlign w:val="center"/>
          </w:tcPr>
          <w:p w14:paraId="6EC2C68B" w14:textId="66F9FD09" w:rsidR="00706CC1" w:rsidRPr="0063668F" w:rsidRDefault="00706CC1" w:rsidP="009C5F9D">
            <w:pPr>
              <w:pStyle w:val="MarginText"/>
              <w:jc w:val="left"/>
              <w:rPr>
                <w:sz w:val="22"/>
                <w:szCs w:val="22"/>
              </w:rPr>
            </w:pPr>
            <w:r w:rsidRPr="0063668F">
              <w:rPr>
                <w:sz w:val="22"/>
                <w:szCs w:val="22"/>
              </w:rPr>
              <w:t>10 day Standstill Period (in</w:t>
            </w:r>
            <w:r w:rsidR="00CC5262" w:rsidRPr="0063668F">
              <w:rPr>
                <w:sz w:val="22"/>
                <w:szCs w:val="22"/>
              </w:rPr>
              <w:t xml:space="preserve"> accordance with Regulation 87</w:t>
            </w:r>
            <w:r w:rsidRPr="0063668F">
              <w:rPr>
                <w:sz w:val="22"/>
                <w:szCs w:val="22"/>
              </w:rPr>
              <w:t>)</w:t>
            </w:r>
            <w:r w:rsidR="00074060" w:rsidRPr="0063668F">
              <w:rPr>
                <w:sz w:val="22"/>
                <w:szCs w:val="22"/>
              </w:rPr>
              <w:t xml:space="preserve"> ends at </w:t>
            </w:r>
            <w:r w:rsidR="00194CFF">
              <w:rPr>
                <w:sz w:val="22"/>
                <w:szCs w:val="22"/>
              </w:rPr>
              <w:t>23:59</w:t>
            </w:r>
            <w:r w:rsidR="00074060" w:rsidRPr="0063668F">
              <w:rPr>
                <w:sz w:val="22"/>
                <w:szCs w:val="22"/>
              </w:rPr>
              <w:t xml:space="preserve"> on this day</w:t>
            </w:r>
          </w:p>
        </w:tc>
      </w:tr>
      <w:tr w:rsidR="00706CC1" w:rsidRPr="0063668F" w14:paraId="1C268576" w14:textId="77777777" w:rsidTr="009C5F9D">
        <w:trPr>
          <w:cantSplit/>
          <w:trHeight w:val="397"/>
        </w:trPr>
        <w:tc>
          <w:tcPr>
            <w:tcW w:w="2400" w:type="dxa"/>
            <w:vAlign w:val="center"/>
          </w:tcPr>
          <w:p w14:paraId="78B4A264" w14:textId="654EDD66" w:rsidR="00706CC1" w:rsidRPr="0063668F" w:rsidRDefault="00194CFF" w:rsidP="00C65CA1">
            <w:pPr>
              <w:pStyle w:val="MarginText"/>
              <w:jc w:val="center"/>
              <w:rPr>
                <w:sz w:val="22"/>
                <w:szCs w:val="22"/>
              </w:rPr>
            </w:pPr>
            <w:r>
              <w:rPr>
                <w:sz w:val="22"/>
                <w:szCs w:val="22"/>
              </w:rPr>
              <w:t>12/02</w:t>
            </w:r>
            <w:r w:rsidR="006E40C6">
              <w:rPr>
                <w:sz w:val="22"/>
                <w:szCs w:val="22"/>
              </w:rPr>
              <w:t>/2016</w:t>
            </w:r>
          </w:p>
        </w:tc>
        <w:tc>
          <w:tcPr>
            <w:tcW w:w="6030" w:type="dxa"/>
            <w:vAlign w:val="center"/>
          </w:tcPr>
          <w:p w14:paraId="44C6DD59" w14:textId="77777777" w:rsidR="00706CC1" w:rsidRPr="0063668F" w:rsidRDefault="004B7D66" w:rsidP="009C5F9D">
            <w:pPr>
              <w:pStyle w:val="MarginText"/>
              <w:jc w:val="left"/>
              <w:rPr>
                <w:sz w:val="22"/>
                <w:szCs w:val="22"/>
              </w:rPr>
            </w:pPr>
            <w:r w:rsidRPr="0063668F">
              <w:rPr>
                <w:sz w:val="22"/>
                <w:szCs w:val="22"/>
              </w:rPr>
              <w:t>Confirmation of Award</w:t>
            </w:r>
          </w:p>
        </w:tc>
      </w:tr>
      <w:tr w:rsidR="00706CC1" w:rsidRPr="0063668F" w14:paraId="7DBF5AB6" w14:textId="77777777" w:rsidTr="009C5F9D">
        <w:trPr>
          <w:cantSplit/>
          <w:trHeight w:val="397"/>
        </w:trPr>
        <w:tc>
          <w:tcPr>
            <w:tcW w:w="2400" w:type="dxa"/>
            <w:shd w:val="clear" w:color="auto" w:fill="auto"/>
            <w:vAlign w:val="center"/>
          </w:tcPr>
          <w:p w14:paraId="0CDAC973" w14:textId="4C78F478" w:rsidR="00706CC1" w:rsidRPr="0063668F" w:rsidRDefault="00194CFF" w:rsidP="00C65CA1">
            <w:pPr>
              <w:pStyle w:val="MarginText"/>
              <w:jc w:val="center"/>
              <w:rPr>
                <w:sz w:val="22"/>
                <w:szCs w:val="22"/>
              </w:rPr>
            </w:pPr>
            <w:r>
              <w:rPr>
                <w:sz w:val="22"/>
                <w:szCs w:val="22"/>
              </w:rPr>
              <w:t>15/02/2016</w:t>
            </w:r>
          </w:p>
        </w:tc>
        <w:tc>
          <w:tcPr>
            <w:tcW w:w="6030" w:type="dxa"/>
            <w:vAlign w:val="center"/>
          </w:tcPr>
          <w:p w14:paraId="406F027D" w14:textId="77777777" w:rsidR="00706CC1" w:rsidRPr="0063668F" w:rsidRDefault="00074060" w:rsidP="009C5F9D">
            <w:pPr>
              <w:pStyle w:val="MarginText"/>
              <w:jc w:val="left"/>
              <w:rPr>
                <w:sz w:val="22"/>
                <w:szCs w:val="22"/>
                <w:highlight w:val="yellow"/>
              </w:rPr>
            </w:pPr>
            <w:r w:rsidRPr="0063668F">
              <w:rPr>
                <w:sz w:val="22"/>
                <w:szCs w:val="22"/>
              </w:rPr>
              <w:t>Expected commencement date for Framework Agreement(s)</w:t>
            </w:r>
          </w:p>
        </w:tc>
      </w:tr>
    </w:tbl>
    <w:p w14:paraId="3107E823" w14:textId="77777777" w:rsidR="004D6F4A" w:rsidRDefault="004D6F4A" w:rsidP="004D6F4A">
      <w:pPr>
        <w:tabs>
          <w:tab w:val="left" w:pos="851"/>
        </w:tabs>
        <w:adjustRightInd w:val="0"/>
        <w:spacing w:after="120" w:line="240" w:lineRule="auto"/>
        <w:ind w:left="737"/>
        <w:jc w:val="both"/>
        <w:outlineLvl w:val="1"/>
        <w:rPr>
          <w:rFonts w:ascii="Arial" w:eastAsia="STZhongsong" w:hAnsi="Arial" w:cs="Times New Roman"/>
          <w:sz w:val="20"/>
          <w:szCs w:val="20"/>
          <w:lang w:eastAsia="zh-CN"/>
        </w:rPr>
      </w:pPr>
    </w:p>
    <w:p w14:paraId="782CA7A9" w14:textId="32F8B8F9" w:rsidR="001253D6" w:rsidRDefault="00B619BC" w:rsidP="00AE0E02">
      <w:pPr>
        <w:pStyle w:val="Style8"/>
      </w:pPr>
      <w:r w:rsidRPr="00AE0E02">
        <w:rPr>
          <w:b/>
        </w:rPr>
        <w:t>IMPORTANT NOTE</w:t>
      </w:r>
      <w:r w:rsidRPr="00AE0E02">
        <w:t xml:space="preserve"> – </w:t>
      </w:r>
      <w:r w:rsidR="00AE0E02" w:rsidRPr="00AE0E02">
        <w:t>Potential</w:t>
      </w:r>
      <w:r w:rsidR="00AE0E02">
        <w:t xml:space="preserve"> Providers should note that </w:t>
      </w:r>
      <w:r w:rsidR="001253D6">
        <w:t xml:space="preserve">there may be some disruption to the </w:t>
      </w:r>
      <w:proofErr w:type="spellStart"/>
      <w:r w:rsidR="001253D6">
        <w:t>eSourcing</w:t>
      </w:r>
      <w:proofErr w:type="spellEnd"/>
      <w:r w:rsidR="001253D6">
        <w:t xml:space="preserve"> Suite during the Tender Period. The Agent will notify all Potential Providers in advance of any disruption. In the event of any disruption timetable will be adjusted accordingly. </w:t>
      </w:r>
    </w:p>
    <w:p w14:paraId="17614F79" w14:textId="0B59906D" w:rsidR="008418E8" w:rsidRDefault="008418E8" w:rsidP="00AE0E02">
      <w:pPr>
        <w:pStyle w:val="Style8"/>
        <w:numPr>
          <w:ilvl w:val="0"/>
          <w:numId w:val="0"/>
        </w:numPr>
        <w:ind w:left="720"/>
        <w:rPr>
          <w:rFonts w:eastAsia="STZhongsong" w:cs="Times New Roman"/>
          <w:b/>
          <w:caps/>
          <w:sz w:val="20"/>
          <w:szCs w:val="20"/>
          <w:lang w:eastAsia="zh-CN"/>
        </w:rPr>
      </w:pPr>
      <w:r>
        <w:br w:type="page"/>
      </w:r>
    </w:p>
    <w:p w14:paraId="0B3296BF" w14:textId="18EE62AE" w:rsidR="00706CC1" w:rsidRPr="004F3794" w:rsidRDefault="001046E8" w:rsidP="009C5F9D">
      <w:pPr>
        <w:pStyle w:val="Style7"/>
      </w:pPr>
      <w:bookmarkStart w:id="25" w:name="_Toc433035504"/>
      <w:r>
        <w:lastRenderedPageBreak/>
        <w:t>c</w:t>
      </w:r>
      <w:r w:rsidR="00706CC1" w:rsidRPr="004F3794">
        <w:t>ompletiNG AND SUBMITTING A tender</w:t>
      </w:r>
      <w:bookmarkEnd w:id="25"/>
    </w:p>
    <w:p w14:paraId="2ECDE34C" w14:textId="620DAEE8" w:rsidR="00A93A1E" w:rsidRDefault="00706CC1" w:rsidP="009C5F9D">
      <w:pPr>
        <w:pStyle w:val="Style8"/>
      </w:pPr>
      <w:r w:rsidRPr="004F3794">
        <w:t xml:space="preserve">To participate in this competitive tendering exercise, </w:t>
      </w:r>
      <w:r w:rsidR="009C7984">
        <w:t>you</w:t>
      </w:r>
      <w:r w:rsidRPr="004F3794">
        <w:t xml:space="preserve"> are required to submit a Tender</w:t>
      </w:r>
      <w:r w:rsidR="000500B2">
        <w:t xml:space="preserve"> which fully complies with the instructio</w:t>
      </w:r>
      <w:r w:rsidR="005B545B">
        <w:t xml:space="preserve">ns in this </w:t>
      </w:r>
      <w:r w:rsidR="005B0C2B">
        <w:t xml:space="preserve">ITT </w:t>
      </w:r>
      <w:r w:rsidR="005B545B">
        <w:t>and in its A</w:t>
      </w:r>
      <w:r w:rsidR="000500B2">
        <w:t>ttachments</w:t>
      </w:r>
      <w:r w:rsidRPr="004F3794">
        <w:t>.</w:t>
      </w:r>
      <w:r w:rsidR="00074060">
        <w:t xml:space="preserve"> </w:t>
      </w:r>
    </w:p>
    <w:p w14:paraId="2B95A025" w14:textId="77777777" w:rsidR="00A93A1E" w:rsidRDefault="009C7984" w:rsidP="009C5F9D">
      <w:pPr>
        <w:pStyle w:val="Style8"/>
      </w:pPr>
      <w:r>
        <w:t>You</w:t>
      </w:r>
      <w:r w:rsidR="006607CA" w:rsidRPr="004F3794">
        <w:t xml:space="preserve"> are strongly advised to read through all documentation first to ensure understanding of how to submit a fully compliant Tender.</w:t>
      </w:r>
    </w:p>
    <w:p w14:paraId="262D7480" w14:textId="77777777" w:rsidR="00A93A1E" w:rsidRPr="00DF5397" w:rsidRDefault="00B64E58" w:rsidP="009C5F9D">
      <w:pPr>
        <w:pStyle w:val="Style8"/>
      </w:pPr>
      <w:r w:rsidRPr="0088206C">
        <w:t xml:space="preserve">The information and documents that you are required to complete and return in order to submit a </w:t>
      </w:r>
      <w:r w:rsidRPr="00DF5397">
        <w:t>compliant Tender are:</w:t>
      </w:r>
    </w:p>
    <w:p w14:paraId="38DB09CC" w14:textId="0ED04F61" w:rsidR="00B64E58" w:rsidRPr="00DF5397" w:rsidRDefault="00B64E58" w:rsidP="003754A0">
      <w:pPr>
        <w:pStyle w:val="ListParagraph"/>
        <w:numPr>
          <w:ilvl w:val="0"/>
          <w:numId w:val="4"/>
        </w:numPr>
        <w:rPr>
          <w:sz w:val="22"/>
        </w:rPr>
      </w:pPr>
      <w:r w:rsidRPr="00DF5397">
        <w:rPr>
          <w:sz w:val="22"/>
        </w:rPr>
        <w:t xml:space="preserve">Attachment 2 </w:t>
      </w:r>
      <w:r w:rsidR="00422782" w:rsidRPr="00DF5397">
        <w:rPr>
          <w:sz w:val="22"/>
        </w:rPr>
        <w:t>–</w:t>
      </w:r>
      <w:r w:rsidR="009C20A1" w:rsidRPr="00DF5397">
        <w:rPr>
          <w:sz w:val="22"/>
        </w:rPr>
        <w:t xml:space="preserve"> </w:t>
      </w:r>
      <w:r w:rsidR="00422782" w:rsidRPr="00DF5397">
        <w:rPr>
          <w:sz w:val="22"/>
        </w:rPr>
        <w:t xml:space="preserve">Participation Requirements and </w:t>
      </w:r>
      <w:r w:rsidRPr="00DF5397">
        <w:rPr>
          <w:sz w:val="22"/>
        </w:rPr>
        <w:t xml:space="preserve">Selection Questionnaire </w:t>
      </w:r>
      <w:r w:rsidR="00422782" w:rsidRPr="00DF5397">
        <w:rPr>
          <w:sz w:val="22"/>
        </w:rPr>
        <w:t xml:space="preserve">Guidance </w:t>
      </w:r>
      <w:r w:rsidRPr="00DF5397">
        <w:rPr>
          <w:sz w:val="22"/>
        </w:rPr>
        <w:t>(in the e-Sourcing Suite);</w:t>
      </w:r>
    </w:p>
    <w:p w14:paraId="4613B2E6" w14:textId="5E2076C5" w:rsidR="00B64E58" w:rsidRDefault="00B64E58" w:rsidP="003754A0">
      <w:pPr>
        <w:pStyle w:val="ListParagraph"/>
        <w:numPr>
          <w:ilvl w:val="0"/>
          <w:numId w:val="4"/>
        </w:numPr>
        <w:rPr>
          <w:sz w:val="22"/>
        </w:rPr>
      </w:pPr>
      <w:r w:rsidRPr="00DF5397">
        <w:rPr>
          <w:sz w:val="22"/>
        </w:rPr>
        <w:t>Attachment 3</w:t>
      </w:r>
      <w:r w:rsidR="009C20A1" w:rsidRPr="00DF5397">
        <w:rPr>
          <w:sz w:val="22"/>
        </w:rPr>
        <w:t xml:space="preserve"> -</w:t>
      </w:r>
      <w:r w:rsidR="009C20A1" w:rsidRPr="00CE4E92">
        <w:rPr>
          <w:sz w:val="22"/>
        </w:rPr>
        <w:t xml:space="preserve"> </w:t>
      </w:r>
      <w:r w:rsidRPr="00CE4E92">
        <w:rPr>
          <w:sz w:val="22"/>
        </w:rPr>
        <w:t>Award Questionnaire (in the e-Sourcing Suite);</w:t>
      </w:r>
    </w:p>
    <w:p w14:paraId="413E812D" w14:textId="0CDEDFD2" w:rsidR="006E40C6" w:rsidRPr="006E40C6" w:rsidRDefault="006E40C6" w:rsidP="006E40C6">
      <w:pPr>
        <w:pStyle w:val="ListParagraph"/>
        <w:numPr>
          <w:ilvl w:val="0"/>
          <w:numId w:val="4"/>
        </w:numPr>
        <w:rPr>
          <w:sz w:val="22"/>
        </w:rPr>
      </w:pPr>
      <w:r w:rsidRPr="00DF5397">
        <w:rPr>
          <w:sz w:val="22"/>
        </w:rPr>
        <w:t>Attachment 9 -</w:t>
      </w:r>
      <w:r w:rsidRPr="009C5F9D">
        <w:rPr>
          <w:sz w:val="22"/>
        </w:rPr>
        <w:t xml:space="preserve"> Pricing Matrix (uploaded as an attachment in the </w:t>
      </w:r>
      <w:proofErr w:type="spellStart"/>
      <w:r w:rsidRPr="009C5F9D">
        <w:rPr>
          <w:sz w:val="22"/>
        </w:rPr>
        <w:t>e</w:t>
      </w:r>
      <w:r>
        <w:rPr>
          <w:sz w:val="22"/>
        </w:rPr>
        <w:t>Sourcing</w:t>
      </w:r>
      <w:proofErr w:type="spellEnd"/>
      <w:r>
        <w:rPr>
          <w:sz w:val="22"/>
        </w:rPr>
        <w:t xml:space="preserve"> Suite to </w:t>
      </w:r>
      <w:r w:rsidRPr="006E40C6">
        <w:rPr>
          <w:sz w:val="22"/>
        </w:rPr>
        <w:t>PQ1);</w:t>
      </w:r>
    </w:p>
    <w:p w14:paraId="7CC2E895" w14:textId="1BFAA92A" w:rsidR="003B3FD1" w:rsidRPr="00CE4E92" w:rsidRDefault="003B3FD1" w:rsidP="003754A0">
      <w:pPr>
        <w:pStyle w:val="ListParagraph"/>
        <w:numPr>
          <w:ilvl w:val="0"/>
          <w:numId w:val="4"/>
        </w:numPr>
        <w:rPr>
          <w:sz w:val="22"/>
        </w:rPr>
      </w:pPr>
      <w:r w:rsidRPr="00DF5397">
        <w:rPr>
          <w:sz w:val="22"/>
        </w:rPr>
        <w:t>Attachment 1</w:t>
      </w:r>
      <w:r w:rsidR="00537786" w:rsidRPr="00DF5397">
        <w:rPr>
          <w:sz w:val="22"/>
        </w:rPr>
        <w:t>0</w:t>
      </w:r>
      <w:r w:rsidRPr="00DF5397">
        <w:rPr>
          <w:sz w:val="22"/>
        </w:rPr>
        <w:t xml:space="preserve"> </w:t>
      </w:r>
      <w:r w:rsidR="009C20A1" w:rsidRPr="00DF5397">
        <w:rPr>
          <w:sz w:val="22"/>
        </w:rPr>
        <w:t xml:space="preserve">- </w:t>
      </w:r>
      <w:r w:rsidRPr="00DF5397">
        <w:rPr>
          <w:sz w:val="22"/>
        </w:rPr>
        <w:t>Framework Agreement Population Template (uploaded as an attachment in the e-Sourcing</w:t>
      </w:r>
      <w:r w:rsidRPr="00CE4E92">
        <w:rPr>
          <w:sz w:val="22"/>
        </w:rPr>
        <w:t xml:space="preserve"> </w:t>
      </w:r>
      <w:r w:rsidRPr="000D59F9">
        <w:rPr>
          <w:sz w:val="22"/>
        </w:rPr>
        <w:t>Suite to SQ</w:t>
      </w:r>
      <w:r w:rsidR="000D59F9" w:rsidRPr="000D59F9">
        <w:rPr>
          <w:sz w:val="22"/>
        </w:rPr>
        <w:t>6.6</w:t>
      </w:r>
    </w:p>
    <w:p w14:paraId="5AE0A859" w14:textId="4BB37150" w:rsidR="00D053F3" w:rsidRPr="009C5F9D" w:rsidRDefault="00D053F3" w:rsidP="003754A0">
      <w:pPr>
        <w:pStyle w:val="ListParagraph"/>
        <w:numPr>
          <w:ilvl w:val="0"/>
          <w:numId w:val="4"/>
        </w:numPr>
        <w:rPr>
          <w:sz w:val="22"/>
        </w:rPr>
      </w:pPr>
      <w:r w:rsidRPr="009C5F9D">
        <w:rPr>
          <w:sz w:val="22"/>
        </w:rPr>
        <w:t xml:space="preserve">Any other additional documentation expressly requested by </w:t>
      </w:r>
      <w:r w:rsidR="006C294B">
        <w:rPr>
          <w:sz w:val="22"/>
        </w:rPr>
        <w:t>the Agent</w:t>
      </w:r>
      <w:r w:rsidRPr="009C5F9D">
        <w:rPr>
          <w:sz w:val="22"/>
        </w:rPr>
        <w:t xml:space="preserve">.   </w:t>
      </w:r>
    </w:p>
    <w:p w14:paraId="7D45875E" w14:textId="3E0EE64D" w:rsidR="00706CC1" w:rsidRPr="00600FA1" w:rsidRDefault="006C294B" w:rsidP="009C5F9D">
      <w:pPr>
        <w:pStyle w:val="Style8"/>
      </w:pPr>
      <w:r>
        <w:t>The Agent</w:t>
      </w:r>
      <w:r w:rsidR="00600FA1">
        <w:t xml:space="preserve"> utilises an e-Sourcing Suite to provide governance around the sourcing process. Your response must be managed through this tool. You are therefore advised of the following:</w:t>
      </w:r>
    </w:p>
    <w:p w14:paraId="6F670B05" w14:textId="77777777" w:rsidR="00706CC1" w:rsidRPr="004F3794" w:rsidRDefault="00706CC1" w:rsidP="009C5F9D">
      <w:pPr>
        <w:pStyle w:val="Style9"/>
      </w:pPr>
      <w:r w:rsidRPr="004F3794">
        <w:t xml:space="preserve">It is </w:t>
      </w:r>
      <w:r w:rsidR="001D71DB" w:rsidRPr="004F3794">
        <w:t>your</w:t>
      </w:r>
      <w:r w:rsidRPr="004F3794">
        <w:t xml:space="preserve"> responsibility to ensure that </w:t>
      </w:r>
      <w:r w:rsidR="00187832">
        <w:t>you</w:t>
      </w:r>
      <w:r w:rsidRPr="004F3794">
        <w:t xml:space="preserve"> have submitted a fully complian</w:t>
      </w:r>
      <w:r w:rsidR="000500B2">
        <w:t>t Tender.</w:t>
      </w:r>
    </w:p>
    <w:p w14:paraId="5F1EB1FB" w14:textId="77777777" w:rsidR="00706CC1" w:rsidRPr="004F3794" w:rsidRDefault="009C7984" w:rsidP="009C5F9D">
      <w:pPr>
        <w:pStyle w:val="Style9"/>
      </w:pPr>
      <w:r>
        <w:t>You</w:t>
      </w:r>
      <w:r w:rsidR="00706CC1" w:rsidRPr="004F3794">
        <w:t xml:space="preserve"> </w:t>
      </w:r>
      <w:r w:rsidR="00D937EB">
        <w:t>must</w:t>
      </w:r>
      <w:r w:rsidR="00706CC1" w:rsidRPr="004F3794">
        <w:t xml:space="preserve"> </w:t>
      </w:r>
      <w:r w:rsidR="00760427">
        <w:t>ensure that you are using</w:t>
      </w:r>
      <w:r w:rsidR="00760427" w:rsidRPr="004F3794">
        <w:t xml:space="preserve"> </w:t>
      </w:r>
      <w:r w:rsidR="00706CC1" w:rsidRPr="004F3794">
        <w:t>the lat</w:t>
      </w:r>
      <w:r w:rsidR="00706CC1">
        <w:t>est version</w:t>
      </w:r>
      <w:r w:rsidR="006607CA">
        <w:t>s</w:t>
      </w:r>
      <w:r w:rsidR="00706CC1">
        <w:t xml:space="preserve"> of </w:t>
      </w:r>
      <w:r w:rsidR="005B545B">
        <w:t>this document and its A</w:t>
      </w:r>
      <w:r w:rsidR="006607CA">
        <w:t>ttachments</w:t>
      </w:r>
      <w:r w:rsidR="00706CC1" w:rsidRPr="004F3794">
        <w:t>, as the documentation may be updated from time to time.</w:t>
      </w:r>
    </w:p>
    <w:p w14:paraId="379ECB11" w14:textId="2FFECF72" w:rsidR="00706CC1" w:rsidRPr="004F3794" w:rsidRDefault="00706CC1" w:rsidP="009C5F9D">
      <w:pPr>
        <w:pStyle w:val="Style9"/>
      </w:pPr>
      <w:r w:rsidRPr="004F3794">
        <w:t xml:space="preserve">Any incomplete or incorrect submissions may be deemed </w:t>
      </w:r>
      <w:r w:rsidR="00F447D7" w:rsidRPr="004F3794">
        <w:t>non-compl</w:t>
      </w:r>
      <w:r w:rsidR="00F447D7">
        <w:t>ia</w:t>
      </w:r>
      <w:r w:rsidR="00F447D7" w:rsidRPr="004F3794">
        <w:t>nt</w:t>
      </w:r>
      <w:r w:rsidRPr="004F3794">
        <w:t xml:space="preserve">, and as a result </w:t>
      </w:r>
      <w:r w:rsidR="009C7984">
        <w:t>you</w:t>
      </w:r>
      <w:r w:rsidRPr="004F3794">
        <w:t xml:space="preserve"> may be unable to proceed further in the procurement process</w:t>
      </w:r>
      <w:r>
        <w:t>.</w:t>
      </w:r>
    </w:p>
    <w:p w14:paraId="61E11FB1" w14:textId="77777777" w:rsidR="00706CC1" w:rsidRDefault="00D937EB" w:rsidP="009C5F9D">
      <w:pPr>
        <w:pStyle w:val="Style9"/>
      </w:pPr>
      <w:r>
        <w:t>A</w:t>
      </w:r>
      <w:r w:rsidR="00706CC1" w:rsidRPr="004F3794">
        <w:t xml:space="preserve">llow plenty of time for the entering of responses into the e-Sourcing Suite. It is advised that this activity </w:t>
      </w:r>
      <w:r w:rsidR="00706CC1">
        <w:t xml:space="preserve">commences </w:t>
      </w:r>
      <w:r w:rsidR="00706CC1" w:rsidRPr="004F3794">
        <w:t xml:space="preserve">as soon as possible and </w:t>
      </w:r>
      <w:r w:rsidR="00706CC1">
        <w:t xml:space="preserve">is </w:t>
      </w:r>
      <w:r w:rsidR="00706CC1" w:rsidRPr="004F3794">
        <w:t xml:space="preserve">not left until the </w:t>
      </w:r>
      <w:r w:rsidR="00706CC1">
        <w:t xml:space="preserve">day of the </w:t>
      </w:r>
      <w:r w:rsidR="00706CC1" w:rsidRPr="004F3794">
        <w:t>Tender Submission</w:t>
      </w:r>
      <w:r w:rsidR="00706CC1">
        <w:t xml:space="preserve"> Deadline.</w:t>
      </w:r>
    </w:p>
    <w:p w14:paraId="1489C54F" w14:textId="4F3FBB77" w:rsidR="00A93A1E" w:rsidRDefault="006607CA" w:rsidP="009C5F9D">
      <w:pPr>
        <w:pStyle w:val="Style8"/>
      </w:pPr>
      <w:r w:rsidRPr="004F3794">
        <w:t xml:space="preserve">For technical guidance on how to complete questions </w:t>
      </w:r>
      <w:r w:rsidR="00852854">
        <w:t>and text</w:t>
      </w:r>
      <w:r w:rsidR="00D937EB">
        <w:t xml:space="preserve"> fields </w:t>
      </w:r>
      <w:r w:rsidR="00CD2392">
        <w:t xml:space="preserve">and how to upload any </w:t>
      </w:r>
      <w:r w:rsidR="00CD2392" w:rsidRPr="00DF5397">
        <w:t xml:space="preserve">requested attachments please </w:t>
      </w:r>
      <w:r w:rsidR="008D48B7" w:rsidRPr="00DF5397">
        <w:t xml:space="preserve">download the </w:t>
      </w:r>
      <w:r w:rsidR="00CD2392" w:rsidRPr="00DF5397">
        <w:t>Supplier Guidance</w:t>
      </w:r>
      <w:r w:rsidR="008D48B7" w:rsidRPr="00DF5397">
        <w:t xml:space="preserve"> Documentation </w:t>
      </w:r>
      <w:hyperlink r:id="rId15" w:history="1">
        <w:r w:rsidR="008D48B7" w:rsidRPr="00DF5397">
          <w:rPr>
            <w:rStyle w:val="Hyperlink"/>
          </w:rPr>
          <w:t>here</w:t>
        </w:r>
      </w:hyperlink>
      <w:r w:rsidR="00CD2392" w:rsidRPr="00DF5397">
        <w:t xml:space="preserve"> </w:t>
      </w:r>
      <w:r w:rsidR="008D48B7" w:rsidRPr="00DF5397">
        <w:t xml:space="preserve">or at </w:t>
      </w:r>
      <w:r w:rsidR="00D937EB" w:rsidRPr="00DF5397">
        <w:t xml:space="preserve">Attachment </w:t>
      </w:r>
      <w:r w:rsidR="00DF5397" w:rsidRPr="00DF5397">
        <w:t>12</w:t>
      </w:r>
      <w:r w:rsidR="00CE4E92" w:rsidRPr="00DF5397">
        <w:t xml:space="preserve"> –</w:t>
      </w:r>
      <w:r w:rsidR="00CE4E92">
        <w:t xml:space="preserve"> Supplier Guidance Document</w:t>
      </w:r>
      <w:r w:rsidR="008D48B7" w:rsidRPr="00CE4E92">
        <w:t>.</w:t>
      </w:r>
    </w:p>
    <w:p w14:paraId="046332C8" w14:textId="77777777" w:rsidR="00A93A1E" w:rsidRPr="009C5F9D" w:rsidRDefault="009F5FF7" w:rsidP="009C5F9D">
      <w:pPr>
        <w:pStyle w:val="Style8"/>
        <w:rPr>
          <w:b/>
        </w:rPr>
      </w:pPr>
      <w:r w:rsidRPr="009C5F9D">
        <w:rPr>
          <w:b/>
        </w:rPr>
        <w:t>Additional Materials, Documents and Attachments</w:t>
      </w:r>
    </w:p>
    <w:p w14:paraId="6C9FD648" w14:textId="77777777" w:rsidR="006607CA" w:rsidRPr="004F3794" w:rsidRDefault="0045014B" w:rsidP="009C5F9D">
      <w:pPr>
        <w:pStyle w:val="Style9"/>
      </w:pPr>
      <w:r>
        <w:t>You</w:t>
      </w:r>
      <w:r w:rsidR="006607CA" w:rsidRPr="004F3794">
        <w:t xml:space="preserve"> must adhere to the following instructions;</w:t>
      </w:r>
    </w:p>
    <w:p w14:paraId="4AEC67C4" w14:textId="62ED44BF" w:rsidR="00B64E58" w:rsidRPr="00565B3B" w:rsidRDefault="006607CA" w:rsidP="00FC3039">
      <w:pPr>
        <w:pStyle w:val="Style10"/>
        <w:ind w:hanging="186"/>
      </w:pPr>
      <w:r w:rsidRPr="00565B3B">
        <w:t xml:space="preserve">No additional </w:t>
      </w:r>
      <w:r w:rsidR="00DB0528" w:rsidRPr="00565B3B">
        <w:t>a</w:t>
      </w:r>
      <w:r w:rsidRPr="00565B3B">
        <w:t xml:space="preserve">ttachments should be submitted with a Tender unless specifically requested by </w:t>
      </w:r>
      <w:r w:rsidR="006C294B">
        <w:t>the Agent</w:t>
      </w:r>
      <w:r w:rsidRPr="00565B3B">
        <w:t>.</w:t>
      </w:r>
    </w:p>
    <w:p w14:paraId="6A559B59" w14:textId="63F1AB74" w:rsidR="006607CA" w:rsidRDefault="006607CA" w:rsidP="00FC3039">
      <w:pPr>
        <w:pStyle w:val="Style10"/>
        <w:ind w:hanging="186"/>
      </w:pPr>
      <w:r w:rsidRPr="004F3794">
        <w:t xml:space="preserve">Any additional documents requested by </w:t>
      </w:r>
      <w:r w:rsidR="006C294B">
        <w:t>the Agent</w:t>
      </w:r>
      <w:r w:rsidRPr="004F3794">
        <w:t xml:space="preserve"> must only be attached at the question level</w:t>
      </w:r>
      <w:r w:rsidR="00AF3B1C">
        <w:t xml:space="preserve"> </w:t>
      </w:r>
      <w:r w:rsidR="008D48B7" w:rsidRPr="004C3E28">
        <w:rPr>
          <w:rFonts w:eastAsia="Arial"/>
        </w:rPr>
        <w:t>using the paperclip icon aligned to th</w:t>
      </w:r>
      <w:r w:rsidR="008D48B7">
        <w:rPr>
          <w:rFonts w:eastAsia="Arial"/>
        </w:rPr>
        <w:t>e</w:t>
      </w:r>
      <w:r w:rsidR="008D48B7" w:rsidRPr="004C3E28">
        <w:rPr>
          <w:rFonts w:eastAsia="Arial"/>
        </w:rPr>
        <w:t xml:space="preserve"> question</w:t>
      </w:r>
      <w:r w:rsidR="008D48B7">
        <w:t xml:space="preserve"> </w:t>
      </w:r>
      <w:r w:rsidR="000D59F9">
        <w:t>(not at Questionnaire l</w:t>
      </w:r>
      <w:r w:rsidR="00AF3B1C">
        <w:t>evel</w:t>
      </w:r>
      <w:r w:rsidR="00600FA1">
        <w:t xml:space="preserve"> </w:t>
      </w:r>
      <w:r w:rsidR="00AF3B1C">
        <w:t xml:space="preserve">and not at </w:t>
      </w:r>
      <w:proofErr w:type="spellStart"/>
      <w:r w:rsidR="00AF3B1C">
        <w:t>RFx</w:t>
      </w:r>
      <w:proofErr w:type="spellEnd"/>
      <w:r w:rsidR="00AF3B1C">
        <w:t xml:space="preserve"> Attachments)</w:t>
      </w:r>
      <w:r w:rsidR="00A7775B">
        <w:t xml:space="preserve"> </w:t>
      </w:r>
      <w:r w:rsidR="00760427">
        <w:t xml:space="preserve">in the e-Sourcing Suite </w:t>
      </w:r>
      <w:r w:rsidRPr="004F3794">
        <w:t>using a</w:t>
      </w:r>
      <w:r w:rsidRPr="00B64E58">
        <w:t xml:space="preserve"> unique, un-ambiguous and relevant file name as specified by </w:t>
      </w:r>
      <w:r w:rsidR="006C294B">
        <w:t>the Agent</w:t>
      </w:r>
      <w:r w:rsidR="008D48B7">
        <w:t>.</w:t>
      </w:r>
      <w:r w:rsidRPr="004F3794">
        <w:t xml:space="preserve"> </w:t>
      </w:r>
      <w:r w:rsidR="00AF3B1C">
        <w:t>They must be submitted in the format requested</w:t>
      </w:r>
      <w:r w:rsidR="00A7775B">
        <w:t xml:space="preserve"> by </w:t>
      </w:r>
      <w:r w:rsidR="006C294B">
        <w:t>the Agent</w:t>
      </w:r>
      <w:r w:rsidR="00AF3B1C">
        <w:t>.</w:t>
      </w:r>
    </w:p>
    <w:p w14:paraId="71359AAB" w14:textId="77777777" w:rsidR="00A93A1E" w:rsidRPr="00B3341B" w:rsidRDefault="006607CA" w:rsidP="009C5F9D">
      <w:pPr>
        <w:pStyle w:val="Style8"/>
        <w:rPr>
          <w:b/>
        </w:rPr>
      </w:pPr>
      <w:r w:rsidRPr="00B3341B">
        <w:rPr>
          <w:b/>
        </w:rPr>
        <w:t>Data Entry</w:t>
      </w:r>
    </w:p>
    <w:p w14:paraId="307B7D32" w14:textId="77777777" w:rsidR="006607CA" w:rsidRPr="00BF3BF9" w:rsidRDefault="009F5FF7" w:rsidP="009C5F9D">
      <w:pPr>
        <w:pStyle w:val="Style9"/>
      </w:pPr>
      <w:bookmarkStart w:id="26" w:name="_Toc422929125"/>
      <w:r w:rsidRPr="00B3341B">
        <w:rPr>
          <w:rFonts w:eastAsia="STZhongsong"/>
        </w:rPr>
        <w:t>A</w:t>
      </w:r>
      <w:bookmarkEnd w:id="26"/>
      <w:r w:rsidRPr="00B3341B">
        <w:rPr>
          <w:rFonts w:eastAsia="STZhongsong"/>
        </w:rPr>
        <w:t xml:space="preserve"> fully compliant Tender must adhere to the following instructions</w:t>
      </w:r>
      <w:r w:rsidR="006607CA" w:rsidRPr="00AF0006">
        <w:t>;</w:t>
      </w:r>
    </w:p>
    <w:p w14:paraId="0C7EB05F" w14:textId="5DF2C5E5" w:rsidR="006607CA" w:rsidRPr="00A7775B" w:rsidRDefault="00773E4E" w:rsidP="009C5F9D">
      <w:pPr>
        <w:pStyle w:val="Style10"/>
      </w:pPr>
      <w:r w:rsidRPr="00A7775B">
        <w:rPr>
          <w:rFonts w:eastAsia="Calibri"/>
          <w:lang w:eastAsia="en-US"/>
        </w:rPr>
        <w:t>All responses</w:t>
      </w:r>
      <w:r w:rsidRPr="00A7775B">
        <w:rPr>
          <w:rFonts w:ascii="Calibri" w:eastAsia="Calibri" w:hAnsi="Calibri"/>
          <w:lang w:eastAsia="en-US"/>
        </w:rPr>
        <w:t xml:space="preserve"> </w:t>
      </w:r>
      <w:r w:rsidR="006607CA" w:rsidRPr="00A7775B">
        <w:t xml:space="preserve">must be inserted into the relevant </w:t>
      </w:r>
      <w:r w:rsidR="00852854" w:rsidRPr="00A7775B">
        <w:t>text</w:t>
      </w:r>
      <w:r w:rsidR="00AF3B1C" w:rsidRPr="00A7775B">
        <w:t xml:space="preserve"> </w:t>
      </w:r>
      <w:r w:rsidR="00852854" w:rsidRPr="00A7775B">
        <w:t>f</w:t>
      </w:r>
      <w:r w:rsidR="00AF3B1C" w:rsidRPr="00A7775B">
        <w:t>ield</w:t>
      </w:r>
      <w:r w:rsidR="00852854" w:rsidRPr="00A7775B">
        <w:t>s</w:t>
      </w:r>
      <w:r w:rsidR="00AF3B1C" w:rsidRPr="00A7775B">
        <w:t xml:space="preserve"> unless an attac</w:t>
      </w:r>
      <w:r w:rsidR="00164FA2" w:rsidRPr="00A7775B">
        <w:t>hment is additionally permitted,</w:t>
      </w:r>
      <w:r w:rsidR="006607CA" w:rsidRPr="00A7775B">
        <w:t xml:space="preserve"> located beneath th</w:t>
      </w:r>
      <w:r w:rsidR="00FA7E24" w:rsidRPr="00A7775B">
        <w:t xml:space="preserve">e relevant question, </w:t>
      </w:r>
      <w:r w:rsidR="008D56ED" w:rsidRPr="00A7775B">
        <w:t xml:space="preserve">no </w:t>
      </w:r>
      <w:r w:rsidR="00FA7E24" w:rsidRPr="00A7775B">
        <w:t>a</w:t>
      </w:r>
      <w:r w:rsidR="006607CA" w:rsidRPr="00A7775B">
        <w:t>ttachment</w:t>
      </w:r>
      <w:r w:rsidR="008D56ED" w:rsidRPr="00A7775B">
        <w:t xml:space="preserve">s are permitted except where specifically requested by </w:t>
      </w:r>
      <w:r w:rsidR="006C294B">
        <w:t>the Agent</w:t>
      </w:r>
      <w:r w:rsidR="00A7775B" w:rsidRPr="00A7775B">
        <w:t xml:space="preserve">. </w:t>
      </w:r>
      <w:r w:rsidR="008D56ED" w:rsidRPr="00A7775B">
        <w:t>O</w:t>
      </w:r>
      <w:r w:rsidR="006607CA" w:rsidRPr="00A7775B">
        <w:t>nly information entered into th</w:t>
      </w:r>
      <w:r w:rsidR="00FA7E24" w:rsidRPr="00A7775B">
        <w:t xml:space="preserve">e relevant </w:t>
      </w:r>
      <w:r w:rsidR="00A7775B" w:rsidRPr="00A7775B">
        <w:t xml:space="preserve">text fields </w:t>
      </w:r>
      <w:r w:rsidR="001C0835">
        <w:t xml:space="preserve">or information </w:t>
      </w:r>
      <w:r w:rsidR="001C0835">
        <w:lastRenderedPageBreak/>
        <w:t xml:space="preserve">specifically requested by </w:t>
      </w:r>
      <w:r w:rsidR="006C294B">
        <w:t>the Agent</w:t>
      </w:r>
      <w:r w:rsidR="001C0835">
        <w:t xml:space="preserve"> </w:t>
      </w:r>
      <w:r w:rsidR="00301C4C">
        <w:t xml:space="preserve">and </w:t>
      </w:r>
      <w:r w:rsidR="001C0835">
        <w:t xml:space="preserve">uploaded as an attachment </w:t>
      </w:r>
      <w:r w:rsidR="006607CA" w:rsidRPr="00A7775B">
        <w:t>will be taken into consideration for the purposes of evaluating a Tender.</w:t>
      </w:r>
    </w:p>
    <w:p w14:paraId="7340F1BE" w14:textId="77777777" w:rsidR="00F30B43" w:rsidRPr="0041240B" w:rsidRDefault="006607CA" w:rsidP="009C5F9D">
      <w:pPr>
        <w:pStyle w:val="Style10"/>
      </w:pPr>
      <w:r w:rsidRPr="0041240B">
        <w:t>The Tender must be submitted in the English (UK) language.</w:t>
      </w:r>
    </w:p>
    <w:p w14:paraId="1D86FFEF" w14:textId="77777777" w:rsidR="00F30B43" w:rsidRDefault="00F30B43" w:rsidP="009C5F9D">
      <w:pPr>
        <w:pStyle w:val="Style10"/>
      </w:pPr>
      <w:r w:rsidRPr="00F30B43">
        <w:t>All prices must be shown excluding VAT and in British Pounds Sterling (£)</w:t>
      </w:r>
      <w:r>
        <w:t>.</w:t>
      </w:r>
    </w:p>
    <w:p w14:paraId="5F153BAE" w14:textId="54C3257D" w:rsidR="006607CA" w:rsidRPr="0041240B" w:rsidRDefault="009C7984" w:rsidP="009C5F9D">
      <w:pPr>
        <w:pStyle w:val="Style10"/>
      </w:pPr>
      <w:r>
        <w:t>You</w:t>
      </w:r>
      <w:r w:rsidR="006607CA" w:rsidRPr="0041240B">
        <w:t xml:space="preserve"> must answer all </w:t>
      </w:r>
      <w:r w:rsidR="00BB334E">
        <w:t>questions</w:t>
      </w:r>
      <w:r w:rsidR="006607CA" w:rsidRPr="0041240B">
        <w:t xml:space="preserve"> accurately and</w:t>
      </w:r>
      <w:r w:rsidR="00BB334E">
        <w:t xml:space="preserve"> as fully as possible, within the character limits specified.</w:t>
      </w:r>
      <w:r w:rsidR="006607CA" w:rsidRPr="0041240B">
        <w:t xml:space="preserve"> </w:t>
      </w:r>
    </w:p>
    <w:p w14:paraId="4C9F6378" w14:textId="77777777" w:rsidR="006607CA" w:rsidRPr="0041240B" w:rsidRDefault="006607CA" w:rsidP="009C5F9D">
      <w:pPr>
        <w:pStyle w:val="Style10"/>
      </w:pPr>
      <w:r w:rsidRPr="0041240B">
        <w:t xml:space="preserve">Where options are offered as a response to a question, </w:t>
      </w:r>
      <w:r w:rsidR="009C7984">
        <w:t>you</w:t>
      </w:r>
      <w:r>
        <w:t xml:space="preserve"> must select </w:t>
      </w:r>
      <w:r w:rsidRPr="0041240B">
        <w:t xml:space="preserve">the relevant option from the drop down </w:t>
      </w:r>
      <w:r w:rsidR="00BB334E">
        <w:t>list</w:t>
      </w:r>
      <w:r w:rsidRPr="0041240B">
        <w:t>.</w:t>
      </w:r>
    </w:p>
    <w:p w14:paraId="19B7C398" w14:textId="77777777" w:rsidR="006607CA" w:rsidRPr="0041240B" w:rsidRDefault="009C7984" w:rsidP="009C5F9D">
      <w:pPr>
        <w:pStyle w:val="Style10"/>
      </w:pPr>
      <w:r>
        <w:t>You</w:t>
      </w:r>
      <w:r w:rsidR="006607CA" w:rsidRPr="0041240B">
        <w:t xml:space="preserve"> must not answer questions by cross referring to other answers or to other materials (e.g. annual company reports located on a web site). Each question answered must be complete in its own right.</w:t>
      </w:r>
    </w:p>
    <w:p w14:paraId="39D75F42" w14:textId="459EBA3B" w:rsidR="00BB334E" w:rsidRPr="00BB334E" w:rsidRDefault="006C294B" w:rsidP="009C5F9D">
      <w:pPr>
        <w:pStyle w:val="Style10"/>
      </w:pPr>
      <w:r>
        <w:t>The Agent</w:t>
      </w:r>
      <w:r w:rsidR="00301C4C" w:rsidRPr="002A5365">
        <w:t xml:space="preserve"> will disregard any part of a response to a question which exceeds the specified character limit (i.e. the excess will be disregarded, not the whole response).</w:t>
      </w:r>
      <w:r w:rsidR="00BB334E" w:rsidRPr="00BB334E">
        <w:t>The stated character limit includes spaces and punctuation.</w:t>
      </w:r>
    </w:p>
    <w:p w14:paraId="166E33EE" w14:textId="77777777" w:rsidR="00A93A1E" w:rsidRPr="009C5F9D" w:rsidRDefault="009F5FF7" w:rsidP="009C5F9D">
      <w:pPr>
        <w:pStyle w:val="Style8"/>
        <w:rPr>
          <w:b/>
        </w:rPr>
      </w:pPr>
      <w:r w:rsidRPr="009C5F9D">
        <w:rPr>
          <w:b/>
        </w:rPr>
        <w:t>Deadline for the submission of Tenders</w:t>
      </w:r>
    </w:p>
    <w:p w14:paraId="1CCAF9D8" w14:textId="755B53AE" w:rsidR="006607CA" w:rsidRDefault="006607CA" w:rsidP="00537786">
      <w:pPr>
        <w:pStyle w:val="Style9"/>
      </w:pPr>
      <w:r w:rsidRPr="004F3794">
        <w:t xml:space="preserve">All Tenders must be received by </w:t>
      </w:r>
      <w:r w:rsidR="006C294B">
        <w:t>the Agent</w:t>
      </w:r>
      <w:r w:rsidRPr="004F3794">
        <w:t xml:space="preserve"> before the Tender Submission Deadline (see the Procurement Timetable in paragraph </w:t>
      </w:r>
      <w:r w:rsidR="005E21DC">
        <w:fldChar w:fldCharType="begin"/>
      </w:r>
      <w:r w:rsidR="005E21DC">
        <w:instrText xml:space="preserve"> REF _Ref284764423 \r \h  \* MERGEFORMAT </w:instrText>
      </w:r>
      <w:r w:rsidR="005E21DC">
        <w:fldChar w:fldCharType="separate"/>
      </w:r>
      <w:r w:rsidR="00A3785F">
        <w:t>4</w:t>
      </w:r>
      <w:r w:rsidR="005E21DC">
        <w:fldChar w:fldCharType="end"/>
      </w:r>
      <w:r w:rsidRPr="004F3794">
        <w:t xml:space="preserve"> for details).</w:t>
      </w:r>
      <w:r>
        <w:t xml:space="preserve"> </w:t>
      </w:r>
    </w:p>
    <w:p w14:paraId="4A355EDA" w14:textId="627D957B" w:rsidR="00301C4C" w:rsidRPr="004805D7" w:rsidRDefault="004805D7" w:rsidP="006E40C6">
      <w:pPr>
        <w:pStyle w:val="Style9"/>
        <w:rPr>
          <w:b/>
        </w:rPr>
      </w:pPr>
      <w:r>
        <w:rPr>
          <w:b/>
        </w:rPr>
        <w:t>Late Tenders</w:t>
      </w:r>
    </w:p>
    <w:p w14:paraId="31DF98C7" w14:textId="409DA2F7" w:rsidR="006607CA" w:rsidRDefault="006607CA" w:rsidP="004805D7">
      <w:pPr>
        <w:pStyle w:val="Style9"/>
        <w:numPr>
          <w:ilvl w:val="3"/>
          <w:numId w:val="45"/>
        </w:numPr>
        <w:ind w:hanging="753"/>
      </w:pPr>
      <w:r w:rsidRPr="004F3794">
        <w:t>Tenders received on or afte</w:t>
      </w:r>
      <w:r w:rsidR="005939DB">
        <w:t xml:space="preserve">r the Tender Submission Deadline </w:t>
      </w:r>
      <w:r w:rsidR="00A7775B">
        <w:t xml:space="preserve">may be rejected by </w:t>
      </w:r>
      <w:r w:rsidR="006C294B">
        <w:t>the Agent</w:t>
      </w:r>
      <w:r w:rsidR="00A7775B">
        <w:t xml:space="preserve"> to ensure al</w:t>
      </w:r>
      <w:r w:rsidR="00301C4C">
        <w:t>l</w:t>
      </w:r>
      <w:r w:rsidR="00A7775B">
        <w:t xml:space="preserve"> Potential Providers are </w:t>
      </w:r>
      <w:r w:rsidR="00301C4C">
        <w:t>t</w:t>
      </w:r>
      <w:r w:rsidR="00A7775B">
        <w:t xml:space="preserve">reated fairly. The decision whether to reject a Tender received after the Tender Submission Deadline is entirely at </w:t>
      </w:r>
      <w:r w:rsidR="006C294B">
        <w:t>the Agent</w:t>
      </w:r>
      <w:r w:rsidR="00A7775B">
        <w:t>’s discretion.</w:t>
      </w:r>
    </w:p>
    <w:p w14:paraId="69F4E4CE" w14:textId="77777777" w:rsidR="00A93A1E" w:rsidRPr="009C5F9D" w:rsidRDefault="009F5FF7" w:rsidP="009C5F9D">
      <w:pPr>
        <w:pStyle w:val="Style8"/>
        <w:rPr>
          <w:b/>
        </w:rPr>
      </w:pPr>
      <w:r w:rsidRPr="009C5F9D">
        <w:rPr>
          <w:b/>
        </w:rPr>
        <w:t>Uploading and submitting a Tender</w:t>
      </w:r>
    </w:p>
    <w:p w14:paraId="72FA9CDB" w14:textId="77777777" w:rsidR="006607CA" w:rsidRPr="000D6319" w:rsidRDefault="009C7984" w:rsidP="009C5F9D">
      <w:pPr>
        <w:pStyle w:val="Style9"/>
      </w:pPr>
      <w:r w:rsidRPr="000D6319">
        <w:t>You are</w:t>
      </w:r>
      <w:r w:rsidR="006607CA" w:rsidRPr="000D6319">
        <w:t xml:space="preserve"> responsible for ensuring that </w:t>
      </w:r>
      <w:r w:rsidR="00187832" w:rsidRPr="000D6319">
        <w:t>your</w:t>
      </w:r>
      <w:r w:rsidR="006607CA" w:rsidRPr="000D6319">
        <w:t xml:space="preserve"> Tender has been successfully completed in the e-Sourcing Suite prior to the Tender Submission Deadline.</w:t>
      </w:r>
    </w:p>
    <w:p w14:paraId="13607E97" w14:textId="7A81B83E" w:rsidR="006607CA" w:rsidRPr="000D6319" w:rsidRDefault="006607CA" w:rsidP="009C5F9D">
      <w:pPr>
        <w:pStyle w:val="Style9"/>
      </w:pPr>
      <w:r w:rsidRPr="000D6319">
        <w:t xml:space="preserve">All Tenders must be submitted to </w:t>
      </w:r>
      <w:r w:rsidR="006C294B">
        <w:t>the Agent</w:t>
      </w:r>
      <w:r w:rsidRPr="000D6319">
        <w:t xml:space="preserve"> using the e-Sourcing Suite. Tenders submitted by any other means will not be accepted.</w:t>
      </w:r>
    </w:p>
    <w:p w14:paraId="77E5123C" w14:textId="1200E30F" w:rsidR="006607CA" w:rsidRDefault="005939DB" w:rsidP="009C5F9D">
      <w:pPr>
        <w:pStyle w:val="Style9"/>
      </w:pPr>
      <w:r>
        <w:t>Elements of a Tender may be</w:t>
      </w:r>
      <w:r w:rsidR="006607CA" w:rsidRPr="004F3794">
        <w:t xml:space="preserve"> submitted or attached as required at any time </w:t>
      </w:r>
      <w:r w:rsidR="006607CA" w:rsidRPr="00DF5397">
        <w:t xml:space="preserve">before the Tender Submission Deadline using the e-Sourcing Suite. </w:t>
      </w:r>
      <w:r w:rsidRPr="00DF5397">
        <w:t xml:space="preserve">See Attachment </w:t>
      </w:r>
      <w:r w:rsidR="00852854" w:rsidRPr="00DF5397">
        <w:t xml:space="preserve">– </w:t>
      </w:r>
      <w:r w:rsidR="00DF5397" w:rsidRPr="00DF5397">
        <w:t>12</w:t>
      </w:r>
      <w:r w:rsidR="008D48B7" w:rsidRPr="00DF5397">
        <w:t xml:space="preserve"> Su</w:t>
      </w:r>
      <w:r w:rsidR="00452C0E" w:rsidRPr="00DF5397">
        <w:t>p</w:t>
      </w:r>
      <w:r w:rsidR="008D48B7" w:rsidRPr="00DF5397">
        <w:t>plier</w:t>
      </w:r>
      <w:r w:rsidR="008D48B7">
        <w:t xml:space="preserve"> </w:t>
      </w:r>
      <w:r w:rsidR="00852854">
        <w:t>Guidance Document</w:t>
      </w:r>
      <w:r>
        <w:t xml:space="preserve"> </w:t>
      </w:r>
      <w:r w:rsidR="008D48B7">
        <w:t xml:space="preserve">or download Supplier Guidance </w:t>
      </w:r>
      <w:r w:rsidR="008D48B7" w:rsidRPr="00AE1C16">
        <w:t xml:space="preserve">Documentation </w:t>
      </w:r>
      <w:hyperlink r:id="rId16" w:history="1">
        <w:r w:rsidR="008D48B7" w:rsidRPr="0090242A">
          <w:rPr>
            <w:rStyle w:val="Hyperlink"/>
          </w:rPr>
          <w:t>here</w:t>
        </w:r>
      </w:hyperlink>
      <w:r w:rsidR="008D48B7">
        <w:t xml:space="preserve"> for details of</w:t>
      </w:r>
      <w:r w:rsidR="008D48B7" w:rsidRPr="004F3794">
        <w:t xml:space="preserve"> how to formally submit the Tender</w:t>
      </w:r>
      <w:r w:rsidR="008D48B7">
        <w:t>.</w:t>
      </w:r>
    </w:p>
    <w:p w14:paraId="29F98E85" w14:textId="77777777" w:rsidR="006607CA" w:rsidRPr="004F3794" w:rsidRDefault="00187832" w:rsidP="009C5F9D">
      <w:pPr>
        <w:pStyle w:val="Style9"/>
      </w:pPr>
      <w:r>
        <w:t>You</w:t>
      </w:r>
      <w:r w:rsidR="006607CA" w:rsidRPr="004F3794">
        <w:t xml:space="preserve"> may modify and resubmit </w:t>
      </w:r>
      <w:r>
        <w:t>your</w:t>
      </w:r>
      <w:r w:rsidR="006607CA" w:rsidRPr="004F3794">
        <w:t xml:space="preserve"> Tender at any time prior to the Tender Submission Deadline.</w:t>
      </w:r>
      <w:r w:rsidR="006607CA">
        <w:t xml:space="preserve"> </w:t>
      </w:r>
      <w:r w:rsidR="005939DB">
        <w:t>Before</w:t>
      </w:r>
      <w:r w:rsidR="006607CA" w:rsidRPr="004F3794">
        <w:t xml:space="preserve"> the Tender Submission Deadline, </w:t>
      </w:r>
      <w:r>
        <w:t>you</w:t>
      </w:r>
      <w:r w:rsidR="006607CA" w:rsidRPr="004F3794">
        <w:t xml:space="preserve"> must satisfy </w:t>
      </w:r>
      <w:r>
        <w:t>yourself</w:t>
      </w:r>
      <w:r w:rsidR="006607CA" w:rsidRPr="004F3794">
        <w:t xml:space="preserve"> that </w:t>
      </w:r>
      <w:r>
        <w:t>you</w:t>
      </w:r>
      <w:r w:rsidR="006607CA" w:rsidRPr="004F3794">
        <w:t xml:space="preserve"> ha</w:t>
      </w:r>
      <w:r>
        <w:t>ve</w:t>
      </w:r>
      <w:r w:rsidR="006607CA" w:rsidRPr="004F3794">
        <w:t xml:space="preserve"> submitted all responses and attached any </w:t>
      </w:r>
      <w:r w:rsidR="00787A02">
        <w:t xml:space="preserve">requested </w:t>
      </w:r>
      <w:r w:rsidR="00FA7E24">
        <w:t>a</w:t>
      </w:r>
      <w:r w:rsidR="006607CA">
        <w:t>ttachment</w:t>
      </w:r>
      <w:r w:rsidR="006607CA" w:rsidRPr="004F3794">
        <w:t>s through the e-Sourcing Suite.</w:t>
      </w:r>
      <w:r w:rsidR="006607CA">
        <w:t xml:space="preserve"> </w:t>
      </w:r>
      <w:r w:rsidR="00787A02">
        <w:t>You</w:t>
      </w:r>
      <w:r w:rsidR="006607CA" w:rsidRPr="004F3794">
        <w:t xml:space="preserve"> cannot</w:t>
      </w:r>
      <w:r w:rsidR="00787A02">
        <w:t xml:space="preserve"> modify your Tender </w:t>
      </w:r>
      <w:r w:rsidR="006607CA" w:rsidRPr="004F3794">
        <w:t>after the Tender Submission Deadline.</w:t>
      </w:r>
    </w:p>
    <w:p w14:paraId="65DD4E92" w14:textId="77777777" w:rsidR="006607CA" w:rsidRPr="004F3794" w:rsidRDefault="00187832" w:rsidP="009C5F9D">
      <w:pPr>
        <w:pStyle w:val="Style9"/>
      </w:pPr>
      <w:r>
        <w:t>You</w:t>
      </w:r>
      <w:r w:rsidR="006607CA" w:rsidRPr="004F3794">
        <w:t xml:space="preserve"> may withdraw from this Procurement by choosing not to submit a Tender by the Tender Submission Deadline.</w:t>
      </w:r>
      <w:r w:rsidR="006607CA">
        <w:t xml:space="preserve"> </w:t>
      </w:r>
    </w:p>
    <w:p w14:paraId="761C111A" w14:textId="5D860C8C" w:rsidR="006607CA" w:rsidRDefault="00D22EF6" w:rsidP="009C5F9D">
      <w:pPr>
        <w:pStyle w:val="Style9"/>
      </w:pPr>
      <w:r>
        <w:t>Your</w:t>
      </w:r>
      <w:r w:rsidR="006607CA" w:rsidRPr="004F3794">
        <w:t xml:space="preserve"> Tender must remain valid and capable of acceptance by </w:t>
      </w:r>
      <w:r w:rsidR="00507654">
        <w:t>the Agent</w:t>
      </w:r>
      <w:r w:rsidR="006607CA" w:rsidRPr="004F3794">
        <w:t xml:space="preserve"> for a period of </w:t>
      </w:r>
      <w:r w:rsidR="00BA498C">
        <w:t>120</w:t>
      </w:r>
      <w:r w:rsidR="006607CA" w:rsidRPr="004F3794">
        <w:t xml:space="preserve"> days following the Tender Submission Deadline.</w:t>
      </w:r>
      <w:r w:rsidR="006607CA">
        <w:t xml:space="preserve"> </w:t>
      </w:r>
      <w:r w:rsidR="006607CA" w:rsidRPr="004F3794">
        <w:t>A</w:t>
      </w:r>
      <w:r>
        <w:t>n attempt to submit a</w:t>
      </w:r>
      <w:r w:rsidR="006607CA" w:rsidRPr="004F3794">
        <w:t xml:space="preserve"> Tender with a shorter </w:t>
      </w:r>
      <w:r w:rsidR="006607CA" w:rsidRPr="00221353">
        <w:t>validity</w:t>
      </w:r>
      <w:r w:rsidR="006607CA" w:rsidRPr="004F3794">
        <w:t xml:space="preserve"> period may </w:t>
      </w:r>
      <w:r>
        <w:t xml:space="preserve">lead to the </w:t>
      </w:r>
      <w:r w:rsidR="00787A02">
        <w:t>exclusion</w:t>
      </w:r>
      <w:r>
        <w:t xml:space="preserve"> of your Tender</w:t>
      </w:r>
      <w:r w:rsidR="006607CA" w:rsidRPr="004F3794">
        <w:t>.</w:t>
      </w:r>
    </w:p>
    <w:p w14:paraId="6CB69CFA" w14:textId="77777777" w:rsidR="00D02F19" w:rsidRPr="00E258B3" w:rsidRDefault="00D02F19" w:rsidP="00D02F19">
      <w:pPr>
        <w:pStyle w:val="Style8"/>
        <w:tabs>
          <w:tab w:val="num" w:pos="737"/>
        </w:tabs>
        <w:rPr>
          <w:b/>
        </w:rPr>
      </w:pPr>
      <w:r w:rsidRPr="00E258B3">
        <w:rPr>
          <w:b/>
        </w:rPr>
        <w:t xml:space="preserve">Specific Losses </w:t>
      </w:r>
    </w:p>
    <w:p w14:paraId="15A52595" w14:textId="4890DAB5" w:rsidR="00E0407C" w:rsidRPr="006E40C6" w:rsidRDefault="00507654" w:rsidP="006E40C6">
      <w:pPr>
        <w:pStyle w:val="Style9"/>
        <w:tabs>
          <w:tab w:val="num" w:pos="1304"/>
          <w:tab w:val="left" w:pos="1843"/>
        </w:tabs>
      </w:pPr>
      <w:r>
        <w:t>The Agent</w:t>
      </w:r>
      <w:r w:rsidR="00D02F19" w:rsidRPr="00D108CC">
        <w:t xml:space="preserve"> will not be liable for any bid costs, expenditure, work or effort incurred by a </w:t>
      </w:r>
      <w:r w:rsidR="002C7BEF">
        <w:t xml:space="preserve">Potential </w:t>
      </w:r>
      <w:r w:rsidR="00F447D7">
        <w:t xml:space="preserve">Provider </w:t>
      </w:r>
      <w:r w:rsidR="00F447D7" w:rsidRPr="00D108CC">
        <w:t>in</w:t>
      </w:r>
      <w:r w:rsidR="00D02F19" w:rsidRPr="00D108CC">
        <w:t xml:space="preserve"> proceeding</w:t>
      </w:r>
      <w:r w:rsidR="00D02F19">
        <w:t xml:space="preserve"> with or participating in this Procurement, including if the P</w:t>
      </w:r>
      <w:r w:rsidR="00D02F19" w:rsidRPr="00D108CC">
        <w:t xml:space="preserve">rocurement process is amended, cancelled or withdrawn by </w:t>
      </w:r>
      <w:r>
        <w:t>the Agent</w:t>
      </w:r>
      <w:r w:rsidR="00D02F19">
        <w:t>.</w:t>
      </w:r>
    </w:p>
    <w:p w14:paraId="0794C077" w14:textId="3C2CD322" w:rsidR="00221353" w:rsidRPr="00E258B3" w:rsidRDefault="00221353" w:rsidP="00E258B3">
      <w:pPr>
        <w:pStyle w:val="Style8"/>
        <w:rPr>
          <w:b/>
        </w:rPr>
      </w:pPr>
      <w:r w:rsidRPr="00E258B3">
        <w:rPr>
          <w:b/>
        </w:rPr>
        <w:t>Confidentiality</w:t>
      </w:r>
    </w:p>
    <w:p w14:paraId="1EAC8AF5" w14:textId="4E41B27A" w:rsidR="00221353" w:rsidRPr="00E26C18" w:rsidRDefault="00221353" w:rsidP="00E258B3">
      <w:pPr>
        <w:pStyle w:val="Style9"/>
      </w:pPr>
      <w:r w:rsidRPr="00FA2CB6">
        <w:lastRenderedPageBreak/>
        <w:t>Potential Providers mu</w:t>
      </w:r>
      <w:r w:rsidRPr="00E26C18">
        <w:t xml:space="preserve">st not collude with or disclose the fact of their intention to submit a </w:t>
      </w:r>
      <w:r w:rsidR="001C0835">
        <w:t>T</w:t>
      </w:r>
      <w:r w:rsidRPr="00E26C18">
        <w:t>ender to</w:t>
      </w:r>
      <w:r w:rsidR="00422782">
        <w:t xml:space="preserve"> other</w:t>
      </w:r>
      <w:r w:rsidRPr="00E26C18">
        <w:t xml:space="preserve"> Potential Providers.</w:t>
      </w:r>
    </w:p>
    <w:p w14:paraId="2DC8F906" w14:textId="6A44E741" w:rsidR="00A93A1E" w:rsidRPr="00A27650" w:rsidRDefault="00507654" w:rsidP="00E258B3">
      <w:pPr>
        <w:pStyle w:val="Style9"/>
      </w:pPr>
      <w:r>
        <w:t>The Agent</w:t>
      </w:r>
      <w:r w:rsidR="0025638E" w:rsidRPr="00E26C18">
        <w:t xml:space="preserve"> may dis</w:t>
      </w:r>
      <w:r w:rsidR="00221353" w:rsidRPr="00E26C18">
        <w:t xml:space="preserve">close </w:t>
      </w:r>
      <w:r w:rsidR="0025638E" w:rsidRPr="000E69A7">
        <w:t>information provided by a Potential Provider</w:t>
      </w:r>
      <w:r w:rsidR="00773E4E" w:rsidRPr="00E258B3">
        <w:rPr>
          <w:rFonts w:eastAsia="Calibri"/>
        </w:rPr>
        <w:t xml:space="preserve"> in accordance with Regulation 21(2</w:t>
      </w:r>
      <w:r w:rsidR="00773E4E" w:rsidRPr="00A27650">
        <w:t>) of the Regulations</w:t>
      </w:r>
      <w:r w:rsidR="00221353" w:rsidRPr="00A27650">
        <w:t>.</w:t>
      </w:r>
      <w:r w:rsidR="00773E4E" w:rsidRPr="00A27650">
        <w:t xml:space="preserve"> </w:t>
      </w:r>
    </w:p>
    <w:p w14:paraId="23B486E6" w14:textId="70688945" w:rsidR="00221353" w:rsidRPr="00A27650" w:rsidRDefault="00221353" w:rsidP="00E258B3">
      <w:pPr>
        <w:pStyle w:val="Style9"/>
      </w:pPr>
      <w:r w:rsidRPr="00A27650">
        <w:t xml:space="preserve">Customer contacts named in </w:t>
      </w:r>
      <w:r w:rsidR="00422782">
        <w:t xml:space="preserve">the </w:t>
      </w:r>
      <w:r w:rsidRPr="00A27650">
        <w:t xml:space="preserve">Selection Questionnaire do not owe </w:t>
      </w:r>
      <w:r w:rsidR="00507654">
        <w:t>the Agent</w:t>
      </w:r>
      <w:r w:rsidRPr="00A27650">
        <w:t xml:space="preserve"> a duty of care or have legal liability, except for any maliciously false statement of fact.</w:t>
      </w:r>
    </w:p>
    <w:p w14:paraId="6870623E" w14:textId="4FE1CA43" w:rsidR="00221353" w:rsidRDefault="00507654" w:rsidP="00E258B3">
      <w:pPr>
        <w:pStyle w:val="Style9"/>
      </w:pPr>
      <w:r>
        <w:t>The Agent</w:t>
      </w:r>
      <w:r w:rsidR="00221353" w:rsidRPr="00A27650">
        <w:t xml:space="preserve"> confirms that it will keep confidential and will </w:t>
      </w:r>
      <w:r w:rsidR="00F447D7" w:rsidRPr="00A27650">
        <w:t>not</w:t>
      </w:r>
      <w:r w:rsidR="00221353" w:rsidRPr="00A27650">
        <w:t xml:space="preserve"> disclose to any third parties any information obtained from a named customer contact, other than to the Contracting Authorities.</w:t>
      </w:r>
    </w:p>
    <w:p w14:paraId="7ED18D62" w14:textId="147360C2" w:rsidR="00A93A1E" w:rsidRPr="00A27650" w:rsidRDefault="003B3FD1" w:rsidP="00B3341B">
      <w:pPr>
        <w:pStyle w:val="Style9"/>
      </w:pPr>
      <w:r w:rsidRPr="00A27650">
        <w:t>On</w:t>
      </w:r>
      <w:r w:rsidR="00BE7A7A" w:rsidRPr="00A27650">
        <w:t xml:space="preserve"> 2 April 2014 the Government </w:t>
      </w:r>
      <w:r w:rsidRPr="00A27650">
        <w:t>introduced a</w:t>
      </w:r>
      <w:r w:rsidR="00BE7A7A" w:rsidRPr="00A27650">
        <w:t xml:space="preserve"> new Government Security </w:t>
      </w:r>
      <w:r w:rsidR="00BE7A7A" w:rsidRPr="00A27650">
        <w:rPr>
          <w:rStyle w:val="Style4Char"/>
          <w:sz w:val="22"/>
          <w:szCs w:val="22"/>
          <w:lang w:eastAsia="en-GB"/>
        </w:rPr>
        <w:t>Classifications (GSC) classification scheme to replace the Government Protective Marking System (GPMS). A key aspect of this is the reduction in the number of secu</w:t>
      </w:r>
      <w:r w:rsidR="00FC3039">
        <w:rPr>
          <w:rStyle w:val="Style4Char"/>
          <w:sz w:val="22"/>
          <w:szCs w:val="22"/>
          <w:lang w:eastAsia="en-GB"/>
        </w:rPr>
        <w:t>rity classifications used. All Potential P</w:t>
      </w:r>
      <w:r w:rsidR="00BE7A7A" w:rsidRPr="00A27650">
        <w:rPr>
          <w:rStyle w:val="Style4Char"/>
          <w:sz w:val="22"/>
          <w:szCs w:val="22"/>
          <w:lang w:eastAsia="en-GB"/>
        </w:rPr>
        <w:t xml:space="preserve">roviders are encouraged to make themselves aware of the changes and identify any potential impacts in their Tender, as the protective marking and applicable protection of any material passed to, or generated by, you during the </w:t>
      </w:r>
      <w:r w:rsidR="005A6F5B">
        <w:rPr>
          <w:rStyle w:val="Style4Char"/>
          <w:sz w:val="22"/>
          <w:szCs w:val="22"/>
          <w:lang w:eastAsia="en-GB"/>
        </w:rPr>
        <w:t>T</w:t>
      </w:r>
      <w:r w:rsidR="00BE7A7A" w:rsidRPr="00A27650">
        <w:rPr>
          <w:rStyle w:val="Style4Char"/>
          <w:sz w:val="22"/>
          <w:szCs w:val="22"/>
          <w:lang w:eastAsia="en-GB"/>
        </w:rPr>
        <w:t>ender process or pursuant to any Contract awarded to you as a result of this tender pr</w:t>
      </w:r>
      <w:r w:rsidRPr="00A27650">
        <w:rPr>
          <w:rStyle w:val="Style4Char"/>
          <w:sz w:val="22"/>
          <w:szCs w:val="22"/>
          <w:lang w:eastAsia="en-GB"/>
        </w:rPr>
        <w:t xml:space="preserve">ocess will be subject to the </w:t>
      </w:r>
      <w:r w:rsidR="00BE7A7A" w:rsidRPr="00A27650">
        <w:rPr>
          <w:rStyle w:val="Style4Char"/>
          <w:sz w:val="22"/>
          <w:szCs w:val="22"/>
          <w:lang w:eastAsia="en-GB"/>
        </w:rPr>
        <w:t xml:space="preserve">GSC </w:t>
      </w:r>
      <w:r w:rsidRPr="00A27650">
        <w:rPr>
          <w:rStyle w:val="Style4Char"/>
          <w:sz w:val="22"/>
          <w:szCs w:val="22"/>
          <w:lang w:eastAsia="en-GB"/>
        </w:rPr>
        <w:t>introduced on</w:t>
      </w:r>
      <w:r w:rsidR="00BE7A7A" w:rsidRPr="00A27650">
        <w:rPr>
          <w:rStyle w:val="Style4Char"/>
          <w:sz w:val="22"/>
          <w:szCs w:val="22"/>
          <w:lang w:eastAsia="en-GB"/>
        </w:rPr>
        <w:t xml:space="preserve"> 2 April 2014. The link below to the Gov.uk website provides information on the GSC:</w:t>
      </w:r>
      <w:r w:rsidR="00BE7A7A" w:rsidRPr="00A27650">
        <w:t xml:space="preserve"> </w:t>
      </w:r>
    </w:p>
    <w:p w14:paraId="4829EA3A" w14:textId="1C009500" w:rsidR="00DB6EAF" w:rsidRPr="00B3341B" w:rsidRDefault="009E5D58" w:rsidP="00B3341B">
      <w:pPr>
        <w:ind w:left="2160"/>
      </w:pPr>
      <w:hyperlink r:id="rId17" w:history="1">
        <w:bookmarkStart w:id="27" w:name="_Toc422929126"/>
        <w:r w:rsidR="00DB6EAF" w:rsidRPr="00CE4E92">
          <w:rPr>
            <w:rStyle w:val="Hyperlink"/>
            <w:rFonts w:ascii="Arial" w:hAnsi="Arial" w:cs="Arial"/>
          </w:rPr>
          <w:t>https://www.gov.uk/government/publications/government-security-classifications</w:t>
        </w:r>
        <w:bookmarkEnd w:id="27"/>
      </w:hyperlink>
    </w:p>
    <w:p w14:paraId="0B0B9634" w14:textId="7AAE6CF9" w:rsidR="007B375E" w:rsidRPr="00E26C18" w:rsidRDefault="00507654" w:rsidP="00E258B3">
      <w:pPr>
        <w:pStyle w:val="Style8"/>
      </w:pPr>
      <w:r>
        <w:rPr>
          <w:rStyle w:val="Style8Char"/>
          <w:rFonts w:eastAsia="STZhongsong"/>
          <w:sz w:val="22"/>
          <w:szCs w:val="22"/>
        </w:rPr>
        <w:t>The Agent</w:t>
      </w:r>
      <w:r w:rsidR="009F5FF7" w:rsidRPr="00E258B3">
        <w:rPr>
          <w:rStyle w:val="Style8Char"/>
          <w:rFonts w:eastAsia="STZhongsong"/>
          <w:sz w:val="22"/>
          <w:szCs w:val="22"/>
        </w:rPr>
        <w:t xml:space="preserve"> reserves the right to amend any security related term or condition of the draft contract accompanying this ITT to reflect any changes introduced by the GSC. In particular where this ITT is accompanied by any instructions on safeguarding classified information (e.g. a Security Aspects 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tender as they apply to the tender process and/or any contracts awarded to you as a result of the tender process</w:t>
      </w:r>
      <w:r w:rsidR="009F5FF7" w:rsidRPr="00FA2CB6">
        <w:t>.</w:t>
      </w:r>
    </w:p>
    <w:p w14:paraId="568E0847" w14:textId="13B0C52F" w:rsidR="00A93A1E" w:rsidRPr="00303471" w:rsidRDefault="009F5FF7" w:rsidP="00E258B3">
      <w:pPr>
        <w:pStyle w:val="Style8"/>
        <w:rPr>
          <w:b/>
        </w:rPr>
      </w:pPr>
      <w:r w:rsidRPr="00303471">
        <w:rPr>
          <w:b/>
        </w:rPr>
        <w:t>Cyber Essentials Scheme</w:t>
      </w:r>
    </w:p>
    <w:p w14:paraId="21E07F42" w14:textId="7EE03636" w:rsidR="00773273" w:rsidRDefault="00773273" w:rsidP="00E258B3">
      <w:pPr>
        <w:pStyle w:val="Style9"/>
      </w:pPr>
      <w:r>
        <w:t xml:space="preserve">To be awarded a place on the proposed Framework Agreement successfully it will be essential for the Supplier to meet the requirements of the Cyber Essentials Scheme, introduced in June 2014. This scheme defines a set of controls which, when properly implemented, provides organisations with basic protection from the most prevalent forms of threat coming from the internet. You can view the details of the Cyber Essentials Scheme at: </w:t>
      </w:r>
      <w:hyperlink r:id="rId18" w:history="1">
        <w:r>
          <w:rPr>
            <w:rStyle w:val="Hyperlink"/>
          </w:rPr>
          <w:t>https://www.gov.uk/government/publications/cyber-essentials-scheme-overview</w:t>
        </w:r>
      </w:hyperlink>
    </w:p>
    <w:p w14:paraId="3C7EDD4B" w14:textId="3369D68D" w:rsidR="00773273" w:rsidRPr="007B375E" w:rsidRDefault="00773273" w:rsidP="00E258B3">
      <w:pPr>
        <w:pStyle w:val="Style9"/>
      </w:pPr>
      <w:r>
        <w:t>The easiest way to demonstrate that the Cyber Essentials</w:t>
      </w:r>
      <w:r w:rsidR="00E47878">
        <w:t xml:space="preserve"> </w:t>
      </w:r>
      <w:r>
        <w:t>requirements are met is to gain the Cyber Essentials</w:t>
      </w:r>
      <w:r w:rsidR="00537786">
        <w:t xml:space="preserve"> </w:t>
      </w:r>
      <w:r>
        <w:t>certificate, which is also likely to be the cheapest way to demonstrate compliance</w:t>
      </w:r>
    </w:p>
    <w:p w14:paraId="69FC69AC" w14:textId="49ADC7FB" w:rsidR="00773273" w:rsidRDefault="00773273" w:rsidP="00E258B3">
      <w:pPr>
        <w:pStyle w:val="Style9"/>
      </w:pPr>
      <w:r>
        <w:t xml:space="preserve">The Cyber Essentials Assurance Framework, leading to the awarding of Cyber Essentials and Cyber Essentials Plus certificates for organisations, has been designed in consultation with SMEs, including the Federation for Small Business, to be ‘light-touch' and achievable at low cost. The two options give organisations a choice over the level of assurance they wish to gain and the cost of doing so. This scheme </w:t>
      </w:r>
      <w:r w:rsidRPr="00B85692">
        <w:t xml:space="preserve">offers the right balance between providing additional assurance of an organisation’s commitment to implementing cyber security to third parties, while </w:t>
      </w:r>
      <w:r w:rsidRPr="00553706">
        <w:t>retaining a simple and low cost mechanism for doing so.</w:t>
      </w:r>
    </w:p>
    <w:p w14:paraId="027A1F64" w14:textId="208475BA" w:rsidR="00572C99" w:rsidRPr="00572C99" w:rsidRDefault="00572C99" w:rsidP="00572C99">
      <w:pPr>
        <w:pStyle w:val="Style9"/>
      </w:pPr>
      <w:r>
        <w:t>For the avoidance of doubt, no</w:t>
      </w:r>
      <w:r w:rsidR="00261304">
        <w:t xml:space="preserve"> Call </w:t>
      </w:r>
      <w:proofErr w:type="gramStart"/>
      <w:r w:rsidR="00261304">
        <w:t>Off</w:t>
      </w:r>
      <w:proofErr w:type="gramEnd"/>
      <w:r w:rsidR="00261304">
        <w:t xml:space="preserve"> Agreement</w:t>
      </w:r>
      <w:r>
        <w:t xml:space="preserve"> will be </w:t>
      </w:r>
      <w:r w:rsidR="00E36040">
        <w:t>signed with</w:t>
      </w:r>
      <w:r>
        <w:t xml:space="preserve"> any awarded Supplier who does not demonstrate that </w:t>
      </w:r>
      <w:r w:rsidRPr="00CE4E92">
        <w:t xml:space="preserve">Cyber Essentials requirements are met in </w:t>
      </w:r>
      <w:r w:rsidRPr="00CE4E92">
        <w:lastRenderedPageBreak/>
        <w:t>full.</w:t>
      </w:r>
      <w:r w:rsidRPr="002D347B">
        <w:t xml:space="preserve"> </w:t>
      </w:r>
      <w:r w:rsidRPr="00B85692">
        <w:t>Please note that it will NOT be acceptable</w:t>
      </w:r>
      <w:r>
        <w:t xml:space="preserve"> to submit a completed </w:t>
      </w:r>
      <w:r w:rsidRPr="00B85692">
        <w:t>Cyber Essentials Common Questionnaire as evidence of the requirements being met, in the absence of appropriate verification by an independent</w:t>
      </w:r>
      <w:r>
        <w:t xml:space="preserve"> </w:t>
      </w:r>
      <w:r w:rsidRPr="00B85692">
        <w:t xml:space="preserve">Certification Body acceptable to </w:t>
      </w:r>
      <w:r w:rsidR="00507654">
        <w:t>the Agent</w:t>
      </w:r>
      <w:r w:rsidRPr="00B85692">
        <w:t>.</w:t>
      </w:r>
    </w:p>
    <w:p w14:paraId="218B2E28" w14:textId="539ABD2B" w:rsidR="00773273" w:rsidRPr="002D347B" w:rsidRDefault="00773273" w:rsidP="00E258B3">
      <w:pPr>
        <w:pStyle w:val="Style9"/>
      </w:pPr>
      <w:r w:rsidRPr="002D347B">
        <w:t xml:space="preserve">Similarly, no Sub-Contractor may be used until it has demonstrated that it meets the Cyber Essentials requirements too. The Supplier and any Sub-Contractors will need to renew their evidence of </w:t>
      </w:r>
      <w:r w:rsidRPr="00CE4E92">
        <w:t>Cyber Essentials compliance at least annually.</w:t>
      </w:r>
    </w:p>
    <w:p w14:paraId="203349E4" w14:textId="7EAAFB73" w:rsidR="00E413F3" w:rsidRPr="002B6228" w:rsidRDefault="00E413F3" w:rsidP="00E258B3">
      <w:pPr>
        <w:pStyle w:val="Style7"/>
      </w:pPr>
      <w:bookmarkStart w:id="28" w:name="_Toc405210239"/>
      <w:bookmarkStart w:id="29" w:name="_Toc277947343"/>
      <w:bookmarkStart w:id="30" w:name="_Ref284791665"/>
      <w:bookmarkStart w:id="31" w:name="_Ref285623882"/>
      <w:bookmarkStart w:id="32" w:name="_Ref372795810"/>
      <w:bookmarkStart w:id="33" w:name="_Toc433035505"/>
      <w:bookmarkEnd w:id="28"/>
      <w:r w:rsidRPr="002B6228">
        <w:t>CONTRACTING ARRANGEMENTS (Sub-contractORS AND</w:t>
      </w:r>
      <w:bookmarkEnd w:id="29"/>
      <w:bookmarkEnd w:id="30"/>
      <w:bookmarkEnd w:id="31"/>
      <w:r w:rsidR="00570A97" w:rsidRPr="00570A97">
        <w:t xml:space="preserve"> groups of economic operators</w:t>
      </w:r>
      <w:r w:rsidRPr="002B6228">
        <w:t>)</w:t>
      </w:r>
      <w:bookmarkEnd w:id="32"/>
      <w:bookmarkEnd w:id="33"/>
    </w:p>
    <w:p w14:paraId="6AA68578" w14:textId="657ABF19" w:rsidR="00A93A1E" w:rsidRDefault="00D22EF6" w:rsidP="003A11CC">
      <w:pPr>
        <w:pStyle w:val="Style8"/>
        <w:tabs>
          <w:tab w:val="left" w:pos="2127"/>
        </w:tabs>
      </w:pPr>
      <w:r>
        <w:t xml:space="preserve">It is important that your Tender conveys a complete and accurate picture of how the </w:t>
      </w:r>
      <w:r w:rsidR="003A11CC">
        <w:t xml:space="preserve">Agent’s </w:t>
      </w:r>
      <w:r>
        <w:t>minimum requirements for legal, economic</w:t>
      </w:r>
      <w:r w:rsidR="006B3582">
        <w:t>,</w:t>
      </w:r>
      <w:r>
        <w:t xml:space="preserve"> technical </w:t>
      </w:r>
      <w:r w:rsidR="006B3582">
        <w:t xml:space="preserve">and professional </w:t>
      </w:r>
      <w:r>
        <w:t xml:space="preserve">capacity, as set out in the Selection </w:t>
      </w:r>
      <w:r w:rsidRPr="00DF5397">
        <w:t>Questionnaire</w:t>
      </w:r>
      <w:r w:rsidR="006B3582" w:rsidRPr="00DF5397">
        <w:t xml:space="preserve"> (Attachment 2)</w:t>
      </w:r>
      <w:r w:rsidRPr="00DF5397">
        <w:t>,</w:t>
      </w:r>
      <w:r>
        <w:t xml:space="preserve"> will be satisfied. This means </w:t>
      </w:r>
      <w:r w:rsidR="003A11CC">
        <w:t>the Agent</w:t>
      </w:r>
      <w:r>
        <w:t xml:space="preserve"> needs clarity on how bids are structured in terms of organisations contributing to them.</w:t>
      </w:r>
    </w:p>
    <w:p w14:paraId="115B3E0A" w14:textId="4B7996FC" w:rsidR="00EC3E78" w:rsidRDefault="003A11CC" w:rsidP="00E258B3">
      <w:pPr>
        <w:pStyle w:val="Style8"/>
      </w:pPr>
      <w:bookmarkStart w:id="34" w:name="_Ref286761748"/>
      <w:r>
        <w:t>The Agent</w:t>
      </w:r>
      <w:r w:rsidR="00C57281" w:rsidRPr="00A237C9">
        <w:t xml:space="preserve"> is happy to receive and welcome</w:t>
      </w:r>
      <w:r w:rsidR="009F5FF7" w:rsidRPr="009F5FF7">
        <w:t xml:space="preserve">s Tenders from economic operators collaborating as a </w:t>
      </w:r>
      <w:r w:rsidR="00735740" w:rsidRPr="00735740">
        <w:t xml:space="preserve">Group of Economic </w:t>
      </w:r>
      <w:r w:rsidR="00F447D7" w:rsidRPr="00735740">
        <w:t>Operators or</w:t>
      </w:r>
      <w:r w:rsidR="00422782">
        <w:t xml:space="preserve"> S</w:t>
      </w:r>
      <w:r w:rsidR="009F5FF7" w:rsidRPr="009F5FF7">
        <w:t>ub-</w:t>
      </w:r>
      <w:r w:rsidR="00A52CF1">
        <w:t>c</w:t>
      </w:r>
      <w:r w:rsidR="009F5FF7" w:rsidRPr="009F5FF7">
        <w:t>ontracting elements of its obligations.  Where one of these approaches is adopted the following guidance set out in this paragraph must be followed.</w:t>
      </w:r>
    </w:p>
    <w:p w14:paraId="7467B941" w14:textId="69FB7C5D" w:rsidR="006B3582" w:rsidRPr="00CE4E92" w:rsidRDefault="006B3582" w:rsidP="00E258B3">
      <w:pPr>
        <w:pStyle w:val="Style8"/>
      </w:pPr>
      <w:r w:rsidRPr="006B3582">
        <w:t xml:space="preserve">The Tender must be completed in the name and ‘voice’ of the economic operator </w:t>
      </w:r>
      <w:r w:rsidR="00B01588" w:rsidRPr="00B01588">
        <w:t xml:space="preserve">(as defined in the Regulations) or, in the case of a Group of Economic Operators, the economic operators-members that, if awarded, will ultimately enter into a Framework Agreement with </w:t>
      </w:r>
      <w:r w:rsidR="003A11CC">
        <w:t>the Agent</w:t>
      </w:r>
      <w:r w:rsidR="00B01588" w:rsidRPr="00B01588">
        <w:t xml:space="preserve"> and therefore assume liability for performance of the Framework Agreement (the “Potential Prov</w:t>
      </w:r>
      <w:r w:rsidR="00B01588">
        <w:t xml:space="preserve">ider”), subject to </w:t>
      </w:r>
      <w:r w:rsidR="00777AD8">
        <w:t>paragraph 6.6</w:t>
      </w:r>
      <w:r w:rsidR="00B01588" w:rsidRPr="00CE4E92">
        <w:t xml:space="preserve"> below. </w:t>
      </w:r>
    </w:p>
    <w:p w14:paraId="4A3AF896" w14:textId="0CB977E7" w:rsidR="006B3582" w:rsidRPr="00CE4E92" w:rsidRDefault="00422782" w:rsidP="00E258B3">
      <w:pPr>
        <w:pStyle w:val="Style8"/>
      </w:pPr>
      <w:r>
        <w:t xml:space="preserve">With the exception of </w:t>
      </w:r>
      <w:r w:rsidR="00731B06">
        <w:t>Sub-Contractor</w:t>
      </w:r>
      <w:r w:rsidR="006B3582" w:rsidRPr="00CE4E92">
        <w:t>s identified in the Tend</w:t>
      </w:r>
      <w:r w:rsidR="00B01588" w:rsidRPr="00CE4E92">
        <w:t>er (and subject to paragraph 6.9</w:t>
      </w:r>
      <w:r w:rsidR="006B3582" w:rsidRPr="00CE4E92">
        <w:t>), no organisation other than the Potential Provider will be able to provide  Services through the Framework Agreement, whether group company, subsidiary, parent company, holding company, associated company, franchise or, fellow franchisee, strategic partner or organisation in any other relationship with the Potential Provider whatsoever. For the avoidance of doubt, the use of any kind of group companies associated with the Pot</w:t>
      </w:r>
      <w:r>
        <w:t xml:space="preserve">ential Provider can be only as </w:t>
      </w:r>
      <w:r w:rsidR="00731B06">
        <w:t>Sub-Contractor</w:t>
      </w:r>
      <w:r w:rsidR="006B3582" w:rsidRPr="00CE4E92">
        <w:t>s identified in the Tender.</w:t>
      </w:r>
    </w:p>
    <w:p w14:paraId="0D7E598E" w14:textId="5F9FBDE1" w:rsidR="00A93A1E" w:rsidRPr="005A6F5B" w:rsidRDefault="009F5FF7" w:rsidP="00E258B3">
      <w:pPr>
        <w:pStyle w:val="Style8"/>
        <w:rPr>
          <w:b/>
        </w:rPr>
      </w:pPr>
      <w:r w:rsidRPr="00CE4E92">
        <w:rPr>
          <w:b/>
        </w:rPr>
        <w:t>Sub-contracting</w:t>
      </w:r>
      <w:bookmarkEnd w:id="34"/>
      <w:r w:rsidRPr="00CE4E92">
        <w:rPr>
          <w:b/>
        </w:rPr>
        <w:t xml:space="preserve"> pro</w:t>
      </w:r>
      <w:r w:rsidRPr="005A6F5B">
        <w:rPr>
          <w:b/>
        </w:rPr>
        <w:t>posals</w:t>
      </w:r>
    </w:p>
    <w:p w14:paraId="433E614C" w14:textId="72EFB4E1" w:rsidR="00B01588" w:rsidRPr="00B01588" w:rsidRDefault="00B01588" w:rsidP="00E258B3">
      <w:pPr>
        <w:pStyle w:val="Style9"/>
      </w:pPr>
      <w:r w:rsidRPr="005A6F5B">
        <w:t>You need to complete question SQ2f in the Selection</w:t>
      </w:r>
      <w:r w:rsidRPr="00CE4E92">
        <w:t xml:space="preserve"> Questionnaire</w:t>
      </w:r>
      <w:r w:rsidRPr="00B01588">
        <w:t xml:space="preserve"> if you </w:t>
      </w:r>
      <w:r w:rsidR="00A52CF1">
        <w:t>propose to use one or more Sub-C</w:t>
      </w:r>
      <w:r w:rsidRPr="00B01588">
        <w:t>ontractors.</w:t>
      </w:r>
    </w:p>
    <w:p w14:paraId="4B2769BD" w14:textId="79894F63" w:rsidR="00EC3E78" w:rsidRPr="002E1337" w:rsidRDefault="00C57281" w:rsidP="00E258B3">
      <w:pPr>
        <w:pStyle w:val="Style9"/>
      </w:pPr>
      <w:r w:rsidRPr="002E1337">
        <w:t xml:space="preserve">If you need to rely on the capability and/or experience of one or more </w:t>
      </w:r>
      <w:r w:rsidR="00731B06">
        <w:t>Sub-Contractor</w:t>
      </w:r>
      <w:r w:rsidR="0091350D" w:rsidRPr="002E1337">
        <w:t>s</w:t>
      </w:r>
      <w:r w:rsidRPr="002E1337">
        <w:t xml:space="preserve"> in your Tender to demonstrate your ability to provide </w:t>
      </w:r>
      <w:r w:rsidR="00B365C8" w:rsidRPr="002E1337">
        <w:t>the Services</w:t>
      </w:r>
      <w:r w:rsidRPr="002E1337">
        <w:t xml:space="preserve"> in accordance with the requirements of the question and the Framework Agreement you must inform </w:t>
      </w:r>
      <w:r w:rsidR="003A11CC">
        <w:t>the Agent</w:t>
      </w:r>
      <w:r w:rsidRPr="002E1337">
        <w:t xml:space="preserve"> </w:t>
      </w:r>
      <w:r w:rsidR="00FB48A7">
        <w:t>in</w:t>
      </w:r>
      <w:r w:rsidR="000B3874" w:rsidRPr="002E1337">
        <w:t xml:space="preserve"> your </w:t>
      </w:r>
      <w:r w:rsidR="00FB48A7">
        <w:t>Tender</w:t>
      </w:r>
      <w:r w:rsidR="000B3874" w:rsidRPr="002E1337">
        <w:t>.</w:t>
      </w:r>
      <w:r w:rsidRPr="002E1337">
        <w:t xml:space="preserve"> </w:t>
      </w:r>
    </w:p>
    <w:p w14:paraId="42105C4A" w14:textId="0709FC35" w:rsidR="00EC3E78" w:rsidRPr="002E1337" w:rsidRDefault="00C57281" w:rsidP="00E258B3">
      <w:pPr>
        <w:pStyle w:val="Style9"/>
      </w:pPr>
      <w:r w:rsidRPr="002E1337">
        <w:t>A Potential Provider’s Tender must clearly identify</w:t>
      </w:r>
      <w:r w:rsidR="00422782">
        <w:t xml:space="preserve"> when it is relying on a </w:t>
      </w:r>
      <w:r w:rsidR="00731B06">
        <w:t>Sub-Contractor</w:t>
      </w:r>
      <w:r w:rsidR="00FB48A7">
        <w:t xml:space="preserve"> in its response to a question </w:t>
      </w:r>
      <w:r w:rsidR="00F447D7">
        <w:t xml:space="preserve">giving </w:t>
      </w:r>
      <w:r w:rsidR="00F447D7" w:rsidRPr="002E1337">
        <w:t>the</w:t>
      </w:r>
      <w:r w:rsidRPr="002E1337">
        <w:t xml:space="preserve"> name of the </w:t>
      </w:r>
      <w:r w:rsidR="00731B06">
        <w:t>Sub-Contractor</w:t>
      </w:r>
      <w:r w:rsidR="00FB48A7">
        <w:t xml:space="preserve"> and explain the </w:t>
      </w:r>
      <w:r w:rsidR="00731B06">
        <w:t>Sub-Contractor</w:t>
      </w:r>
      <w:r w:rsidRPr="002E1337">
        <w:t>’s</w:t>
      </w:r>
      <w:r w:rsidR="00FB48A7">
        <w:t xml:space="preserve"> role,</w:t>
      </w:r>
      <w:r w:rsidRPr="002E1337">
        <w:t xml:space="preserve"> capability and experience as the context of the question requires.</w:t>
      </w:r>
    </w:p>
    <w:p w14:paraId="08B15A8D" w14:textId="603F1303" w:rsidR="00EC3E78" w:rsidRPr="002E1337" w:rsidRDefault="003A11CC" w:rsidP="00E258B3">
      <w:pPr>
        <w:pStyle w:val="Style9"/>
      </w:pPr>
      <w:r>
        <w:t>The Agent</w:t>
      </w:r>
      <w:r w:rsidR="00C57281" w:rsidRPr="002E1337">
        <w:t xml:space="preserve"> does not require all </w:t>
      </w:r>
      <w:r w:rsidR="00731B06">
        <w:t>Sub-Contractor</w:t>
      </w:r>
      <w:r w:rsidR="0091350D" w:rsidRPr="002E1337">
        <w:t>s</w:t>
      </w:r>
      <w:r w:rsidR="00C57281" w:rsidRPr="002E1337">
        <w:t xml:space="preserve"> be disclosed.  </w:t>
      </w:r>
      <w:r w:rsidR="00024909">
        <w:t xml:space="preserve">You need only disclose </w:t>
      </w:r>
      <w:r w:rsidR="00C57281" w:rsidRPr="002E1337">
        <w:t xml:space="preserve">those </w:t>
      </w:r>
      <w:r w:rsidR="00731B06">
        <w:t>Sub-Contractor</w:t>
      </w:r>
      <w:r w:rsidR="0091350D" w:rsidRPr="002E1337">
        <w:t>s</w:t>
      </w:r>
      <w:r w:rsidR="00C57281" w:rsidRPr="002E1337">
        <w:t xml:space="preserve"> who directly contribute to the Potential Provider's ability to meet its obligations </w:t>
      </w:r>
      <w:r w:rsidR="00C57281" w:rsidRPr="005A6F5B">
        <w:t xml:space="preserve">under the Framework Agreement (including under any </w:t>
      </w:r>
      <w:r w:rsidR="00A24FD1" w:rsidRPr="005A6F5B">
        <w:t xml:space="preserve">Call </w:t>
      </w:r>
      <w:proofErr w:type="gramStart"/>
      <w:r w:rsidR="00A24FD1" w:rsidRPr="005A6F5B">
        <w:t>Off</w:t>
      </w:r>
      <w:proofErr w:type="gramEnd"/>
      <w:r w:rsidR="00A24FD1" w:rsidRPr="005A6F5B">
        <w:t xml:space="preserve"> </w:t>
      </w:r>
      <w:r w:rsidR="00A52CF1" w:rsidRPr="005A6F5B">
        <w:t>Agreement</w:t>
      </w:r>
      <w:r w:rsidR="00C57281" w:rsidRPr="005A6F5B">
        <w:t xml:space="preserve">). There is no need to specify those </w:t>
      </w:r>
      <w:r w:rsidR="00731B06" w:rsidRPr="005A6F5B">
        <w:t>Sub-Contractor</w:t>
      </w:r>
      <w:r w:rsidR="0091350D" w:rsidRPr="005A6F5B">
        <w:t>s</w:t>
      </w:r>
      <w:r w:rsidR="00C57281" w:rsidRPr="005A6F5B">
        <w:t xml:space="preserve"> providing general services to the Potential Provider (such as window cleaners, lawyers, desktop software providers </w:t>
      </w:r>
      <w:r w:rsidR="00F447D7" w:rsidRPr="005A6F5B">
        <w:t>etc.</w:t>
      </w:r>
      <w:r w:rsidR="00C57281" w:rsidRPr="005A6F5B">
        <w:t>) that indirectly enable the Potential Provider to perform the Framework Agreement.</w:t>
      </w:r>
      <w:r w:rsidR="00637D5D" w:rsidRPr="005A6F5B">
        <w:t xml:space="preserve"> Ple</w:t>
      </w:r>
      <w:r w:rsidR="00422782" w:rsidRPr="005A6F5B">
        <w:t xml:space="preserve">ase read the definition of </w:t>
      </w:r>
      <w:r w:rsidR="00731B06" w:rsidRPr="005A6F5B">
        <w:t>Sub-Contractor</w:t>
      </w:r>
      <w:r w:rsidR="00637D5D" w:rsidRPr="005A6F5B">
        <w:t xml:space="preserve"> in </w:t>
      </w:r>
      <w:r w:rsidR="005A6F5B" w:rsidRPr="005A6F5B">
        <w:t xml:space="preserve">Schedule 7 </w:t>
      </w:r>
      <w:r w:rsidR="00DF5397" w:rsidRPr="005A6F5B">
        <w:t>of Attachment 4 – Framework Agreement</w:t>
      </w:r>
      <w:r w:rsidR="00CE4E92" w:rsidRPr="005A6F5B">
        <w:t>.</w:t>
      </w:r>
      <w:r w:rsidR="00C57281" w:rsidRPr="00CE4E92">
        <w:t xml:space="preserve"> </w:t>
      </w:r>
    </w:p>
    <w:p w14:paraId="16EB9AA2" w14:textId="77777777" w:rsidR="00A93A1E" w:rsidRPr="00303471" w:rsidRDefault="00796E74" w:rsidP="00E258B3">
      <w:pPr>
        <w:pStyle w:val="Style8"/>
        <w:rPr>
          <w:b/>
        </w:rPr>
      </w:pPr>
      <w:bookmarkStart w:id="35" w:name="_Ref286761761"/>
      <w:r w:rsidRPr="00303471">
        <w:rPr>
          <w:b/>
        </w:rPr>
        <w:t>Group of Economic Operator</w:t>
      </w:r>
      <w:r w:rsidR="009F5FF7" w:rsidRPr="00303471">
        <w:rPr>
          <w:b/>
        </w:rPr>
        <w:t xml:space="preserve"> </w:t>
      </w:r>
      <w:bookmarkEnd w:id="35"/>
      <w:r w:rsidR="009F5FF7" w:rsidRPr="00303471">
        <w:rPr>
          <w:b/>
        </w:rPr>
        <w:t>proposals</w:t>
      </w:r>
    </w:p>
    <w:p w14:paraId="6797F04C" w14:textId="3075ED08" w:rsidR="00EC3E78" w:rsidRPr="004F3794" w:rsidRDefault="00637D5D" w:rsidP="00E258B3">
      <w:pPr>
        <w:pStyle w:val="Style9"/>
      </w:pPr>
      <w:r>
        <w:lastRenderedPageBreak/>
        <w:t>If a Group of E</w:t>
      </w:r>
      <w:r w:rsidR="00796E74">
        <w:t>conomic O</w:t>
      </w:r>
      <w:r w:rsidR="00C57281" w:rsidRPr="006E70AE">
        <w:t xml:space="preserve">perators wish to act jointly to provide </w:t>
      </w:r>
      <w:r w:rsidR="001253D6" w:rsidRPr="00D02F19">
        <w:t>the</w:t>
      </w:r>
      <w:r w:rsidR="001253D6" w:rsidRPr="00B85692">
        <w:t xml:space="preserve"> Services</w:t>
      </w:r>
      <w:r w:rsidR="007748DF" w:rsidRPr="00B85692">
        <w:t xml:space="preserve"> </w:t>
      </w:r>
      <w:r w:rsidR="009F1599" w:rsidRPr="00B85692">
        <w:t xml:space="preserve">they may do so </w:t>
      </w:r>
      <w:r w:rsidR="00C57281" w:rsidRPr="00B85692">
        <w:t>with all pa</w:t>
      </w:r>
      <w:r w:rsidR="00C57281">
        <w:t xml:space="preserve">rties signing the resultant Framework Agreement and assuming joint and several responsibility for performance of the Framework Agreement including any </w:t>
      </w:r>
      <w:r w:rsidR="00A24FD1">
        <w:t xml:space="preserve">Call </w:t>
      </w:r>
      <w:proofErr w:type="gramStart"/>
      <w:r w:rsidR="00A24FD1">
        <w:t>Off</w:t>
      </w:r>
      <w:proofErr w:type="gramEnd"/>
      <w:r w:rsidR="00A24FD1">
        <w:t xml:space="preserve"> </w:t>
      </w:r>
      <w:r w:rsidR="00A52CF1">
        <w:t>Agreement</w:t>
      </w:r>
      <w:r w:rsidR="009F1599">
        <w:t xml:space="preserve">.  </w:t>
      </w:r>
    </w:p>
    <w:p w14:paraId="4AEA7D55" w14:textId="41EC6D84" w:rsidR="00EC3E78" w:rsidRPr="004F3794" w:rsidRDefault="00796E74" w:rsidP="00E258B3">
      <w:pPr>
        <w:pStyle w:val="Style9"/>
      </w:pPr>
      <w:bookmarkStart w:id="36" w:name="_Ref373406004"/>
      <w:r w:rsidRPr="00796E74">
        <w:t>Please note that in accordance with Regulation 19(6)</w:t>
      </w:r>
      <w:bookmarkEnd w:id="36"/>
      <w:r>
        <w:t xml:space="preserve"> </w:t>
      </w:r>
      <w:r w:rsidR="00464D71">
        <w:t xml:space="preserve">of the Regulations </w:t>
      </w:r>
      <w:r w:rsidR="003A11CC">
        <w:t>the Agent</w:t>
      </w:r>
      <w:r w:rsidRPr="00796E74">
        <w:t xml:space="preserve"> may require the Group of </w:t>
      </w:r>
      <w:r w:rsidR="00024909">
        <w:t>E</w:t>
      </w:r>
      <w:r w:rsidRPr="00796E74">
        <w:t xml:space="preserve">conomic </w:t>
      </w:r>
      <w:r w:rsidR="00024909">
        <w:t>O</w:t>
      </w:r>
      <w:r w:rsidRPr="00796E74">
        <w:t xml:space="preserve">perators to assume a specific legal form for the purpose of concluding the Framework Agreement. In this case, </w:t>
      </w:r>
      <w:r w:rsidR="003A11CC">
        <w:t>the Agent</w:t>
      </w:r>
      <w:r w:rsidRPr="00796E74">
        <w:t xml:space="preserve"> is also likely to require the members of the Group of </w:t>
      </w:r>
      <w:r w:rsidR="00024909">
        <w:t>E</w:t>
      </w:r>
      <w:r w:rsidRPr="00796E74">
        <w:t xml:space="preserve">conomic </w:t>
      </w:r>
      <w:r w:rsidR="00024909">
        <w:t>O</w:t>
      </w:r>
      <w:r w:rsidRPr="00796E74">
        <w:t xml:space="preserve">perators to nominate a </w:t>
      </w:r>
      <w:r w:rsidR="00024909">
        <w:t>Framework G</w:t>
      </w:r>
      <w:r w:rsidRPr="00796E74">
        <w:t>uarantor for the single legal entity’s performance of the Framework Agreement</w:t>
      </w:r>
      <w:r w:rsidR="009F1599">
        <w:t>.</w:t>
      </w:r>
    </w:p>
    <w:p w14:paraId="20D70B09" w14:textId="0B2EF03A" w:rsidR="00796E74" w:rsidRDefault="00796E74" w:rsidP="00E258B3">
      <w:pPr>
        <w:pStyle w:val="Style9"/>
      </w:pPr>
      <w:r w:rsidRPr="00796E74">
        <w:t xml:space="preserve">The Group of Economic Operators should nominate a Lead Contact to lead the bidding </w:t>
      </w:r>
      <w:r w:rsidR="00F447D7" w:rsidRPr="00796E74">
        <w:t>process</w:t>
      </w:r>
      <w:r w:rsidR="00F447D7">
        <w:t>.</w:t>
      </w:r>
      <w:r w:rsidR="00F447D7" w:rsidRPr="00796E74">
        <w:t xml:space="preserve"> If</w:t>
      </w:r>
      <w:r w:rsidRPr="00796E74">
        <w:t xml:space="preserve"> the Group of Economic Operators plans to collaborate on a joint and several basis, then the Group of Economic Operators should nominate a Lead Contact to complete the Tender on behalf of all the other members of the Group of Economic </w:t>
      </w:r>
      <w:r w:rsidR="00F447D7">
        <w:t>Operators</w:t>
      </w:r>
      <w:r w:rsidR="009F1599">
        <w:t>.</w:t>
      </w:r>
    </w:p>
    <w:p w14:paraId="74CF13FC" w14:textId="77777777" w:rsidR="009F1599" w:rsidRPr="005A6F5B" w:rsidRDefault="009F1599" w:rsidP="00E258B3">
      <w:pPr>
        <w:pStyle w:val="Style9"/>
      </w:pPr>
      <w:r w:rsidRPr="005A6F5B">
        <w:t>The Lead Contact should complete question SQ2d in the Selection Questionnaire to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473EA1D5" w14:textId="26322FDB" w:rsidR="00EC3E78" w:rsidRPr="004F3794" w:rsidRDefault="00C57281" w:rsidP="00E258B3">
      <w:pPr>
        <w:pStyle w:val="Style9"/>
      </w:pPr>
      <w:r>
        <w:t xml:space="preserve">Where the </w:t>
      </w:r>
      <w:r w:rsidR="00557815" w:rsidRPr="00557815">
        <w:t xml:space="preserve">Lead Contact relies on the capability and/or experience of one or more members of the Group of Economic Operators to demonstrate the Group of Economic Operators’ ability to provide the Services in accordance with the requirements of the ITT and the Framework Agreement, it must inform </w:t>
      </w:r>
      <w:r w:rsidR="003A11CC">
        <w:t>the Agent</w:t>
      </w:r>
      <w:r w:rsidR="00557815" w:rsidRPr="00557815">
        <w:t xml:space="preserve"> in its Tender.</w:t>
      </w:r>
    </w:p>
    <w:p w14:paraId="48D348D0" w14:textId="48D80AEB" w:rsidR="00EC3E78" w:rsidRPr="004F3794" w:rsidRDefault="00557815" w:rsidP="00E258B3">
      <w:pPr>
        <w:pStyle w:val="Style9"/>
      </w:pPr>
      <w:r w:rsidRPr="00557815">
        <w:t>The Tender submitted by the Lead Contact must clearly identify in response to any question, when it is relying on another member of the Group of Economic Operators</w:t>
      </w:r>
      <w:r w:rsidR="00422782">
        <w:t xml:space="preserve">, </w:t>
      </w:r>
      <w:r w:rsidRPr="00557815">
        <w:t xml:space="preserve">the name of the particular member and explain the member’s </w:t>
      </w:r>
      <w:r w:rsidR="009F1599">
        <w:t xml:space="preserve">role </w:t>
      </w:r>
      <w:r w:rsidRPr="00557815">
        <w:t>capability and experience as the context of the question requires.</w:t>
      </w:r>
    </w:p>
    <w:p w14:paraId="6C9D24A2" w14:textId="77777777" w:rsidR="00A93A1E" w:rsidRPr="00303471" w:rsidRDefault="009F5FF7" w:rsidP="00E258B3">
      <w:pPr>
        <w:pStyle w:val="Style8"/>
        <w:rPr>
          <w:b/>
        </w:rPr>
      </w:pPr>
      <w:r w:rsidRPr="00303471">
        <w:rPr>
          <w:b/>
        </w:rPr>
        <w:t xml:space="preserve">Queries </w:t>
      </w:r>
    </w:p>
    <w:p w14:paraId="63934938" w14:textId="6E62A24C" w:rsidR="00EC3E78" w:rsidRPr="004F3794" w:rsidRDefault="00C57281" w:rsidP="00537786">
      <w:pPr>
        <w:pStyle w:val="Style9"/>
      </w:pPr>
      <w:r>
        <w:t xml:space="preserve">It is difficult for these instructions to deal with all potential </w:t>
      </w:r>
      <w:r w:rsidR="00557815">
        <w:t>Group of Economic Operators</w:t>
      </w:r>
      <w:r>
        <w:t xml:space="preserve"> and sub-contracting scenarios.  If you are unsure how to classify and communicate your contracting arrangements in your Tender, then you should contact </w:t>
      </w:r>
      <w:r w:rsidR="003A11CC">
        <w:t>the Agent</w:t>
      </w:r>
      <w:r>
        <w:t xml:space="preserve"> at the earliest opportunity in accordance with paragraph </w:t>
      </w:r>
      <w:r w:rsidR="005E21DC">
        <w:fldChar w:fldCharType="begin"/>
      </w:r>
      <w:r w:rsidR="005E21DC">
        <w:instrText xml:space="preserve"> REF _Ref286828015 \r \h  \* MERGEFORMAT </w:instrText>
      </w:r>
      <w:r w:rsidR="005E21DC">
        <w:fldChar w:fldCharType="separate"/>
      </w:r>
      <w:r w:rsidR="00A3785F">
        <w:t>7</w:t>
      </w:r>
      <w:r w:rsidR="005E21DC">
        <w:fldChar w:fldCharType="end"/>
      </w:r>
      <w:r>
        <w:t>.</w:t>
      </w:r>
    </w:p>
    <w:p w14:paraId="246CD89D" w14:textId="77777777" w:rsidR="00A93A1E" w:rsidRPr="00303471" w:rsidRDefault="009F5FF7" w:rsidP="00303471">
      <w:pPr>
        <w:pStyle w:val="Style8"/>
        <w:rPr>
          <w:b/>
        </w:rPr>
      </w:pPr>
      <w:bookmarkStart w:id="37" w:name="_Ref320716532"/>
      <w:r w:rsidRPr="00303471">
        <w:rPr>
          <w:b/>
        </w:rPr>
        <w:t>Changes to the contracting arrangements</w:t>
      </w:r>
      <w:bookmarkEnd w:id="37"/>
    </w:p>
    <w:p w14:paraId="1A5A3ED5" w14:textId="59BFDEA3" w:rsidR="00024909" w:rsidRPr="00024909" w:rsidRDefault="003A11CC" w:rsidP="00303471">
      <w:pPr>
        <w:pStyle w:val="Style9"/>
      </w:pPr>
      <w:bookmarkStart w:id="38" w:name="_Toc277947345"/>
      <w:r>
        <w:t>The Agent</w:t>
      </w:r>
      <w:r w:rsidR="00024909" w:rsidRPr="00024909">
        <w:t xml:space="preserve"> recognises that a</w:t>
      </w:r>
      <w:r w:rsidR="00422782">
        <w:t>rrangements in relation to Sub-c</w:t>
      </w:r>
      <w:r w:rsidR="00024909" w:rsidRPr="00024909">
        <w:t xml:space="preserve">ontracting and Groups of Economic Operators may be subject to future change, and may not be finalised until a later date.  However, any changes to those arrangements may affect your ability to deliver the </w:t>
      </w:r>
      <w:r w:rsidR="00A52CF1">
        <w:t>Requirement</w:t>
      </w:r>
      <w:r w:rsidR="00024909" w:rsidRPr="00024909">
        <w:t>. You must tell us abo</w:t>
      </w:r>
      <w:r w:rsidR="00422782">
        <w:t>ut any changes to the proposed S</w:t>
      </w:r>
      <w:r w:rsidR="00024909" w:rsidRPr="00024909">
        <w:t xml:space="preserve">ub-contracting or to the Group of Economic Operators. </w:t>
      </w:r>
      <w:r>
        <w:t>The Agent</w:t>
      </w:r>
      <w:r w:rsidR="00024909" w:rsidRPr="00024909">
        <w:t xml:space="preserve"> will assess the new information provided and reserves the right to exclude the Potential Provider prior to any award of contract. </w:t>
      </w:r>
    </w:p>
    <w:p w14:paraId="790ECC81" w14:textId="6BE23E0F" w:rsidR="00D22EF6" w:rsidRPr="005A6F5B" w:rsidRDefault="00024909" w:rsidP="00303471">
      <w:pPr>
        <w:pStyle w:val="Style9"/>
      </w:pPr>
      <w:r w:rsidRPr="00E0407C">
        <w:t>If you are awarded a Framework Agreement, any changes to a</w:t>
      </w:r>
      <w:r w:rsidR="00422782">
        <w:t>rrangements in relation to Sub-c</w:t>
      </w:r>
      <w:r w:rsidRPr="00E0407C">
        <w:t xml:space="preserve">ontracting and Group of Economic Operators </w:t>
      </w:r>
      <w:r w:rsidRPr="005A6F5B">
        <w:t>arrangements which are made following the award will be dealt w</w:t>
      </w:r>
      <w:r w:rsidR="006E40C6">
        <w:t>ith in accordance with C</w:t>
      </w:r>
      <w:r w:rsidR="00422782" w:rsidRPr="005A6F5B">
        <w:t>lause 25</w:t>
      </w:r>
      <w:r w:rsidRPr="005A6F5B">
        <w:t xml:space="preserve"> of the Framework Agreement (Attachment 4).</w:t>
      </w:r>
      <w:r w:rsidR="00D22EF6" w:rsidRPr="005A6F5B">
        <w:t xml:space="preserve"> </w:t>
      </w:r>
    </w:p>
    <w:p w14:paraId="47C85D96" w14:textId="77777777" w:rsidR="00A93A1E" w:rsidRPr="005A6F5B" w:rsidRDefault="009F5FF7" w:rsidP="00303471">
      <w:pPr>
        <w:pStyle w:val="Style8"/>
        <w:rPr>
          <w:b/>
        </w:rPr>
      </w:pPr>
      <w:r w:rsidRPr="005A6F5B">
        <w:rPr>
          <w:b/>
        </w:rPr>
        <w:t>Declaration of Compliance</w:t>
      </w:r>
    </w:p>
    <w:p w14:paraId="6CBB0C8B" w14:textId="5ACBE9B3" w:rsidR="00244CD6" w:rsidRPr="005A6F5B" w:rsidRDefault="003A11CC" w:rsidP="00303471">
      <w:pPr>
        <w:pStyle w:val="Style9"/>
      </w:pPr>
      <w:r w:rsidRPr="005A6F5B">
        <w:t>The Agent</w:t>
      </w:r>
      <w:r w:rsidR="004A20E3" w:rsidRPr="005A6F5B">
        <w:t xml:space="preserve"> requires you as either the Potential Provider or Lead Contact to confirm </w:t>
      </w:r>
      <w:r w:rsidR="00422782" w:rsidRPr="005A6F5B">
        <w:t xml:space="preserve">that each </w:t>
      </w:r>
      <w:r w:rsidR="00731B06" w:rsidRPr="005A6F5B">
        <w:t>Sub-Contractor</w:t>
      </w:r>
      <w:r w:rsidR="004A20E3" w:rsidRPr="005A6F5B">
        <w:t xml:space="preserve"> and/or member of the Group of Economic Operators </w:t>
      </w:r>
      <w:r w:rsidR="004A20E3" w:rsidRPr="005A6F5B">
        <w:lastRenderedPageBreak/>
        <w:t>named in the Tender has read, understood and complied with the statements contained within the Declara</w:t>
      </w:r>
      <w:r w:rsidR="00422782" w:rsidRPr="005A6F5B">
        <w:t xml:space="preserve">tion of Compliance (Attachment </w:t>
      </w:r>
      <w:r w:rsidR="00DF5397" w:rsidRPr="005A6F5B">
        <w:t>8</w:t>
      </w:r>
      <w:r w:rsidR="004A20E3" w:rsidRPr="005A6F5B">
        <w:t xml:space="preserve">). You do this in the </w:t>
      </w:r>
      <w:r w:rsidR="00244CD6" w:rsidRPr="005A6F5B">
        <w:t>e-Sourcing Suite (</w:t>
      </w:r>
      <w:r w:rsidR="004A20E3" w:rsidRPr="005A6F5B">
        <w:t>Participation Requirements</w:t>
      </w:r>
      <w:r w:rsidR="00244CD6" w:rsidRPr="005A6F5B">
        <w:t xml:space="preserve"> Questionnaire, question PR3). </w:t>
      </w:r>
      <w:r w:rsidR="004A20E3" w:rsidRPr="005A6F5B">
        <w:t>If you do not answer Yes to this confirmation you will be excluded from this Procurement.</w:t>
      </w:r>
      <w:r w:rsidR="00A96066" w:rsidRPr="005A6F5B">
        <w:t xml:space="preserve"> </w:t>
      </w:r>
      <w:r w:rsidR="004A20E3" w:rsidRPr="005A6F5B">
        <w:t xml:space="preserve">This provides </w:t>
      </w:r>
      <w:r w:rsidRPr="005A6F5B">
        <w:t>the Agent</w:t>
      </w:r>
      <w:r w:rsidR="004A20E3" w:rsidRPr="005A6F5B">
        <w:t xml:space="preserve"> with assurance that statements mad</w:t>
      </w:r>
      <w:r w:rsidR="00422782" w:rsidRPr="005A6F5B">
        <w:t xml:space="preserve">e by or in relation to the </w:t>
      </w:r>
      <w:r w:rsidR="00731B06" w:rsidRPr="005A6F5B">
        <w:t>Sub-Contractor</w:t>
      </w:r>
      <w:r w:rsidR="004A20E3" w:rsidRPr="005A6F5B">
        <w:t>s and/or members of the Group of Economic Operators are accurate and that they have participated in this Procurement in accordance with the ITT and the Term</w:t>
      </w:r>
      <w:r w:rsidR="00422782" w:rsidRPr="005A6F5B">
        <w:t>s of Participation (</w:t>
      </w:r>
      <w:r w:rsidR="00DF5397" w:rsidRPr="005A6F5B">
        <w:t>Attachment 7</w:t>
      </w:r>
      <w:r w:rsidR="004A20E3" w:rsidRPr="005A6F5B">
        <w:t>).</w:t>
      </w:r>
    </w:p>
    <w:p w14:paraId="6734AE40" w14:textId="0C48241B" w:rsidR="0058734C" w:rsidRPr="004F3794" w:rsidRDefault="00BC61C9" w:rsidP="00303471">
      <w:pPr>
        <w:pStyle w:val="Style7"/>
      </w:pPr>
      <w:bookmarkStart w:id="39" w:name="_Ref284607453"/>
      <w:bookmarkStart w:id="40" w:name="_Ref286828015"/>
      <w:bookmarkStart w:id="41" w:name="_Toc433035506"/>
      <w:bookmarkEnd w:id="38"/>
      <w:r>
        <w:t xml:space="preserve">QUESTIONS </w:t>
      </w:r>
      <w:r w:rsidR="0058734C" w:rsidRPr="004F3794">
        <w:t>AND C</w:t>
      </w:r>
      <w:r>
        <w:t>LARIFICATIONS</w:t>
      </w:r>
      <w:bookmarkEnd w:id="39"/>
      <w:bookmarkEnd w:id="40"/>
      <w:bookmarkEnd w:id="41"/>
      <w:r w:rsidR="0058734C" w:rsidRPr="004F3794">
        <w:t xml:space="preserve"> </w:t>
      </w:r>
    </w:p>
    <w:p w14:paraId="6B0DC894" w14:textId="77777777" w:rsidR="00A93A1E" w:rsidRPr="00D15C78" w:rsidRDefault="00187832" w:rsidP="00303471">
      <w:pPr>
        <w:pStyle w:val="Style8"/>
      </w:pPr>
      <w:bookmarkStart w:id="42" w:name="_Toc410216959"/>
      <w:r w:rsidRPr="008A23DC">
        <w:t>You</w:t>
      </w:r>
      <w:r w:rsidR="0058734C" w:rsidRPr="008A23DC">
        <w:t xml:space="preserve"> may raise questions or seek clarification regarding any aspect of this Procurement at any time </w:t>
      </w:r>
      <w:r w:rsidR="0058734C" w:rsidRPr="002D347B">
        <w:t>pr</w:t>
      </w:r>
      <w:r w:rsidR="007C3F94" w:rsidRPr="002D347B">
        <w:t>ior</w:t>
      </w:r>
      <w:r w:rsidR="007C3F94" w:rsidRPr="008A23DC">
        <w:t xml:space="preserve"> to the Tender Clarifications</w:t>
      </w:r>
      <w:r w:rsidR="0058734C" w:rsidRPr="008A23DC">
        <w:t xml:space="preserve"> Deadline (see the Procurement Timetable set out </w:t>
      </w:r>
      <w:r w:rsidR="0058734C" w:rsidRPr="00777AD8">
        <w:t xml:space="preserve">paragraph </w:t>
      </w:r>
      <w:r w:rsidR="00A65C32" w:rsidRPr="00777AD8">
        <w:t>4</w:t>
      </w:r>
      <w:r w:rsidR="0058734C" w:rsidRPr="00777AD8">
        <w:t>). Questions must be submitted using the messaging facility provided within the e-Sourcing Suite.</w:t>
      </w:r>
      <w:bookmarkEnd w:id="42"/>
      <w:r w:rsidR="0058734C" w:rsidRPr="008A23DC">
        <w:t xml:space="preserve"> </w:t>
      </w:r>
    </w:p>
    <w:p w14:paraId="0AD4D539" w14:textId="0F5989D7" w:rsidR="004A20E3" w:rsidRDefault="00F92A99" w:rsidP="00303471">
      <w:pPr>
        <w:pStyle w:val="Style8"/>
      </w:pPr>
      <w:r w:rsidRPr="001D1216">
        <w:t xml:space="preserve">To ensure </w:t>
      </w:r>
      <w:r w:rsidRPr="001D1216">
        <w:rPr>
          <w:rStyle w:val="Style4Char"/>
          <w:sz w:val="22"/>
          <w:szCs w:val="22"/>
        </w:rPr>
        <w:t xml:space="preserve">that all Potential Providers have equal access to information regarding this Procurement, </w:t>
      </w:r>
      <w:r w:rsidR="003A11CC">
        <w:rPr>
          <w:rStyle w:val="Style4Char"/>
          <w:sz w:val="22"/>
          <w:szCs w:val="22"/>
        </w:rPr>
        <w:t>the Agent</w:t>
      </w:r>
      <w:r w:rsidRPr="00F92A99">
        <w:t xml:space="preserve"> will publish all its responses to questions asked and</w:t>
      </w:r>
      <w:r w:rsidR="004A20E3">
        <w:t>/</w:t>
      </w:r>
      <w:r w:rsidRPr="00F92A99">
        <w:t>or clarifications raised by you in the “Attachments” section of the</w:t>
      </w:r>
      <w:r w:rsidR="00BF5FF3">
        <w:t xml:space="preserve"> on line</w:t>
      </w:r>
      <w:r w:rsidRPr="00F92A99">
        <w:t xml:space="preserve"> e-Sourcing Suite. </w:t>
      </w:r>
    </w:p>
    <w:p w14:paraId="22049E23" w14:textId="4CA5A240" w:rsidR="00F92A99" w:rsidRPr="00F92A99" w:rsidRDefault="004A20E3" w:rsidP="00303471">
      <w:pPr>
        <w:pStyle w:val="Style8"/>
      </w:pPr>
      <w:r>
        <w:t>If you ask</w:t>
      </w:r>
      <w:r w:rsidR="00BF5FF3">
        <w:t xml:space="preserve"> any questions</w:t>
      </w:r>
      <w:r w:rsidR="00F92A99" w:rsidRPr="00F92A99">
        <w:t xml:space="preserve"> </w:t>
      </w:r>
      <w:r w:rsidR="00BF5FF3">
        <w:t>and/</w:t>
      </w:r>
      <w:r w:rsidR="00F92A99" w:rsidRPr="00F92A99">
        <w:t xml:space="preserve">or </w:t>
      </w:r>
      <w:r w:rsidR="00BF5FF3">
        <w:t xml:space="preserve">raise </w:t>
      </w:r>
      <w:r w:rsidR="00F92A99" w:rsidRPr="00F92A99">
        <w:t xml:space="preserve">clarifications </w:t>
      </w:r>
      <w:r w:rsidR="00BF5FF3">
        <w:t>please do</w:t>
      </w:r>
      <w:r w:rsidR="00F92A99" w:rsidRPr="00F92A99">
        <w:t xml:space="preserve"> not refer </w:t>
      </w:r>
      <w:r w:rsidR="002A09AB">
        <w:t xml:space="preserve">to </w:t>
      </w:r>
      <w:r w:rsidR="00BF5FF3">
        <w:t>your</w:t>
      </w:r>
      <w:r w:rsidR="00F92A99" w:rsidRPr="00F92A99">
        <w:t xml:space="preserve"> identity </w:t>
      </w:r>
      <w:r w:rsidR="00BF5FF3">
        <w:t>in</w:t>
      </w:r>
      <w:r w:rsidR="00F92A99" w:rsidRPr="00F92A99">
        <w:t xml:space="preserve"> the body of the question.</w:t>
      </w:r>
    </w:p>
    <w:p w14:paraId="30DCF86E" w14:textId="375C66DB" w:rsidR="00244CD6" w:rsidRDefault="00422782" w:rsidP="00303471">
      <w:pPr>
        <w:pStyle w:val="Style8"/>
      </w:pPr>
      <w:r>
        <w:t>Questions asked and/</w:t>
      </w:r>
      <w:r w:rsidR="00244CD6" w:rsidRPr="00244CD6">
        <w:t xml:space="preserve">or clarifications raised will be responded to in a “Questions and Answers” document, which will be available in the “Attachments” section of the e-Sourcing Suite. Responses to questions will not identify the originator of the question and will be answered in batches, rather than one at a time, with updates appearing at regular (approximately four working day) intervals. </w:t>
      </w:r>
    </w:p>
    <w:p w14:paraId="2633618F" w14:textId="052F7CA4" w:rsidR="00F92A99" w:rsidRPr="00777AD8" w:rsidRDefault="003A11CC" w:rsidP="00303471">
      <w:pPr>
        <w:pStyle w:val="Style8"/>
      </w:pPr>
      <w:r>
        <w:t>The Agent</w:t>
      </w:r>
      <w:r w:rsidR="00244CD6" w:rsidRPr="00244CD6">
        <w:t xml:space="preserve"> will endeavour to publish responses to all questions outstanding at the end of the clarification period, before the deadline for the publication of </w:t>
      </w:r>
      <w:r w:rsidR="00244CD6" w:rsidRPr="00777AD8">
        <w:t xml:space="preserve">responses to Tender Clarification questions (see Procurement Timetable set out in paragraph 4). </w:t>
      </w:r>
    </w:p>
    <w:p w14:paraId="1C32714F" w14:textId="36B16CF0" w:rsidR="00F92A99" w:rsidRPr="00777AD8" w:rsidRDefault="00F92A99" w:rsidP="00303471">
      <w:pPr>
        <w:pStyle w:val="Style8"/>
      </w:pPr>
      <w:r w:rsidRPr="00777AD8">
        <w:t xml:space="preserve">If you wish to ask a question or seek clarification in confidence then you must notify </w:t>
      </w:r>
      <w:r w:rsidR="003A11CC" w:rsidRPr="00777AD8">
        <w:t>the Agent</w:t>
      </w:r>
      <w:r w:rsidRPr="00777AD8">
        <w:t xml:space="preserve"> and provide your justification for withholding the question and any response. If </w:t>
      </w:r>
      <w:r w:rsidR="003A11CC" w:rsidRPr="00777AD8">
        <w:t>the Agent</w:t>
      </w:r>
      <w:r w:rsidRPr="00777AD8">
        <w:t xml:space="preserve"> does not consider that there is sufficient justification for withholding the question and the corresponding response, </w:t>
      </w:r>
      <w:r w:rsidR="003A11CC" w:rsidRPr="00777AD8">
        <w:t>the Agent</w:t>
      </w:r>
      <w:r w:rsidRPr="00777AD8">
        <w:t xml:space="preserve"> will inform </w:t>
      </w:r>
      <w:r w:rsidR="00BF5FF3" w:rsidRPr="00777AD8">
        <w:t>you and you</w:t>
      </w:r>
      <w:r w:rsidRPr="00777AD8">
        <w:t xml:space="preserve"> will have an opportunity to wi</w:t>
      </w:r>
      <w:r w:rsidR="00BF5FF3" w:rsidRPr="00777AD8">
        <w:t>thdraw the question and/</w:t>
      </w:r>
      <w:r w:rsidRPr="00777AD8">
        <w:t xml:space="preserve">or clarification </w:t>
      </w:r>
      <w:r w:rsidR="00BF5FF3" w:rsidRPr="00777AD8">
        <w:t xml:space="preserve">If the question and/or clarification </w:t>
      </w:r>
      <w:r w:rsidRPr="00777AD8">
        <w:t xml:space="preserve">is not withdrawn, then the response will be issued to all Potential Providers </w:t>
      </w:r>
    </w:p>
    <w:p w14:paraId="4ABA65E7" w14:textId="4FAD151E" w:rsidR="00A93A1E" w:rsidRPr="00777AD8" w:rsidRDefault="00F92A99" w:rsidP="00303471">
      <w:pPr>
        <w:pStyle w:val="Style8"/>
      </w:pPr>
      <w:r w:rsidRPr="00777AD8">
        <w:t xml:space="preserve">You are responsible for monitoring the e-Sourcing Suite and the ‘Questions and Answers’ document in particular, for any responses to questions, general clarifications or other information issued by </w:t>
      </w:r>
      <w:r w:rsidR="003A11CC" w:rsidRPr="00777AD8">
        <w:t>the Agent</w:t>
      </w:r>
      <w:r w:rsidRPr="00777AD8">
        <w:t>. Answers to such questions may contain important information that may affect how you complete your Tender.</w:t>
      </w:r>
    </w:p>
    <w:p w14:paraId="6BE42ED3" w14:textId="3E100940" w:rsidR="002A09AB" w:rsidRPr="00777AD8" w:rsidRDefault="003A11CC" w:rsidP="00E0407C">
      <w:pPr>
        <w:pStyle w:val="Style8"/>
        <w:rPr>
          <w:rFonts w:eastAsia="STZhongsong"/>
          <w:sz w:val="20"/>
          <w:szCs w:val="20"/>
          <w:lang w:eastAsia="zh-CN"/>
        </w:rPr>
      </w:pPr>
      <w:r w:rsidRPr="00777AD8">
        <w:t>The Agent</w:t>
      </w:r>
      <w:r w:rsidR="002A09AB" w:rsidRPr="00777AD8">
        <w:t xml:space="preserve"> reserves the right to contact you at any time, for clarification on all and/or any part of your Tender during the Procurement process and which is likely to require a prompt response from you</w:t>
      </w:r>
      <w:r w:rsidR="00CE4E92" w:rsidRPr="00777AD8">
        <w:t xml:space="preserve">. </w:t>
      </w:r>
    </w:p>
    <w:p w14:paraId="2BE541AD" w14:textId="77777777" w:rsidR="0058734C" w:rsidRPr="00777AD8" w:rsidRDefault="0058734C" w:rsidP="00B3341B">
      <w:pPr>
        <w:pStyle w:val="Style7"/>
      </w:pPr>
      <w:bookmarkStart w:id="43" w:name="_Toc433035507"/>
      <w:r w:rsidRPr="00777AD8">
        <w:t>OVERVIEW OF THE EVALUATION PROCESS</w:t>
      </w:r>
      <w:bookmarkEnd w:id="43"/>
    </w:p>
    <w:p w14:paraId="1515486A" w14:textId="3E128F52" w:rsidR="00A93A1E" w:rsidRPr="00777AD8" w:rsidRDefault="0058734C" w:rsidP="00B3341B">
      <w:pPr>
        <w:pStyle w:val="Style8"/>
      </w:pPr>
      <w:r w:rsidRPr="00777AD8">
        <w:t>Paragraphs</w:t>
      </w:r>
      <w:r w:rsidR="00FB1839" w:rsidRPr="00777AD8">
        <w:t xml:space="preserve"> 8, </w:t>
      </w:r>
      <w:r w:rsidR="009F5FF7" w:rsidRPr="00777AD8">
        <w:t>9</w:t>
      </w:r>
      <w:r w:rsidR="00254B74" w:rsidRPr="00777AD8">
        <w:t xml:space="preserve">, </w:t>
      </w:r>
      <w:r w:rsidR="009F5FF7" w:rsidRPr="00777AD8">
        <w:t>10</w:t>
      </w:r>
      <w:r w:rsidR="002C36F2" w:rsidRPr="00777AD8">
        <w:t xml:space="preserve"> </w:t>
      </w:r>
      <w:r w:rsidR="00254B74" w:rsidRPr="00777AD8">
        <w:t xml:space="preserve">and 11 </w:t>
      </w:r>
      <w:r w:rsidR="009F5FF7" w:rsidRPr="00777AD8">
        <w:t>below</w:t>
      </w:r>
      <w:r w:rsidRPr="00777AD8">
        <w:t xml:space="preserve"> set out and explain the procedure, stages and process by which </w:t>
      </w:r>
      <w:r w:rsidR="003A11CC" w:rsidRPr="00777AD8">
        <w:t>the Agent</w:t>
      </w:r>
      <w:r w:rsidRPr="00777AD8">
        <w:t xml:space="preserve"> will assess </w:t>
      </w:r>
      <w:r w:rsidR="00187832" w:rsidRPr="00777AD8">
        <w:t>your</w:t>
      </w:r>
      <w:r w:rsidRPr="00777AD8">
        <w:t xml:space="preserve"> Tender. The evaluation procedure is divided into </w:t>
      </w:r>
      <w:r w:rsidR="003344C7" w:rsidRPr="00777AD8">
        <w:t>the following</w:t>
      </w:r>
      <w:r w:rsidR="00254B74" w:rsidRPr="00777AD8">
        <w:t xml:space="preserve"> key stages, which </w:t>
      </w:r>
      <w:r w:rsidR="003A11CC" w:rsidRPr="00777AD8">
        <w:t>the Agent</w:t>
      </w:r>
      <w:r w:rsidR="0054116A">
        <w:t xml:space="preserve"> may decide to run concurrently:</w:t>
      </w:r>
    </w:p>
    <w:p w14:paraId="6C87D7AE" w14:textId="69652E40" w:rsidR="003344C7" w:rsidRPr="00777AD8" w:rsidRDefault="003344C7" w:rsidP="00B3341B">
      <w:pPr>
        <w:pStyle w:val="Style9"/>
      </w:pPr>
      <w:r w:rsidRPr="00777AD8">
        <w:rPr>
          <w:b/>
        </w:rPr>
        <w:t>Compliance/validation</w:t>
      </w:r>
      <w:r w:rsidRPr="00777AD8">
        <w:t xml:space="preserve"> – </w:t>
      </w:r>
      <w:r w:rsidR="003A11CC" w:rsidRPr="00777AD8">
        <w:t>The Agent</w:t>
      </w:r>
      <w:r w:rsidRPr="00777AD8">
        <w:t xml:space="preserve"> will check your Tender to ensure it is compliant with the ITT and that your responses are valid. This includes satisfying all the participation requirements listed in the </w:t>
      </w:r>
      <w:r w:rsidR="00B076A3" w:rsidRPr="00777AD8">
        <w:t>e-S</w:t>
      </w:r>
      <w:r w:rsidR="00254B74" w:rsidRPr="00777AD8">
        <w:t>o</w:t>
      </w:r>
      <w:r w:rsidR="002A09AB" w:rsidRPr="00777AD8">
        <w:t>u</w:t>
      </w:r>
      <w:r w:rsidR="00254B74" w:rsidRPr="00777AD8">
        <w:t xml:space="preserve">rcing </w:t>
      </w:r>
      <w:r w:rsidR="00B076A3" w:rsidRPr="00777AD8">
        <w:t>S</w:t>
      </w:r>
      <w:r w:rsidR="00254B74" w:rsidRPr="00777AD8">
        <w:t>uite</w:t>
      </w:r>
      <w:r w:rsidRPr="00777AD8">
        <w:t xml:space="preserve"> ‘Participation Requirements’ section in accordance with paragraph </w:t>
      </w:r>
      <w:r w:rsidR="00FB1839" w:rsidRPr="00777AD8">
        <w:t>9</w:t>
      </w:r>
      <w:r w:rsidRPr="00777AD8">
        <w:t xml:space="preserve"> below </w:t>
      </w:r>
      <w:r w:rsidRPr="00777AD8">
        <w:rPr>
          <w:b/>
        </w:rPr>
        <w:t>(“Compliance/</w:t>
      </w:r>
      <w:r w:rsidR="000736A4" w:rsidRPr="00777AD8">
        <w:rPr>
          <w:b/>
        </w:rPr>
        <w:t>V</w:t>
      </w:r>
      <w:r w:rsidRPr="00777AD8">
        <w:rPr>
          <w:b/>
        </w:rPr>
        <w:t>alidation Stage”).</w:t>
      </w:r>
      <w:r w:rsidRPr="00777AD8">
        <w:t xml:space="preserve"> Non-compliant Tenders may be excluded from this Procurement by </w:t>
      </w:r>
      <w:r w:rsidR="003A11CC" w:rsidRPr="00777AD8">
        <w:t>the Agent</w:t>
      </w:r>
      <w:r w:rsidRPr="00777AD8">
        <w:t>.</w:t>
      </w:r>
    </w:p>
    <w:p w14:paraId="326A31DC" w14:textId="14CCD460" w:rsidR="003344C7" w:rsidRPr="00777AD8" w:rsidRDefault="003344C7" w:rsidP="00B3341B">
      <w:pPr>
        <w:pStyle w:val="Style9"/>
      </w:pPr>
      <w:r w:rsidRPr="00777AD8">
        <w:rPr>
          <w:b/>
        </w:rPr>
        <w:lastRenderedPageBreak/>
        <w:t>Selection Stage evaluation</w:t>
      </w:r>
      <w:r w:rsidRPr="00777AD8">
        <w:t xml:space="preserve"> - </w:t>
      </w:r>
      <w:r w:rsidR="003A11CC" w:rsidRPr="00777AD8">
        <w:t>The Agent</w:t>
      </w:r>
      <w:r w:rsidRPr="00777AD8">
        <w:t xml:space="preserve"> will assess responses to the Selection Questionnaire in accordance with paragraph </w:t>
      </w:r>
      <w:r w:rsidR="00FB1839" w:rsidRPr="00777AD8">
        <w:t>10</w:t>
      </w:r>
      <w:r w:rsidRPr="00777AD8">
        <w:t xml:space="preserve"> below </w:t>
      </w:r>
      <w:r w:rsidRPr="00777AD8">
        <w:rPr>
          <w:b/>
        </w:rPr>
        <w:t>(“Selection Stage”).</w:t>
      </w:r>
      <w:r w:rsidR="00254B74" w:rsidRPr="00777AD8">
        <w:t xml:space="preserve"> Tenders that do not meet the selection criteria at the Selection Stage will be excluded from this Procurement by </w:t>
      </w:r>
      <w:r w:rsidR="003A11CC" w:rsidRPr="00777AD8">
        <w:t>the Agent</w:t>
      </w:r>
      <w:r w:rsidR="00254B74" w:rsidRPr="00777AD8">
        <w:t>.</w:t>
      </w:r>
    </w:p>
    <w:p w14:paraId="27DB32A9" w14:textId="10FC18A1" w:rsidR="00E0407C" w:rsidRPr="00E0407C" w:rsidRDefault="003344C7" w:rsidP="00E0407C">
      <w:pPr>
        <w:pStyle w:val="Style9"/>
        <w:ind w:left="1985" w:hanging="851"/>
        <w:rPr>
          <w:b/>
        </w:rPr>
      </w:pPr>
      <w:r w:rsidRPr="00777AD8">
        <w:rPr>
          <w:b/>
        </w:rPr>
        <w:t>Award Stage evaluation</w:t>
      </w:r>
      <w:r w:rsidRPr="00777AD8">
        <w:t xml:space="preserve"> - </w:t>
      </w:r>
      <w:r w:rsidR="003A11CC" w:rsidRPr="00777AD8">
        <w:t>The Agent</w:t>
      </w:r>
      <w:r w:rsidRPr="00777AD8">
        <w:t xml:space="preserve"> will assess responses to the Award Questionnaire in accordance with paragraph 1</w:t>
      </w:r>
      <w:r w:rsidR="00FB1839" w:rsidRPr="00777AD8">
        <w:t>1</w:t>
      </w:r>
      <w:r w:rsidRPr="00777AD8">
        <w:t xml:space="preserve"> below </w:t>
      </w:r>
      <w:r w:rsidRPr="00777AD8">
        <w:rPr>
          <w:b/>
        </w:rPr>
        <w:t>(“Award St</w:t>
      </w:r>
      <w:r w:rsidRPr="00B3341B">
        <w:rPr>
          <w:b/>
        </w:rPr>
        <w:t>age”).</w:t>
      </w:r>
      <w:bookmarkStart w:id="44" w:name="_Ref285704218"/>
      <w:r w:rsidR="00E258B3" w:rsidRPr="00E0407C" w:rsidDel="000736A4">
        <w:rPr>
          <w:b/>
        </w:rPr>
        <w:t xml:space="preserve"> </w:t>
      </w:r>
    </w:p>
    <w:p w14:paraId="533726F1" w14:textId="15C9836B" w:rsidR="00A93A1E" w:rsidRPr="00CE4E92" w:rsidRDefault="0058734C" w:rsidP="00CE4E92">
      <w:pPr>
        <w:pStyle w:val="Style8"/>
        <w:rPr>
          <w:b/>
        </w:rPr>
      </w:pPr>
      <w:r w:rsidRPr="00CE4E92">
        <w:rPr>
          <w:b/>
        </w:rPr>
        <w:t>Consensus Marking Procedure</w:t>
      </w:r>
      <w:bookmarkEnd w:id="44"/>
    </w:p>
    <w:p w14:paraId="05DDC6E4" w14:textId="37256EEB" w:rsidR="0058734C" w:rsidRPr="00CE4E92" w:rsidRDefault="006E40C6" w:rsidP="002664EF">
      <w:pPr>
        <w:pStyle w:val="Style9"/>
      </w:pPr>
      <w:bookmarkStart w:id="45" w:name="_Toc422929130"/>
      <w:r>
        <w:rPr>
          <w:rStyle w:val="Style8Char"/>
          <w:rFonts w:eastAsia="STZhongsong"/>
          <w:sz w:val="22"/>
          <w:szCs w:val="22"/>
        </w:rPr>
        <w:t>Questions</w:t>
      </w:r>
      <w:r w:rsidR="0058734C" w:rsidRPr="00CE4E92">
        <w:rPr>
          <w:rStyle w:val="Style8Char"/>
          <w:rFonts w:eastAsia="STZhongsong"/>
          <w:sz w:val="22"/>
          <w:szCs w:val="22"/>
        </w:rPr>
        <w:t xml:space="preserve"> that are scored and require evaluation will be evaluated in accordance with the procedure</w:t>
      </w:r>
      <w:bookmarkEnd w:id="45"/>
      <w:r w:rsidR="0058734C" w:rsidRPr="00CE4E92">
        <w:rPr>
          <w:rStyle w:val="Style8Char"/>
          <w:sz w:val="22"/>
          <w:szCs w:val="22"/>
        </w:rPr>
        <w:t xml:space="preserve"> described in this paragraph at both the </w:t>
      </w:r>
      <w:r w:rsidR="005C32AF" w:rsidRPr="00CE4E92">
        <w:rPr>
          <w:rStyle w:val="Style8Char"/>
          <w:sz w:val="22"/>
          <w:szCs w:val="22"/>
        </w:rPr>
        <w:t xml:space="preserve">Selection </w:t>
      </w:r>
      <w:r w:rsidR="0058734C" w:rsidRPr="00CE4E92">
        <w:rPr>
          <w:rStyle w:val="Style8Char"/>
          <w:sz w:val="22"/>
          <w:szCs w:val="22"/>
        </w:rPr>
        <w:t>and the Award</w:t>
      </w:r>
      <w:r w:rsidR="0058734C" w:rsidRPr="00CE4E92">
        <w:t xml:space="preserve"> Stages.</w:t>
      </w:r>
    </w:p>
    <w:p w14:paraId="2823DC6A" w14:textId="668BE4F0" w:rsidR="0058734C" w:rsidRPr="004F3794" w:rsidRDefault="0058734C" w:rsidP="002664EF">
      <w:pPr>
        <w:pStyle w:val="Style9"/>
      </w:pPr>
      <w:r w:rsidRPr="00CE4E92">
        <w:t xml:space="preserve">The Consensus Marking Procedure is a </w:t>
      </w:r>
      <w:r w:rsidR="001253D6" w:rsidRPr="00CE4E92">
        <w:t>two-step</w:t>
      </w:r>
      <w:r w:rsidRPr="00CE4E92">
        <w:t xml:space="preserve"> process, comprising</w:t>
      </w:r>
      <w:r w:rsidRPr="004F3794">
        <w:t xml:space="preserve"> of:</w:t>
      </w:r>
    </w:p>
    <w:p w14:paraId="02CBA235" w14:textId="77777777" w:rsidR="0058734C" w:rsidRPr="004F3794" w:rsidRDefault="00FB0547" w:rsidP="002664EF">
      <w:pPr>
        <w:pStyle w:val="Style10"/>
      </w:pPr>
      <w:r w:rsidRPr="004F3794">
        <w:t>Independent</w:t>
      </w:r>
      <w:r w:rsidR="0058734C" w:rsidRPr="004F3794">
        <w:t xml:space="preserve"> evaluation; and</w:t>
      </w:r>
    </w:p>
    <w:p w14:paraId="591A7A9B" w14:textId="1D53B5D6" w:rsidR="0058734C" w:rsidRPr="004F3794" w:rsidRDefault="00F447D7" w:rsidP="002664EF">
      <w:pPr>
        <w:pStyle w:val="Style10"/>
      </w:pPr>
      <w:r w:rsidRPr="004F3794">
        <w:t>Group</w:t>
      </w:r>
      <w:r w:rsidR="0058734C" w:rsidRPr="004F3794">
        <w:t xml:space="preserve"> consensus marking.</w:t>
      </w:r>
    </w:p>
    <w:p w14:paraId="67DE84B8" w14:textId="77777777" w:rsidR="00A93A1E" w:rsidRPr="00CE4E92" w:rsidRDefault="0058734C" w:rsidP="00CE4E92">
      <w:pPr>
        <w:pStyle w:val="Style8"/>
      </w:pPr>
      <w:r w:rsidRPr="00CE4E92">
        <w:t xml:space="preserve">During the independent evaluation process each evaluator will separately (i.e. without conferring with other evaluators) scrutinise the quality of answers given by </w:t>
      </w:r>
      <w:r w:rsidR="00187832" w:rsidRPr="00CE4E92">
        <w:t>you in your</w:t>
      </w:r>
      <w:r w:rsidRPr="00CE4E92">
        <w:t xml:space="preserve"> Tender. Evaluators will apply the criteria applicable to </w:t>
      </w:r>
      <w:r w:rsidR="000630CF" w:rsidRPr="00CE4E92">
        <w:t>the question as set out in the e</w:t>
      </w:r>
      <w:r w:rsidRPr="00CE4E92">
        <w:t xml:space="preserve">valuation </w:t>
      </w:r>
      <w:r w:rsidR="000630CF" w:rsidRPr="00CE4E92">
        <w:t>g</w:t>
      </w:r>
      <w:r w:rsidRPr="00CE4E92">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5E9673B7" w14:textId="77777777" w:rsidR="00A93A1E" w:rsidRPr="00CE4E92" w:rsidRDefault="0058734C" w:rsidP="00CE4E92">
      <w:pPr>
        <w:pStyle w:val="Style8"/>
      </w:pPr>
      <w:r w:rsidRPr="00CE4E92">
        <w:t xml:space="preserve">When the independent evaluation exercise has been completed by all of the evaluators, a group consensus marking exercise will be coordinated by </w:t>
      </w:r>
      <w:r w:rsidR="00F30B43" w:rsidRPr="00CE4E92">
        <w:t xml:space="preserve">the </w:t>
      </w:r>
      <w:r w:rsidRPr="00CE4E92">
        <w:t>consensus marker as follows:</w:t>
      </w:r>
    </w:p>
    <w:p w14:paraId="4CE20A66" w14:textId="77777777" w:rsidR="0058734C" w:rsidRPr="004F3794" w:rsidRDefault="0058734C" w:rsidP="002664EF">
      <w:pPr>
        <w:pStyle w:val="Style9"/>
      </w:pPr>
      <w:r w:rsidRPr="004F3794">
        <w:t>The consensus marker will review the marks allocated by the individual evaluators together with their justifications for awarding the marks.</w:t>
      </w:r>
      <w:r>
        <w:t xml:space="preserve"> </w:t>
      </w:r>
    </w:p>
    <w:p w14:paraId="16B5B982" w14:textId="77777777" w:rsidR="0058734C" w:rsidRPr="004F3794" w:rsidRDefault="0058734C" w:rsidP="002664EF">
      <w:pPr>
        <w:pStyle w:val="Style9"/>
      </w:pPr>
      <w:r w:rsidRPr="004F3794">
        <w:t xml:space="preserve">The consensus marker will arrange for the evaluators to meet and discuss the marks they have allocated to </w:t>
      </w:r>
      <w:r w:rsidR="002A6C07">
        <w:t>responses</w:t>
      </w:r>
      <w:r w:rsidRPr="004F3794">
        <w:t xml:space="preserve"> provided </w:t>
      </w:r>
      <w:r w:rsidRPr="003068ED">
        <w:t>in the Tender. The con</w:t>
      </w:r>
      <w:r w:rsidRPr="004F3794">
        <w:t xml:space="preserve">sensus marker will facilitate discussion among the evaluators regarding the marks awarded and the related justifications. </w:t>
      </w:r>
    </w:p>
    <w:p w14:paraId="549A6A85" w14:textId="77777777" w:rsidR="0058734C" w:rsidRPr="004F3794" w:rsidRDefault="0058734C" w:rsidP="002664EF">
      <w:pPr>
        <w:pStyle w:val="Style9"/>
      </w:pPr>
      <w:bookmarkStart w:id="46" w:name="_Ref294281633"/>
      <w:r w:rsidRPr="004F3794">
        <w:t xml:space="preserve">During the meeting each evaluator will discuss the quality of the answers given to a question and review his/her justification for attributing the marks having regard to the relevant </w:t>
      </w:r>
      <w:r w:rsidR="0083744C">
        <w:t>Ma</w:t>
      </w:r>
      <w:r w:rsidRPr="004F3794">
        <w:t xml:space="preserve">rking </w:t>
      </w:r>
      <w:r w:rsidR="0083744C" w:rsidRPr="005269EA">
        <w:t>S</w:t>
      </w:r>
      <w:r w:rsidRPr="005269EA">
        <w:t>cheme</w:t>
      </w:r>
      <w:r w:rsidR="0083744C" w:rsidRPr="005269EA">
        <w:t>s</w:t>
      </w:r>
      <w:r w:rsidRPr="005269EA">
        <w:t xml:space="preserve"> at Attachment </w:t>
      </w:r>
      <w:r w:rsidR="009F5FF7" w:rsidRPr="005269EA">
        <w:t>2</w:t>
      </w:r>
      <w:r w:rsidRPr="005269EA">
        <w:t xml:space="preserve"> and Attachment </w:t>
      </w:r>
      <w:r w:rsidR="009F5FF7" w:rsidRPr="005269EA">
        <w:t>3. The</w:t>
      </w:r>
      <w:r w:rsidRPr="005269EA">
        <w:t xml:space="preserve"> evaluators will continue discussing the answers until the evaluators reach a consensus regarding the</w:t>
      </w:r>
      <w:r w:rsidRPr="004F3794">
        <w:t xml:space="preserve"> mark that should attributed to each Potential Provider’s answer to the question.</w:t>
      </w:r>
      <w:bookmarkEnd w:id="46"/>
      <w:r>
        <w:t xml:space="preserve"> </w:t>
      </w:r>
    </w:p>
    <w:p w14:paraId="42F5564B" w14:textId="77777777" w:rsidR="0058734C" w:rsidRPr="004F3794" w:rsidRDefault="0058734C" w:rsidP="002664EF">
      <w:pPr>
        <w:pStyle w:val="Style9"/>
      </w:pPr>
      <w:r w:rsidRPr="004F3794">
        <w:t xml:space="preserve">The consensus marker will record the consensus mark and the justification for the consensus mark in the e-Sourcing Suite. </w:t>
      </w:r>
    </w:p>
    <w:p w14:paraId="58FC5D40" w14:textId="77777777" w:rsidR="0058734C" w:rsidRPr="004F3794" w:rsidRDefault="0058734C" w:rsidP="002664EF">
      <w:pPr>
        <w:pStyle w:val="Style9"/>
      </w:pPr>
      <w:r w:rsidRPr="004F3794">
        <w:t>The process above will be repeated until all applicable answers in the Tender have been consensus marked by evaluators.</w:t>
      </w:r>
    </w:p>
    <w:p w14:paraId="64925091" w14:textId="77777777" w:rsidR="0058734C" w:rsidRDefault="0058734C" w:rsidP="002664EF">
      <w:pPr>
        <w:pStyle w:val="Style8"/>
      </w:pPr>
      <w:r w:rsidRPr="004F3794">
        <w:t xml:space="preserve">When the </w:t>
      </w:r>
      <w:r w:rsidR="0021440A">
        <w:t>C</w:t>
      </w:r>
      <w:r w:rsidR="0021440A" w:rsidRPr="004F3794">
        <w:t xml:space="preserve">onsensus </w:t>
      </w:r>
      <w:r w:rsidR="0021440A">
        <w:t>M</w:t>
      </w:r>
      <w:r w:rsidR="0021440A" w:rsidRPr="004F3794">
        <w:t xml:space="preserve">arking </w:t>
      </w:r>
      <w:r w:rsidR="0021440A">
        <w:t>Procedure</w:t>
      </w:r>
      <w:r w:rsidRPr="004F3794">
        <w:t xml:space="preserve"> has been completed, the e-Sourcing Suite will be </w:t>
      </w:r>
      <w:r w:rsidR="008C4418">
        <w:t xml:space="preserve">secured </w:t>
      </w:r>
      <w:r w:rsidRPr="004F3794">
        <w:t>by the consensus marker to ensure no further modifications are made to the consensus marks and justifications.</w:t>
      </w:r>
    </w:p>
    <w:p w14:paraId="17721D96" w14:textId="0FE5CCB3" w:rsidR="00320281" w:rsidRDefault="00320281">
      <w:pPr>
        <w:rPr>
          <w:rFonts w:ascii="Arial" w:eastAsia="Times New Roman" w:hAnsi="Arial" w:cs="Arial"/>
        </w:rPr>
      </w:pPr>
      <w:r>
        <w:br w:type="page"/>
      </w:r>
    </w:p>
    <w:p w14:paraId="7DEAB442" w14:textId="77777777" w:rsidR="00320281" w:rsidRPr="00320281" w:rsidRDefault="00320281" w:rsidP="00064719">
      <w:pPr>
        <w:pStyle w:val="Style9"/>
        <w:numPr>
          <w:ilvl w:val="0"/>
          <w:numId w:val="0"/>
        </w:numPr>
      </w:pPr>
    </w:p>
    <w:p w14:paraId="5C29AF3A" w14:textId="0BACA9B3" w:rsidR="009C4BCA" w:rsidRPr="009C4BCA" w:rsidRDefault="009C4BCA" w:rsidP="00064719">
      <w:pPr>
        <w:pStyle w:val="Style7"/>
      </w:pPr>
      <w:bookmarkStart w:id="47" w:name="_Toc433035508"/>
      <w:r w:rsidRPr="009C4BCA">
        <w:t>COMPLI</w:t>
      </w:r>
      <w:r w:rsidR="00320281">
        <w:t>A</w:t>
      </w:r>
      <w:r w:rsidRPr="009C4BCA">
        <w:t>NCE/VALIDATION STAGE</w:t>
      </w:r>
      <w:bookmarkEnd w:id="47"/>
    </w:p>
    <w:p w14:paraId="46343B22" w14:textId="4E0C2C0D" w:rsidR="009C4BCA" w:rsidRPr="005A6F5B" w:rsidRDefault="009C4BCA" w:rsidP="00064719">
      <w:pPr>
        <w:pStyle w:val="Style8"/>
      </w:pPr>
      <w:r w:rsidRPr="00704166">
        <w:t xml:space="preserve">Prior to commencing the formal evaluation process, Tenders will be checked to ensure they are compliant with the requirements of this ITT and its Attachments. Any non-compliant Tenders may, including in the event further questions are asked or clarification is sought by the </w:t>
      </w:r>
      <w:r w:rsidR="00427981">
        <w:t>Agent</w:t>
      </w:r>
      <w:r w:rsidR="00427981" w:rsidRPr="00704166">
        <w:t xml:space="preserve"> </w:t>
      </w:r>
      <w:r w:rsidRPr="00704166">
        <w:t>but fail to produce a satisfactor</w:t>
      </w:r>
      <w:r w:rsidR="00164FA2" w:rsidRPr="00704166">
        <w:t xml:space="preserve">y response, be rejected by </w:t>
      </w:r>
      <w:r w:rsidR="003A11CC">
        <w:t>the Agent</w:t>
      </w:r>
      <w:r w:rsidRPr="00704166">
        <w:t xml:space="preserve"> without proceeding to the </w:t>
      </w:r>
      <w:r w:rsidRPr="005A6F5B">
        <w:t>next stage of evaluation.</w:t>
      </w:r>
    </w:p>
    <w:p w14:paraId="5CCD52E1" w14:textId="784A54A5" w:rsidR="009C4BCA" w:rsidRPr="005A6F5B" w:rsidRDefault="009C4BCA" w:rsidP="00064719">
      <w:pPr>
        <w:pStyle w:val="Style8"/>
      </w:pPr>
      <w:r w:rsidRPr="005A6F5B">
        <w:t xml:space="preserve">If you cannot answer ‘yes’ to the questions in the Participation Requirements Section (Attachment 2) PR1, PR2 and PR3 your Tender shall be excluded from further involvement in this </w:t>
      </w:r>
      <w:r w:rsidR="009622BF">
        <w:t>P</w:t>
      </w:r>
      <w:r w:rsidRPr="005A6F5B">
        <w:t>rocurement.</w:t>
      </w:r>
    </w:p>
    <w:p w14:paraId="4BF15F2C" w14:textId="438E1501" w:rsidR="009C4BCA" w:rsidRPr="005A6F5B" w:rsidRDefault="009C4BCA" w:rsidP="00064719">
      <w:pPr>
        <w:pStyle w:val="Style8"/>
      </w:pPr>
      <w:r w:rsidRPr="005A6F5B">
        <w:t>If you cannot answer ‘yes’ to the questions in the Participation Requirements Section (Attachment 2) PR4, PR5 and PR6 your submission of a complian</w:t>
      </w:r>
      <w:r w:rsidR="006E40C6">
        <w:t xml:space="preserve">t Tender is at significant risk of being excluded from </w:t>
      </w:r>
      <w:r w:rsidR="009622BF">
        <w:t>further involvement in this Procurement.</w:t>
      </w:r>
    </w:p>
    <w:p w14:paraId="05DD083C" w14:textId="0816E704" w:rsidR="002D347B" w:rsidRPr="005A6F5B" w:rsidRDefault="009C4BCA" w:rsidP="00064719">
      <w:pPr>
        <w:pStyle w:val="Style8"/>
      </w:pPr>
      <w:r w:rsidRPr="005A6F5B">
        <w:t>Potential Providers who are excluded on grounds of non-compliance will be notified accordingly.</w:t>
      </w:r>
    </w:p>
    <w:p w14:paraId="4A6B9692" w14:textId="7BE2E29B" w:rsidR="00A80FEE" w:rsidRPr="005A6F5B" w:rsidRDefault="00CA156D" w:rsidP="00064719">
      <w:pPr>
        <w:pStyle w:val="Style7"/>
      </w:pPr>
      <w:bookmarkStart w:id="48" w:name="_Toc422930131"/>
      <w:bookmarkStart w:id="49" w:name="_Toc422930176"/>
      <w:bookmarkStart w:id="50" w:name="_Toc422930216"/>
      <w:bookmarkStart w:id="51" w:name="_Toc422930248"/>
      <w:bookmarkStart w:id="52" w:name="_Toc422930273"/>
      <w:bookmarkStart w:id="53" w:name="_Toc422930296"/>
      <w:bookmarkStart w:id="54" w:name="_Toc422929133"/>
      <w:bookmarkStart w:id="55" w:name="_Toc433035509"/>
      <w:bookmarkEnd w:id="48"/>
      <w:bookmarkEnd w:id="49"/>
      <w:bookmarkEnd w:id="50"/>
      <w:bookmarkEnd w:id="51"/>
      <w:bookmarkEnd w:id="52"/>
      <w:bookmarkEnd w:id="53"/>
      <w:bookmarkEnd w:id="54"/>
      <w:r w:rsidRPr="005A6F5B">
        <w:t>SELECTION STAGE EVALUATION</w:t>
      </w:r>
      <w:bookmarkEnd w:id="55"/>
    </w:p>
    <w:p w14:paraId="7EE0FD27" w14:textId="635793B5" w:rsidR="00320281" w:rsidRPr="005A6F5B" w:rsidRDefault="009C4BCA" w:rsidP="00280228">
      <w:pPr>
        <w:pStyle w:val="Style8"/>
      </w:pPr>
      <w:r w:rsidRPr="005A6F5B">
        <w:t xml:space="preserve">The information submitted in your response to the Selection Questionnaire will enable </w:t>
      </w:r>
      <w:r w:rsidR="003A11CC" w:rsidRPr="005A6F5B">
        <w:t>the Agent</w:t>
      </w:r>
      <w:r w:rsidRPr="005A6F5B">
        <w:t xml:space="preserve"> to consider your suitability to pursue a professional activity, economic and financial standing and technical and professional ability. If you fail to respond fully and accurately your Tender may be deemed non-compliant. </w:t>
      </w:r>
      <w:r w:rsidR="003A11CC" w:rsidRPr="005A6F5B">
        <w:t>The Agent</w:t>
      </w:r>
      <w:r w:rsidRPr="005A6F5B">
        <w:t xml:space="preserve"> reserves the right to exclude non-compliant Tenders from this Procurement.</w:t>
      </w:r>
      <w:r w:rsidR="00320281" w:rsidRPr="005A6F5B">
        <w:t xml:space="preserve"> </w:t>
      </w:r>
    </w:p>
    <w:p w14:paraId="16E1003E" w14:textId="0E80C98F" w:rsidR="009C4BCA" w:rsidRPr="005A6F5B" w:rsidRDefault="00A11FD9" w:rsidP="00E0407C">
      <w:pPr>
        <w:pStyle w:val="Style8"/>
        <w:rPr>
          <w:b/>
        </w:rPr>
      </w:pPr>
      <w:r w:rsidRPr="005A6F5B">
        <w:rPr>
          <w:b/>
        </w:rPr>
        <w:t>S</w:t>
      </w:r>
      <w:r w:rsidR="00B35B94" w:rsidRPr="005A6F5B">
        <w:rPr>
          <w:b/>
        </w:rPr>
        <w:t>tage 1</w:t>
      </w:r>
      <w:r w:rsidR="009C4BCA" w:rsidRPr="005A6F5B">
        <w:rPr>
          <w:b/>
        </w:rPr>
        <w:t xml:space="preserve"> - Selection Questionnaire section 5 – Economic and Financial Standing </w:t>
      </w:r>
    </w:p>
    <w:p w14:paraId="740F56BC" w14:textId="4344BFEA" w:rsidR="005269EA" w:rsidRDefault="009C4BCA" w:rsidP="00B41AF0">
      <w:pPr>
        <w:pStyle w:val="Style9"/>
      </w:pPr>
      <w:r w:rsidRPr="005A6F5B">
        <w:t>The information you submit in Selection Questionnaire Sections SQ1 Potential Provide</w:t>
      </w:r>
      <w:r w:rsidR="009622BF">
        <w:t>r Details</w:t>
      </w:r>
      <w:r w:rsidRPr="005A6F5B">
        <w:t xml:space="preserve"> and SQ2 Bidding Model will be used to carry out an assessment of your economic and financial standing. </w:t>
      </w:r>
      <w:r w:rsidR="005269EA" w:rsidRPr="005A6F5B">
        <w:t xml:space="preserve">If in response to the </w:t>
      </w:r>
      <w:r w:rsidR="009622BF">
        <w:t>Potential Provider Details</w:t>
      </w:r>
      <w:r w:rsidR="005269EA" w:rsidRPr="005A6F5B">
        <w:t>, you indicate that a guarantee will be provided</w:t>
      </w:r>
      <w:r w:rsidR="005269EA">
        <w:t>, the Agent will perform an assessment of the guarantor’s economic and financial standing in ac</w:t>
      </w:r>
      <w:r w:rsidR="00CE1329">
        <w:t>c</w:t>
      </w:r>
      <w:r w:rsidR="00B35B94">
        <w:t>ordance with this paragraph 10.2</w:t>
      </w:r>
      <w:r w:rsidR="005269EA">
        <w:t>.</w:t>
      </w:r>
    </w:p>
    <w:p w14:paraId="0B7F5C31" w14:textId="776CA541" w:rsidR="005269EA" w:rsidRDefault="00B41AF0" w:rsidP="005269EA">
      <w:pPr>
        <w:pStyle w:val="Style9"/>
      </w:pPr>
      <w:r>
        <w:t>The Agent</w:t>
      </w:r>
      <w:r w:rsidR="005269EA">
        <w:t xml:space="preserve"> uses a credit reference agency (currently Experian) as the first step in determini</w:t>
      </w:r>
      <w:r>
        <w:t>ng financial risk. The Agent</w:t>
      </w:r>
      <w:r w:rsidR="005269EA">
        <w:t xml:space="preserve"> will request an Experian financial risk score based on the information provided in response to the </w:t>
      </w:r>
      <w:r w:rsidR="009622BF">
        <w:t>Potential Provider Details</w:t>
      </w:r>
      <w:r w:rsidR="005269EA">
        <w:t xml:space="preserve">. The report provided by Experian will be used to determine the level of financial risk you represent. If the score provided by Experian is 51 or more (where a standard UK score is available), or the risk level is ‘average’ or better (where a standard International score is available) then you will be allocated a ‘pass’ and the Tender will proceed to Stage </w:t>
      </w:r>
      <w:r w:rsidR="009622BF">
        <w:t>2</w:t>
      </w:r>
      <w:r w:rsidR="005269EA">
        <w:t xml:space="preserve"> of the Selection Stage evaluation process.</w:t>
      </w:r>
    </w:p>
    <w:p w14:paraId="202A4912" w14:textId="77777777" w:rsidR="00A11FD9" w:rsidRPr="00704166" w:rsidRDefault="00A11FD9" w:rsidP="00A11FD9">
      <w:pPr>
        <w:pStyle w:val="Style9"/>
      </w:pPr>
      <w:r w:rsidRPr="00704166">
        <w:t>If any of the following circumstances arise:</w:t>
      </w:r>
    </w:p>
    <w:p w14:paraId="1141FD27" w14:textId="77777777" w:rsidR="00A11FD9" w:rsidRPr="00704166" w:rsidRDefault="00A11FD9" w:rsidP="00A11FD9">
      <w:pPr>
        <w:pStyle w:val="Style10"/>
      </w:pPr>
      <w:r w:rsidRPr="00704166">
        <w:t>the score provided by Experian (where a standard UK score is available) is less than 51;</w:t>
      </w:r>
    </w:p>
    <w:p w14:paraId="2B996AD4" w14:textId="77777777" w:rsidR="00A11FD9" w:rsidRPr="00704166" w:rsidRDefault="00A11FD9" w:rsidP="00A11FD9">
      <w:pPr>
        <w:pStyle w:val="Style10"/>
      </w:pPr>
      <w:r w:rsidRPr="00704166">
        <w:t>the score is less than the equivalent risk level above (where a standard international score is available); or</w:t>
      </w:r>
    </w:p>
    <w:p w14:paraId="37A4208E" w14:textId="77777777" w:rsidR="00A11FD9" w:rsidRPr="00704166" w:rsidRDefault="00A11FD9" w:rsidP="00A11FD9">
      <w:pPr>
        <w:pStyle w:val="Style10"/>
      </w:pPr>
      <w:r w:rsidRPr="00704166">
        <w:t xml:space="preserve">no standard Experian score is </w:t>
      </w:r>
      <w:r>
        <w:t>available for your organisation,</w:t>
      </w:r>
    </w:p>
    <w:p w14:paraId="2E81C3C0" w14:textId="341FD03F" w:rsidR="00A11FD9" w:rsidRPr="00704166" w:rsidRDefault="00A11FD9" w:rsidP="00A11FD9">
      <w:pPr>
        <w:pStyle w:val="Style9"/>
      </w:pPr>
      <w:r w:rsidRPr="00704166">
        <w:t xml:space="preserve">then the </w:t>
      </w:r>
      <w:r w:rsidR="00CE1329">
        <w:t>Agent</w:t>
      </w:r>
      <w:r w:rsidRPr="00704166">
        <w:t xml:space="preserve"> may ask you to provide a copy of your audited accounts for the most recent two years and/or one or more of the following in respect of your organisation or the proposed Framework Guarantor (as the case may be):</w:t>
      </w:r>
    </w:p>
    <w:p w14:paraId="433F6043" w14:textId="77777777" w:rsidR="00A11FD9" w:rsidRPr="00E8164C" w:rsidRDefault="00A11FD9" w:rsidP="00A11FD9">
      <w:pPr>
        <w:pStyle w:val="Style10"/>
      </w:pPr>
      <w:r w:rsidRPr="000D6319">
        <w:lastRenderedPageBreak/>
        <w:t xml:space="preserve">a statement of the turnover, profit &amp; loss account, current liabilities and assets, and cash flow for the </w:t>
      </w:r>
      <w:r w:rsidRPr="00E62D7C">
        <w:t xml:space="preserve">most recent year of trading for this </w:t>
      </w:r>
      <w:r w:rsidRPr="00E8164C">
        <w:t>organisation; or</w:t>
      </w:r>
    </w:p>
    <w:p w14:paraId="715CB710" w14:textId="77777777" w:rsidR="00A11FD9" w:rsidRPr="00E8164C" w:rsidRDefault="00A11FD9" w:rsidP="00A11FD9">
      <w:pPr>
        <w:pStyle w:val="Style10"/>
      </w:pPr>
      <w:r w:rsidRPr="00E8164C">
        <w:t>a statement</w:t>
      </w:r>
      <w:r w:rsidRPr="000D6319">
        <w:t xml:space="preserve"> of the cash flow forecast for the current year and a bank letter outlining the current cash and credit position; and/or</w:t>
      </w:r>
    </w:p>
    <w:p w14:paraId="0CE7E105" w14:textId="77777777" w:rsidR="00A11FD9" w:rsidRPr="000D6319" w:rsidRDefault="00A11FD9" w:rsidP="00A11FD9">
      <w:pPr>
        <w:pStyle w:val="Style10"/>
      </w:pPr>
      <w:proofErr w:type="gramStart"/>
      <w:r>
        <w:t>an</w:t>
      </w:r>
      <w:proofErr w:type="gramEnd"/>
      <w:r>
        <w:t xml:space="preserve"> </w:t>
      </w:r>
      <w:r w:rsidRPr="000D6319">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36B02833" w14:textId="22E9859D" w:rsidR="00A11FD9" w:rsidRPr="00704166" w:rsidRDefault="00A11FD9" w:rsidP="00A11FD9">
      <w:pPr>
        <w:pStyle w:val="Style9"/>
      </w:pPr>
      <w:r w:rsidRPr="00704166">
        <w:t xml:space="preserve">The </w:t>
      </w:r>
      <w:r w:rsidR="00CE1329">
        <w:t>Agent</w:t>
      </w:r>
      <w:r w:rsidRPr="00704166">
        <w:t xml:space="preserve"> will use the informa</w:t>
      </w:r>
      <w:r>
        <w:t>tion described in paragraph</w:t>
      </w:r>
      <w:r w:rsidR="00B35B94">
        <w:t xml:space="preserve"> 10.2</w:t>
      </w:r>
      <w:r w:rsidRPr="00704166">
        <w:t xml:space="preserve">.4 in addition to a detailed Experian report (where available) to assess whether your organisation’s or your proposed Framework Guarantor’s financial risk is average or better. This will be performed using the </w:t>
      </w:r>
      <w:r w:rsidR="00CE1329">
        <w:t>Agent’s</w:t>
      </w:r>
      <w:r w:rsidRPr="00704166">
        <w:t xml:space="preserve"> financial assessment template whi</w:t>
      </w:r>
      <w:r w:rsidR="00CE1329">
        <w:t>ch can be found at Attachment 11</w:t>
      </w:r>
      <w:r w:rsidRPr="00704166">
        <w:t xml:space="preserve"> – Financial Assessment Template (for information only), which covers a range of financial risk indicators.</w:t>
      </w:r>
    </w:p>
    <w:p w14:paraId="1F030CE3" w14:textId="6475867E" w:rsidR="00A11FD9" w:rsidRPr="00704166" w:rsidRDefault="00A11FD9" w:rsidP="00A11FD9">
      <w:pPr>
        <w:pStyle w:val="Style9"/>
      </w:pPr>
      <w:r w:rsidRPr="00704166">
        <w:t xml:space="preserve">If the </w:t>
      </w:r>
      <w:r w:rsidR="00CE1329">
        <w:t>Agent</w:t>
      </w:r>
      <w:r w:rsidRPr="00704166">
        <w:t xml:space="preserve"> then determines (i</w:t>
      </w:r>
      <w:r w:rsidR="00B35B94">
        <w:t>n accordance with paragraph 10.2</w:t>
      </w:r>
      <w:r w:rsidRPr="00704166">
        <w:t>.5) that the financial risk is determined as being ‘average or better’, then your Tender will proceed to Stage 2 of the Selection Stage evaluation process.</w:t>
      </w:r>
    </w:p>
    <w:p w14:paraId="53122A91" w14:textId="1E6C69F9" w:rsidR="00A11FD9" w:rsidRPr="00704166" w:rsidRDefault="00A11FD9" w:rsidP="00A11FD9">
      <w:pPr>
        <w:pStyle w:val="Style9"/>
      </w:pPr>
      <w:r w:rsidRPr="00704166">
        <w:t xml:space="preserve">If the </w:t>
      </w:r>
      <w:r w:rsidR="00B35B94">
        <w:t>Agent</w:t>
      </w:r>
      <w:r w:rsidRPr="00704166">
        <w:t xml:space="preserve"> determines (in accor</w:t>
      </w:r>
      <w:r w:rsidR="00D82205">
        <w:t>dance with paragraph 10.3</w:t>
      </w:r>
      <w:r w:rsidRPr="00704166">
        <w:t xml:space="preserve">.5 that the financial risk is determined as being ‘worse than average’, then the </w:t>
      </w:r>
      <w:r w:rsidR="00D82205">
        <w:t>Agent</w:t>
      </w:r>
      <w:r w:rsidRPr="00704166">
        <w:t xml:space="preserve"> may (in its sole discretion) request that you nominate a Framework Guarantor. If you nominate a Framework Guarantor the </w:t>
      </w:r>
      <w:r w:rsidR="00D82205">
        <w:t>Agent</w:t>
      </w:r>
      <w:r w:rsidRPr="00704166">
        <w:t xml:space="preserve"> will undert</w:t>
      </w:r>
      <w:r>
        <w:t>ake the steps at paragraphs 10.</w:t>
      </w:r>
      <w:r w:rsidR="00B35B94">
        <w:t>2</w:t>
      </w:r>
      <w:r>
        <w:t>.2 to 10.</w:t>
      </w:r>
      <w:r w:rsidR="00B35B94">
        <w:t>2</w:t>
      </w:r>
      <w:r w:rsidRPr="00704166">
        <w:t xml:space="preserve">.7 in respect of the proposed Framework Guarantor. </w:t>
      </w:r>
    </w:p>
    <w:p w14:paraId="7AF7EF2A" w14:textId="2F84C710" w:rsidR="00A11FD9" w:rsidRPr="00704166" w:rsidRDefault="00A11FD9" w:rsidP="00A11FD9">
      <w:pPr>
        <w:pStyle w:val="Style9"/>
      </w:pPr>
      <w:r w:rsidRPr="00704166">
        <w:t>Only if, after evaluating all the information requested and provided, the level of financial risk is still deemed not acceptable, or where the requested informat</w:t>
      </w:r>
      <w:r>
        <w:t>ion at 10.</w:t>
      </w:r>
      <w:r w:rsidR="00B35B94">
        <w:t>2</w:t>
      </w:r>
      <w:r w:rsidRPr="00704166">
        <w:t xml:space="preserve">.4 has not been provided, then the Tender will be excluded from further </w:t>
      </w:r>
      <w:r>
        <w:t>participation</w:t>
      </w:r>
      <w:r w:rsidRPr="00704166">
        <w:t xml:space="preserve"> in this </w:t>
      </w:r>
      <w:r w:rsidR="00B35B94">
        <w:t>P</w:t>
      </w:r>
      <w:r w:rsidRPr="00704166">
        <w:t>rocurement.</w:t>
      </w:r>
    </w:p>
    <w:p w14:paraId="7816FAFD" w14:textId="3958FAB5" w:rsidR="005269EA" w:rsidRDefault="00A11FD9" w:rsidP="00B35B94">
      <w:pPr>
        <w:pStyle w:val="Style9"/>
      </w:pPr>
      <w:r w:rsidRPr="00704166">
        <w:t>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 ‘worse than average’ risk level following this assessment, then the relevant member(s) will be required to obtain a Framework Guarantee. The A</w:t>
      </w:r>
      <w:r w:rsidR="00B35B94">
        <w:t>gent</w:t>
      </w:r>
      <w:r w:rsidRPr="00704166">
        <w:t xml:space="preserve"> will undert</w:t>
      </w:r>
      <w:r w:rsidR="00B35B94">
        <w:t>ake the steps at paragraphs 10.2</w:t>
      </w:r>
      <w:r w:rsidRPr="00704166">
        <w:t>.</w:t>
      </w:r>
      <w:r w:rsidR="00B35B94">
        <w:t>1</w:t>
      </w:r>
      <w:r>
        <w:t xml:space="preserve"> to 10.</w:t>
      </w:r>
      <w:r w:rsidR="00B35B94">
        <w:t>2</w:t>
      </w:r>
      <w:r w:rsidRPr="00704166">
        <w:t xml:space="preserve">.7 in respect of the proposed Framework Guarantor. If a Framework Guarantor cannot be provided and the level of financial risk remains not acceptable, the Tender will be excluded from further </w:t>
      </w:r>
      <w:r>
        <w:t>participation</w:t>
      </w:r>
      <w:r w:rsidR="00D82205">
        <w:t xml:space="preserve"> in this Procurement.</w:t>
      </w:r>
    </w:p>
    <w:p w14:paraId="589CF6C6" w14:textId="2394C8D6" w:rsidR="009C4BCA" w:rsidRPr="004111F1" w:rsidRDefault="009C4BCA" w:rsidP="004111F1">
      <w:pPr>
        <w:pStyle w:val="Style8"/>
        <w:rPr>
          <w:b/>
        </w:rPr>
      </w:pPr>
      <w:bookmarkStart w:id="56" w:name="_In_addition,_the"/>
      <w:bookmarkEnd w:id="56"/>
      <w:r w:rsidRPr="004111F1">
        <w:rPr>
          <w:b/>
        </w:rPr>
        <w:t>S</w:t>
      </w:r>
      <w:r w:rsidR="00B35B94">
        <w:rPr>
          <w:b/>
        </w:rPr>
        <w:t>tage 2</w:t>
      </w:r>
      <w:r w:rsidRPr="004111F1">
        <w:rPr>
          <w:b/>
        </w:rPr>
        <w:t xml:space="preserve"> -</w:t>
      </w:r>
      <w:r w:rsidR="00A80FEE" w:rsidRPr="004111F1">
        <w:rPr>
          <w:b/>
        </w:rPr>
        <w:t xml:space="preserve"> </w:t>
      </w:r>
      <w:r w:rsidRPr="004111F1">
        <w:rPr>
          <w:b/>
        </w:rPr>
        <w:t>Selection Questionnaire sections 3 and 4 – Grounds for Exclusion</w:t>
      </w:r>
    </w:p>
    <w:p w14:paraId="18B3E139" w14:textId="1F68EB02" w:rsidR="009C4BCA" w:rsidRPr="005A6F5B" w:rsidRDefault="009C4BCA" w:rsidP="004111F1">
      <w:pPr>
        <w:pStyle w:val="Style9"/>
      </w:pPr>
      <w:r w:rsidRPr="00FA2CB6">
        <w:t xml:space="preserve">In certain circumstances </w:t>
      </w:r>
      <w:r w:rsidR="003A11CC">
        <w:t>the Agent</w:t>
      </w:r>
      <w:r w:rsidRPr="00E26C18">
        <w:t xml:space="preserve"> is required by law to exclude Potential Providers from participating in this Procurement. If you cannot answer ‘no’ to every statement in Section </w:t>
      </w:r>
      <w:r w:rsidRPr="005A6F5B">
        <w:t xml:space="preserve">3 of the Selection Questionnaire (Attachment 2) then, subject to paragraph </w:t>
      </w:r>
      <w:r w:rsidR="00B35B94" w:rsidRPr="005A6F5B">
        <w:t>10.3</w:t>
      </w:r>
      <w:r w:rsidRPr="005A6F5B">
        <w:t>.3, your Tender shall be excluded from further participation in this Procurement (except where disproportionately small amounts of tax or social security obligations are involved).</w:t>
      </w:r>
    </w:p>
    <w:p w14:paraId="47D412A3" w14:textId="5475D3FB" w:rsidR="009C4BCA" w:rsidRPr="00EF6860" w:rsidRDefault="003A11CC" w:rsidP="004111F1">
      <w:pPr>
        <w:pStyle w:val="Style9"/>
      </w:pPr>
      <w:r w:rsidRPr="005A6F5B">
        <w:t>The Agent</w:t>
      </w:r>
      <w:r w:rsidR="009C4BCA" w:rsidRPr="005A6F5B">
        <w:t xml:space="preserve"> is entitled (in its sole discretion) to exclude a Potential Provider from further participation in this Procurement if any of the statements in response to Section 4 (Discretionary grounds for exclusion) of the Selection Questionnaire (Attachment 2</w:t>
      </w:r>
      <w:r w:rsidR="009C4BCA" w:rsidRPr="00B35B94">
        <w:t>) apply</w:t>
      </w:r>
      <w:r w:rsidR="009C4BCA" w:rsidRPr="00EF6860">
        <w:t xml:space="preserve">. If you cannot answer ‘No’ to every statement it is possible, subject </w:t>
      </w:r>
      <w:r w:rsidR="009C4BCA" w:rsidRPr="00B35B94">
        <w:t>to paragraph 10.</w:t>
      </w:r>
      <w:r w:rsidR="00B35B94">
        <w:t>3</w:t>
      </w:r>
      <w:r w:rsidR="009C4BCA" w:rsidRPr="00B35B94">
        <w:t>.3, your</w:t>
      </w:r>
      <w:r w:rsidR="009C4BCA" w:rsidRPr="00EF6860">
        <w:t xml:space="preserve"> Tender will be excluded from this Procurement. </w:t>
      </w:r>
    </w:p>
    <w:p w14:paraId="2DDBC345" w14:textId="437B1F96" w:rsidR="009C4BCA" w:rsidRPr="00704166" w:rsidRDefault="009C4BCA" w:rsidP="004111F1">
      <w:pPr>
        <w:pStyle w:val="Style9"/>
      </w:pPr>
      <w:r w:rsidRPr="00AF0006">
        <w:t>‘Self Cleaning’ (Covering both mandatory and discretionary exclusion</w:t>
      </w:r>
      <w:r w:rsidRPr="00704166">
        <w:t>)</w:t>
      </w:r>
    </w:p>
    <w:p w14:paraId="62DEEF8D" w14:textId="76CCB389" w:rsidR="009C4BCA" w:rsidRPr="000E69A7" w:rsidRDefault="009C4BCA" w:rsidP="004111F1">
      <w:pPr>
        <w:pStyle w:val="Style10"/>
      </w:pPr>
      <w:r w:rsidRPr="00FA2CB6">
        <w:lastRenderedPageBreak/>
        <w:t>If a Potential Provider provides sufficient evidence that remedial action has taken place s</w:t>
      </w:r>
      <w:r w:rsidRPr="00E26C18">
        <w:t xml:space="preserve">ubsequently that effectively “self cleans” the situation, </w:t>
      </w:r>
      <w:r w:rsidR="003A11CC">
        <w:t>the Agent</w:t>
      </w:r>
      <w:r w:rsidRPr="000E69A7">
        <w:t xml:space="preserve"> could decide that that Potential Provider shall not be excluded from this Procurement. As a minimum, you will have to demonstrate that you have:</w:t>
      </w:r>
    </w:p>
    <w:p w14:paraId="1D98EAFD" w14:textId="385966A7" w:rsidR="009C4BCA" w:rsidRPr="00B3341B" w:rsidRDefault="009C4BCA" w:rsidP="002D347B">
      <w:pPr>
        <w:pStyle w:val="Heading4"/>
        <w:numPr>
          <w:ilvl w:val="4"/>
          <w:numId w:val="1"/>
        </w:numPr>
        <w:rPr>
          <w:sz w:val="22"/>
          <w:szCs w:val="22"/>
        </w:rPr>
      </w:pPr>
      <w:proofErr w:type="gramStart"/>
      <w:r w:rsidRPr="00B3341B">
        <w:rPr>
          <w:sz w:val="22"/>
          <w:szCs w:val="22"/>
        </w:rPr>
        <w:t>paid</w:t>
      </w:r>
      <w:proofErr w:type="gramEnd"/>
      <w:r w:rsidRPr="00B3341B">
        <w:rPr>
          <w:sz w:val="22"/>
          <w:szCs w:val="22"/>
        </w:rPr>
        <w:t xml:space="preserve"> or undertaken to pay compensation in respect of any damage caused by any criminal offence or misconduct;</w:t>
      </w:r>
    </w:p>
    <w:p w14:paraId="0E7B9B91" w14:textId="58C3E4D7" w:rsidR="009C4BCA" w:rsidRPr="00B3341B" w:rsidRDefault="009C4BCA" w:rsidP="002D347B">
      <w:pPr>
        <w:pStyle w:val="Heading4"/>
        <w:numPr>
          <w:ilvl w:val="4"/>
          <w:numId w:val="1"/>
        </w:numPr>
        <w:rPr>
          <w:sz w:val="22"/>
          <w:szCs w:val="22"/>
        </w:rPr>
      </w:pPr>
      <w:proofErr w:type="gramStart"/>
      <w:r w:rsidRPr="00B3341B">
        <w:rPr>
          <w:sz w:val="22"/>
          <w:szCs w:val="22"/>
        </w:rPr>
        <w:t>clarified</w:t>
      </w:r>
      <w:proofErr w:type="gramEnd"/>
      <w:r w:rsidRPr="00B3341B">
        <w:rPr>
          <w:sz w:val="22"/>
          <w:szCs w:val="22"/>
        </w:rPr>
        <w:t xml:space="preserve"> the facts and circumstances in a comprehensive manner by actively collaborating with the investigating authorities; and</w:t>
      </w:r>
    </w:p>
    <w:p w14:paraId="370BD13C" w14:textId="1A436F0D" w:rsidR="009C4BCA" w:rsidRPr="00B3341B" w:rsidRDefault="009C4BCA" w:rsidP="002D347B">
      <w:pPr>
        <w:pStyle w:val="Heading4"/>
        <w:numPr>
          <w:ilvl w:val="4"/>
          <w:numId w:val="1"/>
        </w:numPr>
        <w:rPr>
          <w:sz w:val="22"/>
          <w:szCs w:val="22"/>
        </w:rPr>
      </w:pPr>
      <w:proofErr w:type="gramStart"/>
      <w:r w:rsidRPr="00B3341B">
        <w:rPr>
          <w:sz w:val="22"/>
          <w:szCs w:val="22"/>
        </w:rPr>
        <w:t>taken</w:t>
      </w:r>
      <w:proofErr w:type="gramEnd"/>
      <w:r w:rsidRPr="00B3341B">
        <w:rPr>
          <w:sz w:val="22"/>
          <w:szCs w:val="22"/>
        </w:rPr>
        <w:t xml:space="preserve"> concrete technical, organisational and personnel measures that are appropriate to prevent further criminal offences or misconduct.</w:t>
      </w:r>
    </w:p>
    <w:p w14:paraId="5B66B02E" w14:textId="5773CE3B" w:rsidR="009C4BCA" w:rsidRPr="00B35B94" w:rsidRDefault="009C4BCA" w:rsidP="004111F1">
      <w:pPr>
        <w:pStyle w:val="Style10"/>
      </w:pPr>
      <w:r w:rsidRPr="004111F1">
        <w:rPr>
          <w:rStyle w:val="Style10Char"/>
          <w:sz w:val="22"/>
          <w:szCs w:val="22"/>
        </w:rPr>
        <w:t xml:space="preserve">The measures you have taken will be evaluated taking into account the gravity and </w:t>
      </w:r>
      <w:r w:rsidRPr="00B35B94">
        <w:rPr>
          <w:rStyle w:val="Style10Char"/>
          <w:sz w:val="22"/>
          <w:szCs w:val="22"/>
        </w:rPr>
        <w:t>particular circumstances of the criminal offence or misconduct</w:t>
      </w:r>
      <w:r w:rsidRPr="00B35B94">
        <w:t>.</w:t>
      </w:r>
    </w:p>
    <w:p w14:paraId="0D81B632" w14:textId="01B05B9F" w:rsidR="009C4BCA" w:rsidRPr="00B35B94" w:rsidRDefault="00B35B94" w:rsidP="00280228">
      <w:pPr>
        <w:pStyle w:val="Style8"/>
        <w:rPr>
          <w:b/>
        </w:rPr>
      </w:pPr>
      <w:bookmarkStart w:id="57" w:name="_Ref275264377"/>
      <w:r w:rsidRPr="00B35B94">
        <w:rPr>
          <w:b/>
        </w:rPr>
        <w:t>Stage 3</w:t>
      </w:r>
      <w:r w:rsidR="009C4BCA" w:rsidRPr="00B35B94">
        <w:rPr>
          <w:b/>
        </w:rPr>
        <w:t xml:space="preserve"> - Sel</w:t>
      </w:r>
      <w:r w:rsidR="004111F1" w:rsidRPr="00B35B94">
        <w:rPr>
          <w:b/>
        </w:rPr>
        <w:t xml:space="preserve">ection Questionnaire section </w:t>
      </w:r>
      <w:r w:rsidRPr="00B35B94">
        <w:rPr>
          <w:b/>
        </w:rPr>
        <w:t>6 and</w:t>
      </w:r>
      <w:r w:rsidR="004111F1" w:rsidRPr="00B35B94">
        <w:rPr>
          <w:b/>
        </w:rPr>
        <w:t xml:space="preserve"> </w:t>
      </w:r>
      <w:r w:rsidR="009C4BCA" w:rsidRPr="00B35B94">
        <w:rPr>
          <w:b/>
        </w:rPr>
        <w:t>7</w:t>
      </w:r>
      <w:r w:rsidR="004111F1" w:rsidRPr="00B35B94">
        <w:rPr>
          <w:b/>
        </w:rPr>
        <w:t xml:space="preserve"> </w:t>
      </w:r>
      <w:bookmarkEnd w:id="57"/>
    </w:p>
    <w:p w14:paraId="44375BB4" w14:textId="6EE2ABD5" w:rsidR="009C4BCA" w:rsidRPr="00777AD8" w:rsidRDefault="009C4BCA" w:rsidP="00280228">
      <w:pPr>
        <w:pStyle w:val="Style9"/>
      </w:pPr>
      <w:r w:rsidRPr="00704166">
        <w:t xml:space="preserve">Responses to the questions in </w:t>
      </w:r>
      <w:r w:rsidRPr="00777AD8">
        <w:t>Section 6 will be assessed and awarded a ‘pass’ or a ‘fail’ based on the criteria set out in the Attachment 2 –Selection Questionnaire (Participation Requirements and Selection Questionnaire</w:t>
      </w:r>
      <w:r w:rsidR="00422782" w:rsidRPr="00777AD8">
        <w:t xml:space="preserve"> Guidance</w:t>
      </w:r>
      <w:r w:rsidRPr="00777AD8">
        <w:t xml:space="preserve">). </w:t>
      </w:r>
    </w:p>
    <w:p w14:paraId="18B371D6" w14:textId="3318527E" w:rsidR="00A17AAE" w:rsidRPr="00777AD8" w:rsidRDefault="00A17AAE" w:rsidP="00280228">
      <w:pPr>
        <w:pStyle w:val="Style9"/>
      </w:pPr>
      <w:r w:rsidRPr="00777AD8">
        <w:t xml:space="preserve">Responses to the question in Section </w:t>
      </w:r>
      <w:r w:rsidR="00427981" w:rsidRPr="00777AD8">
        <w:t>7</w:t>
      </w:r>
      <w:r w:rsidR="0050488E" w:rsidRPr="00777AD8">
        <w:t xml:space="preserve"> </w:t>
      </w:r>
      <w:r w:rsidRPr="00777AD8">
        <w:t xml:space="preserve">will be assessed and awarded a ‘pass’ or a ‘fail’ based on the criteria set out in the Attachment 2 – Participation Requirements and Selection Questionnaire. </w:t>
      </w:r>
    </w:p>
    <w:p w14:paraId="34B2C10A" w14:textId="1E0CABF9" w:rsidR="00F832FE" w:rsidRDefault="009C4BCA" w:rsidP="00280228">
      <w:pPr>
        <w:pStyle w:val="Style9"/>
      </w:pPr>
      <w:r w:rsidRPr="00777AD8">
        <w:t>If, following completion of the assessment of responses in Section 6 and</w:t>
      </w:r>
      <w:r w:rsidR="00F832FE" w:rsidRPr="00777AD8">
        <w:t xml:space="preserve"> </w:t>
      </w:r>
      <w:r w:rsidRPr="00777AD8">
        <w:t xml:space="preserve">Section </w:t>
      </w:r>
      <w:r w:rsidR="00427981" w:rsidRPr="00777AD8">
        <w:t xml:space="preserve">7 </w:t>
      </w:r>
      <w:r w:rsidRPr="00777AD8">
        <w:t xml:space="preserve">if any response to </w:t>
      </w:r>
      <w:r w:rsidR="009622BF">
        <w:t xml:space="preserve">any </w:t>
      </w:r>
      <w:r w:rsidRPr="00777AD8">
        <w:t>question is determined to constitute a ‘fail’, the Tender will not proceed to evaluation at the Award Stage (as described in paragraph 11</w:t>
      </w:r>
      <w:r w:rsidRPr="00B35B94">
        <w:t>) and will be</w:t>
      </w:r>
      <w:r w:rsidRPr="00704166">
        <w:t xml:space="preserve"> disqualified from further consideration for the purposes of this </w:t>
      </w:r>
      <w:r w:rsidR="0050488E">
        <w:t>P</w:t>
      </w:r>
      <w:r w:rsidRPr="00704166">
        <w:t xml:space="preserve">rocurement. </w:t>
      </w:r>
    </w:p>
    <w:p w14:paraId="48A45A73" w14:textId="77777777" w:rsidR="009C4BCA" w:rsidRPr="00426E51" w:rsidRDefault="009C4BCA" w:rsidP="00426E51">
      <w:pPr>
        <w:pStyle w:val="Style8"/>
        <w:rPr>
          <w:b/>
        </w:rPr>
      </w:pPr>
      <w:r w:rsidRPr="00426E51">
        <w:rPr>
          <w:b/>
        </w:rPr>
        <w:t>Selection of Tenders for the Award Stage evaluation</w:t>
      </w:r>
    </w:p>
    <w:p w14:paraId="642EC1FF" w14:textId="77777777" w:rsidR="009C4BCA" w:rsidRPr="00704166" w:rsidRDefault="009C4BCA" w:rsidP="00426E51">
      <w:pPr>
        <w:pStyle w:val="Style9"/>
      </w:pPr>
      <w:r w:rsidRPr="00704166">
        <w:t>Following evaluation of Tenders at this Selection Stage, those Potential Providers whose Tenders:</w:t>
      </w:r>
    </w:p>
    <w:p w14:paraId="70D533C4" w14:textId="77777777" w:rsidR="009C4BCA" w:rsidRPr="00B35B94" w:rsidRDefault="009C4BCA" w:rsidP="00C65CA1">
      <w:pPr>
        <w:pStyle w:val="Style10"/>
        <w:ind w:left="3119" w:hanging="1021"/>
      </w:pPr>
      <w:r w:rsidRPr="00704166">
        <w:t xml:space="preserve">pass the compliance/validation checks at </w:t>
      </w:r>
      <w:r w:rsidRPr="00B35B94">
        <w:t>paragraph 9 above;</w:t>
      </w:r>
    </w:p>
    <w:p w14:paraId="3E2FE821" w14:textId="77777777" w:rsidR="009C4BCA" w:rsidRPr="00B35B94" w:rsidRDefault="009C4BCA" w:rsidP="00C65CA1">
      <w:pPr>
        <w:pStyle w:val="Style10"/>
        <w:ind w:left="3119" w:hanging="1021"/>
      </w:pPr>
      <w:r w:rsidRPr="00B35B94">
        <w:t>meet the economic and financial standing requirements at Stage 1 above;</w:t>
      </w:r>
    </w:p>
    <w:p w14:paraId="4EE912A1" w14:textId="672E1E96" w:rsidR="009C4BCA" w:rsidRPr="00B35B94" w:rsidRDefault="009C4BCA" w:rsidP="00C65CA1">
      <w:pPr>
        <w:pStyle w:val="Style10"/>
        <w:ind w:left="3119" w:hanging="1021"/>
      </w:pPr>
      <w:r w:rsidRPr="00B35B94">
        <w:t>meet the standards set out in at Stage 2 above; and</w:t>
      </w:r>
    </w:p>
    <w:p w14:paraId="20A9DE0D" w14:textId="4581F69C" w:rsidR="004D57B6" w:rsidRPr="00B35B94" w:rsidRDefault="009C4BCA" w:rsidP="00C65CA1">
      <w:pPr>
        <w:pStyle w:val="Style10"/>
        <w:ind w:left="3119" w:hanging="1021"/>
      </w:pPr>
      <w:r w:rsidRPr="00B35B94">
        <w:t xml:space="preserve">achieve a </w:t>
      </w:r>
      <w:r w:rsidR="004111F1" w:rsidRPr="00B35B94">
        <w:t>‘</w:t>
      </w:r>
      <w:r w:rsidR="00BA458E" w:rsidRPr="00B35B94">
        <w:t>p</w:t>
      </w:r>
      <w:r w:rsidRPr="00B35B94">
        <w:t>ass</w:t>
      </w:r>
      <w:r w:rsidR="004111F1" w:rsidRPr="00B35B94">
        <w:t>’</w:t>
      </w:r>
      <w:r w:rsidRPr="00B35B94">
        <w:t xml:space="preserve"> to all the questions in Stage 3 above, </w:t>
      </w:r>
    </w:p>
    <w:p w14:paraId="5E7C7FC1" w14:textId="0F28EB56" w:rsidR="009C4BCA" w:rsidRPr="00704166" w:rsidRDefault="009C4BCA" w:rsidP="0091781F">
      <w:pPr>
        <w:pStyle w:val="Style10"/>
        <w:numPr>
          <w:ilvl w:val="0"/>
          <w:numId w:val="0"/>
        </w:numPr>
        <w:ind w:left="2160"/>
      </w:pPr>
      <w:proofErr w:type="gramStart"/>
      <w:r w:rsidRPr="00B35B94">
        <w:t>will</w:t>
      </w:r>
      <w:proofErr w:type="gramEnd"/>
      <w:r w:rsidRPr="00B35B94">
        <w:t xml:space="preserve"> proceed to the Award Stage evaluation (as described in paragraph 11).</w:t>
      </w:r>
      <w:r w:rsidRPr="00704166">
        <w:t xml:space="preserve"> All other Tenders will be excluded from this </w:t>
      </w:r>
      <w:r w:rsidR="0050488E">
        <w:t>P</w:t>
      </w:r>
      <w:r w:rsidRPr="00704166">
        <w:t>rocurement.</w:t>
      </w:r>
    </w:p>
    <w:p w14:paraId="693E0413" w14:textId="77777777" w:rsidR="009C4BCA" w:rsidRPr="00704166" w:rsidRDefault="009C4BCA" w:rsidP="00426E51">
      <w:pPr>
        <w:pStyle w:val="Style8"/>
      </w:pPr>
      <w:r w:rsidRPr="00704166">
        <w:t>Potential Providers who do not meet the criteria at the Selection Stage evaluation or are excluded on grounds of non-compliance will be notified accordingly.</w:t>
      </w:r>
    </w:p>
    <w:p w14:paraId="0B2F3B80" w14:textId="77777777" w:rsidR="009C4BCA" w:rsidRPr="00D45B61" w:rsidRDefault="009C4BCA" w:rsidP="00426E51">
      <w:pPr>
        <w:pStyle w:val="Style8"/>
        <w:rPr>
          <w:b/>
        </w:rPr>
      </w:pPr>
      <w:r w:rsidRPr="00D45B61">
        <w:rPr>
          <w:b/>
        </w:rPr>
        <w:t>Selection Stage – Evaluation Summary Table</w:t>
      </w:r>
    </w:p>
    <w:tbl>
      <w:tblPr>
        <w:tblStyle w:val="TableGrid2"/>
        <w:tblW w:w="9497" w:type="dxa"/>
        <w:tblInd w:w="704" w:type="dxa"/>
        <w:tblLook w:val="04A0" w:firstRow="1" w:lastRow="0" w:firstColumn="1" w:lastColumn="0" w:noHBand="0" w:noVBand="1"/>
      </w:tblPr>
      <w:tblGrid>
        <w:gridCol w:w="850"/>
        <w:gridCol w:w="3976"/>
        <w:gridCol w:w="2042"/>
        <w:gridCol w:w="2629"/>
      </w:tblGrid>
      <w:tr w:rsidR="00586FFE" w:rsidRPr="001C4B87" w14:paraId="5DA918B1" w14:textId="77777777" w:rsidTr="002A3178">
        <w:trPr>
          <w:cantSplit/>
          <w:trHeight w:val="454"/>
        </w:trPr>
        <w:tc>
          <w:tcPr>
            <w:tcW w:w="6868" w:type="dxa"/>
            <w:gridSpan w:val="3"/>
            <w:shd w:val="clear" w:color="auto" w:fill="A6A6A6" w:themeFill="background1" w:themeFillShade="A6"/>
            <w:vAlign w:val="center"/>
          </w:tcPr>
          <w:p w14:paraId="781429EA" w14:textId="77777777" w:rsidR="00586FFE" w:rsidRPr="001C4B87" w:rsidRDefault="00586FFE" w:rsidP="00833A6A">
            <w:pPr>
              <w:pStyle w:val="MarginText"/>
              <w:jc w:val="center"/>
              <w:rPr>
                <w:rFonts w:cs="Arial"/>
                <w:b/>
              </w:rPr>
            </w:pPr>
            <w:r w:rsidRPr="001C4B87">
              <w:rPr>
                <w:rFonts w:cs="Arial"/>
                <w:b/>
              </w:rPr>
              <w:t>Section</w:t>
            </w:r>
          </w:p>
        </w:tc>
        <w:tc>
          <w:tcPr>
            <w:tcW w:w="2629" w:type="dxa"/>
            <w:shd w:val="clear" w:color="auto" w:fill="A6A6A6" w:themeFill="background1" w:themeFillShade="A6"/>
            <w:vAlign w:val="center"/>
          </w:tcPr>
          <w:p w14:paraId="3898EC2C" w14:textId="77777777" w:rsidR="00586FFE" w:rsidRPr="001C4B87" w:rsidRDefault="00586FFE" w:rsidP="00833A6A">
            <w:pPr>
              <w:pStyle w:val="MarginText"/>
              <w:jc w:val="center"/>
              <w:rPr>
                <w:rFonts w:cs="Arial"/>
                <w:b/>
              </w:rPr>
            </w:pPr>
            <w:r w:rsidRPr="001C4B87">
              <w:rPr>
                <w:rFonts w:cs="Arial"/>
                <w:b/>
              </w:rPr>
              <w:t>Evaluated</w:t>
            </w:r>
          </w:p>
        </w:tc>
      </w:tr>
      <w:tr w:rsidR="00586FFE" w:rsidRPr="001C4B87" w14:paraId="1C5AA961" w14:textId="77777777" w:rsidTr="002A3178">
        <w:trPr>
          <w:cantSplit/>
          <w:trHeight w:val="399"/>
        </w:trPr>
        <w:tc>
          <w:tcPr>
            <w:tcW w:w="9497" w:type="dxa"/>
            <w:gridSpan w:val="4"/>
            <w:shd w:val="clear" w:color="auto" w:fill="000000" w:themeFill="text1"/>
            <w:vAlign w:val="center"/>
          </w:tcPr>
          <w:p w14:paraId="3B252DCB" w14:textId="77777777" w:rsidR="00586FFE" w:rsidRPr="001C4B87" w:rsidRDefault="00586FFE" w:rsidP="00833A6A">
            <w:pPr>
              <w:pStyle w:val="MarginText"/>
              <w:jc w:val="left"/>
              <w:rPr>
                <w:rFonts w:cs="Arial"/>
              </w:rPr>
            </w:pPr>
            <w:r w:rsidRPr="001C4B87">
              <w:rPr>
                <w:rFonts w:cs="Arial"/>
                <w:b/>
                <w:color w:val="FFFFFF" w:themeColor="background1"/>
              </w:rPr>
              <w:t>Section 1</w:t>
            </w:r>
            <w:r>
              <w:rPr>
                <w:rFonts w:cs="Arial"/>
                <w:b/>
                <w:color w:val="FFFFFF" w:themeColor="background1"/>
              </w:rPr>
              <w:t xml:space="preserve"> </w:t>
            </w:r>
            <w:r w:rsidRPr="001C4B87">
              <w:rPr>
                <w:rFonts w:cs="Arial"/>
                <w:b/>
                <w:color w:val="FFFFFF" w:themeColor="background1"/>
              </w:rPr>
              <w:t>– Potential Provider Details</w:t>
            </w:r>
          </w:p>
        </w:tc>
      </w:tr>
      <w:tr w:rsidR="00586FFE" w:rsidRPr="001C4B87" w14:paraId="43309066" w14:textId="77777777" w:rsidTr="002A3178">
        <w:trPr>
          <w:cantSplit/>
          <w:trHeight w:val="454"/>
        </w:trPr>
        <w:tc>
          <w:tcPr>
            <w:tcW w:w="850" w:type="dxa"/>
            <w:vAlign w:val="center"/>
          </w:tcPr>
          <w:p w14:paraId="5D209F8A" w14:textId="77777777" w:rsidR="00586FFE" w:rsidRPr="001C4B87" w:rsidRDefault="00586FFE" w:rsidP="00833A6A">
            <w:pPr>
              <w:pStyle w:val="MarginText"/>
              <w:jc w:val="center"/>
              <w:rPr>
                <w:rFonts w:cs="Arial"/>
              </w:rPr>
            </w:pPr>
            <w:r w:rsidRPr="001C4B87">
              <w:rPr>
                <w:rFonts w:cs="Arial"/>
              </w:rPr>
              <w:t>SQ1a</w:t>
            </w:r>
            <w:r>
              <w:rPr>
                <w:rFonts w:cs="Arial"/>
              </w:rPr>
              <w:t xml:space="preserve">     </w:t>
            </w:r>
          </w:p>
        </w:tc>
        <w:tc>
          <w:tcPr>
            <w:tcW w:w="3976" w:type="dxa"/>
            <w:vAlign w:val="center"/>
          </w:tcPr>
          <w:p w14:paraId="47955EE7" w14:textId="77777777" w:rsidR="00586FFE" w:rsidRPr="001C4B87" w:rsidRDefault="00586FFE" w:rsidP="00833A6A">
            <w:pPr>
              <w:pStyle w:val="MarginText"/>
              <w:jc w:val="left"/>
              <w:rPr>
                <w:rFonts w:cs="Arial"/>
              </w:rPr>
            </w:pPr>
            <w:r>
              <w:rPr>
                <w:rFonts w:cs="Arial"/>
              </w:rPr>
              <w:t>Organisational Details</w:t>
            </w:r>
          </w:p>
        </w:tc>
        <w:tc>
          <w:tcPr>
            <w:tcW w:w="2042" w:type="dxa"/>
            <w:vAlign w:val="center"/>
          </w:tcPr>
          <w:p w14:paraId="4866A1BA"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2457464C" w14:textId="77777777" w:rsidR="00586FFE" w:rsidRPr="001C4B87" w:rsidRDefault="00586FFE" w:rsidP="00833A6A">
            <w:pPr>
              <w:pStyle w:val="MarginText"/>
              <w:jc w:val="center"/>
              <w:rPr>
                <w:rFonts w:cs="Arial"/>
              </w:rPr>
            </w:pPr>
            <w:r w:rsidRPr="001C4B87">
              <w:rPr>
                <w:rFonts w:cs="Arial"/>
              </w:rPr>
              <w:t>N/A</w:t>
            </w:r>
          </w:p>
        </w:tc>
      </w:tr>
      <w:tr w:rsidR="00586FFE" w:rsidRPr="001C4B87" w14:paraId="7248C93E" w14:textId="77777777" w:rsidTr="002A3178">
        <w:trPr>
          <w:cantSplit/>
          <w:trHeight w:val="454"/>
        </w:trPr>
        <w:tc>
          <w:tcPr>
            <w:tcW w:w="850" w:type="dxa"/>
            <w:vAlign w:val="center"/>
          </w:tcPr>
          <w:p w14:paraId="39207B23" w14:textId="77777777" w:rsidR="00586FFE" w:rsidRPr="001C4B87" w:rsidRDefault="00586FFE" w:rsidP="00833A6A">
            <w:pPr>
              <w:pStyle w:val="MarginText"/>
              <w:jc w:val="center"/>
              <w:rPr>
                <w:rFonts w:cs="Arial"/>
              </w:rPr>
            </w:pPr>
            <w:r w:rsidRPr="001C4B87">
              <w:rPr>
                <w:rFonts w:cs="Arial"/>
              </w:rPr>
              <w:t>SQ1b</w:t>
            </w:r>
          </w:p>
        </w:tc>
        <w:tc>
          <w:tcPr>
            <w:tcW w:w="3976" w:type="dxa"/>
            <w:vAlign w:val="center"/>
          </w:tcPr>
          <w:p w14:paraId="2E20BEA4" w14:textId="77777777" w:rsidR="00586FFE" w:rsidRPr="001C4B87" w:rsidRDefault="00586FFE" w:rsidP="00833A6A">
            <w:pPr>
              <w:pStyle w:val="MarginText"/>
              <w:jc w:val="left"/>
              <w:rPr>
                <w:rFonts w:cs="Arial"/>
              </w:rPr>
            </w:pPr>
            <w:r w:rsidRPr="001C4B87">
              <w:rPr>
                <w:rFonts w:cs="Arial"/>
              </w:rPr>
              <w:t xml:space="preserve">Trading Status </w:t>
            </w:r>
          </w:p>
        </w:tc>
        <w:tc>
          <w:tcPr>
            <w:tcW w:w="2042" w:type="dxa"/>
            <w:vAlign w:val="center"/>
          </w:tcPr>
          <w:p w14:paraId="393E53A6"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271BD861" w14:textId="77777777" w:rsidR="00586FFE" w:rsidRPr="001C4B87" w:rsidRDefault="00586FFE" w:rsidP="00833A6A">
            <w:pPr>
              <w:pStyle w:val="MarginText"/>
              <w:jc w:val="center"/>
              <w:rPr>
                <w:rFonts w:cs="Arial"/>
              </w:rPr>
            </w:pPr>
            <w:r w:rsidRPr="001C4B87">
              <w:rPr>
                <w:rFonts w:cs="Arial"/>
              </w:rPr>
              <w:t>N/A</w:t>
            </w:r>
          </w:p>
        </w:tc>
      </w:tr>
      <w:tr w:rsidR="00586FFE" w:rsidRPr="001C4B87" w14:paraId="467DACD4" w14:textId="77777777" w:rsidTr="002A3178">
        <w:trPr>
          <w:cantSplit/>
          <w:trHeight w:val="454"/>
        </w:trPr>
        <w:tc>
          <w:tcPr>
            <w:tcW w:w="850" w:type="dxa"/>
            <w:vAlign w:val="center"/>
          </w:tcPr>
          <w:p w14:paraId="6D5D3EB7" w14:textId="77777777" w:rsidR="00586FFE" w:rsidRPr="001C4B87" w:rsidRDefault="00586FFE" w:rsidP="00833A6A">
            <w:pPr>
              <w:pStyle w:val="MarginText"/>
              <w:jc w:val="center"/>
              <w:rPr>
                <w:rFonts w:cs="Arial"/>
              </w:rPr>
            </w:pPr>
            <w:r w:rsidRPr="001C4B87">
              <w:rPr>
                <w:rFonts w:cs="Arial"/>
              </w:rPr>
              <w:t>SQ1c</w:t>
            </w:r>
          </w:p>
        </w:tc>
        <w:tc>
          <w:tcPr>
            <w:tcW w:w="3976" w:type="dxa"/>
            <w:vAlign w:val="center"/>
          </w:tcPr>
          <w:p w14:paraId="2D3BE19A" w14:textId="77777777" w:rsidR="00586FFE" w:rsidRPr="001C4B87" w:rsidRDefault="00586FFE" w:rsidP="00833A6A">
            <w:pPr>
              <w:pStyle w:val="MarginText"/>
              <w:jc w:val="left"/>
              <w:rPr>
                <w:rFonts w:cs="Arial"/>
              </w:rPr>
            </w:pPr>
            <w:r>
              <w:rPr>
                <w:rFonts w:cs="Arial"/>
              </w:rPr>
              <w:t xml:space="preserve">Other </w:t>
            </w:r>
            <w:r w:rsidRPr="001C4B87">
              <w:rPr>
                <w:rFonts w:cs="Arial"/>
              </w:rPr>
              <w:t>Trading Status</w:t>
            </w:r>
          </w:p>
        </w:tc>
        <w:tc>
          <w:tcPr>
            <w:tcW w:w="2042" w:type="dxa"/>
            <w:vAlign w:val="center"/>
          </w:tcPr>
          <w:p w14:paraId="6D4A92CE"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60EEDC13" w14:textId="77777777" w:rsidR="00586FFE" w:rsidRPr="001C4B87" w:rsidRDefault="00586FFE" w:rsidP="00833A6A">
            <w:pPr>
              <w:pStyle w:val="MarginText"/>
              <w:jc w:val="center"/>
              <w:rPr>
                <w:rFonts w:cs="Arial"/>
                <w:bCs/>
                <w:color w:val="000000"/>
                <w:lang w:eastAsia="en-GB"/>
              </w:rPr>
            </w:pPr>
            <w:r w:rsidRPr="001C4B87">
              <w:rPr>
                <w:rFonts w:cs="Arial"/>
              </w:rPr>
              <w:t>N/A</w:t>
            </w:r>
          </w:p>
        </w:tc>
      </w:tr>
      <w:tr w:rsidR="00586FFE" w:rsidRPr="001C4B87" w14:paraId="2E789551" w14:textId="77777777" w:rsidTr="002A3178">
        <w:trPr>
          <w:cantSplit/>
          <w:trHeight w:val="454"/>
        </w:trPr>
        <w:tc>
          <w:tcPr>
            <w:tcW w:w="850" w:type="dxa"/>
            <w:vAlign w:val="center"/>
          </w:tcPr>
          <w:p w14:paraId="5E5C1861" w14:textId="77777777" w:rsidR="00586FFE" w:rsidRPr="001C4B87" w:rsidRDefault="00586FFE" w:rsidP="00833A6A">
            <w:pPr>
              <w:pStyle w:val="MarginText"/>
              <w:jc w:val="center"/>
              <w:rPr>
                <w:rFonts w:cs="Arial"/>
              </w:rPr>
            </w:pPr>
            <w:r w:rsidRPr="001C4B87">
              <w:rPr>
                <w:rFonts w:cs="Arial"/>
              </w:rPr>
              <w:t>SQ1d</w:t>
            </w:r>
          </w:p>
        </w:tc>
        <w:tc>
          <w:tcPr>
            <w:tcW w:w="3976" w:type="dxa"/>
            <w:vAlign w:val="center"/>
          </w:tcPr>
          <w:p w14:paraId="0E203980" w14:textId="77777777" w:rsidR="00586FFE" w:rsidRPr="001C4B87" w:rsidRDefault="00586FFE" w:rsidP="00833A6A">
            <w:pPr>
              <w:pStyle w:val="MarginText"/>
              <w:jc w:val="left"/>
              <w:rPr>
                <w:rFonts w:cs="Arial"/>
              </w:rPr>
            </w:pPr>
            <w:r w:rsidRPr="001C4B87">
              <w:rPr>
                <w:rFonts w:cs="Arial"/>
              </w:rPr>
              <w:t xml:space="preserve">Charity Registration number </w:t>
            </w:r>
          </w:p>
        </w:tc>
        <w:tc>
          <w:tcPr>
            <w:tcW w:w="2042" w:type="dxa"/>
            <w:vAlign w:val="center"/>
          </w:tcPr>
          <w:p w14:paraId="054AAB6F"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1C9F8330" w14:textId="77777777" w:rsidR="00586FFE" w:rsidRPr="001C4B87" w:rsidRDefault="00586FFE" w:rsidP="00833A6A">
            <w:pPr>
              <w:pStyle w:val="MarginText"/>
              <w:jc w:val="center"/>
              <w:rPr>
                <w:rFonts w:cs="Arial"/>
              </w:rPr>
            </w:pPr>
            <w:r w:rsidRPr="001C4B87">
              <w:rPr>
                <w:rFonts w:cs="Arial"/>
              </w:rPr>
              <w:t>N/A</w:t>
            </w:r>
          </w:p>
        </w:tc>
      </w:tr>
      <w:tr w:rsidR="00586FFE" w:rsidRPr="001C4B87" w14:paraId="605D1DEB" w14:textId="77777777" w:rsidTr="002A3178">
        <w:trPr>
          <w:cantSplit/>
          <w:trHeight w:val="454"/>
        </w:trPr>
        <w:tc>
          <w:tcPr>
            <w:tcW w:w="850" w:type="dxa"/>
            <w:vAlign w:val="center"/>
          </w:tcPr>
          <w:p w14:paraId="630505D6" w14:textId="77777777" w:rsidR="00586FFE" w:rsidRPr="001C4B87" w:rsidRDefault="00586FFE" w:rsidP="00833A6A">
            <w:pPr>
              <w:pStyle w:val="MarginText"/>
              <w:jc w:val="center"/>
              <w:rPr>
                <w:rFonts w:cs="Arial"/>
              </w:rPr>
            </w:pPr>
            <w:r w:rsidRPr="001C4B87">
              <w:rPr>
                <w:rFonts w:cs="Arial"/>
              </w:rPr>
              <w:lastRenderedPageBreak/>
              <w:t>SQ1e</w:t>
            </w:r>
          </w:p>
        </w:tc>
        <w:tc>
          <w:tcPr>
            <w:tcW w:w="3976" w:type="dxa"/>
            <w:vAlign w:val="center"/>
          </w:tcPr>
          <w:p w14:paraId="52BDD289" w14:textId="77777777" w:rsidR="00586FFE" w:rsidRPr="001C4B87" w:rsidRDefault="00586FFE" w:rsidP="00833A6A">
            <w:pPr>
              <w:pStyle w:val="MarginText"/>
              <w:jc w:val="left"/>
              <w:rPr>
                <w:rFonts w:cs="Arial"/>
              </w:rPr>
            </w:pPr>
            <w:r w:rsidRPr="001C4B87">
              <w:rPr>
                <w:rFonts w:cs="Arial"/>
              </w:rPr>
              <w:t>Relevant classifications</w:t>
            </w:r>
          </w:p>
        </w:tc>
        <w:tc>
          <w:tcPr>
            <w:tcW w:w="2042" w:type="dxa"/>
            <w:vAlign w:val="center"/>
          </w:tcPr>
          <w:p w14:paraId="5742ABE8"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33C9D0D4" w14:textId="77777777" w:rsidR="00586FFE" w:rsidRPr="001C4B87" w:rsidRDefault="00586FFE" w:rsidP="00833A6A">
            <w:pPr>
              <w:pStyle w:val="MarginText"/>
              <w:jc w:val="center"/>
              <w:rPr>
                <w:rFonts w:cs="Arial"/>
              </w:rPr>
            </w:pPr>
            <w:r w:rsidRPr="001C4B87">
              <w:rPr>
                <w:rFonts w:cs="Arial"/>
              </w:rPr>
              <w:t>N/A</w:t>
            </w:r>
          </w:p>
        </w:tc>
      </w:tr>
      <w:tr w:rsidR="00586FFE" w:rsidRPr="001C4B87" w14:paraId="79E282EF" w14:textId="77777777" w:rsidTr="002A3178">
        <w:trPr>
          <w:cantSplit/>
          <w:trHeight w:val="454"/>
        </w:trPr>
        <w:tc>
          <w:tcPr>
            <w:tcW w:w="850" w:type="dxa"/>
            <w:vAlign w:val="center"/>
          </w:tcPr>
          <w:p w14:paraId="6F51B675" w14:textId="77777777" w:rsidR="00586FFE" w:rsidRPr="001C4B87" w:rsidRDefault="00586FFE" w:rsidP="00833A6A">
            <w:pPr>
              <w:pStyle w:val="MarginText"/>
              <w:jc w:val="center"/>
              <w:rPr>
                <w:rFonts w:cs="Arial"/>
              </w:rPr>
            </w:pPr>
            <w:r w:rsidRPr="001C4B87">
              <w:rPr>
                <w:rFonts w:cs="Arial"/>
              </w:rPr>
              <w:t>SQ1f</w:t>
            </w:r>
          </w:p>
        </w:tc>
        <w:tc>
          <w:tcPr>
            <w:tcW w:w="3976" w:type="dxa"/>
            <w:vAlign w:val="center"/>
          </w:tcPr>
          <w:p w14:paraId="2CD18A89" w14:textId="77777777" w:rsidR="00586FFE" w:rsidRPr="001C4B87" w:rsidRDefault="00586FFE" w:rsidP="00833A6A">
            <w:pPr>
              <w:pStyle w:val="MarginText"/>
              <w:jc w:val="left"/>
              <w:rPr>
                <w:rFonts w:cs="Arial"/>
              </w:rPr>
            </w:pPr>
            <w:r>
              <w:rPr>
                <w:rFonts w:cs="Arial"/>
              </w:rPr>
              <w:t>P</w:t>
            </w:r>
            <w:r w:rsidRPr="001C4B87">
              <w:rPr>
                <w:rFonts w:cs="Arial"/>
              </w:rPr>
              <w:t>rofessional or trade regist</w:t>
            </w:r>
            <w:r>
              <w:rPr>
                <w:rFonts w:cs="Arial"/>
              </w:rPr>
              <w:t xml:space="preserve">ration </w:t>
            </w:r>
          </w:p>
        </w:tc>
        <w:tc>
          <w:tcPr>
            <w:tcW w:w="2042" w:type="dxa"/>
            <w:vAlign w:val="center"/>
          </w:tcPr>
          <w:p w14:paraId="7DBC7020"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41266AF8" w14:textId="77777777" w:rsidR="00586FFE" w:rsidRPr="001C4B87" w:rsidRDefault="00586FFE" w:rsidP="00833A6A">
            <w:pPr>
              <w:pStyle w:val="MarginText"/>
              <w:jc w:val="center"/>
              <w:rPr>
                <w:rFonts w:cs="Arial"/>
              </w:rPr>
            </w:pPr>
            <w:r w:rsidRPr="001C4B87">
              <w:rPr>
                <w:rFonts w:cs="Arial"/>
              </w:rPr>
              <w:t>N/A</w:t>
            </w:r>
          </w:p>
        </w:tc>
      </w:tr>
      <w:tr w:rsidR="00586FFE" w:rsidRPr="001C4B87" w14:paraId="7FF01BB5" w14:textId="77777777" w:rsidTr="002A3178">
        <w:trPr>
          <w:cantSplit/>
          <w:trHeight w:val="454"/>
        </w:trPr>
        <w:tc>
          <w:tcPr>
            <w:tcW w:w="850" w:type="dxa"/>
            <w:vAlign w:val="center"/>
          </w:tcPr>
          <w:p w14:paraId="01C5F8AC" w14:textId="77777777" w:rsidR="00586FFE" w:rsidRPr="001C4B87" w:rsidRDefault="00586FFE" w:rsidP="00833A6A">
            <w:pPr>
              <w:pStyle w:val="MarginText"/>
              <w:jc w:val="center"/>
              <w:rPr>
                <w:rFonts w:cs="Arial"/>
              </w:rPr>
            </w:pPr>
            <w:r w:rsidRPr="001C4B87">
              <w:rPr>
                <w:rFonts w:cs="Arial"/>
              </w:rPr>
              <w:t>SQ1g</w:t>
            </w:r>
          </w:p>
        </w:tc>
        <w:tc>
          <w:tcPr>
            <w:tcW w:w="3976" w:type="dxa"/>
            <w:vAlign w:val="center"/>
          </w:tcPr>
          <w:p w14:paraId="22E19D0D" w14:textId="77777777" w:rsidR="00586FFE" w:rsidRPr="001C4B87" w:rsidRDefault="00586FFE" w:rsidP="00833A6A">
            <w:pPr>
              <w:pStyle w:val="MarginText"/>
              <w:jc w:val="left"/>
              <w:rPr>
                <w:rFonts w:cs="Arial"/>
              </w:rPr>
            </w:pPr>
            <w:r w:rsidRPr="001C4B87">
              <w:rPr>
                <w:rFonts w:cs="Arial"/>
              </w:rPr>
              <w:t xml:space="preserve">Registration details </w:t>
            </w:r>
          </w:p>
        </w:tc>
        <w:tc>
          <w:tcPr>
            <w:tcW w:w="2042" w:type="dxa"/>
            <w:vAlign w:val="center"/>
          </w:tcPr>
          <w:p w14:paraId="4452C8E7"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36F213D8" w14:textId="77777777" w:rsidR="00586FFE" w:rsidRPr="001C4B87" w:rsidRDefault="00586FFE" w:rsidP="00833A6A">
            <w:pPr>
              <w:pStyle w:val="MarginText"/>
              <w:jc w:val="center"/>
              <w:rPr>
                <w:rFonts w:cs="Arial"/>
              </w:rPr>
            </w:pPr>
            <w:r w:rsidRPr="001C4B87">
              <w:rPr>
                <w:rFonts w:cs="Arial"/>
              </w:rPr>
              <w:t>N/A</w:t>
            </w:r>
          </w:p>
        </w:tc>
      </w:tr>
      <w:tr w:rsidR="00586FFE" w:rsidRPr="001C4B87" w14:paraId="6FC50A09" w14:textId="77777777" w:rsidTr="002A3178">
        <w:trPr>
          <w:cantSplit/>
          <w:trHeight w:val="454"/>
        </w:trPr>
        <w:tc>
          <w:tcPr>
            <w:tcW w:w="850" w:type="dxa"/>
            <w:vAlign w:val="center"/>
          </w:tcPr>
          <w:p w14:paraId="3963F194" w14:textId="77777777" w:rsidR="00586FFE" w:rsidRPr="001C4B87" w:rsidRDefault="00586FFE" w:rsidP="00833A6A">
            <w:pPr>
              <w:pStyle w:val="MarginText"/>
              <w:jc w:val="center"/>
              <w:rPr>
                <w:rFonts w:cs="Arial"/>
              </w:rPr>
            </w:pPr>
            <w:r w:rsidRPr="001C4B87">
              <w:rPr>
                <w:rFonts w:cs="Arial"/>
              </w:rPr>
              <w:t>SQ1h</w:t>
            </w:r>
          </w:p>
        </w:tc>
        <w:tc>
          <w:tcPr>
            <w:tcW w:w="3976" w:type="dxa"/>
            <w:vAlign w:val="center"/>
          </w:tcPr>
          <w:p w14:paraId="4A379A4D" w14:textId="77777777" w:rsidR="00586FFE" w:rsidRPr="001C4B87" w:rsidRDefault="00586FFE" w:rsidP="00833A6A">
            <w:pPr>
              <w:pStyle w:val="MarginText"/>
              <w:jc w:val="left"/>
              <w:rPr>
                <w:rFonts w:cs="Arial"/>
              </w:rPr>
            </w:pPr>
            <w:r>
              <w:rPr>
                <w:rFonts w:cs="Arial"/>
              </w:rPr>
              <w:t>L</w:t>
            </w:r>
            <w:r w:rsidRPr="001C4B87">
              <w:rPr>
                <w:rFonts w:cs="Arial"/>
              </w:rPr>
              <w:t>egal requirement to obtain particular authorisation</w:t>
            </w:r>
          </w:p>
        </w:tc>
        <w:tc>
          <w:tcPr>
            <w:tcW w:w="2042" w:type="dxa"/>
            <w:vAlign w:val="center"/>
          </w:tcPr>
          <w:p w14:paraId="52274627"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47BB1943" w14:textId="77777777" w:rsidR="00586FFE" w:rsidRPr="001C4B87" w:rsidRDefault="00586FFE" w:rsidP="00833A6A">
            <w:pPr>
              <w:pStyle w:val="MarginText"/>
              <w:jc w:val="center"/>
              <w:rPr>
                <w:rFonts w:cs="Arial"/>
              </w:rPr>
            </w:pPr>
            <w:r w:rsidRPr="001C4B87">
              <w:rPr>
                <w:rFonts w:cs="Arial"/>
              </w:rPr>
              <w:t>N/A</w:t>
            </w:r>
          </w:p>
        </w:tc>
      </w:tr>
      <w:tr w:rsidR="00586FFE" w:rsidRPr="001C4B87" w14:paraId="1C6BF4A3" w14:textId="77777777" w:rsidTr="002A3178">
        <w:trPr>
          <w:cantSplit/>
          <w:trHeight w:val="454"/>
        </w:trPr>
        <w:tc>
          <w:tcPr>
            <w:tcW w:w="850" w:type="dxa"/>
            <w:vAlign w:val="center"/>
          </w:tcPr>
          <w:p w14:paraId="751EEE48" w14:textId="77777777" w:rsidR="00586FFE" w:rsidRPr="001C4B87" w:rsidRDefault="00586FFE" w:rsidP="00833A6A">
            <w:pPr>
              <w:pStyle w:val="MarginText"/>
              <w:jc w:val="center"/>
              <w:rPr>
                <w:rFonts w:cs="Arial"/>
              </w:rPr>
            </w:pPr>
            <w:r w:rsidRPr="001C4B87">
              <w:rPr>
                <w:rFonts w:cs="Arial"/>
              </w:rPr>
              <w:t>SQ1i</w:t>
            </w:r>
          </w:p>
        </w:tc>
        <w:tc>
          <w:tcPr>
            <w:tcW w:w="3976" w:type="dxa"/>
            <w:vAlign w:val="center"/>
          </w:tcPr>
          <w:p w14:paraId="3EA83977" w14:textId="77777777" w:rsidR="00586FFE" w:rsidRPr="001C4B87" w:rsidRDefault="00586FFE" w:rsidP="00833A6A">
            <w:pPr>
              <w:pStyle w:val="MarginText"/>
              <w:jc w:val="left"/>
              <w:rPr>
                <w:rFonts w:cs="Arial"/>
              </w:rPr>
            </w:pPr>
            <w:r w:rsidRPr="001C4B87">
              <w:rPr>
                <w:rFonts w:cs="Arial"/>
              </w:rPr>
              <w:t>Details of authorisation if required</w:t>
            </w:r>
          </w:p>
        </w:tc>
        <w:tc>
          <w:tcPr>
            <w:tcW w:w="2042" w:type="dxa"/>
            <w:vAlign w:val="center"/>
          </w:tcPr>
          <w:p w14:paraId="56B16711"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6ECBD309" w14:textId="77777777" w:rsidR="00586FFE" w:rsidRPr="001C4B87" w:rsidRDefault="00586FFE" w:rsidP="00833A6A">
            <w:pPr>
              <w:pStyle w:val="MarginText"/>
              <w:jc w:val="center"/>
              <w:rPr>
                <w:rFonts w:cs="Arial"/>
              </w:rPr>
            </w:pPr>
            <w:r w:rsidRPr="001C4B87">
              <w:rPr>
                <w:rFonts w:cs="Arial"/>
              </w:rPr>
              <w:t>N/A</w:t>
            </w:r>
          </w:p>
        </w:tc>
      </w:tr>
      <w:tr w:rsidR="00586FFE" w:rsidRPr="001C4B87" w14:paraId="6072CD2D" w14:textId="77777777" w:rsidTr="002A3178">
        <w:trPr>
          <w:cantSplit/>
          <w:trHeight w:val="454"/>
        </w:trPr>
        <w:tc>
          <w:tcPr>
            <w:tcW w:w="850" w:type="dxa"/>
            <w:vAlign w:val="center"/>
          </w:tcPr>
          <w:p w14:paraId="7494C822" w14:textId="77777777" w:rsidR="00586FFE" w:rsidRPr="001C4B87" w:rsidRDefault="00586FFE" w:rsidP="00833A6A">
            <w:pPr>
              <w:pStyle w:val="MarginText"/>
              <w:jc w:val="center"/>
              <w:rPr>
                <w:rFonts w:cs="Arial"/>
              </w:rPr>
            </w:pPr>
            <w:r w:rsidRPr="001C4B87">
              <w:rPr>
                <w:rFonts w:cs="Arial"/>
              </w:rPr>
              <w:t>SQ1j</w:t>
            </w:r>
          </w:p>
        </w:tc>
        <w:tc>
          <w:tcPr>
            <w:tcW w:w="3976" w:type="dxa"/>
            <w:vAlign w:val="center"/>
          </w:tcPr>
          <w:p w14:paraId="0ACEC607" w14:textId="77777777" w:rsidR="00586FFE" w:rsidRPr="001C4B87" w:rsidRDefault="00586FFE" w:rsidP="00833A6A">
            <w:pPr>
              <w:pStyle w:val="MarginText"/>
              <w:jc w:val="left"/>
              <w:rPr>
                <w:rFonts w:cs="Arial"/>
              </w:rPr>
            </w:pPr>
            <w:r w:rsidRPr="001C4B87">
              <w:rPr>
                <w:rFonts w:cs="Arial"/>
              </w:rPr>
              <w:t xml:space="preserve">Trading name </w:t>
            </w:r>
          </w:p>
        </w:tc>
        <w:tc>
          <w:tcPr>
            <w:tcW w:w="2042" w:type="dxa"/>
            <w:vAlign w:val="center"/>
          </w:tcPr>
          <w:p w14:paraId="398FAFD1"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5858C462" w14:textId="77777777" w:rsidR="00586FFE" w:rsidRPr="001C4B87" w:rsidRDefault="00586FFE" w:rsidP="00833A6A">
            <w:pPr>
              <w:pStyle w:val="MarginText"/>
              <w:jc w:val="center"/>
              <w:rPr>
                <w:rFonts w:cs="Arial"/>
              </w:rPr>
            </w:pPr>
            <w:r w:rsidRPr="001C4B87">
              <w:rPr>
                <w:rFonts w:cs="Arial"/>
              </w:rPr>
              <w:t>N/A</w:t>
            </w:r>
          </w:p>
        </w:tc>
      </w:tr>
      <w:tr w:rsidR="00586FFE" w:rsidRPr="001C4B87" w14:paraId="426534F9" w14:textId="77777777" w:rsidTr="002A3178">
        <w:trPr>
          <w:cantSplit/>
          <w:trHeight w:val="454"/>
        </w:trPr>
        <w:tc>
          <w:tcPr>
            <w:tcW w:w="850" w:type="dxa"/>
            <w:vAlign w:val="center"/>
          </w:tcPr>
          <w:p w14:paraId="2F360E91" w14:textId="77777777" w:rsidR="00586FFE" w:rsidRPr="001C4B87" w:rsidRDefault="00586FFE" w:rsidP="00833A6A">
            <w:pPr>
              <w:pStyle w:val="MarginText"/>
              <w:jc w:val="center"/>
              <w:rPr>
                <w:rFonts w:cs="Arial"/>
              </w:rPr>
            </w:pPr>
            <w:r w:rsidRPr="001C4B87">
              <w:rPr>
                <w:rFonts w:cs="Arial"/>
              </w:rPr>
              <w:t>SQ1k</w:t>
            </w:r>
          </w:p>
        </w:tc>
        <w:tc>
          <w:tcPr>
            <w:tcW w:w="3976" w:type="dxa"/>
            <w:vAlign w:val="center"/>
          </w:tcPr>
          <w:p w14:paraId="47D994A3" w14:textId="77777777" w:rsidR="00586FFE" w:rsidRPr="001C4B87" w:rsidRDefault="00586FFE" w:rsidP="00833A6A">
            <w:pPr>
              <w:pStyle w:val="MarginText"/>
              <w:jc w:val="left"/>
              <w:rPr>
                <w:rFonts w:cs="Arial"/>
              </w:rPr>
            </w:pPr>
            <w:r w:rsidRPr="001C4B87">
              <w:rPr>
                <w:rFonts w:cs="Arial"/>
              </w:rPr>
              <w:t>SME</w:t>
            </w:r>
          </w:p>
        </w:tc>
        <w:tc>
          <w:tcPr>
            <w:tcW w:w="2042" w:type="dxa"/>
            <w:vAlign w:val="center"/>
          </w:tcPr>
          <w:p w14:paraId="01280164"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76CA1A70" w14:textId="77777777" w:rsidR="00586FFE" w:rsidRPr="001C4B87" w:rsidRDefault="00586FFE" w:rsidP="00833A6A">
            <w:pPr>
              <w:pStyle w:val="MarginText"/>
              <w:jc w:val="center"/>
              <w:rPr>
                <w:rFonts w:cs="Arial"/>
              </w:rPr>
            </w:pPr>
            <w:r w:rsidRPr="001C4B87">
              <w:rPr>
                <w:rFonts w:cs="Arial"/>
              </w:rPr>
              <w:t>N/A</w:t>
            </w:r>
          </w:p>
        </w:tc>
      </w:tr>
      <w:tr w:rsidR="00586FFE" w:rsidRPr="001C4B87" w:rsidDel="00722DEE" w14:paraId="3C7DD34D" w14:textId="77777777" w:rsidTr="002A3178">
        <w:trPr>
          <w:cantSplit/>
          <w:trHeight w:val="454"/>
        </w:trPr>
        <w:tc>
          <w:tcPr>
            <w:tcW w:w="850" w:type="dxa"/>
            <w:vAlign w:val="center"/>
          </w:tcPr>
          <w:p w14:paraId="3FAE0442" w14:textId="77777777" w:rsidR="00586FFE" w:rsidRPr="001C4B87" w:rsidRDefault="00586FFE" w:rsidP="00833A6A">
            <w:pPr>
              <w:pStyle w:val="MarginText"/>
              <w:jc w:val="center"/>
              <w:rPr>
                <w:rFonts w:cs="Arial"/>
              </w:rPr>
            </w:pPr>
            <w:r w:rsidRPr="001C4B87">
              <w:rPr>
                <w:rFonts w:cs="Arial"/>
              </w:rPr>
              <w:t>SQ1l</w:t>
            </w:r>
          </w:p>
        </w:tc>
        <w:tc>
          <w:tcPr>
            <w:tcW w:w="3976" w:type="dxa"/>
            <w:vAlign w:val="center"/>
          </w:tcPr>
          <w:p w14:paraId="11E61C9D" w14:textId="77777777" w:rsidR="00586FFE" w:rsidRPr="001C4B87" w:rsidRDefault="00586FFE" w:rsidP="00833A6A">
            <w:pPr>
              <w:pStyle w:val="MarginText"/>
              <w:jc w:val="left"/>
              <w:rPr>
                <w:rFonts w:cs="Arial"/>
              </w:rPr>
            </w:pPr>
            <w:r w:rsidRPr="001C4B87">
              <w:rPr>
                <w:rFonts w:cs="Arial"/>
              </w:rPr>
              <w:t>Parent Company Details</w:t>
            </w:r>
          </w:p>
        </w:tc>
        <w:tc>
          <w:tcPr>
            <w:tcW w:w="2042" w:type="dxa"/>
            <w:vAlign w:val="center"/>
          </w:tcPr>
          <w:p w14:paraId="43E47532"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2E70E7EA" w14:textId="77777777" w:rsidR="00586FFE" w:rsidRPr="001C4B87" w:rsidDel="00722DEE" w:rsidRDefault="00586FFE" w:rsidP="00833A6A">
            <w:pPr>
              <w:pStyle w:val="MarginText"/>
              <w:jc w:val="center"/>
              <w:rPr>
                <w:rFonts w:cs="Arial"/>
                <w:bCs/>
                <w:color w:val="000000"/>
                <w:lang w:eastAsia="en-GB"/>
              </w:rPr>
            </w:pPr>
            <w:r w:rsidRPr="001C4B87">
              <w:rPr>
                <w:rFonts w:cs="Arial"/>
              </w:rPr>
              <w:t>N/A</w:t>
            </w:r>
          </w:p>
        </w:tc>
      </w:tr>
      <w:tr w:rsidR="00586FFE" w:rsidRPr="001C4B87" w:rsidDel="00722DEE" w14:paraId="1BCF6815" w14:textId="77777777" w:rsidTr="002A3178">
        <w:trPr>
          <w:cantSplit/>
          <w:trHeight w:val="454"/>
        </w:trPr>
        <w:tc>
          <w:tcPr>
            <w:tcW w:w="850" w:type="dxa"/>
            <w:tcBorders>
              <w:bottom w:val="single" w:sz="4" w:space="0" w:color="auto"/>
            </w:tcBorders>
            <w:vAlign w:val="center"/>
          </w:tcPr>
          <w:p w14:paraId="421FFBE7" w14:textId="77777777" w:rsidR="00586FFE" w:rsidRPr="001C4B87" w:rsidRDefault="00586FFE" w:rsidP="00833A6A">
            <w:pPr>
              <w:pStyle w:val="MarginText"/>
              <w:jc w:val="center"/>
              <w:rPr>
                <w:rFonts w:cs="Arial"/>
              </w:rPr>
            </w:pPr>
            <w:r w:rsidRPr="001C4B87">
              <w:rPr>
                <w:rFonts w:cs="Arial"/>
              </w:rPr>
              <w:t>SQ1m</w:t>
            </w:r>
          </w:p>
        </w:tc>
        <w:tc>
          <w:tcPr>
            <w:tcW w:w="3976" w:type="dxa"/>
            <w:tcBorders>
              <w:bottom w:val="single" w:sz="4" w:space="0" w:color="auto"/>
            </w:tcBorders>
            <w:vAlign w:val="center"/>
          </w:tcPr>
          <w:p w14:paraId="600F98F8" w14:textId="77777777" w:rsidR="00586FFE" w:rsidRPr="001C4B87" w:rsidRDefault="00586FFE" w:rsidP="00833A6A">
            <w:pPr>
              <w:pStyle w:val="MarginText"/>
              <w:jc w:val="left"/>
              <w:rPr>
                <w:rFonts w:cs="Arial"/>
              </w:rPr>
            </w:pPr>
            <w:r w:rsidRPr="001C4B87">
              <w:rPr>
                <w:rFonts w:cs="Arial"/>
              </w:rPr>
              <w:t>Ultimate Parent Company Details</w:t>
            </w:r>
          </w:p>
        </w:tc>
        <w:tc>
          <w:tcPr>
            <w:tcW w:w="2042" w:type="dxa"/>
            <w:tcBorders>
              <w:bottom w:val="single" w:sz="4" w:space="0" w:color="auto"/>
            </w:tcBorders>
            <w:vAlign w:val="center"/>
          </w:tcPr>
          <w:p w14:paraId="516C49F2" w14:textId="77777777" w:rsidR="00586FFE" w:rsidRPr="001C4B87" w:rsidRDefault="00586FFE" w:rsidP="00833A6A">
            <w:pPr>
              <w:pStyle w:val="MarginText"/>
              <w:jc w:val="center"/>
              <w:rPr>
                <w:rFonts w:cs="Arial"/>
              </w:rPr>
            </w:pPr>
            <w:r w:rsidRPr="001C4B87">
              <w:rPr>
                <w:rFonts w:cs="Arial"/>
              </w:rPr>
              <w:t>Compliance</w:t>
            </w:r>
          </w:p>
        </w:tc>
        <w:tc>
          <w:tcPr>
            <w:tcW w:w="2629" w:type="dxa"/>
            <w:tcBorders>
              <w:bottom w:val="single" w:sz="4" w:space="0" w:color="auto"/>
            </w:tcBorders>
            <w:shd w:val="clear" w:color="auto" w:fill="D9D9D9" w:themeFill="background1" w:themeFillShade="D9"/>
            <w:vAlign w:val="center"/>
          </w:tcPr>
          <w:p w14:paraId="425D9950" w14:textId="77777777" w:rsidR="00586FFE" w:rsidRPr="001C4B87" w:rsidDel="00722DEE" w:rsidRDefault="00586FFE" w:rsidP="00833A6A">
            <w:pPr>
              <w:pStyle w:val="MarginText"/>
              <w:jc w:val="center"/>
              <w:rPr>
                <w:rFonts w:cs="Arial"/>
                <w:bCs/>
                <w:color w:val="000000"/>
                <w:lang w:eastAsia="en-GB"/>
              </w:rPr>
            </w:pPr>
            <w:r w:rsidRPr="001C4B87">
              <w:rPr>
                <w:rFonts w:cs="Arial"/>
              </w:rPr>
              <w:t>N/A</w:t>
            </w:r>
          </w:p>
        </w:tc>
      </w:tr>
      <w:tr w:rsidR="00586FFE" w:rsidRPr="001C4B87" w14:paraId="5AABB7D2" w14:textId="77777777" w:rsidTr="002A3178">
        <w:trPr>
          <w:cantSplit/>
          <w:trHeight w:val="454"/>
        </w:trPr>
        <w:tc>
          <w:tcPr>
            <w:tcW w:w="9497" w:type="dxa"/>
            <w:gridSpan w:val="4"/>
            <w:shd w:val="solid" w:color="auto" w:fill="000000" w:themeFill="text1"/>
            <w:vAlign w:val="center"/>
          </w:tcPr>
          <w:p w14:paraId="7ED8B52F" w14:textId="77777777" w:rsidR="00586FFE" w:rsidRPr="001C4B87" w:rsidRDefault="00586FFE" w:rsidP="00833A6A">
            <w:pPr>
              <w:pStyle w:val="MarginText"/>
              <w:jc w:val="left"/>
              <w:rPr>
                <w:rFonts w:cs="Arial"/>
                <w:b/>
              </w:rPr>
            </w:pPr>
            <w:r w:rsidRPr="00D3703E">
              <w:rPr>
                <w:rFonts w:cs="Arial"/>
                <w:b/>
              </w:rPr>
              <w:t>S</w:t>
            </w:r>
            <w:r>
              <w:rPr>
                <w:rFonts w:cs="Arial"/>
                <w:b/>
              </w:rPr>
              <w:t>ection 2</w:t>
            </w:r>
            <w:r w:rsidRPr="00D3703E">
              <w:rPr>
                <w:rFonts w:cs="Arial"/>
                <w:b/>
              </w:rPr>
              <w:t xml:space="preserve"> – Bidding Model</w:t>
            </w:r>
          </w:p>
        </w:tc>
      </w:tr>
      <w:tr w:rsidR="00586FFE" w:rsidRPr="001C4B87" w14:paraId="2FE28C04" w14:textId="77777777" w:rsidTr="002A3178">
        <w:trPr>
          <w:cantSplit/>
          <w:trHeight w:val="454"/>
        </w:trPr>
        <w:tc>
          <w:tcPr>
            <w:tcW w:w="850" w:type="dxa"/>
            <w:vAlign w:val="center"/>
          </w:tcPr>
          <w:p w14:paraId="08B7D4ED" w14:textId="77777777" w:rsidR="00586FFE" w:rsidRPr="001C4B87" w:rsidRDefault="00586FFE" w:rsidP="00833A6A">
            <w:pPr>
              <w:pStyle w:val="MarginText"/>
              <w:jc w:val="center"/>
              <w:rPr>
                <w:rFonts w:cs="Arial"/>
              </w:rPr>
            </w:pPr>
            <w:r w:rsidRPr="001C4B87">
              <w:rPr>
                <w:rFonts w:cs="Arial"/>
              </w:rPr>
              <w:t>SQ2a</w:t>
            </w:r>
          </w:p>
        </w:tc>
        <w:tc>
          <w:tcPr>
            <w:tcW w:w="3976" w:type="dxa"/>
            <w:vAlign w:val="center"/>
          </w:tcPr>
          <w:p w14:paraId="0F702F37" w14:textId="77777777" w:rsidR="00586FFE" w:rsidRPr="001C4B87" w:rsidRDefault="00586FFE" w:rsidP="00833A6A">
            <w:pPr>
              <w:pStyle w:val="MarginText"/>
              <w:jc w:val="left"/>
              <w:rPr>
                <w:rFonts w:cs="Arial"/>
              </w:rPr>
            </w:pPr>
            <w:r w:rsidRPr="001C4B87">
              <w:rPr>
                <w:rFonts w:cs="Arial"/>
              </w:rPr>
              <w:t>Whether bidding as the Lead Contact for a Group of Economic Operators</w:t>
            </w:r>
          </w:p>
        </w:tc>
        <w:tc>
          <w:tcPr>
            <w:tcW w:w="2042" w:type="dxa"/>
            <w:vAlign w:val="center"/>
          </w:tcPr>
          <w:p w14:paraId="5DCFFD69" w14:textId="77777777" w:rsidR="00586FFE" w:rsidRPr="001C4B87" w:rsidRDefault="00586FFE" w:rsidP="00833A6A">
            <w:pPr>
              <w:pStyle w:val="MarginText"/>
              <w:jc w:val="center"/>
              <w:rPr>
                <w:rFonts w:cs="Arial"/>
              </w:rPr>
            </w:pPr>
            <w:r w:rsidRPr="001C4B87">
              <w:rPr>
                <w:rFonts w:cs="Arial"/>
              </w:rPr>
              <w:t xml:space="preserve">Compliance </w:t>
            </w:r>
          </w:p>
        </w:tc>
        <w:tc>
          <w:tcPr>
            <w:tcW w:w="2629" w:type="dxa"/>
            <w:shd w:val="clear" w:color="auto" w:fill="D9D9D9" w:themeFill="background1" w:themeFillShade="D9"/>
            <w:vAlign w:val="center"/>
          </w:tcPr>
          <w:p w14:paraId="0F399A56" w14:textId="77777777" w:rsidR="00586FFE" w:rsidRPr="001C4B87" w:rsidRDefault="00586FFE" w:rsidP="00833A6A">
            <w:pPr>
              <w:pStyle w:val="MarginText"/>
              <w:jc w:val="center"/>
              <w:rPr>
                <w:rFonts w:cs="Arial"/>
              </w:rPr>
            </w:pPr>
            <w:r w:rsidRPr="001C4B87">
              <w:rPr>
                <w:rFonts w:cs="Arial"/>
              </w:rPr>
              <w:t>N/A</w:t>
            </w:r>
          </w:p>
        </w:tc>
      </w:tr>
      <w:tr w:rsidR="00586FFE" w:rsidRPr="001C4B87" w14:paraId="251F273C" w14:textId="77777777" w:rsidTr="002A3178">
        <w:trPr>
          <w:cantSplit/>
          <w:trHeight w:val="454"/>
        </w:trPr>
        <w:tc>
          <w:tcPr>
            <w:tcW w:w="850" w:type="dxa"/>
            <w:vAlign w:val="center"/>
          </w:tcPr>
          <w:p w14:paraId="212246D4" w14:textId="77777777" w:rsidR="00586FFE" w:rsidRPr="001C4B87" w:rsidRDefault="00586FFE" w:rsidP="00833A6A">
            <w:pPr>
              <w:pStyle w:val="MarginText"/>
              <w:jc w:val="center"/>
              <w:rPr>
                <w:rFonts w:cs="Arial"/>
              </w:rPr>
            </w:pPr>
            <w:r w:rsidRPr="001C4B87">
              <w:rPr>
                <w:rFonts w:cs="Arial"/>
              </w:rPr>
              <w:t>SQ2b</w:t>
            </w:r>
          </w:p>
        </w:tc>
        <w:tc>
          <w:tcPr>
            <w:tcW w:w="3976" w:type="dxa"/>
            <w:vAlign w:val="center"/>
          </w:tcPr>
          <w:p w14:paraId="3B03F088" w14:textId="77777777" w:rsidR="00586FFE" w:rsidRPr="001C4B87" w:rsidRDefault="00586FFE" w:rsidP="00833A6A">
            <w:pPr>
              <w:pStyle w:val="MarginText"/>
              <w:jc w:val="left"/>
              <w:rPr>
                <w:rFonts w:cs="Arial"/>
              </w:rPr>
            </w:pPr>
            <w:r w:rsidRPr="001C4B87">
              <w:rPr>
                <w:rFonts w:cs="Arial"/>
              </w:rPr>
              <w:t xml:space="preserve">Name of Group of Economic Operators (if applicable) </w:t>
            </w:r>
          </w:p>
        </w:tc>
        <w:tc>
          <w:tcPr>
            <w:tcW w:w="2042" w:type="dxa"/>
            <w:vAlign w:val="center"/>
          </w:tcPr>
          <w:p w14:paraId="212F701E"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33ECF927" w14:textId="77777777" w:rsidR="00586FFE" w:rsidRPr="001C4B87" w:rsidRDefault="00586FFE" w:rsidP="00833A6A">
            <w:pPr>
              <w:pStyle w:val="MarginText"/>
              <w:jc w:val="center"/>
              <w:rPr>
                <w:rFonts w:cs="Arial"/>
              </w:rPr>
            </w:pPr>
            <w:r w:rsidRPr="001C4B87">
              <w:rPr>
                <w:rFonts w:cs="Arial"/>
              </w:rPr>
              <w:t>N/A</w:t>
            </w:r>
          </w:p>
        </w:tc>
      </w:tr>
      <w:tr w:rsidR="00586FFE" w:rsidRPr="001C4B87" w14:paraId="7A675293" w14:textId="77777777" w:rsidTr="002A3178">
        <w:trPr>
          <w:cantSplit/>
          <w:trHeight w:val="454"/>
        </w:trPr>
        <w:tc>
          <w:tcPr>
            <w:tcW w:w="850" w:type="dxa"/>
            <w:vAlign w:val="center"/>
          </w:tcPr>
          <w:p w14:paraId="3730E903" w14:textId="77777777" w:rsidR="00586FFE" w:rsidRPr="001C4B87" w:rsidRDefault="00586FFE" w:rsidP="00833A6A">
            <w:pPr>
              <w:pStyle w:val="MarginText"/>
              <w:jc w:val="center"/>
              <w:rPr>
                <w:rFonts w:cs="Arial"/>
              </w:rPr>
            </w:pPr>
            <w:r w:rsidRPr="001C4B87">
              <w:rPr>
                <w:rFonts w:cs="Arial"/>
              </w:rPr>
              <w:t>SQ2c</w:t>
            </w:r>
          </w:p>
        </w:tc>
        <w:tc>
          <w:tcPr>
            <w:tcW w:w="3976" w:type="dxa"/>
            <w:vAlign w:val="center"/>
          </w:tcPr>
          <w:p w14:paraId="6A67E51D" w14:textId="77777777" w:rsidR="00586FFE" w:rsidRPr="001C4B87" w:rsidRDefault="00586FFE" w:rsidP="00833A6A">
            <w:pPr>
              <w:pStyle w:val="MarginText"/>
              <w:jc w:val="left"/>
              <w:rPr>
                <w:rFonts w:cs="Arial"/>
              </w:rPr>
            </w:pPr>
            <w:r w:rsidRPr="001C4B87">
              <w:rPr>
                <w:rFonts w:cs="Arial"/>
              </w:rPr>
              <w:t xml:space="preserve">Proposed Legal Structure if </w:t>
            </w:r>
            <w:r>
              <w:rPr>
                <w:rFonts w:cs="Arial"/>
              </w:rPr>
              <w:t>Contract</w:t>
            </w:r>
            <w:r w:rsidRPr="001C4B87">
              <w:rPr>
                <w:rFonts w:cs="Arial"/>
              </w:rPr>
              <w:t xml:space="preserve"> awarded</w:t>
            </w:r>
          </w:p>
        </w:tc>
        <w:tc>
          <w:tcPr>
            <w:tcW w:w="2042" w:type="dxa"/>
            <w:vAlign w:val="center"/>
          </w:tcPr>
          <w:p w14:paraId="2ECD7F40"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1C977B71" w14:textId="77777777" w:rsidR="00586FFE" w:rsidRPr="001C4B87" w:rsidRDefault="00586FFE" w:rsidP="00833A6A">
            <w:pPr>
              <w:pStyle w:val="MarginText"/>
              <w:jc w:val="center"/>
              <w:rPr>
                <w:rFonts w:cs="Arial"/>
              </w:rPr>
            </w:pPr>
            <w:r w:rsidRPr="001C4B87">
              <w:rPr>
                <w:rFonts w:cs="Arial"/>
              </w:rPr>
              <w:t>N/A</w:t>
            </w:r>
          </w:p>
        </w:tc>
      </w:tr>
      <w:tr w:rsidR="00586FFE" w:rsidRPr="001C4B87" w14:paraId="353B3BAD" w14:textId="77777777" w:rsidTr="002A3178">
        <w:trPr>
          <w:cantSplit/>
          <w:trHeight w:val="454"/>
        </w:trPr>
        <w:tc>
          <w:tcPr>
            <w:tcW w:w="850" w:type="dxa"/>
            <w:vAlign w:val="center"/>
          </w:tcPr>
          <w:p w14:paraId="68D7B7E7" w14:textId="77777777" w:rsidR="00586FFE" w:rsidRPr="001C4B87" w:rsidRDefault="00586FFE" w:rsidP="00833A6A">
            <w:pPr>
              <w:pStyle w:val="MarginText"/>
              <w:jc w:val="center"/>
              <w:rPr>
                <w:rFonts w:cs="Arial"/>
              </w:rPr>
            </w:pPr>
            <w:r w:rsidRPr="001C4B87">
              <w:rPr>
                <w:rFonts w:cs="Arial"/>
              </w:rPr>
              <w:t>SQ2d</w:t>
            </w:r>
          </w:p>
        </w:tc>
        <w:tc>
          <w:tcPr>
            <w:tcW w:w="3976" w:type="dxa"/>
            <w:vAlign w:val="center"/>
          </w:tcPr>
          <w:p w14:paraId="36B70557" w14:textId="77777777" w:rsidR="00586FFE" w:rsidRPr="001C4B87" w:rsidRDefault="00586FFE" w:rsidP="00833A6A">
            <w:pPr>
              <w:pStyle w:val="MarginText"/>
              <w:jc w:val="left"/>
              <w:rPr>
                <w:rFonts w:cs="Arial"/>
              </w:rPr>
            </w:pPr>
            <w:r w:rsidRPr="001C4B87">
              <w:rPr>
                <w:rFonts w:cs="Arial"/>
              </w:rPr>
              <w:t>Details for each member of Group of Economic Operators</w:t>
            </w:r>
          </w:p>
        </w:tc>
        <w:tc>
          <w:tcPr>
            <w:tcW w:w="2042" w:type="dxa"/>
            <w:vAlign w:val="center"/>
          </w:tcPr>
          <w:p w14:paraId="2654AE14"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19A6F615" w14:textId="77777777" w:rsidR="00586FFE" w:rsidRPr="001C4B87" w:rsidRDefault="00586FFE" w:rsidP="00833A6A">
            <w:pPr>
              <w:pStyle w:val="MarginText"/>
              <w:jc w:val="center"/>
              <w:rPr>
                <w:rFonts w:cs="Arial"/>
              </w:rPr>
            </w:pPr>
            <w:r w:rsidRPr="001C4B87">
              <w:rPr>
                <w:rFonts w:cs="Arial"/>
              </w:rPr>
              <w:t>N/A</w:t>
            </w:r>
          </w:p>
        </w:tc>
      </w:tr>
      <w:tr w:rsidR="00586FFE" w:rsidRPr="001C4B87" w14:paraId="315DBE4B" w14:textId="77777777" w:rsidTr="002A3178">
        <w:trPr>
          <w:cantSplit/>
          <w:trHeight w:val="454"/>
        </w:trPr>
        <w:tc>
          <w:tcPr>
            <w:tcW w:w="850" w:type="dxa"/>
            <w:vAlign w:val="center"/>
          </w:tcPr>
          <w:p w14:paraId="3C6D3098" w14:textId="77777777" w:rsidR="00586FFE" w:rsidRPr="001C4B87" w:rsidRDefault="00586FFE" w:rsidP="00833A6A">
            <w:pPr>
              <w:pStyle w:val="MarginText"/>
              <w:jc w:val="center"/>
              <w:rPr>
                <w:rFonts w:cs="Arial"/>
              </w:rPr>
            </w:pPr>
            <w:r w:rsidRPr="001C4B87">
              <w:rPr>
                <w:rFonts w:cs="Arial"/>
              </w:rPr>
              <w:t>SQ2e</w:t>
            </w:r>
          </w:p>
        </w:tc>
        <w:tc>
          <w:tcPr>
            <w:tcW w:w="3976" w:type="dxa"/>
            <w:vAlign w:val="center"/>
          </w:tcPr>
          <w:p w14:paraId="43EDFB67" w14:textId="77777777" w:rsidR="00586FFE" w:rsidRPr="001C4B87" w:rsidRDefault="00586FFE" w:rsidP="00833A6A">
            <w:pPr>
              <w:pStyle w:val="MarginText"/>
              <w:jc w:val="left"/>
              <w:rPr>
                <w:rFonts w:cs="Arial"/>
              </w:rPr>
            </w:pPr>
            <w:r w:rsidRPr="001C4B87">
              <w:rPr>
                <w:rFonts w:cs="Arial"/>
              </w:rPr>
              <w:t xml:space="preserve">Use of Sub-Contractors </w:t>
            </w:r>
          </w:p>
        </w:tc>
        <w:tc>
          <w:tcPr>
            <w:tcW w:w="2042" w:type="dxa"/>
            <w:vAlign w:val="center"/>
          </w:tcPr>
          <w:p w14:paraId="1BD28380"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760B7A3F" w14:textId="77777777" w:rsidR="00586FFE" w:rsidRPr="001C4B87" w:rsidRDefault="00586FFE" w:rsidP="00833A6A">
            <w:pPr>
              <w:pStyle w:val="MarginText"/>
              <w:jc w:val="center"/>
              <w:rPr>
                <w:rFonts w:cs="Arial"/>
              </w:rPr>
            </w:pPr>
            <w:r w:rsidRPr="001C4B87">
              <w:rPr>
                <w:rFonts w:cs="Arial"/>
              </w:rPr>
              <w:t>N/A</w:t>
            </w:r>
          </w:p>
        </w:tc>
      </w:tr>
      <w:tr w:rsidR="00586FFE" w:rsidRPr="001C4B87" w14:paraId="26AD6670" w14:textId="77777777" w:rsidTr="002A3178">
        <w:trPr>
          <w:cantSplit/>
          <w:trHeight w:val="454"/>
        </w:trPr>
        <w:tc>
          <w:tcPr>
            <w:tcW w:w="850" w:type="dxa"/>
            <w:vAlign w:val="center"/>
          </w:tcPr>
          <w:p w14:paraId="745A2360" w14:textId="77777777" w:rsidR="00586FFE" w:rsidRPr="001C4B87" w:rsidRDefault="00586FFE" w:rsidP="00833A6A">
            <w:pPr>
              <w:pStyle w:val="MarginText"/>
              <w:jc w:val="center"/>
              <w:rPr>
                <w:rFonts w:cs="Arial"/>
              </w:rPr>
            </w:pPr>
            <w:r w:rsidRPr="001C4B87">
              <w:rPr>
                <w:rFonts w:cs="Arial"/>
              </w:rPr>
              <w:t>SQ2f</w:t>
            </w:r>
          </w:p>
        </w:tc>
        <w:tc>
          <w:tcPr>
            <w:tcW w:w="3976" w:type="dxa"/>
            <w:vAlign w:val="center"/>
          </w:tcPr>
          <w:p w14:paraId="410C1BCD" w14:textId="77777777" w:rsidR="00586FFE" w:rsidRPr="001C4B87" w:rsidRDefault="00586FFE" w:rsidP="00833A6A">
            <w:pPr>
              <w:pStyle w:val="MarginText"/>
              <w:jc w:val="left"/>
              <w:rPr>
                <w:rFonts w:cs="Arial"/>
              </w:rPr>
            </w:pPr>
            <w:r w:rsidRPr="001C4B87">
              <w:rPr>
                <w:rFonts w:cs="Arial"/>
              </w:rPr>
              <w:t xml:space="preserve">Details of Sub-Contractors </w:t>
            </w:r>
          </w:p>
        </w:tc>
        <w:tc>
          <w:tcPr>
            <w:tcW w:w="2042" w:type="dxa"/>
            <w:vAlign w:val="center"/>
          </w:tcPr>
          <w:p w14:paraId="0893601E" w14:textId="77777777" w:rsidR="00586FFE" w:rsidRPr="001C4B87" w:rsidRDefault="00586FFE" w:rsidP="00833A6A">
            <w:pPr>
              <w:pStyle w:val="MarginText"/>
              <w:jc w:val="center"/>
              <w:rPr>
                <w:rFonts w:cs="Arial"/>
              </w:rPr>
            </w:pPr>
            <w:r w:rsidRPr="001C4B87">
              <w:rPr>
                <w:rFonts w:cs="Arial"/>
              </w:rPr>
              <w:t>Compliance</w:t>
            </w:r>
          </w:p>
        </w:tc>
        <w:tc>
          <w:tcPr>
            <w:tcW w:w="2629" w:type="dxa"/>
            <w:shd w:val="clear" w:color="auto" w:fill="D9D9D9" w:themeFill="background1" w:themeFillShade="D9"/>
            <w:vAlign w:val="center"/>
          </w:tcPr>
          <w:p w14:paraId="18DB0DCE" w14:textId="77777777" w:rsidR="00586FFE" w:rsidRPr="001C4B87" w:rsidRDefault="00586FFE" w:rsidP="00833A6A">
            <w:pPr>
              <w:pStyle w:val="MarginText"/>
              <w:jc w:val="center"/>
              <w:rPr>
                <w:rFonts w:cs="Arial"/>
              </w:rPr>
            </w:pPr>
            <w:r w:rsidRPr="001C4B87">
              <w:rPr>
                <w:rFonts w:cs="Arial"/>
              </w:rPr>
              <w:t>N/A</w:t>
            </w:r>
          </w:p>
        </w:tc>
      </w:tr>
      <w:tr w:rsidR="00586FFE" w:rsidRPr="001C4B87" w14:paraId="54C07B1B" w14:textId="77777777" w:rsidTr="002A3178">
        <w:trPr>
          <w:cantSplit/>
          <w:trHeight w:val="454"/>
        </w:trPr>
        <w:tc>
          <w:tcPr>
            <w:tcW w:w="9497" w:type="dxa"/>
            <w:gridSpan w:val="4"/>
            <w:shd w:val="clear" w:color="auto" w:fill="000000" w:themeFill="text1"/>
            <w:vAlign w:val="center"/>
          </w:tcPr>
          <w:p w14:paraId="653F9EEB" w14:textId="77777777" w:rsidR="00586FFE" w:rsidRPr="001C4B87" w:rsidRDefault="00586FFE" w:rsidP="00833A6A">
            <w:pPr>
              <w:pStyle w:val="MarginText"/>
              <w:jc w:val="left"/>
              <w:rPr>
                <w:rFonts w:cs="Arial"/>
                <w:b/>
              </w:rPr>
            </w:pPr>
            <w:r w:rsidRPr="001C4B87">
              <w:rPr>
                <w:rFonts w:cs="Arial"/>
                <w:b/>
              </w:rPr>
              <w:t xml:space="preserve">Section 3 </w:t>
            </w:r>
            <w:r>
              <w:rPr>
                <w:rFonts w:cs="Arial"/>
                <w:b/>
              </w:rPr>
              <w:t>–</w:t>
            </w:r>
            <w:r w:rsidRPr="001C4B87">
              <w:rPr>
                <w:rFonts w:cs="Arial"/>
                <w:b/>
              </w:rPr>
              <w:t xml:space="preserve"> Grounds</w:t>
            </w:r>
            <w:r>
              <w:rPr>
                <w:rFonts w:cs="Arial"/>
                <w:b/>
              </w:rPr>
              <w:t xml:space="preserve"> </w:t>
            </w:r>
            <w:r w:rsidRPr="001C4B87">
              <w:rPr>
                <w:rFonts w:cs="Arial"/>
                <w:b/>
              </w:rPr>
              <w:t>for Mandatory Exclusion</w:t>
            </w:r>
          </w:p>
        </w:tc>
      </w:tr>
      <w:tr w:rsidR="000A7A0A" w:rsidRPr="001C4B87" w14:paraId="0AD5FB07" w14:textId="77777777" w:rsidTr="000A7A0A">
        <w:trPr>
          <w:cantSplit/>
          <w:trHeight w:val="454"/>
        </w:trPr>
        <w:tc>
          <w:tcPr>
            <w:tcW w:w="850" w:type="dxa"/>
            <w:vAlign w:val="center"/>
          </w:tcPr>
          <w:p w14:paraId="773F9D90" w14:textId="77777777" w:rsidR="000A7A0A" w:rsidRPr="001C4B87" w:rsidRDefault="000A7A0A" w:rsidP="0054116A">
            <w:pPr>
              <w:pStyle w:val="MarginText"/>
              <w:jc w:val="center"/>
              <w:rPr>
                <w:rFonts w:cs="Arial"/>
              </w:rPr>
            </w:pPr>
            <w:r w:rsidRPr="001C4B87">
              <w:rPr>
                <w:rFonts w:cs="Arial"/>
              </w:rPr>
              <w:t>SQ3</w:t>
            </w:r>
            <w:r>
              <w:rPr>
                <w:rFonts w:cs="Arial"/>
              </w:rPr>
              <w:t xml:space="preserve"> (a-e)</w:t>
            </w:r>
          </w:p>
        </w:tc>
        <w:tc>
          <w:tcPr>
            <w:tcW w:w="3976" w:type="dxa"/>
            <w:vAlign w:val="center"/>
          </w:tcPr>
          <w:p w14:paraId="5E8C8696" w14:textId="77777777" w:rsidR="000A7A0A" w:rsidRPr="001C4B87" w:rsidRDefault="000A7A0A" w:rsidP="0054116A">
            <w:pPr>
              <w:pStyle w:val="MarginText"/>
              <w:jc w:val="left"/>
              <w:rPr>
                <w:rFonts w:cs="Arial"/>
              </w:rPr>
            </w:pPr>
            <w:r w:rsidRPr="001C4B87">
              <w:rPr>
                <w:rFonts w:cs="Arial"/>
              </w:rPr>
              <w:t xml:space="preserve">Grounds for Mandatory Rejection </w:t>
            </w:r>
          </w:p>
        </w:tc>
        <w:tc>
          <w:tcPr>
            <w:tcW w:w="2042" w:type="dxa"/>
            <w:vAlign w:val="center"/>
          </w:tcPr>
          <w:p w14:paraId="50140A46" w14:textId="4BB06D36" w:rsidR="000A7A0A" w:rsidRPr="001C4B87" w:rsidRDefault="000A7A0A" w:rsidP="0054116A">
            <w:pPr>
              <w:pStyle w:val="MarginText"/>
              <w:jc w:val="center"/>
              <w:rPr>
                <w:rFonts w:cs="Arial"/>
              </w:rPr>
            </w:pPr>
            <w:r w:rsidRPr="001C4B87">
              <w:rPr>
                <w:rFonts w:cs="Arial"/>
              </w:rPr>
              <w:t xml:space="preserve">Evaluation </w:t>
            </w:r>
          </w:p>
        </w:tc>
        <w:tc>
          <w:tcPr>
            <w:tcW w:w="2629" w:type="dxa"/>
            <w:shd w:val="clear" w:color="auto" w:fill="FFFFFF" w:themeFill="background1"/>
            <w:vAlign w:val="center"/>
          </w:tcPr>
          <w:p w14:paraId="2BDAFAD8" w14:textId="115B7B33" w:rsidR="000A7A0A" w:rsidRPr="001C4B87" w:rsidRDefault="000A7A0A" w:rsidP="0054116A">
            <w:pPr>
              <w:pStyle w:val="MarginText"/>
              <w:jc w:val="center"/>
              <w:rPr>
                <w:rFonts w:cs="Arial"/>
              </w:rPr>
            </w:pPr>
            <w:r w:rsidRPr="001C4B87">
              <w:rPr>
                <w:rFonts w:cs="Arial"/>
              </w:rPr>
              <w:t>Pass/Fail</w:t>
            </w:r>
          </w:p>
        </w:tc>
      </w:tr>
      <w:tr w:rsidR="00586FFE" w:rsidRPr="001C4B87" w14:paraId="39539635" w14:textId="77777777" w:rsidTr="002A3178">
        <w:trPr>
          <w:cantSplit/>
          <w:trHeight w:val="454"/>
        </w:trPr>
        <w:tc>
          <w:tcPr>
            <w:tcW w:w="9497" w:type="dxa"/>
            <w:gridSpan w:val="4"/>
            <w:shd w:val="clear" w:color="auto" w:fill="000000" w:themeFill="text1"/>
            <w:vAlign w:val="center"/>
          </w:tcPr>
          <w:p w14:paraId="4E0BE4C1" w14:textId="77777777" w:rsidR="00586FFE" w:rsidRPr="001C4B87" w:rsidRDefault="00586FFE" w:rsidP="00833A6A">
            <w:pPr>
              <w:spacing w:before="60" w:after="60"/>
              <w:rPr>
                <w:rFonts w:ascii="Arial" w:hAnsi="Arial" w:cs="Arial"/>
              </w:rPr>
            </w:pPr>
            <w:r w:rsidRPr="001C4B87">
              <w:rPr>
                <w:rFonts w:ascii="Arial" w:hAnsi="Arial" w:cs="Arial"/>
                <w:b/>
              </w:rPr>
              <w:t>Section 4 – Grounds for Discretionary Exclusion – Part 1</w:t>
            </w:r>
          </w:p>
        </w:tc>
      </w:tr>
      <w:tr w:rsidR="000A7A0A" w:rsidRPr="001C4B87" w14:paraId="13CCA939" w14:textId="77777777" w:rsidTr="000A7A0A">
        <w:trPr>
          <w:cantSplit/>
          <w:trHeight w:val="454"/>
        </w:trPr>
        <w:tc>
          <w:tcPr>
            <w:tcW w:w="850" w:type="dxa"/>
            <w:vAlign w:val="center"/>
          </w:tcPr>
          <w:p w14:paraId="56B63DC7" w14:textId="77777777" w:rsidR="000A7A0A" w:rsidRDefault="000A7A0A" w:rsidP="0054116A">
            <w:pPr>
              <w:pStyle w:val="MarginText"/>
              <w:jc w:val="center"/>
              <w:rPr>
                <w:rFonts w:cs="Arial"/>
              </w:rPr>
            </w:pPr>
            <w:r w:rsidRPr="001C4B87">
              <w:rPr>
                <w:rFonts w:cs="Arial"/>
              </w:rPr>
              <w:t>SQ4</w:t>
            </w:r>
          </w:p>
          <w:p w14:paraId="286CE2EC" w14:textId="77777777" w:rsidR="000A7A0A" w:rsidRPr="001C4B87" w:rsidRDefault="000A7A0A" w:rsidP="0054116A">
            <w:pPr>
              <w:pStyle w:val="MarginText"/>
              <w:jc w:val="center"/>
              <w:rPr>
                <w:rFonts w:cs="Arial"/>
              </w:rPr>
            </w:pPr>
            <w:r w:rsidRPr="001C4B87">
              <w:rPr>
                <w:rFonts w:cs="Arial"/>
              </w:rPr>
              <w:t>(a-b)</w:t>
            </w:r>
          </w:p>
        </w:tc>
        <w:tc>
          <w:tcPr>
            <w:tcW w:w="3976" w:type="dxa"/>
            <w:vAlign w:val="center"/>
          </w:tcPr>
          <w:p w14:paraId="744A3339" w14:textId="77777777" w:rsidR="000A7A0A" w:rsidRPr="001C4B87" w:rsidRDefault="000A7A0A" w:rsidP="0054116A">
            <w:pPr>
              <w:pStyle w:val="MarginText"/>
              <w:jc w:val="left"/>
              <w:rPr>
                <w:rFonts w:cs="Arial"/>
              </w:rPr>
            </w:pPr>
            <w:r w:rsidRPr="001C4B87">
              <w:rPr>
                <w:rFonts w:cs="Arial"/>
              </w:rPr>
              <w:t xml:space="preserve">Grounds for Discretionary Rejection  </w:t>
            </w:r>
          </w:p>
        </w:tc>
        <w:tc>
          <w:tcPr>
            <w:tcW w:w="2042" w:type="dxa"/>
            <w:vAlign w:val="center"/>
          </w:tcPr>
          <w:p w14:paraId="5D9C1A73" w14:textId="25EAAD35" w:rsidR="000A7A0A" w:rsidRPr="001C4B87" w:rsidRDefault="000A7A0A" w:rsidP="0054116A">
            <w:pPr>
              <w:pStyle w:val="MarginText"/>
              <w:jc w:val="center"/>
              <w:rPr>
                <w:rFonts w:cs="Arial"/>
              </w:rPr>
            </w:pPr>
            <w:r w:rsidRPr="001C4B87">
              <w:rPr>
                <w:rFonts w:cs="Arial"/>
              </w:rPr>
              <w:t xml:space="preserve">Evaluation </w:t>
            </w:r>
          </w:p>
        </w:tc>
        <w:tc>
          <w:tcPr>
            <w:tcW w:w="2629" w:type="dxa"/>
            <w:shd w:val="clear" w:color="auto" w:fill="FFFFFF" w:themeFill="background1"/>
            <w:vAlign w:val="center"/>
          </w:tcPr>
          <w:p w14:paraId="48AF9AA6" w14:textId="1E6544CE" w:rsidR="000A7A0A" w:rsidRPr="0054116A" w:rsidRDefault="000A7A0A" w:rsidP="0054116A">
            <w:pPr>
              <w:spacing w:before="60" w:after="60"/>
              <w:jc w:val="center"/>
              <w:rPr>
                <w:rFonts w:ascii="Arial" w:hAnsi="Arial" w:cs="Arial"/>
              </w:rPr>
            </w:pPr>
            <w:r w:rsidRPr="001C4B87">
              <w:rPr>
                <w:rFonts w:ascii="Arial" w:hAnsi="Arial" w:cs="Arial"/>
              </w:rPr>
              <w:t>Pass/Fail</w:t>
            </w:r>
          </w:p>
        </w:tc>
      </w:tr>
      <w:tr w:rsidR="00586FFE" w:rsidRPr="001C4B87" w14:paraId="587FE530" w14:textId="77777777" w:rsidTr="002A3178">
        <w:trPr>
          <w:cantSplit/>
          <w:trHeight w:val="454"/>
        </w:trPr>
        <w:tc>
          <w:tcPr>
            <w:tcW w:w="9497" w:type="dxa"/>
            <w:gridSpan w:val="4"/>
            <w:shd w:val="clear" w:color="auto" w:fill="000000" w:themeFill="text1"/>
            <w:vAlign w:val="center"/>
          </w:tcPr>
          <w:p w14:paraId="2D84BE29" w14:textId="77777777" w:rsidR="00586FFE" w:rsidRPr="001C4B87" w:rsidRDefault="00586FFE" w:rsidP="00833A6A">
            <w:pPr>
              <w:spacing w:before="60" w:after="60"/>
              <w:rPr>
                <w:rFonts w:ascii="Arial" w:hAnsi="Arial" w:cs="Arial"/>
              </w:rPr>
            </w:pPr>
            <w:r w:rsidRPr="001C4B87">
              <w:rPr>
                <w:rFonts w:ascii="Arial" w:hAnsi="Arial" w:cs="Arial"/>
                <w:b/>
              </w:rPr>
              <w:t xml:space="preserve">Section </w:t>
            </w:r>
            <w:r>
              <w:rPr>
                <w:rFonts w:ascii="Arial" w:hAnsi="Arial" w:cs="Arial"/>
                <w:b/>
              </w:rPr>
              <w:t>4</w:t>
            </w:r>
            <w:r w:rsidRPr="001C4B87">
              <w:rPr>
                <w:rFonts w:ascii="Arial" w:hAnsi="Arial" w:cs="Arial"/>
                <w:b/>
              </w:rPr>
              <w:t xml:space="preserve"> – Grounds for Discretionary Exclusion – Part 2</w:t>
            </w:r>
          </w:p>
        </w:tc>
      </w:tr>
      <w:tr w:rsidR="000A7A0A" w:rsidRPr="001C4B87" w14:paraId="32F65F71" w14:textId="77777777" w:rsidTr="000A7A0A">
        <w:trPr>
          <w:cantSplit/>
          <w:trHeight w:val="454"/>
        </w:trPr>
        <w:tc>
          <w:tcPr>
            <w:tcW w:w="850" w:type="dxa"/>
            <w:vAlign w:val="center"/>
          </w:tcPr>
          <w:p w14:paraId="3D88486A" w14:textId="77777777" w:rsidR="000A7A0A" w:rsidRPr="001C4B87" w:rsidRDefault="000A7A0A" w:rsidP="0054116A">
            <w:pPr>
              <w:pStyle w:val="MarginText"/>
              <w:jc w:val="center"/>
              <w:rPr>
                <w:rFonts w:cs="Arial"/>
              </w:rPr>
            </w:pPr>
            <w:r w:rsidRPr="001C4B87">
              <w:rPr>
                <w:rFonts w:cs="Arial"/>
              </w:rPr>
              <w:t>SQ4(c)</w:t>
            </w:r>
          </w:p>
        </w:tc>
        <w:tc>
          <w:tcPr>
            <w:tcW w:w="3976" w:type="dxa"/>
            <w:vAlign w:val="center"/>
          </w:tcPr>
          <w:p w14:paraId="304EEC84" w14:textId="77777777" w:rsidR="000A7A0A" w:rsidRPr="001C4B87" w:rsidRDefault="000A7A0A" w:rsidP="0054116A">
            <w:pPr>
              <w:pStyle w:val="MarginText"/>
              <w:jc w:val="left"/>
              <w:rPr>
                <w:rFonts w:cs="Arial"/>
              </w:rPr>
            </w:pPr>
            <w:r w:rsidRPr="001C4B87">
              <w:rPr>
                <w:rFonts w:cs="Arial"/>
              </w:rPr>
              <w:t>Grounds for Discretionary Rejection</w:t>
            </w:r>
          </w:p>
        </w:tc>
        <w:tc>
          <w:tcPr>
            <w:tcW w:w="2042" w:type="dxa"/>
            <w:vAlign w:val="center"/>
          </w:tcPr>
          <w:p w14:paraId="5ED44DE8" w14:textId="1D36DD8F" w:rsidR="000A7A0A" w:rsidRPr="001C4B87" w:rsidRDefault="000A7A0A" w:rsidP="0054116A">
            <w:pPr>
              <w:pStyle w:val="MarginText"/>
              <w:jc w:val="center"/>
              <w:rPr>
                <w:rFonts w:cs="Arial"/>
              </w:rPr>
            </w:pPr>
            <w:r w:rsidRPr="001C4B87">
              <w:rPr>
                <w:rFonts w:cs="Arial"/>
              </w:rPr>
              <w:t xml:space="preserve">Evaluation </w:t>
            </w:r>
          </w:p>
        </w:tc>
        <w:tc>
          <w:tcPr>
            <w:tcW w:w="2629" w:type="dxa"/>
            <w:shd w:val="clear" w:color="auto" w:fill="FFFFFF" w:themeFill="background1"/>
            <w:vAlign w:val="center"/>
          </w:tcPr>
          <w:p w14:paraId="11BDA1D7" w14:textId="607C9187" w:rsidR="000A7A0A" w:rsidRPr="0054116A" w:rsidRDefault="000A7A0A" w:rsidP="0054116A">
            <w:pPr>
              <w:spacing w:before="60" w:after="60"/>
              <w:jc w:val="center"/>
              <w:rPr>
                <w:rFonts w:ascii="Arial" w:hAnsi="Arial" w:cs="Arial"/>
              </w:rPr>
            </w:pPr>
            <w:r w:rsidRPr="001C4B87">
              <w:rPr>
                <w:rFonts w:ascii="Arial" w:hAnsi="Arial" w:cs="Arial"/>
              </w:rPr>
              <w:t>Pass/Fail</w:t>
            </w:r>
          </w:p>
        </w:tc>
      </w:tr>
      <w:tr w:rsidR="00586FFE" w:rsidRPr="001C4B87" w14:paraId="271F3434" w14:textId="77777777" w:rsidTr="002A3178">
        <w:trPr>
          <w:cantSplit/>
          <w:trHeight w:val="454"/>
        </w:trPr>
        <w:tc>
          <w:tcPr>
            <w:tcW w:w="9497" w:type="dxa"/>
            <w:gridSpan w:val="4"/>
            <w:shd w:val="clear" w:color="auto" w:fill="000000" w:themeFill="text1"/>
            <w:vAlign w:val="center"/>
          </w:tcPr>
          <w:p w14:paraId="30B83D94" w14:textId="77777777" w:rsidR="00586FFE" w:rsidRPr="001C4B87" w:rsidRDefault="00586FFE" w:rsidP="00833A6A">
            <w:pPr>
              <w:spacing w:before="60" w:after="60"/>
              <w:rPr>
                <w:rFonts w:ascii="Arial" w:hAnsi="Arial" w:cs="Arial"/>
              </w:rPr>
            </w:pPr>
            <w:r w:rsidRPr="001C4B87">
              <w:rPr>
                <w:rFonts w:ascii="Arial" w:hAnsi="Arial" w:cs="Arial"/>
                <w:b/>
              </w:rPr>
              <w:t xml:space="preserve">Section 5 – Economic and Financial Standing  </w:t>
            </w:r>
          </w:p>
        </w:tc>
      </w:tr>
      <w:tr w:rsidR="00586FFE" w:rsidRPr="001C4B87" w14:paraId="62BABDE6" w14:textId="77777777" w:rsidTr="002A3178">
        <w:trPr>
          <w:cantSplit/>
          <w:trHeight w:val="454"/>
        </w:trPr>
        <w:tc>
          <w:tcPr>
            <w:tcW w:w="850" w:type="dxa"/>
            <w:vAlign w:val="center"/>
          </w:tcPr>
          <w:p w14:paraId="732275C5" w14:textId="77777777" w:rsidR="00586FFE" w:rsidRPr="001C4B87" w:rsidRDefault="00586FFE" w:rsidP="00833A6A">
            <w:pPr>
              <w:pStyle w:val="MarginText"/>
              <w:jc w:val="center"/>
              <w:rPr>
                <w:rFonts w:cs="Arial"/>
              </w:rPr>
            </w:pPr>
            <w:r w:rsidRPr="001C4B87">
              <w:rPr>
                <w:rFonts w:cs="Arial"/>
              </w:rPr>
              <w:t>SQ5a</w:t>
            </w:r>
          </w:p>
        </w:tc>
        <w:tc>
          <w:tcPr>
            <w:tcW w:w="3976" w:type="dxa"/>
            <w:vAlign w:val="center"/>
          </w:tcPr>
          <w:p w14:paraId="0C0D0054" w14:textId="77777777" w:rsidR="00586FFE" w:rsidRPr="001C4B87" w:rsidRDefault="00586FFE" w:rsidP="00833A6A">
            <w:pPr>
              <w:pStyle w:val="MarginText"/>
              <w:jc w:val="left"/>
              <w:rPr>
                <w:rFonts w:cs="Arial"/>
              </w:rPr>
            </w:pPr>
            <w:r w:rsidRPr="001C4B87">
              <w:rPr>
                <w:rFonts w:cs="Arial"/>
              </w:rPr>
              <w:t xml:space="preserve">Financial Assessment in respect of a </w:t>
            </w:r>
            <w:r>
              <w:rPr>
                <w:rFonts w:cs="Arial"/>
              </w:rPr>
              <w:t>Contract</w:t>
            </w:r>
            <w:r w:rsidRPr="001C4B87">
              <w:rPr>
                <w:rFonts w:cs="Arial"/>
              </w:rPr>
              <w:t xml:space="preserve"> Guarantor</w:t>
            </w:r>
          </w:p>
        </w:tc>
        <w:tc>
          <w:tcPr>
            <w:tcW w:w="2042" w:type="dxa"/>
            <w:vAlign w:val="center"/>
          </w:tcPr>
          <w:p w14:paraId="69D2506F" w14:textId="77777777" w:rsidR="00586FFE" w:rsidRPr="001C4B87" w:rsidRDefault="00586FFE" w:rsidP="00833A6A">
            <w:pPr>
              <w:pStyle w:val="MarginText"/>
              <w:jc w:val="center"/>
              <w:rPr>
                <w:rFonts w:cs="Arial"/>
              </w:rPr>
            </w:pPr>
            <w:r w:rsidRPr="001C4B87">
              <w:rPr>
                <w:rFonts w:cs="Arial"/>
              </w:rPr>
              <w:t xml:space="preserve">Compliance </w:t>
            </w:r>
          </w:p>
        </w:tc>
        <w:tc>
          <w:tcPr>
            <w:tcW w:w="2629" w:type="dxa"/>
            <w:shd w:val="clear" w:color="auto" w:fill="D9D9D9" w:themeFill="background1" w:themeFillShade="D9"/>
            <w:vAlign w:val="center"/>
          </w:tcPr>
          <w:p w14:paraId="44649BD3" w14:textId="77777777" w:rsidR="00586FFE" w:rsidRPr="001C4B87" w:rsidRDefault="00586FFE" w:rsidP="00833A6A">
            <w:pPr>
              <w:spacing w:before="60" w:after="60"/>
              <w:jc w:val="center"/>
              <w:rPr>
                <w:rFonts w:ascii="Arial" w:hAnsi="Arial" w:cs="Arial"/>
              </w:rPr>
            </w:pPr>
            <w:r w:rsidRPr="00DC2111">
              <w:rPr>
                <w:rFonts w:ascii="Arial" w:hAnsi="Arial" w:cs="Arial"/>
              </w:rPr>
              <w:t>N/A</w:t>
            </w:r>
          </w:p>
        </w:tc>
      </w:tr>
      <w:tr w:rsidR="00586FFE" w:rsidRPr="001C4B87" w14:paraId="5149B8A1" w14:textId="77777777" w:rsidTr="002A3178">
        <w:trPr>
          <w:cantSplit/>
          <w:trHeight w:val="454"/>
        </w:trPr>
        <w:tc>
          <w:tcPr>
            <w:tcW w:w="850" w:type="dxa"/>
            <w:vAlign w:val="center"/>
          </w:tcPr>
          <w:p w14:paraId="31140F00" w14:textId="77777777" w:rsidR="00586FFE" w:rsidRPr="001C4B87" w:rsidRDefault="00586FFE" w:rsidP="00833A6A">
            <w:pPr>
              <w:pStyle w:val="MarginText"/>
              <w:jc w:val="center"/>
              <w:rPr>
                <w:rFonts w:cs="Arial"/>
              </w:rPr>
            </w:pPr>
            <w:r w:rsidRPr="001C4B87">
              <w:rPr>
                <w:rFonts w:cs="Arial"/>
              </w:rPr>
              <w:t>SQ5b</w:t>
            </w:r>
          </w:p>
        </w:tc>
        <w:tc>
          <w:tcPr>
            <w:tcW w:w="3976" w:type="dxa"/>
            <w:vAlign w:val="center"/>
          </w:tcPr>
          <w:p w14:paraId="699042CC" w14:textId="77777777" w:rsidR="00586FFE" w:rsidRPr="001C4B87" w:rsidRDefault="00586FFE" w:rsidP="00833A6A">
            <w:pPr>
              <w:pStyle w:val="MarginText"/>
              <w:jc w:val="left"/>
              <w:rPr>
                <w:rFonts w:cs="Arial"/>
              </w:rPr>
            </w:pPr>
            <w:r>
              <w:rPr>
                <w:rFonts w:cs="Arial"/>
              </w:rPr>
              <w:t>Contract</w:t>
            </w:r>
            <w:r w:rsidRPr="001C4B87">
              <w:rPr>
                <w:rFonts w:cs="Arial"/>
              </w:rPr>
              <w:t xml:space="preserve"> Guarantor details </w:t>
            </w:r>
          </w:p>
        </w:tc>
        <w:tc>
          <w:tcPr>
            <w:tcW w:w="2042" w:type="dxa"/>
            <w:vAlign w:val="center"/>
          </w:tcPr>
          <w:p w14:paraId="5E5F771B" w14:textId="77777777" w:rsidR="00586FFE" w:rsidRPr="001C4B87" w:rsidRDefault="00586FFE" w:rsidP="00833A6A">
            <w:pPr>
              <w:pStyle w:val="MarginText"/>
              <w:jc w:val="center"/>
              <w:rPr>
                <w:rFonts w:cs="Arial"/>
              </w:rPr>
            </w:pPr>
            <w:r w:rsidRPr="001C4B87">
              <w:rPr>
                <w:rFonts w:cs="Arial"/>
              </w:rPr>
              <w:t xml:space="preserve">Compliance </w:t>
            </w:r>
          </w:p>
        </w:tc>
        <w:tc>
          <w:tcPr>
            <w:tcW w:w="2629" w:type="dxa"/>
            <w:shd w:val="clear" w:color="auto" w:fill="D9D9D9" w:themeFill="background1" w:themeFillShade="D9"/>
            <w:vAlign w:val="center"/>
          </w:tcPr>
          <w:p w14:paraId="0F692F56" w14:textId="77777777" w:rsidR="00586FFE" w:rsidRPr="001C4B87" w:rsidRDefault="00586FFE" w:rsidP="00833A6A">
            <w:pPr>
              <w:spacing w:before="60" w:after="60"/>
              <w:jc w:val="center"/>
              <w:rPr>
                <w:rFonts w:ascii="Arial" w:hAnsi="Arial" w:cs="Arial"/>
              </w:rPr>
            </w:pPr>
            <w:r w:rsidRPr="00DC2111">
              <w:rPr>
                <w:rFonts w:ascii="Arial" w:hAnsi="Arial" w:cs="Arial"/>
              </w:rPr>
              <w:t>N/A</w:t>
            </w:r>
          </w:p>
        </w:tc>
      </w:tr>
      <w:tr w:rsidR="00586FFE" w:rsidRPr="00DC2111" w14:paraId="11C2169B" w14:textId="77777777" w:rsidTr="002A3178">
        <w:trPr>
          <w:cantSplit/>
          <w:trHeight w:val="454"/>
        </w:trPr>
        <w:tc>
          <w:tcPr>
            <w:tcW w:w="850" w:type="dxa"/>
            <w:vAlign w:val="center"/>
          </w:tcPr>
          <w:p w14:paraId="143CCFC8" w14:textId="77777777" w:rsidR="00586FFE" w:rsidRPr="001C4B87" w:rsidRDefault="00586FFE" w:rsidP="00833A6A">
            <w:pPr>
              <w:pStyle w:val="MarginText"/>
              <w:jc w:val="center"/>
              <w:rPr>
                <w:rFonts w:cs="Arial"/>
              </w:rPr>
            </w:pPr>
            <w:r w:rsidRPr="001C4B87">
              <w:rPr>
                <w:rFonts w:cs="Arial"/>
              </w:rPr>
              <w:t>SQ5c</w:t>
            </w:r>
          </w:p>
        </w:tc>
        <w:tc>
          <w:tcPr>
            <w:tcW w:w="3976" w:type="dxa"/>
            <w:vAlign w:val="center"/>
          </w:tcPr>
          <w:p w14:paraId="7BFBF695" w14:textId="77777777" w:rsidR="00586FFE" w:rsidRPr="001C4B87" w:rsidRDefault="00586FFE" w:rsidP="00833A6A">
            <w:pPr>
              <w:pStyle w:val="MarginText"/>
              <w:jc w:val="left"/>
              <w:rPr>
                <w:rFonts w:cs="Arial"/>
              </w:rPr>
            </w:pPr>
            <w:r>
              <w:rPr>
                <w:rFonts w:cs="Arial"/>
              </w:rPr>
              <w:t>Contract</w:t>
            </w:r>
            <w:r w:rsidRPr="001C4B87">
              <w:rPr>
                <w:rFonts w:cs="Arial"/>
              </w:rPr>
              <w:t xml:space="preserve"> Guarantor confirmation </w:t>
            </w:r>
          </w:p>
        </w:tc>
        <w:tc>
          <w:tcPr>
            <w:tcW w:w="2042" w:type="dxa"/>
            <w:vAlign w:val="center"/>
          </w:tcPr>
          <w:p w14:paraId="0C2FA48C" w14:textId="77777777" w:rsidR="00586FFE" w:rsidRPr="001C4B87" w:rsidRDefault="00586FFE" w:rsidP="00833A6A">
            <w:pPr>
              <w:pStyle w:val="MarginText"/>
              <w:jc w:val="center"/>
              <w:rPr>
                <w:rFonts w:cs="Arial"/>
              </w:rPr>
            </w:pPr>
            <w:r w:rsidRPr="001C4B87">
              <w:rPr>
                <w:rFonts w:cs="Arial"/>
              </w:rPr>
              <w:t xml:space="preserve">Compliance </w:t>
            </w:r>
          </w:p>
        </w:tc>
        <w:tc>
          <w:tcPr>
            <w:tcW w:w="2629" w:type="dxa"/>
            <w:shd w:val="clear" w:color="auto" w:fill="D9D9D9" w:themeFill="background1" w:themeFillShade="D9"/>
            <w:vAlign w:val="center"/>
          </w:tcPr>
          <w:p w14:paraId="1AC8506D" w14:textId="77777777" w:rsidR="00586FFE" w:rsidRPr="00DC2111" w:rsidRDefault="00586FFE" w:rsidP="00833A6A">
            <w:pPr>
              <w:spacing w:before="60" w:after="60"/>
              <w:jc w:val="center"/>
              <w:rPr>
                <w:rFonts w:ascii="Arial" w:hAnsi="Arial" w:cs="Arial"/>
              </w:rPr>
            </w:pPr>
            <w:r w:rsidRPr="00DC2111">
              <w:rPr>
                <w:rFonts w:ascii="Arial" w:hAnsi="Arial" w:cs="Arial"/>
              </w:rPr>
              <w:t>N/A</w:t>
            </w:r>
          </w:p>
        </w:tc>
      </w:tr>
      <w:tr w:rsidR="00586FFE" w:rsidRPr="001C4B87" w14:paraId="70D69D66" w14:textId="77777777" w:rsidTr="002A3178">
        <w:trPr>
          <w:cantSplit/>
          <w:trHeight w:val="454"/>
        </w:trPr>
        <w:tc>
          <w:tcPr>
            <w:tcW w:w="9497" w:type="dxa"/>
            <w:gridSpan w:val="4"/>
            <w:shd w:val="clear" w:color="auto" w:fill="000000" w:themeFill="text1"/>
            <w:vAlign w:val="center"/>
          </w:tcPr>
          <w:p w14:paraId="5DE9E3D7" w14:textId="77777777" w:rsidR="00586FFE" w:rsidRPr="001C4B87" w:rsidRDefault="00586FFE" w:rsidP="00833A6A">
            <w:pPr>
              <w:spacing w:before="60" w:after="60"/>
              <w:rPr>
                <w:rFonts w:ascii="Arial" w:hAnsi="Arial" w:cs="Arial"/>
              </w:rPr>
            </w:pPr>
            <w:r w:rsidRPr="001C4B87">
              <w:rPr>
                <w:rFonts w:ascii="Arial" w:hAnsi="Arial" w:cs="Arial"/>
                <w:b/>
              </w:rPr>
              <w:t xml:space="preserve">Section </w:t>
            </w:r>
            <w:r>
              <w:rPr>
                <w:rFonts w:ascii="Arial" w:hAnsi="Arial" w:cs="Arial"/>
                <w:b/>
              </w:rPr>
              <w:t xml:space="preserve">6 </w:t>
            </w:r>
            <w:r w:rsidRPr="001C4B87">
              <w:rPr>
                <w:rFonts w:ascii="Arial" w:hAnsi="Arial" w:cs="Arial"/>
                <w:b/>
              </w:rPr>
              <w:t xml:space="preserve">– </w:t>
            </w:r>
            <w:r>
              <w:rPr>
                <w:rFonts w:ascii="Arial" w:hAnsi="Arial" w:cs="Arial"/>
                <w:b/>
              </w:rPr>
              <w:t>Framework Requirements</w:t>
            </w:r>
          </w:p>
        </w:tc>
      </w:tr>
      <w:tr w:rsidR="00586FFE" w:rsidRPr="001C4B87" w14:paraId="48D3199E" w14:textId="77777777" w:rsidTr="002A3178">
        <w:trPr>
          <w:cantSplit/>
          <w:trHeight w:val="454"/>
        </w:trPr>
        <w:tc>
          <w:tcPr>
            <w:tcW w:w="850" w:type="dxa"/>
            <w:vAlign w:val="center"/>
          </w:tcPr>
          <w:p w14:paraId="74613A47" w14:textId="77777777" w:rsidR="00586FFE" w:rsidRDefault="00586FFE" w:rsidP="00833A6A">
            <w:pPr>
              <w:pStyle w:val="MarginText"/>
              <w:jc w:val="center"/>
              <w:rPr>
                <w:rFonts w:cs="Arial"/>
              </w:rPr>
            </w:pPr>
            <w:r w:rsidRPr="001C4B87">
              <w:rPr>
                <w:rFonts w:cs="Arial"/>
              </w:rPr>
              <w:lastRenderedPageBreak/>
              <w:t>SQ</w:t>
            </w:r>
            <w:r>
              <w:rPr>
                <w:rFonts w:cs="Arial"/>
              </w:rPr>
              <w:t>6</w:t>
            </w:r>
            <w:r w:rsidRPr="001C4B87">
              <w:rPr>
                <w:rFonts w:cs="Arial"/>
              </w:rPr>
              <w:t>.1</w:t>
            </w:r>
          </w:p>
          <w:p w14:paraId="5105A91B" w14:textId="77777777" w:rsidR="00586FFE" w:rsidRPr="001C4B87" w:rsidRDefault="00586FFE" w:rsidP="00833A6A">
            <w:pPr>
              <w:pStyle w:val="MarginText"/>
              <w:jc w:val="center"/>
              <w:rPr>
                <w:rFonts w:cs="Arial"/>
              </w:rPr>
            </w:pPr>
            <w:r>
              <w:rPr>
                <w:rFonts w:cs="Arial"/>
              </w:rPr>
              <w:t>(a-c)</w:t>
            </w:r>
          </w:p>
        </w:tc>
        <w:tc>
          <w:tcPr>
            <w:tcW w:w="3976" w:type="dxa"/>
            <w:vAlign w:val="center"/>
          </w:tcPr>
          <w:p w14:paraId="61355FA0" w14:textId="77777777" w:rsidR="00586FFE" w:rsidRPr="001C4B87" w:rsidRDefault="00586FFE" w:rsidP="00833A6A">
            <w:pPr>
              <w:pStyle w:val="MarginText"/>
              <w:jc w:val="left"/>
              <w:rPr>
                <w:rFonts w:cs="Arial"/>
              </w:rPr>
            </w:pPr>
            <w:r w:rsidRPr="001C4B87">
              <w:rPr>
                <w:rFonts w:cs="Arial"/>
              </w:rPr>
              <w:t>Insurance</w:t>
            </w:r>
            <w:r>
              <w:rPr>
                <w:rFonts w:cs="Arial"/>
              </w:rPr>
              <w:t xml:space="preserve"> Requirements</w:t>
            </w:r>
          </w:p>
        </w:tc>
        <w:tc>
          <w:tcPr>
            <w:tcW w:w="2042" w:type="dxa"/>
            <w:vAlign w:val="center"/>
          </w:tcPr>
          <w:p w14:paraId="57A26FC4" w14:textId="77777777" w:rsidR="00586FFE" w:rsidRPr="001C4B87" w:rsidRDefault="00586FFE" w:rsidP="00833A6A">
            <w:pPr>
              <w:pStyle w:val="MarginText"/>
              <w:jc w:val="center"/>
              <w:rPr>
                <w:rFonts w:cs="Arial"/>
              </w:rPr>
            </w:pPr>
            <w:r w:rsidRPr="001C4B87">
              <w:rPr>
                <w:rFonts w:cs="Arial"/>
              </w:rPr>
              <w:t xml:space="preserve">Evaluation </w:t>
            </w:r>
          </w:p>
        </w:tc>
        <w:tc>
          <w:tcPr>
            <w:tcW w:w="2629" w:type="dxa"/>
            <w:shd w:val="clear" w:color="auto" w:fill="auto"/>
            <w:vAlign w:val="center"/>
          </w:tcPr>
          <w:p w14:paraId="0DA68899" w14:textId="77777777" w:rsidR="00586FFE" w:rsidRPr="001C4B87" w:rsidRDefault="00586FFE" w:rsidP="00833A6A">
            <w:pPr>
              <w:spacing w:before="60" w:after="60"/>
              <w:jc w:val="center"/>
              <w:rPr>
                <w:rFonts w:ascii="Arial" w:hAnsi="Arial" w:cs="Arial"/>
              </w:rPr>
            </w:pPr>
            <w:r w:rsidRPr="001C4B87">
              <w:rPr>
                <w:rFonts w:ascii="Arial" w:hAnsi="Arial" w:cs="Arial"/>
              </w:rPr>
              <w:t>Pass/Fail</w:t>
            </w:r>
          </w:p>
        </w:tc>
      </w:tr>
      <w:tr w:rsidR="00586FFE" w:rsidRPr="001C4B87" w14:paraId="297FFCD9" w14:textId="77777777" w:rsidTr="002A3178">
        <w:trPr>
          <w:cantSplit/>
          <w:trHeight w:val="454"/>
        </w:trPr>
        <w:tc>
          <w:tcPr>
            <w:tcW w:w="850" w:type="dxa"/>
            <w:vAlign w:val="center"/>
          </w:tcPr>
          <w:p w14:paraId="658A998A" w14:textId="77777777" w:rsidR="00586FFE" w:rsidRDefault="00586FFE" w:rsidP="00833A6A">
            <w:pPr>
              <w:pStyle w:val="MarginText"/>
              <w:jc w:val="center"/>
              <w:rPr>
                <w:rFonts w:cs="Arial"/>
              </w:rPr>
            </w:pPr>
            <w:r w:rsidRPr="001C4B87">
              <w:rPr>
                <w:rFonts w:cs="Arial"/>
              </w:rPr>
              <w:t>SQ</w:t>
            </w:r>
            <w:r>
              <w:rPr>
                <w:rFonts w:cs="Arial"/>
              </w:rPr>
              <w:t>6</w:t>
            </w:r>
            <w:r w:rsidRPr="001C4B87">
              <w:rPr>
                <w:rFonts w:cs="Arial"/>
              </w:rPr>
              <w:t>.2</w:t>
            </w:r>
          </w:p>
          <w:p w14:paraId="1131267E" w14:textId="77777777" w:rsidR="00586FFE" w:rsidRPr="001C4B87" w:rsidRDefault="00586FFE" w:rsidP="00833A6A">
            <w:pPr>
              <w:pStyle w:val="MarginText"/>
              <w:jc w:val="center"/>
              <w:rPr>
                <w:rFonts w:cs="Arial"/>
              </w:rPr>
            </w:pPr>
            <w:r w:rsidRPr="001C4B87">
              <w:rPr>
                <w:rFonts w:cs="Arial"/>
              </w:rPr>
              <w:t xml:space="preserve">(a-d) </w:t>
            </w:r>
          </w:p>
        </w:tc>
        <w:tc>
          <w:tcPr>
            <w:tcW w:w="3976" w:type="dxa"/>
            <w:vAlign w:val="center"/>
          </w:tcPr>
          <w:p w14:paraId="259E5DB5" w14:textId="77777777" w:rsidR="00586FFE" w:rsidRPr="001C4B87" w:rsidRDefault="00586FFE" w:rsidP="00833A6A">
            <w:pPr>
              <w:pStyle w:val="MarginText"/>
              <w:jc w:val="left"/>
              <w:rPr>
                <w:rFonts w:cs="Arial"/>
              </w:rPr>
            </w:pPr>
            <w:r w:rsidRPr="001C4B87">
              <w:rPr>
                <w:rFonts w:cs="Arial"/>
              </w:rPr>
              <w:t xml:space="preserve">Compliance with </w:t>
            </w:r>
            <w:r>
              <w:rPr>
                <w:rFonts w:cs="Arial"/>
              </w:rPr>
              <w:t>E</w:t>
            </w:r>
            <w:r w:rsidRPr="001C4B87">
              <w:rPr>
                <w:rFonts w:cs="Arial"/>
              </w:rPr>
              <w:t xml:space="preserve">quality </w:t>
            </w:r>
            <w:r>
              <w:rPr>
                <w:rFonts w:cs="Arial"/>
              </w:rPr>
              <w:t>L</w:t>
            </w:r>
            <w:r w:rsidRPr="001C4B87">
              <w:rPr>
                <w:rFonts w:cs="Arial"/>
              </w:rPr>
              <w:t>egislation</w:t>
            </w:r>
          </w:p>
        </w:tc>
        <w:tc>
          <w:tcPr>
            <w:tcW w:w="2042" w:type="dxa"/>
            <w:vAlign w:val="center"/>
          </w:tcPr>
          <w:p w14:paraId="477DA97E" w14:textId="77777777" w:rsidR="00586FFE" w:rsidRPr="001C4B87" w:rsidRDefault="00586FFE" w:rsidP="00833A6A">
            <w:pPr>
              <w:pStyle w:val="MarginText"/>
              <w:jc w:val="center"/>
              <w:rPr>
                <w:rFonts w:cs="Arial"/>
              </w:rPr>
            </w:pPr>
            <w:r w:rsidRPr="001C4B87">
              <w:rPr>
                <w:rFonts w:cs="Arial"/>
              </w:rPr>
              <w:t>Evaluation</w:t>
            </w:r>
          </w:p>
        </w:tc>
        <w:tc>
          <w:tcPr>
            <w:tcW w:w="2629" w:type="dxa"/>
            <w:shd w:val="clear" w:color="auto" w:fill="auto"/>
            <w:vAlign w:val="center"/>
          </w:tcPr>
          <w:p w14:paraId="3ADC1E37" w14:textId="77777777" w:rsidR="00586FFE" w:rsidRPr="001C4B87" w:rsidRDefault="00586FFE" w:rsidP="00833A6A">
            <w:pPr>
              <w:spacing w:before="60" w:after="60"/>
              <w:jc w:val="center"/>
              <w:rPr>
                <w:rFonts w:ascii="Arial" w:hAnsi="Arial" w:cs="Arial"/>
              </w:rPr>
            </w:pPr>
            <w:r w:rsidRPr="001C4B87">
              <w:rPr>
                <w:rFonts w:ascii="Arial" w:hAnsi="Arial" w:cs="Arial"/>
              </w:rPr>
              <w:t>Pass/Fail</w:t>
            </w:r>
          </w:p>
        </w:tc>
      </w:tr>
      <w:tr w:rsidR="00586FFE" w:rsidRPr="0018685F" w14:paraId="2D99AFD2" w14:textId="77777777" w:rsidTr="002A3178">
        <w:trPr>
          <w:cantSplit/>
          <w:trHeight w:val="454"/>
        </w:trPr>
        <w:tc>
          <w:tcPr>
            <w:tcW w:w="850" w:type="dxa"/>
            <w:vAlign w:val="center"/>
          </w:tcPr>
          <w:p w14:paraId="2E13D4A5" w14:textId="77777777" w:rsidR="00586FFE" w:rsidRPr="008D2B08" w:rsidRDefault="00586FFE" w:rsidP="00833A6A">
            <w:pPr>
              <w:pStyle w:val="MarginText"/>
              <w:jc w:val="center"/>
              <w:rPr>
                <w:rFonts w:cs="Arial"/>
              </w:rPr>
            </w:pPr>
            <w:r w:rsidRPr="008D2B08">
              <w:rPr>
                <w:rFonts w:cs="Arial"/>
              </w:rPr>
              <w:t>SQ6.3</w:t>
            </w:r>
          </w:p>
          <w:p w14:paraId="49D1802E" w14:textId="77777777" w:rsidR="00586FFE" w:rsidRPr="008D2B08" w:rsidRDefault="00586FFE" w:rsidP="00833A6A">
            <w:pPr>
              <w:pStyle w:val="MarginText"/>
              <w:jc w:val="center"/>
              <w:rPr>
                <w:rFonts w:cs="Arial"/>
              </w:rPr>
            </w:pPr>
            <w:r w:rsidRPr="008D2B08">
              <w:rPr>
                <w:rFonts w:cs="Arial"/>
              </w:rPr>
              <w:t>(a-c)</w:t>
            </w:r>
          </w:p>
        </w:tc>
        <w:tc>
          <w:tcPr>
            <w:tcW w:w="3976" w:type="dxa"/>
            <w:vAlign w:val="center"/>
          </w:tcPr>
          <w:p w14:paraId="052F2E12" w14:textId="77777777" w:rsidR="00586FFE" w:rsidRPr="008D2B08" w:rsidRDefault="00586FFE" w:rsidP="00833A6A">
            <w:pPr>
              <w:pStyle w:val="MarginText"/>
              <w:jc w:val="left"/>
              <w:rPr>
                <w:rFonts w:cs="Arial"/>
              </w:rPr>
            </w:pPr>
            <w:r w:rsidRPr="008D2B08">
              <w:rPr>
                <w:rFonts w:cs="Arial"/>
              </w:rPr>
              <w:t xml:space="preserve">Environmental </w:t>
            </w:r>
            <w:r>
              <w:rPr>
                <w:rFonts w:cs="Arial"/>
              </w:rPr>
              <w:t>M</w:t>
            </w:r>
            <w:r w:rsidRPr="008D2B08">
              <w:rPr>
                <w:rFonts w:cs="Arial"/>
              </w:rPr>
              <w:t>anagement</w:t>
            </w:r>
          </w:p>
        </w:tc>
        <w:tc>
          <w:tcPr>
            <w:tcW w:w="2042" w:type="dxa"/>
            <w:vAlign w:val="center"/>
          </w:tcPr>
          <w:p w14:paraId="7E071558" w14:textId="77777777" w:rsidR="00586FFE" w:rsidRPr="0018685F" w:rsidRDefault="00586FFE" w:rsidP="00833A6A">
            <w:pPr>
              <w:pStyle w:val="MarginText"/>
              <w:jc w:val="center"/>
              <w:rPr>
                <w:rFonts w:cs="Arial"/>
              </w:rPr>
            </w:pPr>
            <w:r w:rsidRPr="0018685F">
              <w:rPr>
                <w:rFonts w:cs="Arial"/>
              </w:rPr>
              <w:t>Evaluation</w:t>
            </w:r>
          </w:p>
        </w:tc>
        <w:tc>
          <w:tcPr>
            <w:tcW w:w="2629" w:type="dxa"/>
            <w:shd w:val="clear" w:color="auto" w:fill="auto"/>
            <w:vAlign w:val="center"/>
          </w:tcPr>
          <w:p w14:paraId="70CAC2A2" w14:textId="77777777" w:rsidR="00586FFE" w:rsidRPr="0018685F" w:rsidRDefault="00586FFE" w:rsidP="00833A6A">
            <w:pPr>
              <w:spacing w:before="60" w:after="60"/>
              <w:jc w:val="center"/>
              <w:rPr>
                <w:rFonts w:ascii="Arial" w:hAnsi="Arial" w:cs="Arial"/>
              </w:rPr>
            </w:pPr>
            <w:r w:rsidRPr="0018685F">
              <w:rPr>
                <w:rFonts w:ascii="Arial" w:hAnsi="Arial" w:cs="Arial"/>
              </w:rPr>
              <w:t>Pass/Fail</w:t>
            </w:r>
          </w:p>
        </w:tc>
      </w:tr>
      <w:tr w:rsidR="00586FFE" w:rsidRPr="0018685F" w14:paraId="34B9E1FF" w14:textId="77777777" w:rsidTr="002A3178">
        <w:trPr>
          <w:cantSplit/>
          <w:trHeight w:val="454"/>
        </w:trPr>
        <w:tc>
          <w:tcPr>
            <w:tcW w:w="850" w:type="dxa"/>
            <w:vAlign w:val="center"/>
          </w:tcPr>
          <w:p w14:paraId="7BFAE593" w14:textId="77777777" w:rsidR="00586FFE" w:rsidRPr="008D2B08" w:rsidRDefault="00586FFE" w:rsidP="00833A6A">
            <w:pPr>
              <w:pStyle w:val="MarginText"/>
              <w:jc w:val="center"/>
              <w:rPr>
                <w:rFonts w:cs="Arial"/>
              </w:rPr>
            </w:pPr>
            <w:r w:rsidRPr="008D2B08">
              <w:rPr>
                <w:rFonts w:cs="Arial"/>
              </w:rPr>
              <w:t>SQ6.4</w:t>
            </w:r>
          </w:p>
          <w:p w14:paraId="634633E2" w14:textId="77777777" w:rsidR="00586FFE" w:rsidRPr="008D2B08" w:rsidRDefault="00586FFE" w:rsidP="00833A6A">
            <w:pPr>
              <w:pStyle w:val="MarginText"/>
              <w:jc w:val="center"/>
              <w:rPr>
                <w:rFonts w:cs="Arial"/>
              </w:rPr>
            </w:pPr>
            <w:r w:rsidRPr="008D2B08">
              <w:rPr>
                <w:rFonts w:cs="Arial"/>
              </w:rPr>
              <w:t>(a-d)</w:t>
            </w:r>
          </w:p>
        </w:tc>
        <w:tc>
          <w:tcPr>
            <w:tcW w:w="3976" w:type="dxa"/>
            <w:vAlign w:val="center"/>
          </w:tcPr>
          <w:p w14:paraId="17414C21" w14:textId="77777777" w:rsidR="00586FFE" w:rsidRPr="008D2B08" w:rsidRDefault="00586FFE" w:rsidP="00833A6A">
            <w:pPr>
              <w:pStyle w:val="MarginText"/>
              <w:jc w:val="left"/>
              <w:rPr>
                <w:rFonts w:cs="Arial"/>
              </w:rPr>
            </w:pPr>
            <w:r w:rsidRPr="008D2B08">
              <w:rPr>
                <w:rFonts w:cs="Arial"/>
              </w:rPr>
              <w:t xml:space="preserve">Health </w:t>
            </w:r>
            <w:r>
              <w:rPr>
                <w:rFonts w:cs="Arial"/>
              </w:rPr>
              <w:t>and</w:t>
            </w:r>
            <w:r w:rsidRPr="008D2B08">
              <w:rPr>
                <w:rFonts w:cs="Arial"/>
              </w:rPr>
              <w:t xml:space="preserve"> Safety</w:t>
            </w:r>
          </w:p>
        </w:tc>
        <w:tc>
          <w:tcPr>
            <w:tcW w:w="2042" w:type="dxa"/>
            <w:vAlign w:val="center"/>
          </w:tcPr>
          <w:p w14:paraId="3F125E76" w14:textId="77777777" w:rsidR="00586FFE" w:rsidRPr="0018685F" w:rsidRDefault="00586FFE" w:rsidP="00833A6A">
            <w:pPr>
              <w:pStyle w:val="MarginText"/>
              <w:jc w:val="center"/>
              <w:rPr>
                <w:rFonts w:cs="Arial"/>
              </w:rPr>
            </w:pPr>
            <w:r w:rsidRPr="0018685F">
              <w:rPr>
                <w:rFonts w:cs="Arial"/>
              </w:rPr>
              <w:t>Evaluation</w:t>
            </w:r>
          </w:p>
        </w:tc>
        <w:tc>
          <w:tcPr>
            <w:tcW w:w="2629" w:type="dxa"/>
            <w:shd w:val="clear" w:color="auto" w:fill="auto"/>
            <w:vAlign w:val="center"/>
          </w:tcPr>
          <w:p w14:paraId="3EBEB1DB" w14:textId="77777777" w:rsidR="00586FFE" w:rsidRPr="0018685F" w:rsidRDefault="00586FFE" w:rsidP="00833A6A">
            <w:pPr>
              <w:spacing w:before="60" w:after="60"/>
              <w:jc w:val="center"/>
              <w:rPr>
                <w:rFonts w:ascii="Arial" w:hAnsi="Arial" w:cs="Arial"/>
              </w:rPr>
            </w:pPr>
            <w:r w:rsidRPr="0018685F">
              <w:rPr>
                <w:rFonts w:ascii="Arial" w:hAnsi="Arial" w:cs="Arial"/>
              </w:rPr>
              <w:t>Pass/Fail</w:t>
            </w:r>
          </w:p>
        </w:tc>
      </w:tr>
      <w:tr w:rsidR="00586FFE" w:rsidRPr="0018685F" w14:paraId="6BD5AE68" w14:textId="77777777" w:rsidTr="002A3178">
        <w:trPr>
          <w:cantSplit/>
          <w:trHeight w:val="454"/>
        </w:trPr>
        <w:tc>
          <w:tcPr>
            <w:tcW w:w="850" w:type="dxa"/>
            <w:vAlign w:val="center"/>
          </w:tcPr>
          <w:p w14:paraId="5A1FB965" w14:textId="77777777" w:rsidR="00586FFE" w:rsidRPr="008D2B08" w:rsidRDefault="00586FFE" w:rsidP="00833A6A">
            <w:pPr>
              <w:pStyle w:val="MarginText"/>
              <w:jc w:val="center"/>
              <w:rPr>
                <w:rFonts w:cs="Arial"/>
              </w:rPr>
            </w:pPr>
            <w:r w:rsidRPr="008D2B08">
              <w:rPr>
                <w:rFonts w:cs="Arial"/>
              </w:rPr>
              <w:t>SQ6.5</w:t>
            </w:r>
          </w:p>
        </w:tc>
        <w:tc>
          <w:tcPr>
            <w:tcW w:w="3976" w:type="dxa"/>
            <w:vAlign w:val="center"/>
          </w:tcPr>
          <w:p w14:paraId="0E1835A8" w14:textId="77777777" w:rsidR="00586FFE" w:rsidRPr="008D2B08" w:rsidRDefault="00586FFE" w:rsidP="00833A6A">
            <w:pPr>
              <w:pStyle w:val="MarginText"/>
              <w:jc w:val="left"/>
              <w:rPr>
                <w:rFonts w:cs="Arial"/>
              </w:rPr>
            </w:pPr>
            <w:r w:rsidRPr="008D2B08">
              <w:rPr>
                <w:rFonts w:cs="Arial"/>
              </w:rPr>
              <w:t>Cyber Essentials Scheme</w:t>
            </w:r>
          </w:p>
        </w:tc>
        <w:tc>
          <w:tcPr>
            <w:tcW w:w="2042" w:type="dxa"/>
            <w:vAlign w:val="center"/>
          </w:tcPr>
          <w:p w14:paraId="51CF18F7" w14:textId="77777777" w:rsidR="00586FFE" w:rsidRPr="0018685F" w:rsidRDefault="00586FFE" w:rsidP="00833A6A">
            <w:pPr>
              <w:pStyle w:val="MarginText"/>
              <w:jc w:val="center"/>
              <w:rPr>
                <w:rFonts w:cs="Arial"/>
              </w:rPr>
            </w:pPr>
            <w:r w:rsidRPr="0018685F">
              <w:rPr>
                <w:rFonts w:cs="Arial"/>
              </w:rPr>
              <w:t>Evaluation</w:t>
            </w:r>
          </w:p>
        </w:tc>
        <w:tc>
          <w:tcPr>
            <w:tcW w:w="2629" w:type="dxa"/>
            <w:shd w:val="clear" w:color="auto" w:fill="auto"/>
            <w:vAlign w:val="center"/>
          </w:tcPr>
          <w:p w14:paraId="10FD98A5" w14:textId="77777777" w:rsidR="00586FFE" w:rsidRPr="0018685F" w:rsidRDefault="00586FFE" w:rsidP="00833A6A">
            <w:pPr>
              <w:spacing w:before="60" w:after="60"/>
              <w:jc w:val="center"/>
              <w:rPr>
                <w:rFonts w:ascii="Arial" w:hAnsi="Arial" w:cs="Arial"/>
              </w:rPr>
            </w:pPr>
            <w:r w:rsidRPr="0018685F">
              <w:rPr>
                <w:rFonts w:ascii="Arial" w:hAnsi="Arial" w:cs="Arial"/>
              </w:rPr>
              <w:t>Pass/Fail</w:t>
            </w:r>
          </w:p>
        </w:tc>
      </w:tr>
      <w:tr w:rsidR="00586FFE" w:rsidRPr="001C4B87" w14:paraId="162BF402" w14:textId="77777777" w:rsidTr="002A3178">
        <w:trPr>
          <w:cantSplit/>
          <w:trHeight w:val="454"/>
        </w:trPr>
        <w:tc>
          <w:tcPr>
            <w:tcW w:w="850" w:type="dxa"/>
            <w:vAlign w:val="center"/>
          </w:tcPr>
          <w:p w14:paraId="7F90BC05" w14:textId="77777777" w:rsidR="00586FFE" w:rsidRPr="001C4B87" w:rsidRDefault="00586FFE" w:rsidP="00833A6A">
            <w:pPr>
              <w:pStyle w:val="MarginText"/>
              <w:jc w:val="center"/>
              <w:rPr>
                <w:rFonts w:cs="Arial"/>
              </w:rPr>
            </w:pPr>
            <w:r w:rsidRPr="001C4B87">
              <w:rPr>
                <w:rFonts w:cs="Arial"/>
              </w:rPr>
              <w:t>SQ</w:t>
            </w:r>
            <w:r>
              <w:rPr>
                <w:rFonts w:cs="Arial"/>
              </w:rPr>
              <w:t>6</w:t>
            </w:r>
            <w:r w:rsidRPr="001C4B87">
              <w:rPr>
                <w:rFonts w:cs="Arial"/>
              </w:rPr>
              <w:t>.</w:t>
            </w:r>
            <w:r>
              <w:rPr>
                <w:rFonts w:cs="Arial"/>
              </w:rPr>
              <w:t>6</w:t>
            </w:r>
          </w:p>
        </w:tc>
        <w:tc>
          <w:tcPr>
            <w:tcW w:w="3976" w:type="dxa"/>
            <w:vAlign w:val="center"/>
          </w:tcPr>
          <w:p w14:paraId="6E8A0FEA" w14:textId="77777777" w:rsidR="00586FFE" w:rsidRPr="001C4B87" w:rsidRDefault="00586FFE" w:rsidP="00833A6A">
            <w:pPr>
              <w:pStyle w:val="MarginText"/>
              <w:jc w:val="left"/>
              <w:rPr>
                <w:rFonts w:cs="Arial"/>
              </w:rPr>
            </w:pPr>
            <w:r>
              <w:rPr>
                <w:rFonts w:eastAsia="MS Gothic" w:cs="Arial"/>
              </w:rPr>
              <w:t>Framework</w:t>
            </w:r>
            <w:r w:rsidRPr="001C4B87">
              <w:rPr>
                <w:rFonts w:eastAsia="MS Gothic" w:cs="Arial"/>
              </w:rPr>
              <w:t xml:space="preserve"> Population Template</w:t>
            </w:r>
          </w:p>
        </w:tc>
        <w:tc>
          <w:tcPr>
            <w:tcW w:w="2042" w:type="dxa"/>
            <w:vAlign w:val="center"/>
          </w:tcPr>
          <w:p w14:paraId="419166D7" w14:textId="77777777" w:rsidR="00586FFE" w:rsidRPr="001C4B87" w:rsidRDefault="00586FFE" w:rsidP="00833A6A">
            <w:pPr>
              <w:pStyle w:val="MarginText"/>
              <w:jc w:val="center"/>
              <w:rPr>
                <w:rFonts w:cs="Arial"/>
              </w:rPr>
            </w:pPr>
            <w:r w:rsidRPr="001C4B87">
              <w:rPr>
                <w:rFonts w:cs="Arial"/>
              </w:rPr>
              <w:t>Information Only</w:t>
            </w:r>
          </w:p>
        </w:tc>
        <w:tc>
          <w:tcPr>
            <w:tcW w:w="2629" w:type="dxa"/>
            <w:shd w:val="clear" w:color="auto" w:fill="D9D9D9" w:themeFill="background1" w:themeFillShade="D9"/>
            <w:vAlign w:val="center"/>
          </w:tcPr>
          <w:p w14:paraId="02231010" w14:textId="77777777" w:rsidR="00586FFE" w:rsidRPr="001C4B87" w:rsidRDefault="00586FFE" w:rsidP="00833A6A">
            <w:pPr>
              <w:spacing w:before="60" w:after="60"/>
              <w:jc w:val="center"/>
              <w:rPr>
                <w:rFonts w:ascii="Arial" w:hAnsi="Arial" w:cs="Arial"/>
              </w:rPr>
            </w:pPr>
            <w:r w:rsidRPr="001C4B87">
              <w:rPr>
                <w:rFonts w:ascii="Arial" w:hAnsi="Arial" w:cs="Arial"/>
              </w:rPr>
              <w:t>N/A</w:t>
            </w:r>
          </w:p>
        </w:tc>
      </w:tr>
      <w:tr w:rsidR="0050488E" w:rsidRPr="001C4B87" w14:paraId="614988AA" w14:textId="77777777" w:rsidTr="00586FFE">
        <w:trPr>
          <w:cantSplit/>
          <w:trHeight w:val="454"/>
        </w:trPr>
        <w:tc>
          <w:tcPr>
            <w:tcW w:w="850" w:type="dxa"/>
            <w:vAlign w:val="center"/>
          </w:tcPr>
          <w:p w14:paraId="3C803D3F" w14:textId="6572B667" w:rsidR="0050488E" w:rsidRPr="001C4B87" w:rsidRDefault="0050488E" w:rsidP="0050488E">
            <w:pPr>
              <w:pStyle w:val="MarginText"/>
              <w:jc w:val="center"/>
              <w:rPr>
                <w:rFonts w:cs="Arial"/>
              </w:rPr>
            </w:pPr>
            <w:r>
              <w:rPr>
                <w:rFonts w:cs="Arial"/>
              </w:rPr>
              <w:t>SQ 6.7 (a-b)</w:t>
            </w:r>
          </w:p>
        </w:tc>
        <w:tc>
          <w:tcPr>
            <w:tcW w:w="3976" w:type="dxa"/>
            <w:vAlign w:val="center"/>
          </w:tcPr>
          <w:p w14:paraId="1EBA7D78" w14:textId="7051ECC4" w:rsidR="0050488E" w:rsidRDefault="0050488E" w:rsidP="0050488E">
            <w:pPr>
              <w:pStyle w:val="MarginText"/>
              <w:jc w:val="left"/>
              <w:rPr>
                <w:rFonts w:eastAsia="MS Gothic" w:cs="Arial"/>
              </w:rPr>
            </w:pPr>
            <w:r>
              <w:rPr>
                <w:rFonts w:eastAsia="MS Gothic" w:cs="Arial"/>
              </w:rPr>
              <w:t>Subsidiary/Affiliated Companies</w:t>
            </w:r>
          </w:p>
        </w:tc>
        <w:tc>
          <w:tcPr>
            <w:tcW w:w="2042" w:type="dxa"/>
            <w:vAlign w:val="center"/>
          </w:tcPr>
          <w:p w14:paraId="736C276D" w14:textId="6A7BE82A" w:rsidR="0050488E" w:rsidRPr="001C4B87" w:rsidRDefault="0050488E" w:rsidP="0050488E">
            <w:pPr>
              <w:pStyle w:val="MarginText"/>
              <w:jc w:val="center"/>
              <w:rPr>
                <w:rFonts w:cs="Arial"/>
              </w:rPr>
            </w:pPr>
            <w:r w:rsidRPr="001C4B87">
              <w:rPr>
                <w:rFonts w:cs="Arial"/>
              </w:rPr>
              <w:t>Information Only</w:t>
            </w:r>
          </w:p>
        </w:tc>
        <w:tc>
          <w:tcPr>
            <w:tcW w:w="2629" w:type="dxa"/>
            <w:shd w:val="clear" w:color="auto" w:fill="D9D9D9" w:themeFill="background1" w:themeFillShade="D9"/>
            <w:vAlign w:val="center"/>
          </w:tcPr>
          <w:p w14:paraId="173181B4" w14:textId="7B0AB097" w:rsidR="0050488E" w:rsidRPr="001C4B87" w:rsidRDefault="0050488E" w:rsidP="0050488E">
            <w:pPr>
              <w:spacing w:before="60" w:after="60"/>
              <w:jc w:val="center"/>
              <w:rPr>
                <w:rFonts w:ascii="Arial" w:hAnsi="Arial" w:cs="Arial"/>
              </w:rPr>
            </w:pPr>
            <w:r w:rsidRPr="001C4B87">
              <w:rPr>
                <w:rFonts w:ascii="Arial" w:hAnsi="Arial" w:cs="Arial"/>
              </w:rPr>
              <w:t>N/A</w:t>
            </w:r>
          </w:p>
        </w:tc>
      </w:tr>
      <w:tr w:rsidR="00586FFE" w:rsidRPr="001C4B87" w14:paraId="43159758" w14:textId="77777777" w:rsidTr="002A3178">
        <w:trPr>
          <w:cantSplit/>
          <w:trHeight w:val="454"/>
        </w:trPr>
        <w:tc>
          <w:tcPr>
            <w:tcW w:w="9497" w:type="dxa"/>
            <w:gridSpan w:val="4"/>
            <w:shd w:val="clear" w:color="auto" w:fill="000000" w:themeFill="text1"/>
            <w:vAlign w:val="center"/>
          </w:tcPr>
          <w:p w14:paraId="2F3C9B11" w14:textId="77777777" w:rsidR="00586FFE" w:rsidRPr="001C4B87" w:rsidRDefault="00586FFE" w:rsidP="00833A6A">
            <w:pPr>
              <w:spacing w:before="60" w:after="60"/>
              <w:rPr>
                <w:rFonts w:ascii="Arial" w:hAnsi="Arial" w:cs="Arial"/>
              </w:rPr>
            </w:pPr>
            <w:r w:rsidRPr="001C4B87">
              <w:rPr>
                <w:rFonts w:ascii="Arial" w:hAnsi="Arial" w:cs="Arial"/>
                <w:b/>
              </w:rPr>
              <w:t xml:space="preserve">Section </w:t>
            </w:r>
            <w:r>
              <w:rPr>
                <w:rFonts w:ascii="Arial" w:hAnsi="Arial" w:cs="Arial"/>
                <w:b/>
              </w:rPr>
              <w:t>7</w:t>
            </w:r>
            <w:r w:rsidRPr="001C4B87">
              <w:rPr>
                <w:rFonts w:ascii="Arial" w:hAnsi="Arial" w:cs="Arial"/>
                <w:b/>
              </w:rPr>
              <w:t xml:space="preserve"> – Technical and Professional Ability  </w:t>
            </w:r>
          </w:p>
        </w:tc>
      </w:tr>
      <w:tr w:rsidR="00586FFE" w:rsidRPr="001C4B87" w14:paraId="1593D451" w14:textId="77777777" w:rsidTr="002A3178">
        <w:trPr>
          <w:cantSplit/>
          <w:trHeight w:val="454"/>
        </w:trPr>
        <w:tc>
          <w:tcPr>
            <w:tcW w:w="9497" w:type="dxa"/>
            <w:gridSpan w:val="4"/>
            <w:shd w:val="clear" w:color="auto" w:fill="D9D9D9" w:themeFill="background1" w:themeFillShade="D9"/>
            <w:vAlign w:val="center"/>
          </w:tcPr>
          <w:p w14:paraId="2E5BDF57" w14:textId="1C7F57FD" w:rsidR="00586FFE" w:rsidRPr="001C4B87" w:rsidRDefault="00586FFE" w:rsidP="00586FFE">
            <w:pPr>
              <w:spacing w:before="60" w:after="60"/>
              <w:rPr>
                <w:rFonts w:ascii="Arial" w:hAnsi="Arial" w:cs="Arial"/>
              </w:rPr>
            </w:pPr>
            <w:r>
              <w:rPr>
                <w:rFonts w:ascii="Arial" w:hAnsi="Arial" w:cs="Arial"/>
                <w:b/>
              </w:rPr>
              <w:t>Provision of Financial Management Reform Costing  Programme – Previous Supply</w:t>
            </w:r>
          </w:p>
        </w:tc>
      </w:tr>
      <w:tr w:rsidR="00586FFE" w:rsidRPr="001C4B87" w14:paraId="1754C543" w14:textId="77777777" w:rsidTr="002A3178">
        <w:trPr>
          <w:cantSplit/>
          <w:trHeight w:val="454"/>
        </w:trPr>
        <w:tc>
          <w:tcPr>
            <w:tcW w:w="850" w:type="dxa"/>
            <w:vAlign w:val="center"/>
          </w:tcPr>
          <w:p w14:paraId="58360A3A" w14:textId="77777777" w:rsidR="00586FFE" w:rsidRDefault="00586FFE" w:rsidP="00833A6A">
            <w:pPr>
              <w:pStyle w:val="MarginText"/>
              <w:jc w:val="center"/>
              <w:rPr>
                <w:rFonts w:cs="Arial"/>
              </w:rPr>
            </w:pPr>
            <w:r w:rsidRPr="001C4B87">
              <w:rPr>
                <w:rFonts w:cs="Arial"/>
              </w:rPr>
              <w:t>SQ</w:t>
            </w:r>
            <w:r>
              <w:rPr>
                <w:rFonts w:cs="Arial"/>
              </w:rPr>
              <w:t>7</w:t>
            </w:r>
            <w:r w:rsidRPr="001C4B87">
              <w:rPr>
                <w:rFonts w:cs="Arial"/>
              </w:rPr>
              <w:t>.1</w:t>
            </w:r>
          </w:p>
          <w:p w14:paraId="6344D462" w14:textId="048C025E" w:rsidR="00586FFE" w:rsidRPr="001C4B87" w:rsidRDefault="00586FFE" w:rsidP="00833A6A">
            <w:pPr>
              <w:pStyle w:val="MarginText"/>
              <w:jc w:val="center"/>
              <w:rPr>
                <w:rFonts w:cs="Arial"/>
              </w:rPr>
            </w:pPr>
            <w:r>
              <w:rPr>
                <w:rFonts w:cs="Arial"/>
              </w:rPr>
              <w:t>(a-</w:t>
            </w:r>
            <w:r w:rsidR="00093A3E">
              <w:rPr>
                <w:rFonts w:cs="Arial"/>
              </w:rPr>
              <w:t>b</w:t>
            </w:r>
            <w:r>
              <w:rPr>
                <w:rFonts w:cs="Arial"/>
              </w:rPr>
              <w:t>)</w:t>
            </w:r>
          </w:p>
        </w:tc>
        <w:tc>
          <w:tcPr>
            <w:tcW w:w="3976" w:type="dxa"/>
            <w:vAlign w:val="center"/>
          </w:tcPr>
          <w:p w14:paraId="62948CD7" w14:textId="388E90E5" w:rsidR="00586FFE" w:rsidRPr="001C4B87" w:rsidRDefault="00586FFE" w:rsidP="00833A6A">
            <w:pPr>
              <w:pStyle w:val="MarginText"/>
              <w:jc w:val="left"/>
              <w:rPr>
                <w:rFonts w:cs="Arial"/>
              </w:rPr>
            </w:pPr>
            <w:r>
              <w:rPr>
                <w:rFonts w:cs="Arial"/>
              </w:rPr>
              <w:t>Previous Contracts</w:t>
            </w:r>
            <w:r w:rsidR="00093A3E">
              <w:rPr>
                <w:rFonts w:cs="Arial"/>
              </w:rPr>
              <w:t xml:space="preserve"> Details </w:t>
            </w:r>
          </w:p>
        </w:tc>
        <w:tc>
          <w:tcPr>
            <w:tcW w:w="2042" w:type="dxa"/>
            <w:vAlign w:val="center"/>
          </w:tcPr>
          <w:p w14:paraId="77EBFAC1" w14:textId="77777777" w:rsidR="00586FFE" w:rsidRPr="001C4B87" w:rsidRDefault="00586FFE" w:rsidP="00833A6A">
            <w:pPr>
              <w:pStyle w:val="MarginText"/>
              <w:jc w:val="center"/>
              <w:rPr>
                <w:rFonts w:cs="Arial"/>
              </w:rPr>
            </w:pPr>
            <w:r w:rsidRPr="001C4B87">
              <w:rPr>
                <w:rFonts w:cs="Arial"/>
              </w:rPr>
              <w:t>Evaluation</w:t>
            </w:r>
          </w:p>
        </w:tc>
        <w:tc>
          <w:tcPr>
            <w:tcW w:w="2629" w:type="dxa"/>
            <w:shd w:val="clear" w:color="auto" w:fill="auto"/>
            <w:vAlign w:val="center"/>
          </w:tcPr>
          <w:p w14:paraId="32FFB879" w14:textId="77777777" w:rsidR="00586FFE" w:rsidRPr="001C4B87" w:rsidRDefault="00586FFE" w:rsidP="00833A6A">
            <w:pPr>
              <w:spacing w:before="60" w:after="60"/>
              <w:jc w:val="center"/>
              <w:rPr>
                <w:rFonts w:ascii="Arial" w:hAnsi="Arial" w:cs="Arial"/>
              </w:rPr>
            </w:pPr>
            <w:r w:rsidRPr="001C4B87">
              <w:rPr>
                <w:rFonts w:ascii="Arial" w:hAnsi="Arial" w:cs="Arial"/>
              </w:rPr>
              <w:t>Pass/Fail</w:t>
            </w:r>
          </w:p>
        </w:tc>
      </w:tr>
      <w:tr w:rsidR="00093A3E" w:rsidRPr="001C4B87" w14:paraId="5A0222AF" w14:textId="77777777" w:rsidTr="00833A6A">
        <w:trPr>
          <w:cantSplit/>
          <w:trHeight w:val="454"/>
        </w:trPr>
        <w:tc>
          <w:tcPr>
            <w:tcW w:w="850" w:type="dxa"/>
            <w:vAlign w:val="center"/>
          </w:tcPr>
          <w:p w14:paraId="0C89EF47" w14:textId="5703E289" w:rsidR="00093A3E" w:rsidRDefault="00093A3E" w:rsidP="00833A6A">
            <w:pPr>
              <w:pStyle w:val="MarginText"/>
              <w:jc w:val="center"/>
              <w:rPr>
                <w:rFonts w:cs="Arial"/>
              </w:rPr>
            </w:pPr>
            <w:r w:rsidRPr="001C4B87">
              <w:rPr>
                <w:rFonts w:cs="Arial"/>
              </w:rPr>
              <w:t>SQ</w:t>
            </w:r>
            <w:r>
              <w:rPr>
                <w:rFonts w:cs="Arial"/>
              </w:rPr>
              <w:t>7.2</w:t>
            </w:r>
          </w:p>
          <w:p w14:paraId="22AD3117" w14:textId="77777777" w:rsidR="00093A3E" w:rsidRPr="001C4B87" w:rsidRDefault="00093A3E" w:rsidP="00833A6A">
            <w:pPr>
              <w:pStyle w:val="MarginText"/>
              <w:jc w:val="center"/>
              <w:rPr>
                <w:rFonts w:cs="Arial"/>
              </w:rPr>
            </w:pPr>
            <w:r>
              <w:rPr>
                <w:rFonts w:cs="Arial"/>
              </w:rPr>
              <w:t>(a-b)</w:t>
            </w:r>
          </w:p>
        </w:tc>
        <w:tc>
          <w:tcPr>
            <w:tcW w:w="3976" w:type="dxa"/>
            <w:vAlign w:val="center"/>
          </w:tcPr>
          <w:p w14:paraId="6940FEF8" w14:textId="77777777" w:rsidR="00093A3E" w:rsidRPr="001C4B87" w:rsidRDefault="00093A3E" w:rsidP="00833A6A">
            <w:pPr>
              <w:pStyle w:val="MarginText"/>
              <w:jc w:val="left"/>
              <w:rPr>
                <w:rFonts w:cs="Arial"/>
              </w:rPr>
            </w:pPr>
            <w:r>
              <w:rPr>
                <w:rFonts w:cs="Arial"/>
              </w:rPr>
              <w:t>Examples of Previous Contracts</w:t>
            </w:r>
          </w:p>
        </w:tc>
        <w:tc>
          <w:tcPr>
            <w:tcW w:w="2042" w:type="dxa"/>
            <w:vAlign w:val="center"/>
          </w:tcPr>
          <w:p w14:paraId="7D825219" w14:textId="77777777" w:rsidR="00093A3E" w:rsidRPr="001C4B87" w:rsidRDefault="00093A3E" w:rsidP="00833A6A">
            <w:pPr>
              <w:pStyle w:val="MarginText"/>
              <w:jc w:val="center"/>
              <w:rPr>
                <w:rFonts w:cs="Arial"/>
              </w:rPr>
            </w:pPr>
            <w:r w:rsidRPr="001C4B87">
              <w:rPr>
                <w:rFonts w:cs="Arial"/>
              </w:rPr>
              <w:t>Evaluation</w:t>
            </w:r>
          </w:p>
        </w:tc>
        <w:tc>
          <w:tcPr>
            <w:tcW w:w="2629" w:type="dxa"/>
            <w:shd w:val="clear" w:color="auto" w:fill="auto"/>
            <w:vAlign w:val="center"/>
          </w:tcPr>
          <w:p w14:paraId="0B947967" w14:textId="77777777" w:rsidR="00093A3E" w:rsidRPr="001C4B87" w:rsidRDefault="00093A3E" w:rsidP="00833A6A">
            <w:pPr>
              <w:spacing w:before="60" w:after="60"/>
              <w:jc w:val="center"/>
              <w:rPr>
                <w:rFonts w:ascii="Arial" w:hAnsi="Arial" w:cs="Arial"/>
              </w:rPr>
            </w:pPr>
            <w:r w:rsidRPr="001C4B87">
              <w:rPr>
                <w:rFonts w:ascii="Arial" w:hAnsi="Arial" w:cs="Arial"/>
              </w:rPr>
              <w:t>Pass/Fail</w:t>
            </w:r>
          </w:p>
        </w:tc>
      </w:tr>
    </w:tbl>
    <w:p w14:paraId="7973585C" w14:textId="77777777" w:rsidR="002840B3" w:rsidRDefault="002840B3">
      <w:r>
        <w:br w:type="page"/>
      </w:r>
    </w:p>
    <w:p w14:paraId="7D76A05A" w14:textId="77777777" w:rsidR="009C4BCA" w:rsidRPr="004F3794" w:rsidRDefault="009C4BCA" w:rsidP="009C4BCA">
      <w:pPr>
        <w:pStyle w:val="Heading1"/>
        <w:numPr>
          <w:ilvl w:val="0"/>
          <w:numId w:val="0"/>
        </w:numPr>
        <w:ind w:left="737"/>
      </w:pPr>
    </w:p>
    <w:p w14:paraId="579C9F55" w14:textId="77777777" w:rsidR="0058734C" w:rsidRPr="0050488E" w:rsidRDefault="0058734C" w:rsidP="00426E51">
      <w:pPr>
        <w:pStyle w:val="Style7"/>
      </w:pPr>
      <w:bookmarkStart w:id="58" w:name="_Toc422928932"/>
      <w:bookmarkStart w:id="59" w:name="_Toc422929092"/>
      <w:bookmarkStart w:id="60" w:name="_Toc422929134"/>
      <w:bookmarkStart w:id="61" w:name="_Toc422929233"/>
      <w:bookmarkStart w:id="62" w:name="_Toc422929259"/>
      <w:bookmarkStart w:id="63" w:name="_Toc422929288"/>
      <w:bookmarkStart w:id="64" w:name="_Toc422929978"/>
      <w:bookmarkStart w:id="65" w:name="_Toc422930035"/>
      <w:bookmarkStart w:id="66" w:name="_Toc422930081"/>
      <w:bookmarkStart w:id="67" w:name="_Toc422930133"/>
      <w:bookmarkStart w:id="68" w:name="_Toc422930178"/>
      <w:bookmarkStart w:id="69" w:name="_Toc422930218"/>
      <w:bookmarkStart w:id="70" w:name="_Toc422930250"/>
      <w:bookmarkStart w:id="71" w:name="_Toc422930275"/>
      <w:bookmarkStart w:id="72" w:name="_Toc422930298"/>
      <w:bookmarkStart w:id="73" w:name="_Toc405210244"/>
      <w:bookmarkStart w:id="74" w:name="_Toc405210245"/>
      <w:bookmarkStart w:id="75" w:name="_Ref284504457"/>
      <w:bookmarkStart w:id="76" w:name="_Ref284857382"/>
      <w:bookmarkStart w:id="77" w:name="_Toc43303551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0488E">
        <w:t>AWARD STAGE EVALUATION</w:t>
      </w:r>
      <w:bookmarkEnd w:id="75"/>
      <w:bookmarkEnd w:id="76"/>
      <w:bookmarkEnd w:id="77"/>
    </w:p>
    <w:p w14:paraId="2E99719F" w14:textId="28356FDF" w:rsidR="00792F13" w:rsidRPr="00792F13" w:rsidRDefault="00792F13" w:rsidP="00426E51">
      <w:pPr>
        <w:pStyle w:val="Style8"/>
      </w:pPr>
      <w:r w:rsidRPr="00792F13">
        <w:t xml:space="preserve">Once the </w:t>
      </w:r>
      <w:r w:rsidRPr="002D347B">
        <w:t>Potential</w:t>
      </w:r>
      <w:r w:rsidRPr="00792F13">
        <w:t xml:space="preserve"> Providers Tender has been successfully evaluated at Selection Stage, </w:t>
      </w:r>
      <w:r w:rsidRPr="00747AD0">
        <w:t>consideration will then be given to the responses to the Award Questionn</w:t>
      </w:r>
      <w:r w:rsidR="009622BF">
        <w:t>aire and Prices submitted in</w:t>
      </w:r>
      <w:r w:rsidR="0050488E" w:rsidRPr="00747AD0">
        <w:t xml:space="preserve"> Attachment </w:t>
      </w:r>
      <w:r w:rsidR="00747AD0" w:rsidRPr="00747AD0">
        <w:t>9</w:t>
      </w:r>
      <w:r w:rsidR="0050488E" w:rsidRPr="00747AD0">
        <w:t xml:space="preserve"> -</w:t>
      </w:r>
      <w:r w:rsidRPr="00747AD0">
        <w:t xml:space="preserve"> Pricing </w:t>
      </w:r>
      <w:r w:rsidR="00BA458E" w:rsidRPr="00747AD0">
        <w:t>M</w:t>
      </w:r>
      <w:r w:rsidRPr="00747AD0">
        <w:t>atrix and evaluated in accordance with this paragraph 1</w:t>
      </w:r>
      <w:r w:rsidR="009C4BCA" w:rsidRPr="00747AD0">
        <w:t>1</w:t>
      </w:r>
      <w:r w:rsidRPr="00747AD0">
        <w:t>.</w:t>
      </w:r>
    </w:p>
    <w:p w14:paraId="4FA8B043" w14:textId="77777777" w:rsidR="00A93A1E" w:rsidRDefault="0058734C" w:rsidP="00426E51">
      <w:pPr>
        <w:pStyle w:val="Style8"/>
      </w:pPr>
      <w:r w:rsidRPr="004F3794">
        <w:t xml:space="preserve">The Award Stage </w:t>
      </w:r>
      <w:r w:rsidRPr="002840B3">
        <w:t>evaluation</w:t>
      </w:r>
      <w:r w:rsidRPr="004F3794">
        <w:t xml:space="preserve"> will comprise of:</w:t>
      </w:r>
    </w:p>
    <w:p w14:paraId="157EC978" w14:textId="77777777" w:rsidR="00A93A1E" w:rsidRPr="00EC607B" w:rsidRDefault="0058734C" w:rsidP="00426E51">
      <w:pPr>
        <w:pStyle w:val="Style9"/>
      </w:pPr>
      <w:r w:rsidRPr="00C9090B">
        <w:t xml:space="preserve">an evaluation of Potential Providers answers to the Award Questionnaire </w:t>
      </w:r>
      <w:r w:rsidRPr="00FC7949">
        <w:rPr>
          <w:b/>
        </w:rPr>
        <w:t>(“</w:t>
      </w:r>
      <w:r w:rsidRPr="00C9090B">
        <w:rPr>
          <w:b/>
        </w:rPr>
        <w:t>Quality Evaluation</w:t>
      </w:r>
      <w:r w:rsidRPr="00FC7949">
        <w:rPr>
          <w:b/>
        </w:rPr>
        <w:t>”)</w:t>
      </w:r>
      <w:r w:rsidRPr="00C9090B">
        <w:t>; and</w:t>
      </w:r>
    </w:p>
    <w:p w14:paraId="3C03ACE0" w14:textId="08678CDE" w:rsidR="00A93A1E" w:rsidRPr="00C9090B" w:rsidRDefault="0058734C" w:rsidP="00426E51">
      <w:pPr>
        <w:pStyle w:val="Style9"/>
      </w:pPr>
      <w:r w:rsidRPr="00EC607B">
        <w:t>an evaluation of the prices tendered in</w:t>
      </w:r>
      <w:r w:rsidR="00C31560" w:rsidRPr="00D62F53">
        <w:t xml:space="preserve"> </w:t>
      </w:r>
      <w:r w:rsidR="00BA458E">
        <w:t xml:space="preserve">the </w:t>
      </w:r>
      <w:r w:rsidR="00026FB0" w:rsidRPr="00537786">
        <w:t>Pricing Matrix</w:t>
      </w:r>
      <w:r w:rsidR="00177E1D" w:rsidRPr="00A27650">
        <w:t xml:space="preserve"> </w:t>
      </w:r>
      <w:r w:rsidR="00177E1D" w:rsidRPr="00FC7949">
        <w:rPr>
          <w:b/>
        </w:rPr>
        <w:t>(</w:t>
      </w:r>
      <w:r w:rsidR="009F5FF7" w:rsidRPr="00C9090B">
        <w:rPr>
          <w:b/>
        </w:rPr>
        <w:t>“Price Evaluation</w:t>
      </w:r>
      <w:r w:rsidR="00177E1D" w:rsidRPr="00FC7949">
        <w:rPr>
          <w:b/>
        </w:rPr>
        <w:t>”)</w:t>
      </w:r>
    </w:p>
    <w:p w14:paraId="740BF4A0" w14:textId="4EF84D61" w:rsidR="00A93A1E" w:rsidRPr="00ED6A91" w:rsidRDefault="00C31560" w:rsidP="00426E51">
      <w:pPr>
        <w:pStyle w:val="Style9"/>
      </w:pPr>
      <w:r w:rsidRPr="00EC607B">
        <w:t xml:space="preserve">The </w:t>
      </w:r>
      <w:r w:rsidRPr="00ED6A91">
        <w:t xml:space="preserve">maximum possible score capable of being achieved by a Potential Provider </w:t>
      </w:r>
      <w:r w:rsidR="00BA458E" w:rsidRPr="00ED6A91">
        <w:t>w</w:t>
      </w:r>
      <w:r w:rsidRPr="00ED6A91">
        <w:t xml:space="preserve">ill be 100 </w:t>
      </w:r>
      <w:r w:rsidR="00792F13" w:rsidRPr="00ED6A91">
        <w:t xml:space="preserve">points </w:t>
      </w:r>
      <w:r w:rsidRPr="00ED6A91">
        <w:t>(being the sum of the scores achieved for Quality Evaluation and Price Evaluation</w:t>
      </w:r>
      <w:r w:rsidR="00026FB0" w:rsidRPr="00ED6A91">
        <w:t xml:space="preserve"> </w:t>
      </w:r>
      <w:r w:rsidR="003F153A" w:rsidRPr="00ED6A91">
        <w:t>i.e.</w:t>
      </w:r>
      <w:r w:rsidR="00026FB0" w:rsidRPr="00ED6A91">
        <w:t xml:space="preserve"> 70 + 30</w:t>
      </w:r>
      <w:r w:rsidRPr="00ED6A91">
        <w:t>)</w:t>
      </w:r>
    </w:p>
    <w:p w14:paraId="09B48382" w14:textId="4C119F73" w:rsidR="00A93A1E" w:rsidRPr="00ED6A91" w:rsidRDefault="00C31560" w:rsidP="00426E51">
      <w:pPr>
        <w:pStyle w:val="Style9"/>
      </w:pPr>
      <w:r w:rsidRPr="00ED6A91">
        <w:t xml:space="preserve">The Quality Evaluation is weighted as 70%. The Price Evaluation is weighted as 30%. </w:t>
      </w:r>
    </w:p>
    <w:p w14:paraId="57DFB49D" w14:textId="33CEB954" w:rsidR="00A93A1E" w:rsidRPr="005A6F5B" w:rsidRDefault="00026FB0" w:rsidP="00FC7949">
      <w:pPr>
        <w:pStyle w:val="Style8"/>
        <w:spacing w:before="240"/>
        <w:rPr>
          <w:b/>
        </w:rPr>
      </w:pPr>
      <w:r w:rsidDel="00026FB0">
        <w:t xml:space="preserve"> </w:t>
      </w:r>
      <w:r w:rsidR="009F5FF7" w:rsidRPr="00FC7949">
        <w:rPr>
          <w:b/>
        </w:rPr>
        <w:t xml:space="preserve">Quality </w:t>
      </w:r>
      <w:r w:rsidR="009F5FF7" w:rsidRPr="005A6F5B">
        <w:rPr>
          <w:b/>
        </w:rPr>
        <w:t>Evaluation</w:t>
      </w:r>
      <w:r w:rsidR="00EF57DF" w:rsidRPr="005A6F5B">
        <w:rPr>
          <w:b/>
        </w:rPr>
        <w:t xml:space="preserve"> </w:t>
      </w:r>
    </w:p>
    <w:p w14:paraId="3C20C014" w14:textId="06569B45" w:rsidR="003F153A" w:rsidRPr="005A6F5B" w:rsidRDefault="00806718" w:rsidP="00FC7949">
      <w:pPr>
        <w:pStyle w:val="Style9"/>
      </w:pPr>
      <w:r w:rsidRPr="005A6F5B">
        <w:t>T</w:t>
      </w:r>
      <w:r w:rsidR="00EC05EC" w:rsidRPr="005A6F5B">
        <w:t>he question</w:t>
      </w:r>
      <w:r w:rsidRPr="005A6F5B">
        <w:t xml:space="preserve"> in </w:t>
      </w:r>
      <w:r w:rsidR="003F153A" w:rsidRPr="005A6F5B">
        <w:t>Section A</w:t>
      </w:r>
      <w:r w:rsidR="00AC262D">
        <w:t xml:space="preserve"> – Generic Mandatory Questions,</w:t>
      </w:r>
      <w:r w:rsidR="00EC05EC" w:rsidRPr="005A6F5B">
        <w:t xml:space="preserve"> </w:t>
      </w:r>
      <w:r w:rsidR="003F153A" w:rsidRPr="005A6F5B">
        <w:t>of the Award Questionnaire</w:t>
      </w:r>
      <w:r w:rsidR="00AC262D">
        <w:t xml:space="preserve"> (AQA1 a-g)</w:t>
      </w:r>
      <w:r w:rsidR="003F153A" w:rsidRPr="005A6F5B">
        <w:t xml:space="preserve"> </w:t>
      </w:r>
      <w:r w:rsidR="00EC05EC" w:rsidRPr="005A6F5B">
        <w:t xml:space="preserve">is assessed on a </w:t>
      </w:r>
      <w:r w:rsidR="00BA458E" w:rsidRPr="005A6F5B">
        <w:t>pass/fail</w:t>
      </w:r>
      <w:r w:rsidR="003F153A" w:rsidRPr="005A6F5B">
        <w:t xml:space="preserve"> basis. If you receive a ‘</w:t>
      </w:r>
      <w:r w:rsidR="00BA458E" w:rsidRPr="005A6F5B">
        <w:t>fail</w:t>
      </w:r>
      <w:r w:rsidR="003F153A" w:rsidRPr="005A6F5B">
        <w:t xml:space="preserve">’ for </w:t>
      </w:r>
      <w:r w:rsidR="00EC05EC" w:rsidRPr="005A6F5B">
        <w:t>this question</w:t>
      </w:r>
      <w:r w:rsidR="003F153A" w:rsidRPr="005A6F5B">
        <w:t xml:space="preserve"> your Tender will be </w:t>
      </w:r>
      <w:r w:rsidR="00792F13" w:rsidRPr="005A6F5B">
        <w:t xml:space="preserve">excluded </w:t>
      </w:r>
      <w:r w:rsidR="003F153A" w:rsidRPr="005A6F5B">
        <w:t>from</w:t>
      </w:r>
      <w:r w:rsidR="009622BF">
        <w:t xml:space="preserve"> further participation in this P</w:t>
      </w:r>
      <w:r w:rsidR="003F153A" w:rsidRPr="005A6F5B">
        <w:t>rocurement.</w:t>
      </w:r>
      <w:r w:rsidRPr="005A6F5B">
        <w:t xml:space="preserve"> </w:t>
      </w:r>
    </w:p>
    <w:p w14:paraId="4F759F53" w14:textId="39471196" w:rsidR="00EF57DF" w:rsidRPr="00A27650" w:rsidRDefault="003F153A" w:rsidP="00FC7949">
      <w:pPr>
        <w:pStyle w:val="Style9"/>
      </w:pPr>
      <w:r w:rsidRPr="005A6F5B">
        <w:t>The evaluation of each of the scored questions in the Award Questionnaire</w:t>
      </w:r>
      <w:r w:rsidR="00177E1D" w:rsidRPr="005A6F5B">
        <w:t xml:space="preserve"> (</w:t>
      </w:r>
      <w:r w:rsidR="00EC05EC" w:rsidRPr="005A6F5B">
        <w:t>i.e. questions AQB1, AQB2</w:t>
      </w:r>
      <w:r w:rsidR="00EF57DF" w:rsidRPr="005A6F5B">
        <w:t>,</w:t>
      </w:r>
      <w:r w:rsidR="00EC05EC" w:rsidRPr="005A6F5B">
        <w:t xml:space="preserve"> AQB3</w:t>
      </w:r>
      <w:r w:rsidR="00ED6A91" w:rsidRPr="005A6F5B">
        <w:t xml:space="preserve"> and AQB4</w:t>
      </w:r>
      <w:r w:rsidR="00ED1100" w:rsidRPr="005A6F5B">
        <w:t>)</w:t>
      </w:r>
      <w:r w:rsidR="004A6ACA" w:rsidRPr="005A6F5B">
        <w:t xml:space="preserve"> w</w:t>
      </w:r>
      <w:r w:rsidRPr="005A6F5B">
        <w:t>ill</w:t>
      </w:r>
      <w:r w:rsidRPr="001D1216">
        <w:t xml:space="preserve"> be conducted and consensus</w:t>
      </w:r>
      <w:r w:rsidR="001E464E" w:rsidRPr="001D1216">
        <w:t xml:space="preserve"> checked in accordance with the Consensus Marking Procedure </w:t>
      </w:r>
      <w:r w:rsidR="001E464E" w:rsidRPr="00777AD8">
        <w:t xml:space="preserve">paragraph </w:t>
      </w:r>
      <w:r w:rsidR="00081378" w:rsidRPr="00777AD8">
        <w:t>8.2</w:t>
      </w:r>
      <w:r w:rsidR="009622BF">
        <w:t xml:space="preserve"> of this ITT</w:t>
      </w:r>
      <w:r w:rsidR="001E464E" w:rsidRPr="00777AD8">
        <w:t>.</w:t>
      </w:r>
      <w:r w:rsidRPr="00A27650">
        <w:t xml:space="preserve"> </w:t>
      </w:r>
    </w:p>
    <w:p w14:paraId="016AB9BF" w14:textId="570BB71A" w:rsidR="003009E2" w:rsidRPr="00E26C18" w:rsidRDefault="0058734C" w:rsidP="00FC7949">
      <w:pPr>
        <w:pStyle w:val="Style9"/>
      </w:pPr>
      <w:r w:rsidRPr="004A6ACA">
        <w:t>When the Consensus Marking Procedure has been completed, the mark awarded for each response to the Award Questionnaire will be converted into a percentage in a</w:t>
      </w:r>
      <w:r w:rsidR="00251AE6" w:rsidRPr="004A6ACA">
        <w:t>ccordance with the table below:</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3009E2" w14:paraId="32AB417C" w14:textId="77777777" w:rsidTr="00FC7949">
        <w:tc>
          <w:tcPr>
            <w:tcW w:w="15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0C729E" w14:textId="77777777" w:rsidR="003009E2" w:rsidRPr="000C0BBE" w:rsidRDefault="003009E2" w:rsidP="00FC7949">
            <w:pPr>
              <w:spacing w:before="120" w:after="120"/>
              <w:jc w:val="center"/>
              <w:rPr>
                <w:rFonts w:cs="Arial"/>
              </w:rPr>
            </w:pPr>
            <w:r w:rsidRPr="000C0BBE">
              <w:rPr>
                <w:rFonts w:ascii="Arial" w:hAnsi="Arial" w:cs="Arial"/>
              </w:rPr>
              <w:t>MARK</w:t>
            </w:r>
          </w:p>
        </w:tc>
        <w:tc>
          <w:tcPr>
            <w:tcW w:w="605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95DF7C" w14:textId="59974756" w:rsidR="003009E2" w:rsidRPr="000C0BBE" w:rsidRDefault="003009E2" w:rsidP="00FC7949">
            <w:pPr>
              <w:spacing w:before="120" w:after="120"/>
              <w:jc w:val="center"/>
              <w:rPr>
                <w:rFonts w:cs="Arial"/>
              </w:rPr>
            </w:pPr>
            <w:r w:rsidRPr="000C0BBE">
              <w:rPr>
                <w:rFonts w:ascii="Arial" w:hAnsi="Arial" w:cs="Arial"/>
              </w:rPr>
              <w:t xml:space="preserve">PERCENTAGE OF THE MAXIMUM </w:t>
            </w:r>
            <w:r w:rsidR="001253D6">
              <w:rPr>
                <w:rFonts w:ascii="Arial" w:hAnsi="Arial" w:cs="Arial"/>
              </w:rPr>
              <w:t>MARK</w:t>
            </w:r>
            <w:r w:rsidRPr="000C0BBE">
              <w:rPr>
                <w:rFonts w:ascii="Arial" w:hAnsi="Arial" w:cs="Arial"/>
              </w:rPr>
              <w:t xml:space="preserve"> AVAILABLE</w:t>
            </w:r>
          </w:p>
        </w:tc>
      </w:tr>
      <w:tr w:rsidR="003009E2" w14:paraId="74066A1E" w14:textId="77777777" w:rsidTr="00FC7949">
        <w:tc>
          <w:tcPr>
            <w:tcW w:w="1540" w:type="dxa"/>
            <w:tcBorders>
              <w:top w:val="single" w:sz="4" w:space="0" w:color="auto"/>
              <w:left w:val="single" w:sz="4" w:space="0" w:color="auto"/>
              <w:bottom w:val="single" w:sz="4" w:space="0" w:color="auto"/>
              <w:right w:val="single" w:sz="4" w:space="0" w:color="auto"/>
            </w:tcBorders>
            <w:vAlign w:val="center"/>
            <w:hideMark/>
          </w:tcPr>
          <w:p w14:paraId="6EFBF6AE" w14:textId="15306A3F" w:rsidR="003009E2" w:rsidRPr="000C0BBE" w:rsidRDefault="00ED1100" w:rsidP="00FC7949">
            <w:pPr>
              <w:spacing w:before="120" w:after="120"/>
              <w:jc w:val="center"/>
              <w:rPr>
                <w:rFonts w:ascii="Arial" w:hAnsi="Arial" w:cs="Arial"/>
              </w:rPr>
            </w:pPr>
            <w:r w:rsidRPr="000C0BBE">
              <w:rPr>
                <w:rFonts w:ascii="Arial" w:hAnsi="Arial" w:cs="Arial"/>
              </w:rPr>
              <w:t>0</w:t>
            </w:r>
          </w:p>
        </w:tc>
        <w:tc>
          <w:tcPr>
            <w:tcW w:w="6050" w:type="dxa"/>
            <w:tcBorders>
              <w:top w:val="single" w:sz="4" w:space="0" w:color="auto"/>
              <w:left w:val="single" w:sz="4" w:space="0" w:color="auto"/>
              <w:bottom w:val="single" w:sz="4" w:space="0" w:color="auto"/>
              <w:right w:val="single" w:sz="4" w:space="0" w:color="auto"/>
            </w:tcBorders>
            <w:vAlign w:val="center"/>
            <w:hideMark/>
          </w:tcPr>
          <w:p w14:paraId="533359BC" w14:textId="2CC6E0CF" w:rsidR="003009E2" w:rsidRPr="000C0BBE" w:rsidRDefault="00AC262D" w:rsidP="00FC7949">
            <w:pPr>
              <w:spacing w:before="120" w:after="120"/>
              <w:jc w:val="center"/>
              <w:rPr>
                <w:rFonts w:cs="Arial"/>
              </w:rPr>
            </w:pPr>
            <w:r>
              <w:rPr>
                <w:rFonts w:ascii="Arial" w:hAnsi="Arial" w:cs="Arial"/>
              </w:rPr>
              <w:t>0% of the Maximum Mark</w:t>
            </w:r>
            <w:r w:rsidR="003009E2" w:rsidRPr="000C0BBE">
              <w:rPr>
                <w:rFonts w:ascii="Arial" w:hAnsi="Arial" w:cs="Arial"/>
              </w:rPr>
              <w:t xml:space="preserve"> Available for the question</w:t>
            </w:r>
          </w:p>
        </w:tc>
      </w:tr>
      <w:tr w:rsidR="003009E2" w14:paraId="66FDC394" w14:textId="77777777" w:rsidTr="00FC7949">
        <w:tc>
          <w:tcPr>
            <w:tcW w:w="1540" w:type="dxa"/>
            <w:tcBorders>
              <w:top w:val="single" w:sz="4" w:space="0" w:color="auto"/>
              <w:left w:val="single" w:sz="4" w:space="0" w:color="auto"/>
              <w:bottom w:val="single" w:sz="4" w:space="0" w:color="auto"/>
              <w:right w:val="single" w:sz="4" w:space="0" w:color="auto"/>
            </w:tcBorders>
            <w:vAlign w:val="center"/>
            <w:hideMark/>
          </w:tcPr>
          <w:p w14:paraId="35220586" w14:textId="361139AB" w:rsidR="003009E2" w:rsidRPr="000C0BBE" w:rsidRDefault="000C0BBE" w:rsidP="00FC7949">
            <w:pPr>
              <w:spacing w:before="120" w:after="120"/>
              <w:jc w:val="center"/>
              <w:rPr>
                <w:rFonts w:ascii="Arial" w:hAnsi="Arial" w:cs="Arial"/>
              </w:rPr>
            </w:pPr>
            <w:r w:rsidRPr="000C0BBE">
              <w:rPr>
                <w:rFonts w:ascii="Arial" w:hAnsi="Arial" w:cs="Arial"/>
              </w:rPr>
              <w:t>33</w:t>
            </w:r>
          </w:p>
        </w:tc>
        <w:tc>
          <w:tcPr>
            <w:tcW w:w="6050" w:type="dxa"/>
            <w:tcBorders>
              <w:top w:val="single" w:sz="4" w:space="0" w:color="auto"/>
              <w:left w:val="single" w:sz="4" w:space="0" w:color="auto"/>
              <w:bottom w:val="single" w:sz="4" w:space="0" w:color="auto"/>
              <w:right w:val="single" w:sz="4" w:space="0" w:color="auto"/>
            </w:tcBorders>
            <w:vAlign w:val="center"/>
            <w:hideMark/>
          </w:tcPr>
          <w:p w14:paraId="753AACA2" w14:textId="6FBF16E6" w:rsidR="003009E2" w:rsidRPr="000C0BBE" w:rsidRDefault="000C0BBE" w:rsidP="00FC7949">
            <w:pPr>
              <w:spacing w:before="120" w:after="120"/>
              <w:jc w:val="center"/>
              <w:rPr>
                <w:rFonts w:cs="Arial"/>
              </w:rPr>
            </w:pPr>
            <w:r w:rsidRPr="000C0BBE">
              <w:rPr>
                <w:rFonts w:ascii="Arial" w:hAnsi="Arial" w:cs="Arial"/>
              </w:rPr>
              <w:t>33</w:t>
            </w:r>
            <w:r w:rsidR="003009E2" w:rsidRPr="000C0BBE">
              <w:rPr>
                <w:rFonts w:ascii="Arial" w:hAnsi="Arial" w:cs="Arial"/>
              </w:rPr>
              <w:t>% of the Maximum Mark Available for the question</w:t>
            </w:r>
          </w:p>
        </w:tc>
      </w:tr>
      <w:tr w:rsidR="003009E2" w14:paraId="79B20012" w14:textId="77777777" w:rsidTr="00FC7949">
        <w:tc>
          <w:tcPr>
            <w:tcW w:w="1540" w:type="dxa"/>
            <w:tcBorders>
              <w:top w:val="single" w:sz="4" w:space="0" w:color="auto"/>
              <w:left w:val="single" w:sz="4" w:space="0" w:color="auto"/>
              <w:bottom w:val="single" w:sz="4" w:space="0" w:color="auto"/>
              <w:right w:val="single" w:sz="4" w:space="0" w:color="auto"/>
            </w:tcBorders>
            <w:vAlign w:val="center"/>
            <w:hideMark/>
          </w:tcPr>
          <w:p w14:paraId="3044E101" w14:textId="4DDE170F" w:rsidR="003009E2" w:rsidRPr="000C0BBE" w:rsidRDefault="000C0BBE" w:rsidP="00FC7949">
            <w:pPr>
              <w:spacing w:before="120" w:after="120"/>
              <w:jc w:val="center"/>
              <w:rPr>
                <w:rFonts w:ascii="Arial" w:hAnsi="Arial" w:cs="Arial"/>
              </w:rPr>
            </w:pPr>
            <w:r w:rsidRPr="000C0BBE">
              <w:rPr>
                <w:rFonts w:ascii="Arial" w:hAnsi="Arial" w:cs="Arial"/>
              </w:rPr>
              <w:t>66</w:t>
            </w:r>
          </w:p>
        </w:tc>
        <w:tc>
          <w:tcPr>
            <w:tcW w:w="6050" w:type="dxa"/>
            <w:tcBorders>
              <w:top w:val="single" w:sz="4" w:space="0" w:color="auto"/>
              <w:left w:val="single" w:sz="4" w:space="0" w:color="auto"/>
              <w:bottom w:val="single" w:sz="4" w:space="0" w:color="auto"/>
              <w:right w:val="single" w:sz="4" w:space="0" w:color="auto"/>
            </w:tcBorders>
            <w:vAlign w:val="center"/>
            <w:hideMark/>
          </w:tcPr>
          <w:p w14:paraId="5D78ADD7" w14:textId="3EF140E6" w:rsidR="003009E2" w:rsidRPr="000C0BBE" w:rsidRDefault="000C0BBE" w:rsidP="00FC7949">
            <w:pPr>
              <w:spacing w:before="120" w:after="120"/>
              <w:jc w:val="center"/>
              <w:rPr>
                <w:rFonts w:cs="Arial"/>
              </w:rPr>
            </w:pPr>
            <w:r w:rsidRPr="000C0BBE">
              <w:rPr>
                <w:rFonts w:ascii="Arial" w:hAnsi="Arial" w:cs="Arial"/>
              </w:rPr>
              <w:t>66</w:t>
            </w:r>
            <w:r w:rsidR="003009E2" w:rsidRPr="000C0BBE">
              <w:rPr>
                <w:rFonts w:ascii="Arial" w:hAnsi="Arial" w:cs="Arial"/>
              </w:rPr>
              <w:t>% of the Maximum Mark Available for the question</w:t>
            </w:r>
          </w:p>
        </w:tc>
      </w:tr>
      <w:tr w:rsidR="003009E2" w14:paraId="55BA3B81" w14:textId="77777777" w:rsidTr="00FC7949">
        <w:tc>
          <w:tcPr>
            <w:tcW w:w="1540" w:type="dxa"/>
            <w:tcBorders>
              <w:top w:val="single" w:sz="4" w:space="0" w:color="auto"/>
              <w:left w:val="single" w:sz="4" w:space="0" w:color="auto"/>
              <w:bottom w:val="single" w:sz="4" w:space="0" w:color="auto"/>
              <w:right w:val="single" w:sz="4" w:space="0" w:color="auto"/>
            </w:tcBorders>
            <w:vAlign w:val="center"/>
            <w:hideMark/>
          </w:tcPr>
          <w:p w14:paraId="3CB9B31E" w14:textId="7D68A157" w:rsidR="003009E2" w:rsidRPr="000C0BBE" w:rsidRDefault="00ED1100" w:rsidP="00FC7949">
            <w:pPr>
              <w:spacing w:before="120" w:after="120"/>
              <w:jc w:val="center"/>
              <w:rPr>
                <w:rFonts w:ascii="Arial" w:hAnsi="Arial" w:cs="Arial"/>
              </w:rPr>
            </w:pPr>
            <w:r w:rsidRPr="000C0BBE">
              <w:rPr>
                <w:rFonts w:ascii="Arial" w:hAnsi="Arial" w:cs="Arial"/>
              </w:rPr>
              <w:t>100</w:t>
            </w:r>
          </w:p>
        </w:tc>
        <w:tc>
          <w:tcPr>
            <w:tcW w:w="6050" w:type="dxa"/>
            <w:tcBorders>
              <w:top w:val="single" w:sz="4" w:space="0" w:color="auto"/>
              <w:left w:val="single" w:sz="4" w:space="0" w:color="auto"/>
              <w:bottom w:val="single" w:sz="4" w:space="0" w:color="auto"/>
              <w:right w:val="single" w:sz="4" w:space="0" w:color="auto"/>
            </w:tcBorders>
            <w:vAlign w:val="center"/>
            <w:hideMark/>
          </w:tcPr>
          <w:p w14:paraId="3B19540D" w14:textId="77777777" w:rsidR="003009E2" w:rsidRPr="000C0BBE" w:rsidRDefault="003009E2" w:rsidP="00FC7949">
            <w:pPr>
              <w:spacing w:before="120" w:after="120"/>
              <w:jc w:val="center"/>
              <w:rPr>
                <w:rFonts w:cs="Arial"/>
              </w:rPr>
            </w:pPr>
            <w:r w:rsidRPr="000C0BBE">
              <w:rPr>
                <w:rFonts w:ascii="Arial" w:hAnsi="Arial" w:cs="Arial"/>
              </w:rPr>
              <w:t>100% of the Maximum Mark Available for the question</w:t>
            </w:r>
          </w:p>
        </w:tc>
      </w:tr>
    </w:tbl>
    <w:p w14:paraId="6489BA53" w14:textId="77777777" w:rsidR="003009E2" w:rsidRDefault="003009E2" w:rsidP="003009E2">
      <w:pPr>
        <w:pStyle w:val="BodyTextIndent3"/>
        <w:ind w:left="51"/>
      </w:pPr>
      <w:r>
        <w:rPr>
          <w:rFonts w:ascii="Arial" w:hAnsi="Arial" w:cs="Arial"/>
          <w:sz w:val="20"/>
          <w:szCs w:val="20"/>
        </w:rPr>
        <w:t xml:space="preserve"> </w:t>
      </w:r>
    </w:p>
    <w:p w14:paraId="438F52F3" w14:textId="1B9886E3" w:rsidR="00AC262D" w:rsidRDefault="00AC262D" w:rsidP="00AC262D">
      <w:pPr>
        <w:pStyle w:val="Style9"/>
      </w:pPr>
      <w:bookmarkStart w:id="78" w:name="_Ref285712268"/>
      <w:r>
        <w:t xml:space="preserve">The mark achieved in response to a question will enable the Potential Provider to receive a score which will </w:t>
      </w:r>
      <w:r w:rsidR="001253D6">
        <w:t>be a percentage</w:t>
      </w:r>
      <w:r>
        <w:t xml:space="preserve"> of the Maximum Score </w:t>
      </w:r>
      <w:r w:rsidR="001253D6">
        <w:t>Available</w:t>
      </w:r>
      <w:r>
        <w:t xml:space="preserve"> for that question.</w:t>
      </w:r>
    </w:p>
    <w:p w14:paraId="64AB330C" w14:textId="1FDE7081" w:rsidR="00AC262D" w:rsidRDefault="00AC262D" w:rsidP="00AC262D">
      <w:pPr>
        <w:pStyle w:val="Style9"/>
      </w:pPr>
      <w:r>
        <w:t xml:space="preserve">The Maximum Score </w:t>
      </w:r>
      <w:r w:rsidR="001253D6">
        <w:t>Available</w:t>
      </w:r>
      <w:r>
        <w:t xml:space="preserve"> for each question is set out under the column headed Maximum Score </w:t>
      </w:r>
      <w:r w:rsidR="001253D6">
        <w:t>Available</w:t>
      </w:r>
      <w:r>
        <w:t xml:space="preserve"> in table at </w:t>
      </w:r>
      <w:r w:rsidRPr="008D5293">
        <w:t xml:space="preserve">paragraph </w:t>
      </w:r>
      <w:r w:rsidR="008D5293" w:rsidRPr="008D5293">
        <w:t>11.3.7</w:t>
      </w:r>
      <w:r w:rsidRPr="008D5293">
        <w:t xml:space="preserve"> below</w:t>
      </w:r>
      <w:r>
        <w:t xml:space="preserve">. For example if a Potential Provider achieved a mark of 66 out of 100 for a question, it would equate to 66% of 100% </w:t>
      </w:r>
      <w:r w:rsidR="001253D6">
        <w:t>multiplied</w:t>
      </w:r>
      <w:r w:rsidR="008D5293">
        <w:t xml:space="preserve"> by the question weighting as a percentage (being the Maximum Score </w:t>
      </w:r>
      <w:r w:rsidR="001253D6">
        <w:t>Available</w:t>
      </w:r>
      <w:r w:rsidR="008D5293">
        <w:t xml:space="preserve"> for that question).</w:t>
      </w:r>
    </w:p>
    <w:p w14:paraId="0AE32054" w14:textId="5026FB94" w:rsidR="008D5293" w:rsidRDefault="008D5293" w:rsidP="008D5293">
      <w:pPr>
        <w:pStyle w:val="Style9"/>
      </w:pPr>
      <w:r>
        <w:lastRenderedPageBreak/>
        <w:t>When the score for each question has been determined they will be added together and the total weighted scores will be multiplied by 70% to determine an overall score for the Quality Evaluation (“</w:t>
      </w:r>
      <w:r>
        <w:rPr>
          <w:b/>
        </w:rPr>
        <w:t>Quality Score</w:t>
      </w:r>
      <w:r>
        <w:t>”). See worked example in the table below:</w:t>
      </w:r>
    </w:p>
    <w:p w14:paraId="5BB88083" w14:textId="7F956F0C" w:rsidR="008D5293" w:rsidRDefault="008D5293" w:rsidP="008D5293">
      <w:pPr>
        <w:pStyle w:val="Style9"/>
        <w:rPr>
          <w:b/>
        </w:rPr>
      </w:pPr>
      <w:r>
        <w:rPr>
          <w:b/>
        </w:rPr>
        <w:t>Example – Potential Provider A</w:t>
      </w:r>
    </w:p>
    <w:bookmarkEnd w:id="78"/>
    <w:p w14:paraId="19AD4570" w14:textId="227829AE" w:rsidR="00790C75" w:rsidRDefault="00790C75" w:rsidP="008D5293">
      <w:pPr>
        <w:pStyle w:val="Style10"/>
        <w:numPr>
          <w:ilvl w:val="0"/>
          <w:numId w:val="0"/>
        </w:numPr>
      </w:pPr>
    </w:p>
    <w:tbl>
      <w:tblPr>
        <w:tblStyle w:val="TableGrid"/>
        <w:tblW w:w="10348" w:type="dxa"/>
        <w:tblInd w:w="715" w:type="dxa"/>
        <w:tblLayout w:type="fixed"/>
        <w:tblLook w:val="04A0" w:firstRow="1" w:lastRow="0" w:firstColumn="1" w:lastColumn="0" w:noHBand="0" w:noVBand="1"/>
      </w:tblPr>
      <w:tblGrid>
        <w:gridCol w:w="1134"/>
        <w:gridCol w:w="2682"/>
        <w:gridCol w:w="1276"/>
        <w:gridCol w:w="1276"/>
        <w:gridCol w:w="850"/>
        <w:gridCol w:w="1996"/>
        <w:gridCol w:w="1134"/>
      </w:tblGrid>
      <w:tr w:rsidR="008D5293" w:rsidRPr="008D5293" w14:paraId="3FDC9945" w14:textId="600C5ABA" w:rsidTr="008D5293">
        <w:trPr>
          <w:trHeight w:val="944"/>
        </w:trPr>
        <w:tc>
          <w:tcPr>
            <w:tcW w:w="1134" w:type="dxa"/>
            <w:shd w:val="clear" w:color="auto" w:fill="B8CCE4" w:themeFill="accent1" w:themeFillTint="66"/>
            <w:vAlign w:val="center"/>
          </w:tcPr>
          <w:p w14:paraId="274D9D93" w14:textId="77777777" w:rsidR="008D5293" w:rsidRPr="008D5293" w:rsidRDefault="008D5293" w:rsidP="008D5293">
            <w:pPr>
              <w:jc w:val="center"/>
              <w:rPr>
                <w:rFonts w:ascii="Arial" w:hAnsi="Arial" w:cs="Arial"/>
                <w:sz w:val="22"/>
                <w:szCs w:val="22"/>
              </w:rPr>
            </w:pPr>
            <w:bookmarkStart w:id="79" w:name="_Toc405210247"/>
            <w:bookmarkStart w:id="80" w:name="_Toc410216964"/>
            <w:r w:rsidRPr="008D5293">
              <w:rPr>
                <w:rFonts w:ascii="Arial" w:eastAsiaTheme="minorEastAsia" w:hAnsi="Arial" w:cs="Arial"/>
                <w:sz w:val="22"/>
                <w:szCs w:val="22"/>
              </w:rPr>
              <w:t>Question Number</w:t>
            </w:r>
            <w:bookmarkEnd w:id="79"/>
            <w:bookmarkEnd w:id="80"/>
          </w:p>
        </w:tc>
        <w:tc>
          <w:tcPr>
            <w:tcW w:w="2682" w:type="dxa"/>
            <w:shd w:val="clear" w:color="auto" w:fill="B8CCE4" w:themeFill="accent1" w:themeFillTint="66"/>
            <w:vAlign w:val="center"/>
          </w:tcPr>
          <w:p w14:paraId="67A2D99B" w14:textId="5C46617D" w:rsidR="008D5293" w:rsidRPr="008D5293" w:rsidRDefault="008D5293" w:rsidP="008D5293">
            <w:pPr>
              <w:jc w:val="center"/>
              <w:rPr>
                <w:rFonts w:ascii="Arial" w:hAnsi="Arial" w:cs="Arial"/>
                <w:sz w:val="22"/>
                <w:szCs w:val="22"/>
              </w:rPr>
            </w:pPr>
            <w:r>
              <w:rPr>
                <w:rFonts w:ascii="Arial" w:hAnsi="Arial" w:cs="Arial"/>
                <w:sz w:val="22"/>
                <w:szCs w:val="22"/>
              </w:rPr>
              <w:t>Subject</w:t>
            </w:r>
          </w:p>
        </w:tc>
        <w:tc>
          <w:tcPr>
            <w:tcW w:w="1276" w:type="dxa"/>
            <w:shd w:val="clear" w:color="auto" w:fill="B8CCE4" w:themeFill="accent1" w:themeFillTint="66"/>
            <w:vAlign w:val="center"/>
          </w:tcPr>
          <w:p w14:paraId="6D82FAE7" w14:textId="1394C74E" w:rsidR="008D5293" w:rsidRPr="008D5293" w:rsidRDefault="001253D6" w:rsidP="008D5293">
            <w:pPr>
              <w:jc w:val="center"/>
              <w:rPr>
                <w:rFonts w:ascii="Arial" w:hAnsi="Arial" w:cs="Arial"/>
                <w:sz w:val="22"/>
                <w:szCs w:val="22"/>
              </w:rPr>
            </w:pPr>
            <w:r w:rsidRPr="008D5293">
              <w:rPr>
                <w:rFonts w:ascii="Arial" w:hAnsi="Arial" w:cs="Arial"/>
                <w:sz w:val="22"/>
                <w:szCs w:val="22"/>
              </w:rPr>
              <w:t>Q</w:t>
            </w:r>
            <w:r w:rsidRPr="008D5293">
              <w:rPr>
                <w:rFonts w:ascii="Arial" w:eastAsiaTheme="minorEastAsia" w:hAnsi="Arial" w:cs="Arial"/>
                <w:sz w:val="22"/>
                <w:szCs w:val="22"/>
              </w:rPr>
              <w:t>uestion</w:t>
            </w:r>
            <w:r w:rsidRPr="008D5293">
              <w:rPr>
                <w:rFonts w:ascii="Arial" w:hAnsi="Arial" w:cs="Arial"/>
                <w:sz w:val="22"/>
                <w:szCs w:val="22"/>
              </w:rPr>
              <w:t xml:space="preserve"> </w:t>
            </w:r>
            <w:r w:rsidRPr="008D5293">
              <w:rPr>
                <w:rFonts w:ascii="Arial" w:eastAsiaTheme="minorEastAsia" w:hAnsi="Arial" w:cs="Arial"/>
                <w:sz w:val="22"/>
                <w:szCs w:val="22"/>
              </w:rPr>
              <w:t>Weighting</w:t>
            </w:r>
          </w:p>
        </w:tc>
        <w:tc>
          <w:tcPr>
            <w:tcW w:w="1276" w:type="dxa"/>
            <w:shd w:val="clear" w:color="auto" w:fill="B8CCE4" w:themeFill="accent1" w:themeFillTint="66"/>
            <w:vAlign w:val="center"/>
          </w:tcPr>
          <w:p w14:paraId="54E069D3" w14:textId="43805BB2" w:rsidR="008D5293" w:rsidRPr="008D5293" w:rsidRDefault="008D5293" w:rsidP="008D5293">
            <w:pPr>
              <w:jc w:val="center"/>
              <w:rPr>
                <w:rFonts w:ascii="Arial" w:hAnsi="Arial" w:cs="Arial"/>
                <w:sz w:val="22"/>
                <w:szCs w:val="22"/>
              </w:rPr>
            </w:pPr>
            <w:bookmarkStart w:id="81" w:name="_Toc405210250"/>
            <w:bookmarkStart w:id="82" w:name="_Toc410216967"/>
            <w:r>
              <w:rPr>
                <w:rFonts w:ascii="Arial" w:hAnsi="Arial" w:cs="Arial"/>
                <w:sz w:val="22"/>
                <w:szCs w:val="22"/>
              </w:rPr>
              <w:t xml:space="preserve">Maximum </w:t>
            </w:r>
            <w:r w:rsidRPr="008D5293">
              <w:rPr>
                <w:rFonts w:ascii="Arial" w:hAnsi="Arial" w:cs="Arial"/>
                <w:sz w:val="22"/>
                <w:szCs w:val="22"/>
              </w:rPr>
              <w:t>M</w:t>
            </w:r>
            <w:r w:rsidRPr="008D5293">
              <w:rPr>
                <w:rFonts w:ascii="Arial" w:eastAsiaTheme="minorEastAsia" w:hAnsi="Arial" w:cs="Arial"/>
                <w:sz w:val="22"/>
                <w:szCs w:val="22"/>
              </w:rPr>
              <w:t>ark</w:t>
            </w:r>
            <w:bookmarkEnd w:id="81"/>
            <w:bookmarkEnd w:id="82"/>
            <w:r>
              <w:rPr>
                <w:rFonts w:ascii="Arial" w:eastAsiaTheme="minorEastAsia" w:hAnsi="Arial" w:cs="Arial"/>
                <w:sz w:val="22"/>
                <w:szCs w:val="22"/>
              </w:rPr>
              <w:t xml:space="preserve"> </w:t>
            </w:r>
            <w:r w:rsidR="001253D6">
              <w:rPr>
                <w:rFonts w:ascii="Arial" w:eastAsiaTheme="minorEastAsia" w:hAnsi="Arial" w:cs="Arial"/>
                <w:sz w:val="22"/>
                <w:szCs w:val="22"/>
              </w:rPr>
              <w:t>Available</w:t>
            </w:r>
          </w:p>
        </w:tc>
        <w:tc>
          <w:tcPr>
            <w:tcW w:w="850" w:type="dxa"/>
            <w:shd w:val="clear" w:color="auto" w:fill="B8CCE4" w:themeFill="accent1" w:themeFillTint="66"/>
            <w:vAlign w:val="center"/>
          </w:tcPr>
          <w:p w14:paraId="4048B1DF" w14:textId="07686B03" w:rsidR="008D5293" w:rsidRPr="008D5293" w:rsidRDefault="008D5293" w:rsidP="008D5293">
            <w:pPr>
              <w:jc w:val="center"/>
              <w:rPr>
                <w:rFonts w:ascii="Arial" w:hAnsi="Arial" w:cs="Arial"/>
                <w:sz w:val="22"/>
                <w:szCs w:val="22"/>
              </w:rPr>
            </w:pPr>
            <w:r>
              <w:rPr>
                <w:rFonts w:ascii="Arial" w:hAnsi="Arial" w:cs="Arial"/>
                <w:sz w:val="22"/>
                <w:szCs w:val="22"/>
              </w:rPr>
              <w:t>Mark</w:t>
            </w:r>
          </w:p>
        </w:tc>
        <w:tc>
          <w:tcPr>
            <w:tcW w:w="1996" w:type="dxa"/>
            <w:shd w:val="clear" w:color="auto" w:fill="B8CCE4" w:themeFill="accent1" w:themeFillTint="66"/>
            <w:vAlign w:val="center"/>
          </w:tcPr>
          <w:p w14:paraId="06C0749B" w14:textId="00DA2A92" w:rsidR="008D5293" w:rsidRPr="008D5293" w:rsidRDefault="008D5293" w:rsidP="008D5293">
            <w:pPr>
              <w:jc w:val="center"/>
              <w:rPr>
                <w:rFonts w:ascii="Arial" w:hAnsi="Arial" w:cs="Arial"/>
              </w:rPr>
            </w:pPr>
            <w:r>
              <w:rPr>
                <w:rFonts w:ascii="Arial" w:hAnsi="Arial" w:cs="Arial"/>
                <w:sz w:val="22"/>
                <w:szCs w:val="22"/>
              </w:rPr>
              <w:t>Maximum Score</w:t>
            </w:r>
            <w:r>
              <w:rPr>
                <w:rFonts w:ascii="Arial" w:eastAsiaTheme="minorEastAsia" w:hAnsi="Arial" w:cs="Arial"/>
                <w:sz w:val="22"/>
                <w:szCs w:val="22"/>
              </w:rPr>
              <w:t xml:space="preserve"> </w:t>
            </w:r>
            <w:r w:rsidR="001253D6">
              <w:rPr>
                <w:rFonts w:ascii="Arial" w:eastAsiaTheme="minorEastAsia" w:hAnsi="Arial" w:cs="Arial"/>
                <w:sz w:val="22"/>
                <w:szCs w:val="22"/>
              </w:rPr>
              <w:t>Available</w:t>
            </w:r>
          </w:p>
        </w:tc>
        <w:tc>
          <w:tcPr>
            <w:tcW w:w="1134" w:type="dxa"/>
            <w:shd w:val="clear" w:color="auto" w:fill="B8CCE4" w:themeFill="accent1" w:themeFillTint="66"/>
            <w:vAlign w:val="center"/>
          </w:tcPr>
          <w:p w14:paraId="55018DF3" w14:textId="014A8208" w:rsidR="008D5293" w:rsidRPr="008D5293" w:rsidRDefault="008D5293" w:rsidP="008D5293">
            <w:pPr>
              <w:jc w:val="center"/>
              <w:rPr>
                <w:rFonts w:ascii="Arial" w:hAnsi="Arial" w:cs="Arial"/>
              </w:rPr>
            </w:pPr>
            <w:r>
              <w:rPr>
                <w:rFonts w:ascii="Arial" w:hAnsi="Arial" w:cs="Arial"/>
              </w:rPr>
              <w:t>Weighted Score</w:t>
            </w:r>
          </w:p>
        </w:tc>
      </w:tr>
      <w:tr w:rsidR="008D5293" w:rsidRPr="008D5293" w14:paraId="3626B5D4" w14:textId="37AF9133" w:rsidTr="008D5293">
        <w:tc>
          <w:tcPr>
            <w:tcW w:w="1134" w:type="dxa"/>
            <w:vAlign w:val="center"/>
          </w:tcPr>
          <w:p w14:paraId="0CF0BD11" w14:textId="7968CB65" w:rsidR="008D5293" w:rsidRPr="008D5293" w:rsidRDefault="008D5293" w:rsidP="008D5293">
            <w:pPr>
              <w:jc w:val="center"/>
              <w:rPr>
                <w:rFonts w:ascii="Arial" w:hAnsi="Arial" w:cs="Arial"/>
                <w:b/>
                <w:sz w:val="22"/>
                <w:szCs w:val="22"/>
              </w:rPr>
            </w:pPr>
            <w:bookmarkStart w:id="83" w:name="_Toc405210252"/>
            <w:bookmarkStart w:id="84" w:name="_Toc410216969"/>
            <w:r w:rsidRPr="008D5293">
              <w:rPr>
                <w:rFonts w:ascii="Arial" w:eastAsiaTheme="minorEastAsia" w:hAnsi="Arial" w:cs="Arial"/>
                <w:b/>
                <w:sz w:val="22"/>
                <w:szCs w:val="22"/>
              </w:rPr>
              <w:t>AQB1</w:t>
            </w:r>
            <w:bookmarkEnd w:id="83"/>
            <w:bookmarkEnd w:id="84"/>
          </w:p>
        </w:tc>
        <w:tc>
          <w:tcPr>
            <w:tcW w:w="2682" w:type="dxa"/>
            <w:vAlign w:val="center"/>
          </w:tcPr>
          <w:p w14:paraId="0A91F638" w14:textId="23F52279" w:rsidR="008D5293" w:rsidRPr="008D5293" w:rsidRDefault="008D5293" w:rsidP="008D5293">
            <w:pPr>
              <w:spacing w:before="60" w:after="60"/>
              <w:jc w:val="center"/>
              <w:rPr>
                <w:rFonts w:ascii="Arial" w:hAnsi="Arial" w:cs="Arial"/>
                <w:b/>
                <w:caps/>
                <w:sz w:val="22"/>
                <w:szCs w:val="22"/>
              </w:rPr>
            </w:pPr>
            <w:r w:rsidRPr="008D5293">
              <w:rPr>
                <w:rFonts w:ascii="Arial" w:hAnsi="Arial" w:cs="Arial"/>
                <w:sz w:val="22"/>
                <w:szCs w:val="22"/>
              </w:rPr>
              <w:t>Selecting and Matching Personnel for Individual Costing Projects.</w:t>
            </w:r>
          </w:p>
        </w:tc>
        <w:tc>
          <w:tcPr>
            <w:tcW w:w="1276" w:type="dxa"/>
            <w:shd w:val="clear" w:color="auto" w:fill="auto"/>
            <w:vAlign w:val="center"/>
          </w:tcPr>
          <w:p w14:paraId="1C9F68EF" w14:textId="7C36011F" w:rsidR="008D5293" w:rsidRPr="008D5293" w:rsidRDefault="008D5293" w:rsidP="008D5293">
            <w:pPr>
              <w:jc w:val="center"/>
              <w:rPr>
                <w:rFonts w:ascii="Arial" w:hAnsi="Arial" w:cs="Arial"/>
                <w:sz w:val="22"/>
                <w:szCs w:val="22"/>
              </w:rPr>
            </w:pPr>
            <w:r>
              <w:rPr>
                <w:rFonts w:ascii="Arial" w:hAnsi="Arial" w:cs="Arial"/>
                <w:sz w:val="22"/>
                <w:szCs w:val="22"/>
              </w:rPr>
              <w:t>25</w:t>
            </w:r>
            <w:r w:rsidRPr="008D5293">
              <w:rPr>
                <w:rFonts w:ascii="Arial" w:hAnsi="Arial" w:cs="Arial"/>
                <w:sz w:val="22"/>
                <w:szCs w:val="22"/>
              </w:rPr>
              <w:t xml:space="preserve"> %</w:t>
            </w:r>
          </w:p>
        </w:tc>
        <w:tc>
          <w:tcPr>
            <w:tcW w:w="1276" w:type="dxa"/>
            <w:vAlign w:val="center"/>
          </w:tcPr>
          <w:p w14:paraId="2A896135" w14:textId="03615A4C"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100</w:t>
            </w:r>
          </w:p>
        </w:tc>
        <w:tc>
          <w:tcPr>
            <w:tcW w:w="850" w:type="dxa"/>
            <w:shd w:val="clear" w:color="auto" w:fill="auto"/>
            <w:vAlign w:val="center"/>
          </w:tcPr>
          <w:p w14:paraId="7362F38F" w14:textId="0408172B"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66</w:t>
            </w:r>
          </w:p>
        </w:tc>
        <w:tc>
          <w:tcPr>
            <w:tcW w:w="1996" w:type="dxa"/>
            <w:vAlign w:val="center"/>
          </w:tcPr>
          <w:p w14:paraId="3AC641F6" w14:textId="5004B896" w:rsidR="008D5293" w:rsidRPr="008D5293" w:rsidRDefault="005E56A7" w:rsidP="008D5293">
            <w:pPr>
              <w:jc w:val="center"/>
              <w:rPr>
                <w:rFonts w:ascii="Arial" w:hAnsi="Arial" w:cs="Arial"/>
                <w:color w:val="000000"/>
              </w:rPr>
            </w:pPr>
            <w:r>
              <w:rPr>
                <w:rFonts w:ascii="Arial" w:hAnsi="Arial" w:cs="Arial"/>
                <w:color w:val="000000"/>
              </w:rPr>
              <w:t>25.00</w:t>
            </w:r>
          </w:p>
        </w:tc>
        <w:tc>
          <w:tcPr>
            <w:tcW w:w="1134" w:type="dxa"/>
            <w:vAlign w:val="center"/>
          </w:tcPr>
          <w:p w14:paraId="656216E9" w14:textId="086AE87C" w:rsidR="008D5293" w:rsidRPr="008D5293" w:rsidRDefault="005E56A7" w:rsidP="008D5293">
            <w:pPr>
              <w:jc w:val="center"/>
              <w:rPr>
                <w:rFonts w:ascii="Arial" w:hAnsi="Arial" w:cs="Arial"/>
                <w:color w:val="000000"/>
              </w:rPr>
            </w:pPr>
            <w:r>
              <w:rPr>
                <w:rFonts w:ascii="Arial" w:hAnsi="Arial" w:cs="Arial"/>
                <w:color w:val="000000"/>
              </w:rPr>
              <w:t>16.50</w:t>
            </w:r>
          </w:p>
        </w:tc>
      </w:tr>
      <w:tr w:rsidR="008D5293" w:rsidRPr="008D5293" w14:paraId="6DC82A71" w14:textId="7F15CA1F" w:rsidTr="008D5293">
        <w:tc>
          <w:tcPr>
            <w:tcW w:w="1134" w:type="dxa"/>
            <w:vAlign w:val="center"/>
          </w:tcPr>
          <w:p w14:paraId="061A49AE" w14:textId="6314C937" w:rsidR="008D5293" w:rsidRPr="008D5293" w:rsidRDefault="008D5293" w:rsidP="008D5293">
            <w:pPr>
              <w:jc w:val="center"/>
              <w:rPr>
                <w:rFonts w:ascii="Arial" w:hAnsi="Arial" w:cs="Arial"/>
                <w:b/>
                <w:sz w:val="22"/>
                <w:szCs w:val="22"/>
              </w:rPr>
            </w:pPr>
            <w:bookmarkStart w:id="85" w:name="_Toc405210257"/>
            <w:bookmarkStart w:id="86" w:name="_Toc410216972"/>
            <w:r w:rsidRPr="008D5293">
              <w:rPr>
                <w:rFonts w:ascii="Arial" w:eastAsiaTheme="minorEastAsia" w:hAnsi="Arial" w:cs="Arial"/>
                <w:b/>
                <w:sz w:val="22"/>
                <w:szCs w:val="22"/>
              </w:rPr>
              <w:t>AQB2</w:t>
            </w:r>
            <w:bookmarkEnd w:id="85"/>
            <w:bookmarkEnd w:id="86"/>
          </w:p>
        </w:tc>
        <w:tc>
          <w:tcPr>
            <w:tcW w:w="2682" w:type="dxa"/>
            <w:vAlign w:val="center"/>
          </w:tcPr>
          <w:p w14:paraId="39894C83" w14:textId="0E38532D" w:rsidR="008D5293" w:rsidRPr="008D5293" w:rsidRDefault="008D5293" w:rsidP="008D5293">
            <w:pPr>
              <w:spacing w:before="60" w:after="60"/>
              <w:jc w:val="center"/>
              <w:rPr>
                <w:rFonts w:ascii="Arial" w:hAnsi="Arial" w:cs="Arial"/>
                <w:b/>
                <w:caps/>
                <w:sz w:val="22"/>
                <w:szCs w:val="22"/>
              </w:rPr>
            </w:pPr>
            <w:r w:rsidRPr="008D5293">
              <w:rPr>
                <w:rFonts w:ascii="Arial" w:hAnsi="Arial" w:cs="Arial"/>
                <w:sz w:val="22"/>
                <w:szCs w:val="22"/>
              </w:rPr>
              <w:t>Work Processes (Approach, Savings and Evidence).</w:t>
            </w:r>
          </w:p>
        </w:tc>
        <w:tc>
          <w:tcPr>
            <w:tcW w:w="1276" w:type="dxa"/>
            <w:shd w:val="clear" w:color="auto" w:fill="auto"/>
            <w:vAlign w:val="center"/>
          </w:tcPr>
          <w:p w14:paraId="63490F2F" w14:textId="3099FE77" w:rsidR="008D5293" w:rsidRPr="008D5293" w:rsidRDefault="008D5293" w:rsidP="008D5293">
            <w:pPr>
              <w:jc w:val="center"/>
              <w:rPr>
                <w:rFonts w:ascii="Arial" w:hAnsi="Arial" w:cs="Arial"/>
                <w:sz w:val="22"/>
                <w:szCs w:val="22"/>
              </w:rPr>
            </w:pPr>
            <w:r>
              <w:rPr>
                <w:rFonts w:ascii="Arial" w:hAnsi="Arial" w:cs="Arial"/>
                <w:sz w:val="22"/>
                <w:szCs w:val="22"/>
              </w:rPr>
              <w:t xml:space="preserve">25 </w:t>
            </w:r>
            <w:r w:rsidRPr="008D5293">
              <w:rPr>
                <w:rFonts w:ascii="Arial" w:hAnsi="Arial" w:cs="Arial"/>
                <w:sz w:val="22"/>
                <w:szCs w:val="22"/>
              </w:rPr>
              <w:t>%</w:t>
            </w:r>
          </w:p>
        </w:tc>
        <w:tc>
          <w:tcPr>
            <w:tcW w:w="1276" w:type="dxa"/>
            <w:vAlign w:val="center"/>
          </w:tcPr>
          <w:p w14:paraId="04D876DD" w14:textId="48D1B56B"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100</w:t>
            </w:r>
          </w:p>
        </w:tc>
        <w:tc>
          <w:tcPr>
            <w:tcW w:w="850" w:type="dxa"/>
            <w:shd w:val="clear" w:color="auto" w:fill="auto"/>
            <w:vAlign w:val="center"/>
          </w:tcPr>
          <w:p w14:paraId="7F54A844" w14:textId="1BB18355"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100</w:t>
            </w:r>
          </w:p>
        </w:tc>
        <w:tc>
          <w:tcPr>
            <w:tcW w:w="1996" w:type="dxa"/>
            <w:vAlign w:val="center"/>
          </w:tcPr>
          <w:p w14:paraId="5D4545D5" w14:textId="602A40A3" w:rsidR="008D5293" w:rsidRPr="008D5293" w:rsidRDefault="005E56A7" w:rsidP="008D5293">
            <w:pPr>
              <w:jc w:val="center"/>
              <w:rPr>
                <w:rFonts w:ascii="Arial" w:hAnsi="Arial" w:cs="Arial"/>
                <w:color w:val="000000"/>
              </w:rPr>
            </w:pPr>
            <w:r>
              <w:rPr>
                <w:rFonts w:ascii="Arial" w:hAnsi="Arial" w:cs="Arial"/>
                <w:color w:val="000000"/>
              </w:rPr>
              <w:t>25.00</w:t>
            </w:r>
          </w:p>
        </w:tc>
        <w:tc>
          <w:tcPr>
            <w:tcW w:w="1134" w:type="dxa"/>
            <w:vAlign w:val="center"/>
          </w:tcPr>
          <w:p w14:paraId="01F81388" w14:textId="4317F04F" w:rsidR="008D5293" w:rsidRPr="008D5293" w:rsidRDefault="005E56A7" w:rsidP="008D5293">
            <w:pPr>
              <w:jc w:val="center"/>
              <w:rPr>
                <w:rFonts w:ascii="Arial" w:hAnsi="Arial" w:cs="Arial"/>
                <w:color w:val="000000"/>
              </w:rPr>
            </w:pPr>
            <w:r>
              <w:rPr>
                <w:rFonts w:ascii="Arial" w:hAnsi="Arial" w:cs="Arial"/>
                <w:color w:val="000000"/>
              </w:rPr>
              <w:t>25.00</w:t>
            </w:r>
          </w:p>
        </w:tc>
      </w:tr>
      <w:tr w:rsidR="008D5293" w:rsidRPr="008D5293" w14:paraId="4FED9646" w14:textId="2511FD15" w:rsidTr="008D5293">
        <w:tc>
          <w:tcPr>
            <w:tcW w:w="1134" w:type="dxa"/>
            <w:vAlign w:val="center"/>
          </w:tcPr>
          <w:p w14:paraId="33112710" w14:textId="44912AF7" w:rsidR="008D5293" w:rsidRPr="008D5293" w:rsidRDefault="008D5293" w:rsidP="008D5293">
            <w:pPr>
              <w:jc w:val="center"/>
              <w:rPr>
                <w:rFonts w:ascii="Arial" w:hAnsi="Arial" w:cs="Arial"/>
                <w:b/>
                <w:sz w:val="22"/>
                <w:szCs w:val="22"/>
              </w:rPr>
            </w:pPr>
            <w:r w:rsidRPr="008D5293">
              <w:rPr>
                <w:rFonts w:ascii="Arial" w:hAnsi="Arial" w:cs="Arial"/>
                <w:b/>
                <w:sz w:val="22"/>
                <w:szCs w:val="22"/>
              </w:rPr>
              <w:t>AQB3</w:t>
            </w:r>
          </w:p>
        </w:tc>
        <w:tc>
          <w:tcPr>
            <w:tcW w:w="2682" w:type="dxa"/>
            <w:vAlign w:val="center"/>
          </w:tcPr>
          <w:p w14:paraId="34146DF3" w14:textId="21DBA94F" w:rsidR="008D5293" w:rsidRPr="008D5293" w:rsidRDefault="008D5293" w:rsidP="008D5293">
            <w:pPr>
              <w:spacing w:before="60" w:after="60"/>
              <w:jc w:val="center"/>
              <w:rPr>
                <w:rFonts w:ascii="Arial" w:hAnsi="Arial" w:cs="Arial"/>
                <w:caps/>
                <w:sz w:val="22"/>
                <w:szCs w:val="22"/>
              </w:rPr>
            </w:pPr>
            <w:r w:rsidRPr="008D5293">
              <w:rPr>
                <w:rFonts w:ascii="Arial" w:hAnsi="Arial" w:cs="Arial"/>
                <w:sz w:val="22"/>
                <w:szCs w:val="22"/>
              </w:rPr>
              <w:t>Skills and Knowledge Transfer.</w:t>
            </w:r>
          </w:p>
        </w:tc>
        <w:tc>
          <w:tcPr>
            <w:tcW w:w="1276" w:type="dxa"/>
            <w:shd w:val="clear" w:color="auto" w:fill="auto"/>
            <w:vAlign w:val="center"/>
          </w:tcPr>
          <w:p w14:paraId="0ECAD4A7" w14:textId="5CAC3B95" w:rsidR="008D5293" w:rsidRPr="008D5293" w:rsidRDefault="008D5293" w:rsidP="008D5293">
            <w:pPr>
              <w:jc w:val="center"/>
              <w:rPr>
                <w:rFonts w:ascii="Arial" w:hAnsi="Arial" w:cs="Arial"/>
                <w:sz w:val="22"/>
                <w:szCs w:val="22"/>
              </w:rPr>
            </w:pPr>
            <w:r>
              <w:rPr>
                <w:rFonts w:ascii="Arial" w:hAnsi="Arial" w:cs="Arial"/>
                <w:sz w:val="22"/>
                <w:szCs w:val="22"/>
              </w:rPr>
              <w:t>25</w:t>
            </w:r>
            <w:r w:rsidRPr="008D5293">
              <w:rPr>
                <w:rFonts w:ascii="Arial" w:hAnsi="Arial" w:cs="Arial"/>
                <w:sz w:val="22"/>
                <w:szCs w:val="22"/>
              </w:rPr>
              <w:t xml:space="preserve"> %</w:t>
            </w:r>
          </w:p>
        </w:tc>
        <w:tc>
          <w:tcPr>
            <w:tcW w:w="1276" w:type="dxa"/>
            <w:vAlign w:val="center"/>
          </w:tcPr>
          <w:p w14:paraId="164CC830" w14:textId="3029949D"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100</w:t>
            </w:r>
          </w:p>
        </w:tc>
        <w:tc>
          <w:tcPr>
            <w:tcW w:w="850" w:type="dxa"/>
            <w:shd w:val="clear" w:color="auto" w:fill="auto"/>
            <w:vAlign w:val="center"/>
          </w:tcPr>
          <w:p w14:paraId="1AA891C9" w14:textId="3631485A"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33</w:t>
            </w:r>
          </w:p>
        </w:tc>
        <w:tc>
          <w:tcPr>
            <w:tcW w:w="1996" w:type="dxa"/>
            <w:vAlign w:val="center"/>
          </w:tcPr>
          <w:p w14:paraId="7DB9682C" w14:textId="4FFE8781" w:rsidR="008D5293" w:rsidRPr="008D5293" w:rsidRDefault="005E56A7" w:rsidP="008D5293">
            <w:pPr>
              <w:jc w:val="center"/>
              <w:rPr>
                <w:rFonts w:ascii="Arial" w:hAnsi="Arial" w:cs="Arial"/>
                <w:color w:val="000000"/>
              </w:rPr>
            </w:pPr>
            <w:r>
              <w:rPr>
                <w:rFonts w:ascii="Arial" w:hAnsi="Arial" w:cs="Arial"/>
                <w:color w:val="000000"/>
              </w:rPr>
              <w:t>25.00</w:t>
            </w:r>
          </w:p>
        </w:tc>
        <w:tc>
          <w:tcPr>
            <w:tcW w:w="1134" w:type="dxa"/>
            <w:vAlign w:val="center"/>
          </w:tcPr>
          <w:p w14:paraId="3E26DCB5" w14:textId="0865921A" w:rsidR="008D5293" w:rsidRPr="008D5293" w:rsidRDefault="005E56A7" w:rsidP="008D5293">
            <w:pPr>
              <w:jc w:val="center"/>
              <w:rPr>
                <w:rFonts w:ascii="Arial" w:hAnsi="Arial" w:cs="Arial"/>
                <w:color w:val="000000"/>
              </w:rPr>
            </w:pPr>
            <w:r>
              <w:rPr>
                <w:rFonts w:ascii="Arial" w:hAnsi="Arial" w:cs="Arial"/>
                <w:color w:val="000000"/>
              </w:rPr>
              <w:t>08.25</w:t>
            </w:r>
          </w:p>
        </w:tc>
      </w:tr>
      <w:tr w:rsidR="008D5293" w:rsidRPr="008D5293" w14:paraId="028A797B" w14:textId="73EDE092" w:rsidTr="008D5293">
        <w:trPr>
          <w:trHeight w:val="56"/>
        </w:trPr>
        <w:tc>
          <w:tcPr>
            <w:tcW w:w="1134" w:type="dxa"/>
            <w:vAlign w:val="center"/>
          </w:tcPr>
          <w:p w14:paraId="6BE12C72" w14:textId="3D38D6C1" w:rsidR="008D5293" w:rsidRPr="008D5293" w:rsidRDefault="008D5293" w:rsidP="008D5293">
            <w:pPr>
              <w:jc w:val="center"/>
              <w:rPr>
                <w:rFonts w:ascii="Arial" w:hAnsi="Arial" w:cs="Arial"/>
                <w:b/>
                <w:sz w:val="22"/>
                <w:szCs w:val="22"/>
              </w:rPr>
            </w:pPr>
            <w:bookmarkStart w:id="87" w:name="_Toc410216981"/>
            <w:r w:rsidRPr="008D5293">
              <w:rPr>
                <w:rFonts w:ascii="Arial" w:eastAsiaTheme="minorEastAsia" w:hAnsi="Arial" w:cs="Arial"/>
                <w:b/>
                <w:sz w:val="22"/>
                <w:szCs w:val="22"/>
              </w:rPr>
              <w:t>AQ</w:t>
            </w:r>
            <w:bookmarkEnd w:id="87"/>
            <w:r w:rsidRPr="008D5293">
              <w:rPr>
                <w:rFonts w:ascii="Arial" w:eastAsiaTheme="minorEastAsia" w:hAnsi="Arial" w:cs="Arial"/>
                <w:b/>
                <w:sz w:val="22"/>
                <w:szCs w:val="22"/>
              </w:rPr>
              <w:t>B4</w:t>
            </w:r>
          </w:p>
        </w:tc>
        <w:tc>
          <w:tcPr>
            <w:tcW w:w="2682" w:type="dxa"/>
            <w:vAlign w:val="center"/>
          </w:tcPr>
          <w:p w14:paraId="3872FDD6" w14:textId="02FB0BE0" w:rsidR="008D5293" w:rsidRPr="008D5293" w:rsidRDefault="008D5293" w:rsidP="008D5293">
            <w:pPr>
              <w:spacing w:before="60" w:after="60"/>
              <w:jc w:val="center"/>
              <w:rPr>
                <w:rFonts w:ascii="Arial" w:hAnsi="Arial" w:cs="Arial"/>
                <w:b/>
                <w:caps/>
                <w:sz w:val="22"/>
                <w:szCs w:val="22"/>
              </w:rPr>
            </w:pPr>
            <w:r w:rsidRPr="008D5293">
              <w:rPr>
                <w:rFonts w:ascii="Arial" w:hAnsi="Arial" w:cs="Arial"/>
                <w:sz w:val="22"/>
                <w:szCs w:val="22"/>
              </w:rPr>
              <w:t>Risk Management and Continuous Improvement.</w:t>
            </w:r>
          </w:p>
        </w:tc>
        <w:tc>
          <w:tcPr>
            <w:tcW w:w="1276" w:type="dxa"/>
            <w:shd w:val="clear" w:color="auto" w:fill="auto"/>
            <w:vAlign w:val="center"/>
          </w:tcPr>
          <w:p w14:paraId="2E80CE4A" w14:textId="22BAE1E0" w:rsidR="008D5293" w:rsidRPr="008D5293" w:rsidRDefault="008D5293" w:rsidP="008D5293">
            <w:pPr>
              <w:jc w:val="center"/>
              <w:rPr>
                <w:rFonts w:ascii="Arial" w:hAnsi="Arial" w:cs="Arial"/>
                <w:sz w:val="22"/>
                <w:szCs w:val="22"/>
              </w:rPr>
            </w:pPr>
            <w:r>
              <w:rPr>
                <w:rFonts w:ascii="Arial" w:hAnsi="Arial" w:cs="Arial"/>
                <w:sz w:val="22"/>
                <w:szCs w:val="22"/>
              </w:rPr>
              <w:t>25</w:t>
            </w:r>
            <w:r w:rsidRPr="008D5293">
              <w:rPr>
                <w:rFonts w:ascii="Arial" w:hAnsi="Arial" w:cs="Arial"/>
                <w:sz w:val="22"/>
                <w:szCs w:val="22"/>
              </w:rPr>
              <w:t xml:space="preserve"> %</w:t>
            </w:r>
          </w:p>
        </w:tc>
        <w:tc>
          <w:tcPr>
            <w:tcW w:w="1276" w:type="dxa"/>
            <w:vAlign w:val="center"/>
          </w:tcPr>
          <w:p w14:paraId="1E76B4AB" w14:textId="463718D0"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100</w:t>
            </w:r>
          </w:p>
        </w:tc>
        <w:tc>
          <w:tcPr>
            <w:tcW w:w="850" w:type="dxa"/>
            <w:shd w:val="clear" w:color="auto" w:fill="auto"/>
            <w:vAlign w:val="center"/>
          </w:tcPr>
          <w:p w14:paraId="4AFDB80C" w14:textId="4ABFABDE" w:rsidR="008D5293" w:rsidRPr="008D5293" w:rsidRDefault="008D5293" w:rsidP="008D5293">
            <w:pPr>
              <w:jc w:val="center"/>
              <w:rPr>
                <w:rFonts w:ascii="Arial" w:hAnsi="Arial" w:cs="Arial"/>
                <w:color w:val="000000"/>
                <w:sz w:val="22"/>
                <w:szCs w:val="22"/>
              </w:rPr>
            </w:pPr>
            <w:r>
              <w:rPr>
                <w:rFonts w:ascii="Arial" w:hAnsi="Arial" w:cs="Arial"/>
                <w:color w:val="000000"/>
                <w:sz w:val="22"/>
                <w:szCs w:val="22"/>
              </w:rPr>
              <w:t>100</w:t>
            </w:r>
          </w:p>
        </w:tc>
        <w:tc>
          <w:tcPr>
            <w:tcW w:w="1996" w:type="dxa"/>
            <w:vAlign w:val="center"/>
          </w:tcPr>
          <w:p w14:paraId="07A75F6F" w14:textId="72A134FB" w:rsidR="008D5293" w:rsidRPr="008D5293" w:rsidRDefault="005E56A7" w:rsidP="008D5293">
            <w:pPr>
              <w:jc w:val="center"/>
              <w:rPr>
                <w:rFonts w:ascii="Arial" w:hAnsi="Arial" w:cs="Arial"/>
                <w:color w:val="000000"/>
              </w:rPr>
            </w:pPr>
            <w:r>
              <w:rPr>
                <w:rFonts w:ascii="Arial" w:hAnsi="Arial" w:cs="Arial"/>
                <w:color w:val="000000"/>
              </w:rPr>
              <w:t>25.00</w:t>
            </w:r>
          </w:p>
        </w:tc>
        <w:tc>
          <w:tcPr>
            <w:tcW w:w="1134" w:type="dxa"/>
            <w:vAlign w:val="center"/>
          </w:tcPr>
          <w:p w14:paraId="07CD328F" w14:textId="3BA293A3" w:rsidR="008D5293" w:rsidRPr="008D5293" w:rsidRDefault="005E56A7" w:rsidP="008D5293">
            <w:pPr>
              <w:jc w:val="center"/>
              <w:rPr>
                <w:rFonts w:ascii="Arial" w:hAnsi="Arial" w:cs="Arial"/>
                <w:color w:val="000000"/>
              </w:rPr>
            </w:pPr>
            <w:r>
              <w:rPr>
                <w:rFonts w:ascii="Arial" w:hAnsi="Arial" w:cs="Arial"/>
                <w:color w:val="000000"/>
              </w:rPr>
              <w:t>25.00</w:t>
            </w:r>
          </w:p>
        </w:tc>
      </w:tr>
      <w:tr w:rsidR="005E56A7" w:rsidRPr="008D5293" w14:paraId="59E7B840" w14:textId="77777777" w:rsidTr="005E56A7">
        <w:trPr>
          <w:trHeight w:val="56"/>
        </w:trPr>
        <w:tc>
          <w:tcPr>
            <w:tcW w:w="7218" w:type="dxa"/>
            <w:gridSpan w:val="5"/>
            <w:vAlign w:val="center"/>
          </w:tcPr>
          <w:p w14:paraId="723CA3E3" w14:textId="0247C509" w:rsidR="005E56A7" w:rsidRPr="005E56A7" w:rsidRDefault="005E56A7" w:rsidP="005E56A7">
            <w:pPr>
              <w:spacing w:before="120" w:after="120"/>
              <w:jc w:val="left"/>
              <w:rPr>
                <w:rFonts w:ascii="Arial" w:hAnsi="Arial" w:cs="Arial"/>
                <w:b/>
                <w:color w:val="000000"/>
                <w:sz w:val="22"/>
                <w:szCs w:val="22"/>
              </w:rPr>
            </w:pPr>
            <w:r w:rsidRPr="005E56A7">
              <w:rPr>
                <w:rFonts w:ascii="Arial" w:hAnsi="Arial" w:cs="Arial"/>
                <w:b/>
                <w:color w:val="000000"/>
                <w:sz w:val="22"/>
                <w:szCs w:val="22"/>
              </w:rPr>
              <w:t>Maximum Score Available</w:t>
            </w:r>
          </w:p>
        </w:tc>
        <w:tc>
          <w:tcPr>
            <w:tcW w:w="1996" w:type="dxa"/>
            <w:vAlign w:val="center"/>
          </w:tcPr>
          <w:p w14:paraId="1B682E7B" w14:textId="2D7A6836" w:rsidR="005E56A7" w:rsidRPr="005E56A7" w:rsidRDefault="005E56A7" w:rsidP="005E56A7">
            <w:pPr>
              <w:spacing w:before="120" w:after="120"/>
              <w:jc w:val="center"/>
              <w:rPr>
                <w:rFonts w:ascii="Arial" w:hAnsi="Arial" w:cs="Arial"/>
                <w:b/>
                <w:color w:val="000000"/>
                <w:sz w:val="22"/>
                <w:szCs w:val="22"/>
              </w:rPr>
            </w:pPr>
            <w:r>
              <w:rPr>
                <w:rFonts w:ascii="Arial" w:hAnsi="Arial" w:cs="Arial"/>
                <w:b/>
                <w:color w:val="000000"/>
                <w:sz w:val="22"/>
                <w:szCs w:val="22"/>
              </w:rPr>
              <w:t>100.00</w:t>
            </w:r>
          </w:p>
        </w:tc>
        <w:tc>
          <w:tcPr>
            <w:tcW w:w="1134" w:type="dxa"/>
            <w:shd w:val="clear" w:color="auto" w:fill="B8CCE4" w:themeFill="accent1" w:themeFillTint="66"/>
            <w:vAlign w:val="center"/>
          </w:tcPr>
          <w:p w14:paraId="06CBF7A2" w14:textId="77777777" w:rsidR="005E56A7" w:rsidRPr="005E56A7" w:rsidRDefault="005E56A7" w:rsidP="005E56A7">
            <w:pPr>
              <w:spacing w:before="120" w:after="120"/>
              <w:jc w:val="center"/>
              <w:rPr>
                <w:rFonts w:ascii="Arial" w:hAnsi="Arial" w:cs="Arial"/>
                <w:b/>
                <w:color w:val="000000"/>
                <w:sz w:val="22"/>
                <w:szCs w:val="22"/>
              </w:rPr>
            </w:pPr>
          </w:p>
        </w:tc>
      </w:tr>
      <w:tr w:rsidR="005E56A7" w:rsidRPr="008D5293" w14:paraId="736E5530" w14:textId="77777777" w:rsidTr="00F966EF">
        <w:trPr>
          <w:trHeight w:val="56"/>
        </w:trPr>
        <w:tc>
          <w:tcPr>
            <w:tcW w:w="9214" w:type="dxa"/>
            <w:gridSpan w:val="6"/>
            <w:vAlign w:val="center"/>
          </w:tcPr>
          <w:p w14:paraId="59BF6279" w14:textId="2872C836" w:rsidR="005E56A7" w:rsidRPr="005E56A7" w:rsidRDefault="005E56A7" w:rsidP="005E56A7">
            <w:pPr>
              <w:spacing w:before="120" w:after="120"/>
              <w:jc w:val="left"/>
              <w:rPr>
                <w:rFonts w:ascii="Arial" w:hAnsi="Arial" w:cs="Arial"/>
                <w:b/>
                <w:color w:val="000000"/>
                <w:sz w:val="22"/>
                <w:szCs w:val="22"/>
              </w:rPr>
            </w:pPr>
            <w:r w:rsidRPr="005E56A7">
              <w:rPr>
                <w:rFonts w:ascii="Arial" w:hAnsi="Arial" w:cs="Arial"/>
                <w:b/>
                <w:color w:val="000000"/>
                <w:sz w:val="22"/>
                <w:szCs w:val="22"/>
              </w:rPr>
              <w:t>Potential Provider A’s Total Weighted Score</w:t>
            </w:r>
          </w:p>
        </w:tc>
        <w:tc>
          <w:tcPr>
            <w:tcW w:w="1134" w:type="dxa"/>
            <w:vAlign w:val="center"/>
          </w:tcPr>
          <w:p w14:paraId="1E31B15F" w14:textId="6706A3C9" w:rsidR="005E56A7" w:rsidRPr="005E56A7" w:rsidRDefault="005E56A7" w:rsidP="005E56A7">
            <w:pPr>
              <w:spacing w:before="120" w:after="120"/>
              <w:jc w:val="center"/>
              <w:rPr>
                <w:rFonts w:ascii="Arial" w:hAnsi="Arial" w:cs="Arial"/>
                <w:b/>
                <w:color w:val="000000"/>
                <w:sz w:val="22"/>
                <w:szCs w:val="22"/>
              </w:rPr>
            </w:pPr>
            <w:r>
              <w:rPr>
                <w:rFonts w:ascii="Arial" w:hAnsi="Arial" w:cs="Arial"/>
                <w:b/>
                <w:color w:val="000000"/>
                <w:sz w:val="22"/>
                <w:szCs w:val="22"/>
              </w:rPr>
              <w:t>74.75</w:t>
            </w:r>
          </w:p>
        </w:tc>
      </w:tr>
      <w:tr w:rsidR="005E56A7" w:rsidRPr="008D5293" w14:paraId="631FA603" w14:textId="77777777" w:rsidTr="00F966EF">
        <w:trPr>
          <w:trHeight w:val="56"/>
        </w:trPr>
        <w:tc>
          <w:tcPr>
            <w:tcW w:w="9214" w:type="dxa"/>
            <w:gridSpan w:val="6"/>
            <w:vAlign w:val="center"/>
          </w:tcPr>
          <w:p w14:paraId="2AC63BF9" w14:textId="42BBC222" w:rsidR="005E56A7" w:rsidRPr="005E56A7" w:rsidRDefault="005E56A7" w:rsidP="005E56A7">
            <w:pPr>
              <w:spacing w:before="120" w:after="120"/>
              <w:jc w:val="left"/>
              <w:rPr>
                <w:rFonts w:ascii="Arial" w:hAnsi="Arial" w:cs="Arial"/>
                <w:b/>
                <w:color w:val="000000"/>
                <w:sz w:val="22"/>
                <w:szCs w:val="22"/>
              </w:rPr>
            </w:pPr>
            <w:r w:rsidRPr="005E56A7">
              <w:rPr>
                <w:rFonts w:ascii="Arial" w:hAnsi="Arial" w:cs="Arial"/>
                <w:b/>
                <w:color w:val="000000"/>
                <w:sz w:val="22"/>
                <w:szCs w:val="22"/>
              </w:rPr>
              <w:t xml:space="preserve">Potential Provider A’s Quality Score (Total Weighted Score </w:t>
            </w:r>
            <w:r w:rsidR="001253D6" w:rsidRPr="005E56A7">
              <w:rPr>
                <w:rFonts w:ascii="Arial" w:hAnsi="Arial" w:cs="Arial"/>
                <w:b/>
                <w:color w:val="000000"/>
                <w:sz w:val="22"/>
                <w:szCs w:val="22"/>
              </w:rPr>
              <w:t>multiplied</w:t>
            </w:r>
            <w:r w:rsidRPr="005E56A7">
              <w:rPr>
                <w:rFonts w:ascii="Arial" w:hAnsi="Arial" w:cs="Arial"/>
                <w:b/>
                <w:color w:val="000000"/>
                <w:sz w:val="22"/>
                <w:szCs w:val="22"/>
              </w:rPr>
              <w:t xml:space="preserve"> by 70% Quality)</w:t>
            </w:r>
          </w:p>
        </w:tc>
        <w:tc>
          <w:tcPr>
            <w:tcW w:w="1134" w:type="dxa"/>
            <w:vAlign w:val="center"/>
          </w:tcPr>
          <w:p w14:paraId="11F79BC6" w14:textId="50289843" w:rsidR="005E56A7" w:rsidRPr="005E56A7" w:rsidRDefault="00AC29FD" w:rsidP="005E56A7">
            <w:pPr>
              <w:spacing w:before="120" w:after="120"/>
              <w:jc w:val="center"/>
              <w:rPr>
                <w:rFonts w:ascii="Arial" w:hAnsi="Arial" w:cs="Arial"/>
                <w:b/>
                <w:color w:val="000000"/>
                <w:sz w:val="22"/>
                <w:szCs w:val="22"/>
              </w:rPr>
            </w:pPr>
            <w:r>
              <w:rPr>
                <w:rFonts w:ascii="Arial" w:hAnsi="Arial" w:cs="Arial"/>
                <w:b/>
                <w:color w:val="000000"/>
                <w:sz w:val="22"/>
                <w:szCs w:val="22"/>
              </w:rPr>
              <w:t>52.33</w:t>
            </w:r>
          </w:p>
        </w:tc>
      </w:tr>
    </w:tbl>
    <w:p w14:paraId="4CD7B2A3" w14:textId="77777777" w:rsidR="00A93A1E" w:rsidRDefault="00A93A1E">
      <w:pPr>
        <w:pStyle w:val="Heading3"/>
        <w:numPr>
          <w:ilvl w:val="0"/>
          <w:numId w:val="0"/>
        </w:numPr>
        <w:ind w:left="1474"/>
      </w:pPr>
    </w:p>
    <w:p w14:paraId="09ECF853" w14:textId="5689C666" w:rsidR="003D4052" w:rsidRPr="001D1216" w:rsidRDefault="009F5FF7" w:rsidP="00B92E3D">
      <w:pPr>
        <w:pStyle w:val="Style9"/>
      </w:pPr>
      <w:r w:rsidRPr="001D1216">
        <w:t>To proceed to the next stage of the evaluation, Potential Providers must</w:t>
      </w:r>
      <w:r w:rsidR="005E56A7">
        <w:t xml:space="preserve"> achieve a “pass” for the mandatory questions in Section A (AQA1 a-g) and achieve or exceed a Quality Score of 46.20 (“</w:t>
      </w:r>
      <w:r w:rsidR="005E56A7">
        <w:rPr>
          <w:b/>
        </w:rPr>
        <w:t>Minimum Quality Threshold</w:t>
      </w:r>
      <w:r w:rsidR="005E56A7">
        <w:t>”) across questions AQB1 to AQB4.</w:t>
      </w:r>
    </w:p>
    <w:p w14:paraId="3692D3F8" w14:textId="3DA65CEE" w:rsidR="008C1766" w:rsidRDefault="008C1766" w:rsidP="00887EC6">
      <w:pPr>
        <w:pStyle w:val="Style2"/>
        <w:numPr>
          <w:ilvl w:val="0"/>
          <w:numId w:val="0"/>
        </w:numPr>
        <w:ind w:left="2155"/>
      </w:pPr>
    </w:p>
    <w:p w14:paraId="2BB6BBED" w14:textId="237059A7" w:rsidR="0009254C" w:rsidRDefault="008C1766" w:rsidP="00ED6A91">
      <w:pPr>
        <w:pStyle w:val="Style8"/>
        <w:rPr>
          <w:b/>
          <w:sz w:val="20"/>
          <w:szCs w:val="20"/>
        </w:rPr>
      </w:pPr>
      <w:r>
        <w:br w:type="page"/>
      </w:r>
      <w:bookmarkStart w:id="88" w:name="_Ref284863725"/>
    </w:p>
    <w:p w14:paraId="0FC9E851" w14:textId="14EF9897" w:rsidR="00776ADC" w:rsidRDefault="00780199" w:rsidP="00083300">
      <w:pPr>
        <w:pStyle w:val="Style8"/>
        <w:spacing w:before="240"/>
        <w:rPr>
          <w:b/>
          <w:szCs w:val="20"/>
        </w:rPr>
      </w:pPr>
      <w:r w:rsidRPr="00083300">
        <w:rPr>
          <w:b/>
          <w:szCs w:val="20"/>
        </w:rPr>
        <w:lastRenderedPageBreak/>
        <w:t>Ov</w:t>
      </w:r>
      <w:r w:rsidR="009F5FF7" w:rsidRPr="00083300">
        <w:rPr>
          <w:b/>
          <w:szCs w:val="20"/>
        </w:rPr>
        <w:t xml:space="preserve">erview of Quality Evaluation </w:t>
      </w:r>
      <w:r w:rsidR="00083300" w:rsidRPr="00083300">
        <w:rPr>
          <w:b/>
          <w:szCs w:val="20"/>
        </w:rPr>
        <w:t xml:space="preserve">( Quality </w:t>
      </w:r>
      <w:r w:rsidR="009F5FF7" w:rsidRPr="00083300">
        <w:rPr>
          <w:b/>
          <w:szCs w:val="20"/>
        </w:rPr>
        <w:t>Criteria and Weightings</w:t>
      </w:r>
      <w:bookmarkEnd w:id="88"/>
      <w:r w:rsidR="00083300" w:rsidRPr="00083300">
        <w:rPr>
          <w:b/>
          <w:szCs w:val="20"/>
        </w:rPr>
        <w:t>)</w:t>
      </w:r>
    </w:p>
    <w:p w14:paraId="38251612" w14:textId="77777777" w:rsidR="00083300" w:rsidRPr="00083300" w:rsidRDefault="00083300" w:rsidP="00083300">
      <w:pPr>
        <w:pStyle w:val="Style9"/>
        <w:numPr>
          <w:ilvl w:val="0"/>
          <w:numId w:val="0"/>
        </w:numPr>
        <w:ind w:left="2160"/>
      </w:pPr>
    </w:p>
    <w:tbl>
      <w:tblPr>
        <w:tblW w:w="9035" w:type="dxa"/>
        <w:tblInd w:w="595" w:type="dxa"/>
        <w:tblLook w:val="04A0" w:firstRow="1" w:lastRow="0" w:firstColumn="1" w:lastColumn="0" w:noHBand="0" w:noVBand="1"/>
      </w:tblPr>
      <w:tblGrid>
        <w:gridCol w:w="1369"/>
        <w:gridCol w:w="2104"/>
        <w:gridCol w:w="2507"/>
        <w:gridCol w:w="1463"/>
        <w:gridCol w:w="1592"/>
      </w:tblGrid>
      <w:tr w:rsidR="000B1DA6" w:rsidRPr="000B1DA6" w14:paraId="047BD7AD" w14:textId="77777777" w:rsidTr="00C91FC0">
        <w:trPr>
          <w:trHeight w:val="862"/>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22DBD" w14:textId="77777777" w:rsidR="000B1DA6" w:rsidRPr="000B1DA6" w:rsidRDefault="000B1DA6" w:rsidP="000B1DA6">
            <w:pPr>
              <w:spacing w:after="0" w:line="240" w:lineRule="auto"/>
              <w:jc w:val="center"/>
              <w:rPr>
                <w:rFonts w:ascii="Arial" w:eastAsia="Times New Roman" w:hAnsi="Arial" w:cs="Arial"/>
                <w:b/>
                <w:bCs/>
                <w:color w:val="000000"/>
                <w:sz w:val="20"/>
                <w:szCs w:val="16"/>
              </w:rPr>
            </w:pPr>
            <w:r w:rsidRPr="000B1DA6">
              <w:rPr>
                <w:rFonts w:ascii="Arial" w:eastAsia="Times New Roman" w:hAnsi="Arial" w:cs="Arial"/>
                <w:b/>
                <w:bCs/>
                <w:color w:val="000000"/>
                <w:sz w:val="20"/>
                <w:szCs w:val="16"/>
              </w:rPr>
              <w:t>Question</w:t>
            </w:r>
          </w:p>
        </w:tc>
        <w:tc>
          <w:tcPr>
            <w:tcW w:w="2104" w:type="dxa"/>
            <w:tcBorders>
              <w:top w:val="single" w:sz="4" w:space="0" w:color="auto"/>
              <w:left w:val="single" w:sz="4" w:space="0" w:color="auto"/>
              <w:bottom w:val="single" w:sz="4" w:space="0" w:color="auto"/>
              <w:right w:val="single" w:sz="4" w:space="0" w:color="auto"/>
            </w:tcBorders>
            <w:vAlign w:val="center"/>
          </w:tcPr>
          <w:p w14:paraId="32CF8255" w14:textId="0E16573B" w:rsidR="000B1DA6" w:rsidRPr="000B1DA6" w:rsidRDefault="000B1DA6" w:rsidP="000B1DA6">
            <w:pPr>
              <w:spacing w:after="0" w:line="240" w:lineRule="auto"/>
              <w:jc w:val="center"/>
              <w:rPr>
                <w:rFonts w:ascii="Arial" w:eastAsia="Times New Roman" w:hAnsi="Arial" w:cs="Arial"/>
                <w:b/>
                <w:bCs/>
                <w:color w:val="000000"/>
                <w:sz w:val="20"/>
                <w:szCs w:val="16"/>
              </w:rPr>
            </w:pPr>
            <w:r w:rsidRPr="000B1DA6">
              <w:rPr>
                <w:rFonts w:ascii="Arial" w:eastAsia="Times New Roman" w:hAnsi="Arial" w:cs="Arial"/>
                <w:b/>
                <w:bCs/>
                <w:color w:val="000000"/>
                <w:sz w:val="20"/>
                <w:szCs w:val="16"/>
              </w:rPr>
              <w:t>Subject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17BFC" w14:textId="06C79C9A" w:rsidR="000B1DA6" w:rsidRPr="000B1DA6" w:rsidRDefault="000B1DA6" w:rsidP="000B1DA6">
            <w:pPr>
              <w:spacing w:after="0" w:line="240" w:lineRule="auto"/>
              <w:jc w:val="center"/>
              <w:rPr>
                <w:rFonts w:ascii="Arial" w:eastAsia="Times New Roman" w:hAnsi="Arial" w:cs="Arial"/>
                <w:b/>
                <w:bCs/>
                <w:color w:val="000000"/>
                <w:sz w:val="20"/>
                <w:szCs w:val="16"/>
              </w:rPr>
            </w:pPr>
            <w:r w:rsidRPr="000B1DA6">
              <w:rPr>
                <w:rFonts w:ascii="Arial" w:eastAsia="Times New Roman" w:hAnsi="Arial" w:cs="Arial"/>
                <w:b/>
                <w:bCs/>
                <w:color w:val="000000"/>
                <w:sz w:val="20"/>
                <w:szCs w:val="16"/>
              </w:rPr>
              <w:t>Marking Scheme</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E4198" w14:textId="77777777" w:rsidR="000B1DA6" w:rsidRPr="000B1DA6" w:rsidRDefault="000B1DA6" w:rsidP="000B1DA6">
            <w:pPr>
              <w:spacing w:after="0" w:line="240" w:lineRule="auto"/>
              <w:jc w:val="center"/>
              <w:rPr>
                <w:rFonts w:ascii="Arial" w:eastAsia="Times New Roman" w:hAnsi="Arial" w:cs="Arial"/>
                <w:b/>
                <w:bCs/>
                <w:color w:val="000000"/>
                <w:sz w:val="20"/>
                <w:szCs w:val="16"/>
              </w:rPr>
            </w:pPr>
            <w:r w:rsidRPr="000B1DA6">
              <w:rPr>
                <w:rFonts w:ascii="Arial" w:eastAsia="Times New Roman" w:hAnsi="Arial" w:cs="Arial"/>
                <w:b/>
                <w:bCs/>
                <w:color w:val="000000"/>
                <w:sz w:val="20"/>
                <w:szCs w:val="16"/>
              </w:rPr>
              <w:t>Maximum Score Available</w:t>
            </w:r>
          </w:p>
        </w:tc>
        <w:tc>
          <w:tcPr>
            <w:tcW w:w="1590" w:type="dxa"/>
            <w:tcBorders>
              <w:top w:val="single" w:sz="4" w:space="0" w:color="auto"/>
              <w:left w:val="single" w:sz="4" w:space="0" w:color="auto"/>
              <w:right w:val="single" w:sz="4" w:space="0" w:color="auto"/>
            </w:tcBorders>
          </w:tcPr>
          <w:p w14:paraId="054FEF17" w14:textId="77777777" w:rsidR="000B1DA6" w:rsidRPr="000B1DA6" w:rsidRDefault="000B1DA6" w:rsidP="000B1DA6">
            <w:pPr>
              <w:spacing w:after="0" w:line="240" w:lineRule="auto"/>
              <w:jc w:val="center"/>
              <w:rPr>
                <w:rFonts w:ascii="Arial" w:eastAsia="Times New Roman" w:hAnsi="Arial" w:cs="Arial"/>
                <w:b/>
                <w:bCs/>
                <w:color w:val="000000"/>
                <w:sz w:val="20"/>
                <w:szCs w:val="16"/>
              </w:rPr>
            </w:pPr>
          </w:p>
          <w:p w14:paraId="3735EB34" w14:textId="4EA7A51D" w:rsidR="000B1DA6" w:rsidRPr="000B1DA6" w:rsidRDefault="000B1DA6" w:rsidP="000B1DA6">
            <w:pPr>
              <w:spacing w:after="0" w:line="240" w:lineRule="auto"/>
              <w:jc w:val="center"/>
              <w:rPr>
                <w:rFonts w:ascii="Arial" w:eastAsia="Times New Roman" w:hAnsi="Arial" w:cs="Arial"/>
                <w:b/>
                <w:bCs/>
                <w:color w:val="000000"/>
                <w:sz w:val="20"/>
                <w:szCs w:val="16"/>
              </w:rPr>
            </w:pPr>
            <w:r w:rsidRPr="000B1DA6">
              <w:rPr>
                <w:rFonts w:ascii="Arial" w:eastAsia="Times New Roman" w:hAnsi="Arial" w:cs="Arial"/>
                <w:b/>
                <w:bCs/>
                <w:color w:val="000000"/>
                <w:sz w:val="20"/>
                <w:szCs w:val="16"/>
              </w:rPr>
              <w:t>Question</w:t>
            </w:r>
          </w:p>
          <w:p w14:paraId="16063816" w14:textId="41786D2F" w:rsidR="000B1DA6" w:rsidRPr="000B1DA6" w:rsidDel="008C1766" w:rsidRDefault="000B1DA6" w:rsidP="000B1DA6">
            <w:pPr>
              <w:spacing w:after="0" w:line="240" w:lineRule="auto"/>
              <w:jc w:val="center"/>
              <w:rPr>
                <w:rFonts w:ascii="Arial" w:eastAsia="Times New Roman" w:hAnsi="Arial" w:cs="Arial"/>
                <w:b/>
                <w:bCs/>
                <w:color w:val="000000"/>
                <w:sz w:val="20"/>
                <w:szCs w:val="16"/>
              </w:rPr>
            </w:pPr>
            <w:r w:rsidRPr="000B1DA6">
              <w:rPr>
                <w:rFonts w:ascii="Arial" w:eastAsia="Times New Roman" w:hAnsi="Arial" w:cs="Arial"/>
                <w:b/>
                <w:bCs/>
                <w:color w:val="000000"/>
                <w:sz w:val="20"/>
                <w:szCs w:val="16"/>
              </w:rPr>
              <w:t>Weighting</w:t>
            </w:r>
          </w:p>
        </w:tc>
      </w:tr>
      <w:tr w:rsidR="00083300" w:rsidRPr="000B1DA6" w14:paraId="7895916B" w14:textId="07A2658F" w:rsidTr="00C91FC0">
        <w:trPr>
          <w:trHeight w:val="400"/>
        </w:trPr>
        <w:tc>
          <w:tcPr>
            <w:tcW w:w="9035" w:type="dxa"/>
            <w:gridSpan w:val="5"/>
            <w:tcBorders>
              <w:top w:val="single" w:sz="4" w:space="0" w:color="auto"/>
              <w:left w:val="single" w:sz="4" w:space="0" w:color="auto"/>
              <w:bottom w:val="single" w:sz="4" w:space="0" w:color="auto"/>
              <w:right w:val="single" w:sz="4" w:space="0" w:color="000000"/>
            </w:tcBorders>
            <w:shd w:val="clear" w:color="000000" w:fill="D9D9D9"/>
          </w:tcPr>
          <w:p w14:paraId="7C1ECFF3" w14:textId="4CEE2E45" w:rsidR="00083300" w:rsidRPr="000B1DA6" w:rsidRDefault="00083300" w:rsidP="000B1DA6">
            <w:pPr>
              <w:spacing w:before="120" w:after="120"/>
              <w:jc w:val="center"/>
              <w:rPr>
                <w:rFonts w:ascii="Arial" w:eastAsia="Times New Roman" w:hAnsi="Arial" w:cs="Arial"/>
              </w:rPr>
            </w:pPr>
            <w:r w:rsidRPr="000B1DA6">
              <w:rPr>
                <w:rFonts w:ascii="Arial" w:eastAsia="Times New Roman" w:hAnsi="Arial" w:cs="Arial"/>
              </w:rPr>
              <w:t>SECTION A -  Mandatory Question</w:t>
            </w:r>
          </w:p>
        </w:tc>
      </w:tr>
      <w:tr w:rsidR="00083300" w:rsidRPr="000B1DA6" w14:paraId="6148B21E" w14:textId="77777777" w:rsidTr="00C91FC0">
        <w:trPr>
          <w:trHeight w:val="280"/>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AD62" w14:textId="77777777"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AQA1</w:t>
            </w:r>
          </w:p>
        </w:tc>
        <w:tc>
          <w:tcPr>
            <w:tcW w:w="2104" w:type="dxa"/>
            <w:tcBorders>
              <w:top w:val="single" w:sz="4" w:space="0" w:color="auto"/>
              <w:left w:val="nil"/>
              <w:bottom w:val="single" w:sz="4" w:space="0" w:color="auto"/>
              <w:right w:val="single" w:sz="4" w:space="0" w:color="auto"/>
            </w:tcBorders>
            <w:vAlign w:val="center"/>
          </w:tcPr>
          <w:p w14:paraId="7DA9684C" w14:textId="1216726C" w:rsidR="00083300"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Mandatory Requirement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057A8" w14:textId="28BD3510"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Pass/Fail</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2CF6D58" w14:textId="77777777"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N/A</w:t>
            </w:r>
          </w:p>
        </w:tc>
        <w:tc>
          <w:tcPr>
            <w:tcW w:w="1590" w:type="dxa"/>
            <w:tcBorders>
              <w:top w:val="single" w:sz="4" w:space="0" w:color="auto"/>
              <w:left w:val="nil"/>
              <w:bottom w:val="single" w:sz="4" w:space="0" w:color="auto"/>
              <w:right w:val="single" w:sz="4" w:space="0" w:color="auto"/>
            </w:tcBorders>
            <w:vAlign w:val="center"/>
          </w:tcPr>
          <w:p w14:paraId="2BD29B67" w14:textId="361AD5CB"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N/A</w:t>
            </w:r>
          </w:p>
        </w:tc>
      </w:tr>
      <w:tr w:rsidR="00083300" w:rsidRPr="000B1DA6" w14:paraId="22A28A3A" w14:textId="49A08048" w:rsidTr="00C91FC0">
        <w:trPr>
          <w:trHeight w:val="280"/>
        </w:trPr>
        <w:tc>
          <w:tcPr>
            <w:tcW w:w="9035" w:type="dxa"/>
            <w:gridSpan w:val="5"/>
            <w:tcBorders>
              <w:top w:val="single" w:sz="4" w:space="0" w:color="auto"/>
              <w:left w:val="single" w:sz="4" w:space="0" w:color="auto"/>
              <w:bottom w:val="single" w:sz="4" w:space="0" w:color="auto"/>
              <w:right w:val="single" w:sz="4" w:space="0" w:color="auto"/>
            </w:tcBorders>
            <w:shd w:val="clear" w:color="000000" w:fill="D9D9D9"/>
          </w:tcPr>
          <w:p w14:paraId="2D661709" w14:textId="25268CE7" w:rsidR="00083300" w:rsidRPr="000B1DA6" w:rsidRDefault="00083300" w:rsidP="000B1DA6">
            <w:pPr>
              <w:spacing w:before="120" w:after="120"/>
              <w:jc w:val="center"/>
              <w:rPr>
                <w:rFonts w:ascii="Arial" w:eastAsia="Times New Roman" w:hAnsi="Arial" w:cs="Arial"/>
              </w:rPr>
            </w:pPr>
            <w:r w:rsidRPr="000B1DA6">
              <w:rPr>
                <w:rFonts w:ascii="Arial" w:eastAsia="Times New Roman" w:hAnsi="Arial" w:cs="Arial"/>
              </w:rPr>
              <w:t>SECTION B – Generic Questions</w:t>
            </w:r>
          </w:p>
        </w:tc>
      </w:tr>
      <w:tr w:rsidR="000B1DA6" w:rsidRPr="000B1DA6" w14:paraId="2D731F25" w14:textId="77777777" w:rsidTr="00C91FC0">
        <w:trPr>
          <w:trHeight w:val="280"/>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509D88CB" w14:textId="77777777"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AQB1</w:t>
            </w:r>
          </w:p>
        </w:tc>
        <w:tc>
          <w:tcPr>
            <w:tcW w:w="2104" w:type="dxa"/>
            <w:tcBorders>
              <w:top w:val="single" w:sz="4" w:space="0" w:color="auto"/>
              <w:left w:val="nil"/>
              <w:bottom w:val="single" w:sz="4" w:space="0" w:color="auto"/>
              <w:right w:val="single" w:sz="4" w:space="0" w:color="auto"/>
            </w:tcBorders>
            <w:vAlign w:val="center"/>
          </w:tcPr>
          <w:p w14:paraId="7EEE8700" w14:textId="43142653" w:rsidR="000B1DA6" w:rsidRPr="000B1DA6" w:rsidRDefault="000B1DA6" w:rsidP="000B1DA6">
            <w:pPr>
              <w:spacing w:after="0" w:line="240" w:lineRule="auto"/>
              <w:jc w:val="center"/>
              <w:rPr>
                <w:rFonts w:ascii="Arial" w:eastAsia="Times New Roman" w:hAnsi="Arial" w:cs="Arial"/>
              </w:rPr>
            </w:pPr>
            <w:r w:rsidRPr="000B1DA6">
              <w:rPr>
                <w:rFonts w:ascii="Arial" w:hAnsi="Arial" w:cs="Arial"/>
              </w:rPr>
              <w:t>Selecting and Matching Personnel for Individual Costing Projects.</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5B6A7" w14:textId="64C544D5"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100/66/33/0</w:t>
            </w:r>
          </w:p>
        </w:tc>
        <w:tc>
          <w:tcPr>
            <w:tcW w:w="1463" w:type="dxa"/>
            <w:tcBorders>
              <w:top w:val="nil"/>
              <w:left w:val="nil"/>
              <w:bottom w:val="single" w:sz="4" w:space="0" w:color="auto"/>
              <w:right w:val="single" w:sz="4" w:space="0" w:color="auto"/>
            </w:tcBorders>
            <w:shd w:val="clear" w:color="auto" w:fill="auto"/>
            <w:vAlign w:val="center"/>
            <w:hideMark/>
          </w:tcPr>
          <w:p w14:paraId="788CF583" w14:textId="77777777"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w:t>
            </w:r>
          </w:p>
        </w:tc>
        <w:tc>
          <w:tcPr>
            <w:tcW w:w="1590" w:type="dxa"/>
            <w:tcBorders>
              <w:top w:val="nil"/>
              <w:left w:val="nil"/>
              <w:bottom w:val="single" w:sz="4" w:space="0" w:color="auto"/>
              <w:right w:val="single" w:sz="4" w:space="0" w:color="auto"/>
            </w:tcBorders>
            <w:vAlign w:val="center"/>
          </w:tcPr>
          <w:p w14:paraId="34458401" w14:textId="37CAF558" w:rsidR="000B1DA6" w:rsidRPr="000B1DA6" w:rsidRDefault="000B1DA6" w:rsidP="000B1DA6">
            <w:pPr>
              <w:spacing w:after="0" w:line="240" w:lineRule="auto"/>
              <w:jc w:val="center"/>
              <w:rPr>
                <w:rFonts w:ascii="Arial" w:eastAsia="Times New Roman" w:hAnsi="Arial" w:cs="Arial"/>
              </w:rPr>
            </w:pPr>
            <w:r>
              <w:rPr>
                <w:rFonts w:ascii="Arial" w:eastAsia="Times New Roman" w:hAnsi="Arial" w:cs="Arial"/>
              </w:rPr>
              <w:t>25</w:t>
            </w:r>
          </w:p>
        </w:tc>
      </w:tr>
      <w:tr w:rsidR="000B1DA6" w:rsidRPr="000B1DA6" w14:paraId="7E460A0F" w14:textId="77777777" w:rsidTr="00C91FC0">
        <w:trPr>
          <w:trHeight w:val="280"/>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347EA31D" w14:textId="77777777"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AQB2</w:t>
            </w:r>
          </w:p>
        </w:tc>
        <w:tc>
          <w:tcPr>
            <w:tcW w:w="2104" w:type="dxa"/>
            <w:tcBorders>
              <w:top w:val="single" w:sz="4" w:space="0" w:color="auto"/>
              <w:left w:val="nil"/>
              <w:bottom w:val="single" w:sz="4" w:space="0" w:color="auto"/>
              <w:right w:val="single" w:sz="4" w:space="0" w:color="auto"/>
            </w:tcBorders>
            <w:vAlign w:val="center"/>
          </w:tcPr>
          <w:p w14:paraId="59F42DE0" w14:textId="770F179D" w:rsidR="000B1DA6" w:rsidRPr="000B1DA6" w:rsidRDefault="000B1DA6" w:rsidP="000B1DA6">
            <w:pPr>
              <w:spacing w:after="0" w:line="240" w:lineRule="auto"/>
              <w:jc w:val="center"/>
              <w:rPr>
                <w:rFonts w:ascii="Arial" w:eastAsia="Times New Roman" w:hAnsi="Arial" w:cs="Arial"/>
              </w:rPr>
            </w:pPr>
            <w:r w:rsidRPr="000B1DA6">
              <w:rPr>
                <w:rFonts w:ascii="Arial" w:hAnsi="Arial" w:cs="Arial"/>
              </w:rPr>
              <w:t>Work Processes (Approach, Savings and Evidence).</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44CC0" w14:textId="1FBE1339"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100/66/33/0</w:t>
            </w:r>
          </w:p>
        </w:tc>
        <w:tc>
          <w:tcPr>
            <w:tcW w:w="1463" w:type="dxa"/>
            <w:tcBorders>
              <w:top w:val="nil"/>
              <w:left w:val="nil"/>
              <w:bottom w:val="single" w:sz="4" w:space="0" w:color="auto"/>
              <w:right w:val="single" w:sz="4" w:space="0" w:color="auto"/>
            </w:tcBorders>
            <w:shd w:val="clear" w:color="auto" w:fill="auto"/>
            <w:vAlign w:val="center"/>
            <w:hideMark/>
          </w:tcPr>
          <w:p w14:paraId="4C414AF3" w14:textId="77777777"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w:t>
            </w:r>
          </w:p>
        </w:tc>
        <w:tc>
          <w:tcPr>
            <w:tcW w:w="1590" w:type="dxa"/>
            <w:tcBorders>
              <w:top w:val="nil"/>
              <w:left w:val="nil"/>
              <w:bottom w:val="single" w:sz="4" w:space="0" w:color="auto"/>
              <w:right w:val="single" w:sz="4" w:space="0" w:color="auto"/>
            </w:tcBorders>
            <w:vAlign w:val="center"/>
          </w:tcPr>
          <w:p w14:paraId="35E1C00C" w14:textId="3FF0875B" w:rsidR="000B1DA6" w:rsidRPr="000B1DA6" w:rsidRDefault="000B1DA6" w:rsidP="000B1DA6">
            <w:pPr>
              <w:spacing w:after="0" w:line="240" w:lineRule="auto"/>
              <w:jc w:val="center"/>
              <w:rPr>
                <w:rFonts w:ascii="Arial" w:eastAsia="Times New Roman" w:hAnsi="Arial" w:cs="Arial"/>
              </w:rPr>
            </w:pPr>
            <w:r>
              <w:rPr>
                <w:rFonts w:ascii="Arial" w:eastAsia="Times New Roman" w:hAnsi="Arial" w:cs="Arial"/>
              </w:rPr>
              <w:t>25</w:t>
            </w:r>
          </w:p>
        </w:tc>
      </w:tr>
      <w:tr w:rsidR="000B1DA6" w:rsidRPr="000B1DA6" w14:paraId="0901C50F" w14:textId="77777777" w:rsidTr="00C91FC0">
        <w:trPr>
          <w:trHeight w:val="280"/>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5FFCD1C4" w14:textId="77777777"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AQB3</w:t>
            </w:r>
          </w:p>
        </w:tc>
        <w:tc>
          <w:tcPr>
            <w:tcW w:w="2104" w:type="dxa"/>
            <w:tcBorders>
              <w:top w:val="single" w:sz="4" w:space="0" w:color="auto"/>
              <w:left w:val="nil"/>
              <w:bottom w:val="single" w:sz="4" w:space="0" w:color="auto"/>
              <w:right w:val="single" w:sz="4" w:space="0" w:color="auto"/>
            </w:tcBorders>
            <w:vAlign w:val="center"/>
          </w:tcPr>
          <w:p w14:paraId="56F26D18" w14:textId="1909DD98" w:rsidR="000B1DA6" w:rsidRPr="000B1DA6" w:rsidRDefault="000B1DA6" w:rsidP="000B1DA6">
            <w:pPr>
              <w:spacing w:after="0" w:line="240" w:lineRule="auto"/>
              <w:jc w:val="center"/>
              <w:rPr>
                <w:rFonts w:ascii="Arial" w:eastAsia="Times New Roman" w:hAnsi="Arial" w:cs="Arial"/>
              </w:rPr>
            </w:pPr>
            <w:r w:rsidRPr="000B1DA6">
              <w:rPr>
                <w:rFonts w:ascii="Arial" w:hAnsi="Arial" w:cs="Arial"/>
              </w:rPr>
              <w:t>Skills and Knowledge Transfer.</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830D6" w14:textId="0790BEBF"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100/66/33/0</w:t>
            </w:r>
          </w:p>
        </w:tc>
        <w:tc>
          <w:tcPr>
            <w:tcW w:w="1463" w:type="dxa"/>
            <w:tcBorders>
              <w:top w:val="nil"/>
              <w:left w:val="nil"/>
              <w:bottom w:val="single" w:sz="4" w:space="0" w:color="auto"/>
              <w:right w:val="single" w:sz="4" w:space="0" w:color="auto"/>
            </w:tcBorders>
            <w:shd w:val="clear" w:color="auto" w:fill="auto"/>
            <w:vAlign w:val="center"/>
            <w:hideMark/>
          </w:tcPr>
          <w:p w14:paraId="3246330C" w14:textId="77777777"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w:t>
            </w:r>
          </w:p>
        </w:tc>
        <w:tc>
          <w:tcPr>
            <w:tcW w:w="1590" w:type="dxa"/>
            <w:tcBorders>
              <w:top w:val="nil"/>
              <w:left w:val="nil"/>
              <w:bottom w:val="single" w:sz="4" w:space="0" w:color="auto"/>
              <w:right w:val="single" w:sz="4" w:space="0" w:color="auto"/>
            </w:tcBorders>
            <w:vAlign w:val="center"/>
          </w:tcPr>
          <w:p w14:paraId="5280E16D" w14:textId="62D82151" w:rsidR="000B1DA6" w:rsidRPr="000B1DA6" w:rsidRDefault="000B1DA6" w:rsidP="000B1DA6">
            <w:pPr>
              <w:spacing w:after="0" w:line="240" w:lineRule="auto"/>
              <w:jc w:val="center"/>
              <w:rPr>
                <w:rFonts w:ascii="Arial" w:eastAsia="Times New Roman" w:hAnsi="Arial" w:cs="Arial"/>
              </w:rPr>
            </w:pPr>
            <w:r>
              <w:rPr>
                <w:rFonts w:ascii="Arial" w:eastAsia="Times New Roman" w:hAnsi="Arial" w:cs="Arial"/>
              </w:rPr>
              <w:t>25</w:t>
            </w:r>
          </w:p>
        </w:tc>
      </w:tr>
      <w:tr w:rsidR="000B1DA6" w:rsidRPr="000B1DA6" w14:paraId="2E7DB9DE" w14:textId="77777777" w:rsidTr="00C91FC0">
        <w:trPr>
          <w:trHeight w:val="280"/>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C81DB01" w14:textId="4CDB6785"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AQB4</w:t>
            </w:r>
          </w:p>
        </w:tc>
        <w:tc>
          <w:tcPr>
            <w:tcW w:w="2104" w:type="dxa"/>
            <w:tcBorders>
              <w:top w:val="single" w:sz="4" w:space="0" w:color="auto"/>
              <w:left w:val="nil"/>
              <w:bottom w:val="single" w:sz="4" w:space="0" w:color="auto"/>
              <w:right w:val="single" w:sz="4" w:space="0" w:color="auto"/>
            </w:tcBorders>
            <w:vAlign w:val="center"/>
          </w:tcPr>
          <w:p w14:paraId="71DE29DF" w14:textId="2A86D7ED" w:rsidR="000B1DA6" w:rsidRPr="000B1DA6" w:rsidRDefault="000B1DA6" w:rsidP="000B1DA6">
            <w:pPr>
              <w:spacing w:after="0" w:line="240" w:lineRule="auto"/>
              <w:jc w:val="center"/>
              <w:rPr>
                <w:rFonts w:ascii="Arial" w:eastAsia="Times New Roman" w:hAnsi="Arial" w:cs="Arial"/>
              </w:rPr>
            </w:pPr>
            <w:r w:rsidRPr="000B1DA6">
              <w:rPr>
                <w:rFonts w:ascii="Arial" w:hAnsi="Arial" w:cs="Arial"/>
              </w:rPr>
              <w:t>Risk Management and Continuous Improvement.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CBBAC33" w14:textId="2D50050A"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100/66/33/0</w:t>
            </w:r>
          </w:p>
        </w:tc>
        <w:tc>
          <w:tcPr>
            <w:tcW w:w="1463" w:type="dxa"/>
            <w:tcBorders>
              <w:top w:val="single" w:sz="4" w:space="0" w:color="auto"/>
              <w:left w:val="nil"/>
              <w:bottom w:val="single" w:sz="4" w:space="0" w:color="auto"/>
              <w:right w:val="single" w:sz="4" w:space="0" w:color="auto"/>
            </w:tcBorders>
            <w:shd w:val="clear" w:color="auto" w:fill="auto"/>
            <w:vAlign w:val="center"/>
          </w:tcPr>
          <w:p w14:paraId="56C9FDAA" w14:textId="1EA7A7F8" w:rsidR="000B1DA6" w:rsidRPr="000B1DA6" w:rsidRDefault="000B1DA6" w:rsidP="000B1DA6">
            <w:pPr>
              <w:spacing w:after="0" w:line="240" w:lineRule="auto"/>
              <w:jc w:val="center"/>
              <w:rPr>
                <w:rFonts w:ascii="Arial" w:eastAsia="Times New Roman" w:hAnsi="Arial" w:cs="Arial"/>
              </w:rPr>
            </w:pPr>
            <w:r w:rsidRPr="000B1DA6">
              <w:rPr>
                <w:rFonts w:ascii="Arial" w:eastAsia="Times New Roman" w:hAnsi="Arial" w:cs="Arial"/>
              </w:rPr>
              <w:t>100</w:t>
            </w:r>
          </w:p>
        </w:tc>
        <w:tc>
          <w:tcPr>
            <w:tcW w:w="1590" w:type="dxa"/>
            <w:tcBorders>
              <w:top w:val="single" w:sz="4" w:space="0" w:color="auto"/>
              <w:left w:val="nil"/>
              <w:bottom w:val="single" w:sz="4" w:space="0" w:color="auto"/>
              <w:right w:val="single" w:sz="4" w:space="0" w:color="auto"/>
            </w:tcBorders>
            <w:vAlign w:val="center"/>
          </w:tcPr>
          <w:p w14:paraId="1E153422" w14:textId="78512020" w:rsidR="000B1DA6" w:rsidRPr="000B1DA6" w:rsidRDefault="000B1DA6" w:rsidP="000B1DA6">
            <w:pPr>
              <w:spacing w:after="0" w:line="240" w:lineRule="auto"/>
              <w:jc w:val="center"/>
              <w:rPr>
                <w:rFonts w:ascii="Arial" w:eastAsia="Times New Roman" w:hAnsi="Arial" w:cs="Arial"/>
              </w:rPr>
            </w:pPr>
            <w:r>
              <w:rPr>
                <w:rFonts w:ascii="Arial" w:eastAsia="Times New Roman" w:hAnsi="Arial" w:cs="Arial"/>
              </w:rPr>
              <w:t>25</w:t>
            </w:r>
          </w:p>
        </w:tc>
      </w:tr>
      <w:tr w:rsidR="00083300" w:rsidRPr="000B1DA6" w14:paraId="7F6792DA" w14:textId="77777777" w:rsidTr="00C91FC0">
        <w:trPr>
          <w:trHeight w:val="280"/>
        </w:trPr>
        <w:tc>
          <w:tcPr>
            <w:tcW w:w="903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1B207" w14:textId="72F936A9" w:rsidR="00083300" w:rsidRPr="000B1DA6" w:rsidRDefault="00083300" w:rsidP="00083300">
            <w:pPr>
              <w:spacing w:before="120" w:after="120"/>
              <w:jc w:val="center"/>
              <w:rPr>
                <w:rFonts w:ascii="Arial" w:eastAsia="Times New Roman" w:hAnsi="Arial" w:cs="Arial"/>
              </w:rPr>
            </w:pPr>
            <w:r w:rsidRPr="000B1DA6">
              <w:rPr>
                <w:rFonts w:ascii="Arial" w:eastAsia="Times New Roman" w:hAnsi="Arial" w:cs="Arial"/>
              </w:rPr>
              <w:t>SECTION C –  Information Only</w:t>
            </w:r>
          </w:p>
        </w:tc>
      </w:tr>
      <w:tr w:rsidR="00083300" w:rsidRPr="00A7361D" w14:paraId="60007706" w14:textId="77777777" w:rsidTr="00C91FC0">
        <w:trPr>
          <w:trHeight w:val="280"/>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E2FEF1A" w14:textId="6D4B8B47"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AQC1</w:t>
            </w:r>
          </w:p>
        </w:tc>
        <w:tc>
          <w:tcPr>
            <w:tcW w:w="2104" w:type="dxa"/>
            <w:tcBorders>
              <w:top w:val="single" w:sz="4" w:space="0" w:color="auto"/>
              <w:left w:val="nil"/>
              <w:bottom w:val="single" w:sz="4" w:space="0" w:color="auto"/>
              <w:right w:val="single" w:sz="4" w:space="0" w:color="auto"/>
            </w:tcBorders>
          </w:tcPr>
          <w:p w14:paraId="04F4A330" w14:textId="7186CB37" w:rsidR="00083300" w:rsidRPr="000B1DA6" w:rsidRDefault="000B1DA6" w:rsidP="000B1DA6">
            <w:pPr>
              <w:spacing w:after="0" w:line="240" w:lineRule="auto"/>
              <w:jc w:val="center"/>
              <w:rPr>
                <w:rFonts w:ascii="Arial" w:eastAsia="Times New Roman" w:hAnsi="Arial" w:cs="Arial"/>
              </w:rPr>
            </w:pPr>
            <w:r>
              <w:rPr>
                <w:rFonts w:ascii="Arial" w:eastAsia="Times New Roman" w:hAnsi="Arial" w:cs="Arial"/>
              </w:rPr>
              <w:t>CV’s</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FF48398" w14:textId="3410D629"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Information Only</w:t>
            </w:r>
          </w:p>
        </w:tc>
        <w:tc>
          <w:tcPr>
            <w:tcW w:w="1463" w:type="dxa"/>
            <w:tcBorders>
              <w:top w:val="single" w:sz="4" w:space="0" w:color="auto"/>
              <w:left w:val="nil"/>
              <w:bottom w:val="single" w:sz="4" w:space="0" w:color="auto"/>
              <w:right w:val="single" w:sz="4" w:space="0" w:color="auto"/>
            </w:tcBorders>
            <w:shd w:val="clear" w:color="auto" w:fill="auto"/>
            <w:vAlign w:val="center"/>
          </w:tcPr>
          <w:p w14:paraId="6269658A" w14:textId="3C38AD02"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AQC1</w:t>
            </w:r>
          </w:p>
        </w:tc>
        <w:tc>
          <w:tcPr>
            <w:tcW w:w="1590" w:type="dxa"/>
            <w:tcBorders>
              <w:top w:val="single" w:sz="4" w:space="0" w:color="auto"/>
              <w:left w:val="nil"/>
              <w:bottom w:val="single" w:sz="4" w:space="0" w:color="auto"/>
              <w:right w:val="single" w:sz="4" w:space="0" w:color="auto"/>
            </w:tcBorders>
            <w:vAlign w:val="center"/>
          </w:tcPr>
          <w:p w14:paraId="00693AC6" w14:textId="0715F529" w:rsidR="00083300" w:rsidRPr="000B1DA6" w:rsidRDefault="00083300" w:rsidP="000B1DA6">
            <w:pPr>
              <w:spacing w:after="0" w:line="240" w:lineRule="auto"/>
              <w:jc w:val="center"/>
              <w:rPr>
                <w:rFonts w:ascii="Arial" w:eastAsia="Times New Roman" w:hAnsi="Arial" w:cs="Arial"/>
              </w:rPr>
            </w:pPr>
            <w:r w:rsidRPr="000B1DA6">
              <w:rPr>
                <w:rFonts w:ascii="Arial" w:eastAsia="Times New Roman" w:hAnsi="Arial" w:cs="Arial"/>
              </w:rPr>
              <w:t>N/A</w:t>
            </w:r>
          </w:p>
        </w:tc>
      </w:tr>
    </w:tbl>
    <w:p w14:paraId="6BAAEE80" w14:textId="77777777" w:rsidR="00191EBC" w:rsidRPr="00EE368D" w:rsidRDefault="00191EBC">
      <w:pPr>
        <w:rPr>
          <w:highlight w:val="yellow"/>
        </w:rPr>
      </w:pPr>
      <w:r w:rsidRPr="00EE368D">
        <w:rPr>
          <w:highlight w:val="yellow"/>
        </w:rPr>
        <w:br w:type="page"/>
      </w:r>
    </w:p>
    <w:p w14:paraId="142838B2" w14:textId="33176B90" w:rsidR="00404131" w:rsidRDefault="00404131">
      <w:pPr>
        <w:rPr>
          <w:rFonts w:cs="Arial"/>
          <w:b/>
        </w:rPr>
      </w:pPr>
    </w:p>
    <w:p w14:paraId="50589110" w14:textId="77777777" w:rsidR="00A93A1E" w:rsidRPr="00B85692" w:rsidRDefault="00A200C1" w:rsidP="008C4A21">
      <w:pPr>
        <w:pStyle w:val="Style8"/>
      </w:pPr>
      <w:r w:rsidRPr="008C4A21">
        <w:rPr>
          <w:b/>
        </w:rPr>
        <w:t>Price Evaluation Process</w:t>
      </w:r>
    </w:p>
    <w:p w14:paraId="70C1E827" w14:textId="77777777" w:rsidR="00A93A1E" w:rsidRPr="000C0BBE" w:rsidRDefault="009F5FF7" w:rsidP="00CF7BEF">
      <w:pPr>
        <w:pStyle w:val="Style9"/>
        <w:ind w:left="2211" w:hanging="964"/>
      </w:pPr>
      <w:r w:rsidRPr="00B85692">
        <w:t xml:space="preserve">The </w:t>
      </w:r>
      <w:r w:rsidR="00806E38" w:rsidRPr="00B85692">
        <w:t xml:space="preserve">Price </w:t>
      </w:r>
      <w:r w:rsidR="00806E38" w:rsidRPr="000C0BBE">
        <w:t>Evaluation is weighted at 30%</w:t>
      </w:r>
      <w:r w:rsidRPr="000C0BBE">
        <w:t>.</w:t>
      </w:r>
    </w:p>
    <w:p w14:paraId="7A327A06" w14:textId="1E453D9E" w:rsidR="002D50EC" w:rsidRDefault="00806E38" w:rsidP="00CF7BEF">
      <w:pPr>
        <w:pStyle w:val="Style9"/>
        <w:ind w:left="2211" w:hanging="964"/>
      </w:pPr>
      <w:r w:rsidRPr="000C0BBE">
        <w:t>The instructions in this s</w:t>
      </w:r>
      <w:r w:rsidR="00E96E26" w:rsidRPr="000C0BBE">
        <w:t>ection 11</w:t>
      </w:r>
      <w:r w:rsidR="005A6F5B">
        <w:t>.6</w:t>
      </w:r>
      <w:r w:rsidR="00E96E26" w:rsidRPr="000C0BBE">
        <w:t xml:space="preserve"> refer to </w:t>
      </w:r>
      <w:r w:rsidR="005A6F5B">
        <w:t xml:space="preserve">Attachment </w:t>
      </w:r>
      <w:r w:rsidR="000C0BBE" w:rsidRPr="000C0BBE">
        <w:t>9</w:t>
      </w:r>
      <w:r w:rsidRPr="000C0BBE">
        <w:t xml:space="preserve"> – Pri</w:t>
      </w:r>
      <w:r w:rsidR="00E96E26" w:rsidRPr="000C0BBE">
        <w:t>cing</w:t>
      </w:r>
      <w:r w:rsidR="00E96E26">
        <w:t xml:space="preserve"> Matrix</w:t>
      </w:r>
      <w:r w:rsidR="002D50EC">
        <w:t>.</w:t>
      </w:r>
    </w:p>
    <w:p w14:paraId="020E13DA" w14:textId="44333ABA" w:rsidR="000C0BBE" w:rsidRPr="000C0BBE" w:rsidRDefault="000C0BBE" w:rsidP="000C0BBE">
      <w:pPr>
        <w:pStyle w:val="Style9"/>
        <w:ind w:left="2211" w:hanging="964"/>
      </w:pPr>
      <w:r>
        <w:t>Following the conclusion of the Quality Evaluation, the Potential Providers who have not been previously excluded and submitted a correctly completed Attachment 9 – Pricing Matrix and uploaded it into the e-Sourcing Suite at PQ</w:t>
      </w:r>
      <w:r w:rsidRPr="00CE5639">
        <w:t>1</w:t>
      </w:r>
      <w:r>
        <w:t xml:space="preserve"> in the Pricing Questionnaire will be evaluated in accordance with the proc</w:t>
      </w:r>
      <w:r w:rsidR="005A6F5B">
        <w:t>ess set out in this paragraph 11.6</w:t>
      </w:r>
      <w:r>
        <w:t>.</w:t>
      </w:r>
    </w:p>
    <w:p w14:paraId="372305D6" w14:textId="1C27BD27" w:rsidR="00A93A1E" w:rsidRDefault="00E0407C" w:rsidP="00E0407C">
      <w:pPr>
        <w:ind w:left="720"/>
        <w:rPr>
          <w:rFonts w:ascii="Arial" w:hAnsi="Arial" w:cs="Arial"/>
          <w:b/>
        </w:rPr>
      </w:pPr>
      <w:r>
        <w:rPr>
          <w:rFonts w:ascii="Arial" w:hAnsi="Arial" w:cs="Arial"/>
        </w:rPr>
        <w:t xml:space="preserve">    </w:t>
      </w:r>
      <w:r w:rsidR="009F5FF7" w:rsidRPr="008C4A21">
        <w:rPr>
          <w:rFonts w:ascii="Arial" w:hAnsi="Arial" w:cs="Arial"/>
          <w:b/>
        </w:rPr>
        <w:t>General</w:t>
      </w:r>
    </w:p>
    <w:p w14:paraId="15056A08" w14:textId="4C973748" w:rsidR="003C612B" w:rsidRDefault="003C612B" w:rsidP="003C612B">
      <w:pPr>
        <w:pStyle w:val="Style9"/>
        <w:ind w:left="2211" w:hanging="964"/>
      </w:pPr>
      <w:r>
        <w:t>Potential Providers must download the Pricing Matrix</w:t>
      </w:r>
      <w:r w:rsidR="005A6F5B">
        <w:t>.</w:t>
      </w:r>
    </w:p>
    <w:p w14:paraId="0BC17247" w14:textId="4562B73E" w:rsidR="003C612B" w:rsidRDefault="003C612B" w:rsidP="003C612B">
      <w:pPr>
        <w:pStyle w:val="Style9"/>
        <w:ind w:left="2211" w:hanging="964"/>
      </w:pPr>
      <w:r>
        <w:t xml:space="preserve">You must complete </w:t>
      </w:r>
      <w:r w:rsidRPr="009F5FF7">
        <w:t xml:space="preserve">the </w:t>
      </w:r>
      <w:r>
        <w:t>Pricing Matrix</w:t>
      </w:r>
      <w:r w:rsidR="004F0D25">
        <w:t xml:space="preserve"> in accordance with the instructions set out in Attachment 9 – Pricing Matrix</w:t>
      </w:r>
      <w:r w:rsidR="005A6F5B">
        <w:t>.</w:t>
      </w:r>
    </w:p>
    <w:p w14:paraId="1749B835" w14:textId="2C1B1DCC" w:rsidR="003C612B" w:rsidRDefault="003C612B" w:rsidP="003C612B">
      <w:pPr>
        <w:pStyle w:val="Style9"/>
        <w:ind w:left="2211" w:hanging="964"/>
      </w:pPr>
      <w:r>
        <w:t>You must uploaded the completed Pricing Matrix into the e-Sourcing Suite:</w:t>
      </w:r>
    </w:p>
    <w:p w14:paraId="6DB35D0B" w14:textId="4F62ABBA" w:rsidR="003C612B" w:rsidRPr="003C612B" w:rsidRDefault="003C612B" w:rsidP="003C612B">
      <w:pPr>
        <w:pStyle w:val="Style10"/>
      </w:pPr>
      <w:r w:rsidRPr="003C612B">
        <w:t>Atta</w:t>
      </w:r>
      <w:r>
        <w:t xml:space="preserve">chment 9 - Pricing Matrix </w:t>
      </w:r>
      <w:r w:rsidRPr="003C612B">
        <w:t>to question PQ1. You must re-name the file to include your organisation's trading name as a suffix to the original file name provided i.e. [</w:t>
      </w:r>
      <w:proofErr w:type="spellStart"/>
      <w:r w:rsidRPr="003C612B">
        <w:t>yourorgan</w:t>
      </w:r>
      <w:r>
        <w:t>isationname_Pricing</w:t>
      </w:r>
      <w:proofErr w:type="spellEnd"/>
      <w:r>
        <w:t xml:space="preserve"> Matrix</w:t>
      </w:r>
      <w:r w:rsidRPr="003C612B">
        <w:t xml:space="preserve">]    </w:t>
      </w:r>
    </w:p>
    <w:p w14:paraId="3A944026" w14:textId="2E29C175" w:rsidR="00E14CD7" w:rsidRPr="00B85692" w:rsidRDefault="00E14CD7" w:rsidP="00CF7BEF">
      <w:pPr>
        <w:pStyle w:val="Style9"/>
        <w:ind w:left="2211" w:hanging="964"/>
      </w:pPr>
      <w:r>
        <w:t>You must ensure</w:t>
      </w:r>
      <w:r w:rsidR="000703D3">
        <w:t xml:space="preserve"> you read the Instructions found within the Pricing Matrix</w:t>
      </w:r>
      <w:r>
        <w:t xml:space="preserve">. </w:t>
      </w:r>
    </w:p>
    <w:p w14:paraId="23289792" w14:textId="1A730E2D" w:rsidR="00A93A1E" w:rsidRPr="003C612B" w:rsidRDefault="00DC72DD" w:rsidP="00CF7BEF">
      <w:pPr>
        <w:pStyle w:val="Style9"/>
        <w:ind w:left="2211" w:hanging="964"/>
      </w:pPr>
      <w:r>
        <w:t>Y</w:t>
      </w:r>
      <w:r w:rsidR="00157DBA" w:rsidRPr="00B85692">
        <w:t xml:space="preserve">ou must insert prices into </w:t>
      </w:r>
      <w:r w:rsidR="00157DBA" w:rsidRPr="003C612B">
        <w:t xml:space="preserve">cells which are highlighted </w:t>
      </w:r>
      <w:r w:rsidR="00E90543" w:rsidRPr="003C612B">
        <w:t xml:space="preserve">blue </w:t>
      </w:r>
      <w:r w:rsidR="00157DBA" w:rsidRPr="003C612B">
        <w:t xml:space="preserve">in accordance with the instruction provided within </w:t>
      </w:r>
      <w:r w:rsidR="003C612B" w:rsidRPr="003C612B">
        <w:t>Attachment 9</w:t>
      </w:r>
      <w:r w:rsidR="006957B4" w:rsidRPr="003C612B">
        <w:t xml:space="preserve"> </w:t>
      </w:r>
      <w:r w:rsidR="000703D3" w:rsidRPr="003C612B">
        <w:t>–</w:t>
      </w:r>
      <w:r w:rsidR="00BD70E4" w:rsidRPr="003C612B">
        <w:t xml:space="preserve"> </w:t>
      </w:r>
      <w:r w:rsidR="005A6F5B">
        <w:t>Pricing Matrix</w:t>
      </w:r>
      <w:r w:rsidR="000703D3" w:rsidRPr="003C612B">
        <w:t>.</w:t>
      </w:r>
    </w:p>
    <w:p w14:paraId="674B8B03" w14:textId="7C752BD7" w:rsidR="00E80120" w:rsidRPr="003C612B" w:rsidRDefault="00157DBA" w:rsidP="00CF7BEF">
      <w:pPr>
        <w:pStyle w:val="Style9"/>
        <w:ind w:left="2211" w:hanging="964"/>
      </w:pPr>
      <w:r w:rsidRPr="003C612B">
        <w:t xml:space="preserve">Prices submitted in the </w:t>
      </w:r>
      <w:r w:rsidR="00CF3112" w:rsidRPr="003C612B">
        <w:t xml:space="preserve">boxes </w:t>
      </w:r>
      <w:r w:rsidRPr="003C612B">
        <w:t xml:space="preserve">highlighted </w:t>
      </w:r>
      <w:r w:rsidR="00E90543" w:rsidRPr="003C612B">
        <w:t>blue</w:t>
      </w:r>
      <w:r w:rsidR="00ED6A91" w:rsidRPr="003C612B">
        <w:t xml:space="preserve"> will be used for the Pricing E</w:t>
      </w:r>
      <w:r w:rsidRPr="003C612B">
        <w:t>valuation and as such failure to insert an appli</w:t>
      </w:r>
      <w:r w:rsidR="00ED6A91" w:rsidRPr="003C612B">
        <w:t>cable price may result in your T</w:t>
      </w:r>
      <w:r w:rsidRPr="003C612B">
        <w:t xml:space="preserve">ender being deemed non-compliant and may </w:t>
      </w:r>
      <w:r w:rsidR="00366A94">
        <w:t xml:space="preserve">be </w:t>
      </w:r>
      <w:r w:rsidRPr="003C612B">
        <w:t>excluded from further par</w:t>
      </w:r>
      <w:r w:rsidR="00A371B5" w:rsidRPr="003C612B">
        <w:t>ti</w:t>
      </w:r>
      <w:r w:rsidRPr="003C612B">
        <w:t xml:space="preserve">cipation in this </w:t>
      </w:r>
      <w:r w:rsidR="00ED6A91" w:rsidRPr="003C612B">
        <w:t>P</w:t>
      </w:r>
      <w:r w:rsidRPr="003C612B">
        <w:t>rocurement.</w:t>
      </w:r>
    </w:p>
    <w:p w14:paraId="5820DD29" w14:textId="773418E1" w:rsidR="00A93A1E" w:rsidRDefault="00157DBA" w:rsidP="00CF7BEF">
      <w:pPr>
        <w:pStyle w:val="Style9"/>
        <w:ind w:left="2211" w:hanging="964"/>
      </w:pPr>
      <w:r w:rsidRPr="003C612B">
        <w:t xml:space="preserve">Information input into </w:t>
      </w:r>
      <w:r w:rsidR="00CF3112" w:rsidRPr="003C612B">
        <w:t>boxes</w:t>
      </w:r>
      <w:r w:rsidRPr="003C612B">
        <w:t xml:space="preserve"> highlighted </w:t>
      </w:r>
      <w:r w:rsidR="00995B18" w:rsidRPr="003C612B">
        <w:t>gre</w:t>
      </w:r>
      <w:r w:rsidR="003C612B" w:rsidRPr="003C612B">
        <w:t>en</w:t>
      </w:r>
      <w:r w:rsidRPr="003C612B">
        <w:t xml:space="preserve"> will not be evaluat</w:t>
      </w:r>
      <w:r w:rsidR="00ED6A91" w:rsidRPr="003C612B">
        <w:t>ed or form part of the Pricing E</w:t>
      </w:r>
      <w:r w:rsidRPr="003C612B">
        <w:t>valuation</w:t>
      </w:r>
      <w:r w:rsidR="00F06CEF" w:rsidRPr="003C612B">
        <w:t>. In the event you are successful</w:t>
      </w:r>
      <w:r w:rsidRPr="003C612B">
        <w:t xml:space="preserve">, </w:t>
      </w:r>
      <w:r w:rsidR="00ED6A91" w:rsidRPr="003C612B">
        <w:t>in this P</w:t>
      </w:r>
      <w:r w:rsidR="00F06CEF" w:rsidRPr="003C612B">
        <w:t xml:space="preserve">rocurement </w:t>
      </w:r>
      <w:r w:rsidR="00156185" w:rsidRPr="003C612B">
        <w:t>the information provided will be incorporated into Framework Agreement Schedule 3 (</w:t>
      </w:r>
      <w:r w:rsidR="00366A94">
        <w:t xml:space="preserve">Framework Prices </w:t>
      </w:r>
      <w:r w:rsidR="00366A94" w:rsidRPr="00366A94">
        <w:t xml:space="preserve">and </w:t>
      </w:r>
      <w:r w:rsidR="00156185" w:rsidRPr="00366A94">
        <w:t>Charging Structure</w:t>
      </w:r>
      <w:r w:rsidR="00156185" w:rsidRPr="003C612B">
        <w:t>)</w:t>
      </w:r>
      <w:r w:rsidRPr="003C612B">
        <w:t>.</w:t>
      </w:r>
      <w:r w:rsidR="00722054" w:rsidRPr="003C612B">
        <w:t xml:space="preserve"> Failure to provide</w:t>
      </w:r>
      <w:r w:rsidR="00366A94">
        <w:t xml:space="preserve"> Price</w:t>
      </w:r>
      <w:r w:rsidR="00722054" w:rsidRPr="003C612B">
        <w:t xml:space="preserve"> </w:t>
      </w:r>
      <w:r w:rsidR="00366A94">
        <w:t>i</w:t>
      </w:r>
      <w:r w:rsidR="00722054" w:rsidRPr="003C612B">
        <w:t>nformation</w:t>
      </w:r>
      <w:r w:rsidR="00366A94">
        <w:t xml:space="preserve"> into the cells highlight green </w:t>
      </w:r>
      <w:r w:rsidR="00722054" w:rsidRPr="003C612B">
        <w:t>may result in your Tender being deemed non-compliant</w:t>
      </w:r>
      <w:r w:rsidR="00366A94">
        <w:t xml:space="preserve"> </w:t>
      </w:r>
      <w:r w:rsidR="00366A94" w:rsidRPr="003C612B">
        <w:t xml:space="preserve">and may </w:t>
      </w:r>
      <w:r w:rsidR="00366A94">
        <w:t xml:space="preserve">be </w:t>
      </w:r>
      <w:r w:rsidR="00366A94" w:rsidRPr="003C612B">
        <w:t>excluded from further participation in this Procurement.</w:t>
      </w:r>
    </w:p>
    <w:p w14:paraId="7FD15D62" w14:textId="11B539D3" w:rsidR="00A93A1E" w:rsidRPr="00B85692" w:rsidRDefault="009F5FF7" w:rsidP="00CF7BEF">
      <w:pPr>
        <w:pStyle w:val="Style9"/>
        <w:ind w:left="2211" w:hanging="964"/>
      </w:pPr>
      <w:r w:rsidRPr="003C612B">
        <w:t>Y</w:t>
      </w:r>
      <w:r w:rsidR="00F06CEF" w:rsidRPr="003C612B">
        <w:t>ou</w:t>
      </w:r>
      <w:r w:rsidRPr="003C612B">
        <w:t xml:space="preserve"> </w:t>
      </w:r>
      <w:r w:rsidR="00F06CEF" w:rsidRPr="003C612B">
        <w:t>mu</w:t>
      </w:r>
      <w:r w:rsidRPr="003C612B">
        <w:t>s</w:t>
      </w:r>
      <w:r w:rsidR="00F06CEF" w:rsidRPr="003C612B">
        <w:t>t</w:t>
      </w:r>
      <w:r w:rsidRPr="003C612B">
        <w:t xml:space="preserve"> </w:t>
      </w:r>
      <w:r w:rsidR="00F06CEF" w:rsidRPr="003C612B">
        <w:t>n</w:t>
      </w:r>
      <w:r w:rsidRPr="003C612B">
        <w:t>o</w:t>
      </w:r>
      <w:r w:rsidR="00F06CEF" w:rsidRPr="003C612B">
        <w:t>t</w:t>
      </w:r>
      <w:r w:rsidRPr="003C612B">
        <w:t xml:space="preserve"> </w:t>
      </w:r>
      <w:r w:rsidR="00F06CEF" w:rsidRPr="003C612B">
        <w:t>a</w:t>
      </w:r>
      <w:r w:rsidRPr="003C612B">
        <w:t>l</w:t>
      </w:r>
      <w:r w:rsidR="00F06CEF" w:rsidRPr="003C612B">
        <w:t>te</w:t>
      </w:r>
      <w:r w:rsidRPr="003C612B">
        <w:t>r</w:t>
      </w:r>
      <w:r w:rsidR="00F06CEF" w:rsidRPr="003C612B">
        <w:t>,</w:t>
      </w:r>
      <w:r w:rsidRPr="003C612B">
        <w:t xml:space="preserve"> a</w:t>
      </w:r>
      <w:r w:rsidR="00F06CEF" w:rsidRPr="003C612B">
        <w:t>m</w:t>
      </w:r>
      <w:r w:rsidRPr="003C612B">
        <w:t>e</w:t>
      </w:r>
      <w:r w:rsidR="00F06CEF" w:rsidRPr="003C612B">
        <w:t>nd</w:t>
      </w:r>
      <w:r w:rsidRPr="003C612B">
        <w:t xml:space="preserve"> </w:t>
      </w:r>
      <w:r w:rsidR="00F06CEF" w:rsidRPr="003C612B">
        <w:t>or</w:t>
      </w:r>
      <w:r w:rsidRPr="003C612B">
        <w:t xml:space="preserve"> </w:t>
      </w:r>
      <w:r w:rsidR="00F06CEF" w:rsidRPr="003C612B">
        <w:t>ch</w:t>
      </w:r>
      <w:r w:rsidRPr="003C612B">
        <w:t>ang</w:t>
      </w:r>
      <w:r w:rsidR="00F06CEF" w:rsidRPr="003C612B">
        <w:t>e the</w:t>
      </w:r>
      <w:r w:rsidRPr="003C612B">
        <w:t xml:space="preserve"> fo</w:t>
      </w:r>
      <w:r w:rsidR="00F06CEF" w:rsidRPr="003C612B">
        <w:t>rm</w:t>
      </w:r>
      <w:r w:rsidRPr="003C612B">
        <w:t>a</w:t>
      </w:r>
      <w:r w:rsidR="00F06CEF" w:rsidRPr="003C612B">
        <w:t>t</w:t>
      </w:r>
      <w:r w:rsidRPr="003C612B">
        <w:t xml:space="preserve"> </w:t>
      </w:r>
      <w:r w:rsidR="00F06CEF" w:rsidRPr="003C612B">
        <w:t>or</w:t>
      </w:r>
      <w:r w:rsidRPr="003C612B">
        <w:t xml:space="preserve"> l</w:t>
      </w:r>
      <w:r w:rsidR="00F06CEF" w:rsidRPr="003C612B">
        <w:t>a</w:t>
      </w:r>
      <w:r w:rsidRPr="003C612B">
        <w:t>y</w:t>
      </w:r>
      <w:r w:rsidR="00F06CEF" w:rsidRPr="003C612B">
        <w:t>o</w:t>
      </w:r>
      <w:r w:rsidRPr="003C612B">
        <w:t>u</w:t>
      </w:r>
      <w:r w:rsidR="00F06CEF" w:rsidRPr="003C612B">
        <w:t>t</w:t>
      </w:r>
      <w:r w:rsidRPr="003C612B">
        <w:t xml:space="preserve"> o</w:t>
      </w:r>
      <w:r w:rsidR="00F06CEF" w:rsidRPr="003C612B">
        <w:t>f</w:t>
      </w:r>
      <w:r w:rsidR="00A371B5" w:rsidRPr="003C612B">
        <w:t xml:space="preserve"> </w:t>
      </w:r>
      <w:r w:rsidRPr="003C612B">
        <w:t>A</w:t>
      </w:r>
      <w:r w:rsidR="00F06CEF" w:rsidRPr="003C612B">
        <w:t>ttac</w:t>
      </w:r>
      <w:r w:rsidRPr="003C612B">
        <w:t>hm</w:t>
      </w:r>
      <w:r w:rsidR="00F06CEF" w:rsidRPr="003C612B">
        <w:t>e</w:t>
      </w:r>
      <w:r w:rsidRPr="003C612B">
        <w:t>n</w:t>
      </w:r>
      <w:r w:rsidR="003C612B" w:rsidRPr="003C612B">
        <w:t>t 9</w:t>
      </w:r>
      <w:r w:rsidR="004F0D25">
        <w:t xml:space="preserve"> – Pricing Matrix</w:t>
      </w:r>
      <w:r w:rsidR="00F06CEF" w:rsidRPr="003C612B">
        <w:t>.</w:t>
      </w:r>
      <w:r w:rsidRPr="003C612B">
        <w:t xml:space="preserve"> Y</w:t>
      </w:r>
      <w:r w:rsidR="00F06CEF" w:rsidRPr="003C612B">
        <w:t>ou</w:t>
      </w:r>
      <w:r w:rsidRPr="003C612B">
        <w:t xml:space="preserve"> </w:t>
      </w:r>
      <w:r w:rsidR="00F06CEF" w:rsidRPr="003C612B">
        <w:t>mu</w:t>
      </w:r>
      <w:r w:rsidRPr="003C612B">
        <w:t>s</w:t>
      </w:r>
      <w:r w:rsidR="00F06CEF" w:rsidRPr="003C612B">
        <w:t>t</w:t>
      </w:r>
      <w:r w:rsidRPr="003C612B">
        <w:t xml:space="preserve"> </w:t>
      </w:r>
      <w:r w:rsidR="00F06CEF" w:rsidRPr="003C612B">
        <w:t>n</w:t>
      </w:r>
      <w:r w:rsidRPr="003C612B">
        <w:t>o</w:t>
      </w:r>
      <w:r w:rsidR="00F06CEF" w:rsidRPr="003C612B">
        <w:t>t</w:t>
      </w:r>
      <w:r w:rsidRPr="003C612B">
        <w:t xml:space="preserve"> i</w:t>
      </w:r>
      <w:r w:rsidR="00F06CEF" w:rsidRPr="003C612B">
        <w:t>ns</w:t>
      </w:r>
      <w:r w:rsidRPr="003C612B">
        <w:t>e</w:t>
      </w:r>
      <w:r w:rsidR="00F06CEF" w:rsidRPr="003C612B">
        <w:t>rt</w:t>
      </w:r>
      <w:r w:rsidRPr="003C612B">
        <w:t xml:space="preserve"> </w:t>
      </w:r>
      <w:r w:rsidR="00F06CEF" w:rsidRPr="003C612B">
        <w:t>or</w:t>
      </w:r>
      <w:r w:rsidRPr="003C612B">
        <w:t xml:space="preserve"> a</w:t>
      </w:r>
      <w:r w:rsidR="00F06CEF" w:rsidRPr="003C612B">
        <w:t>ttach a</w:t>
      </w:r>
      <w:r w:rsidRPr="003C612B">
        <w:t>n</w:t>
      </w:r>
      <w:r w:rsidR="00F06CEF" w:rsidRPr="003C612B">
        <w:t>y</w:t>
      </w:r>
      <w:r w:rsidRPr="003C612B">
        <w:t xml:space="preserve"> </w:t>
      </w:r>
      <w:r w:rsidR="00F06CEF" w:rsidRPr="003C612B">
        <w:t>n</w:t>
      </w:r>
      <w:r w:rsidRPr="003C612B">
        <w:t>o</w:t>
      </w:r>
      <w:r w:rsidR="00F06CEF" w:rsidRPr="003C612B">
        <w:t>tes</w:t>
      </w:r>
      <w:r w:rsidRPr="003C612B">
        <w:t xml:space="preserve"> </w:t>
      </w:r>
      <w:r w:rsidR="00F06CEF" w:rsidRPr="003C612B">
        <w:t>or</w:t>
      </w:r>
      <w:r w:rsidRPr="003C612B">
        <w:t xml:space="preserve"> </w:t>
      </w:r>
      <w:r w:rsidR="00F06CEF" w:rsidRPr="003C612B">
        <w:t>co</w:t>
      </w:r>
      <w:r w:rsidRPr="003C612B">
        <w:t>m</w:t>
      </w:r>
      <w:r w:rsidR="00F06CEF" w:rsidRPr="003C612B">
        <w:t>me</w:t>
      </w:r>
      <w:r w:rsidRPr="003C612B">
        <w:t>nt</w:t>
      </w:r>
      <w:r w:rsidR="00F06CEF" w:rsidRPr="003C612B">
        <w:t>s</w:t>
      </w:r>
      <w:r w:rsidRPr="003C612B">
        <w:t xml:space="preserve"> i</w:t>
      </w:r>
      <w:r w:rsidR="00F06CEF" w:rsidRPr="003C612B">
        <w:t>nto</w:t>
      </w:r>
      <w:r w:rsidRPr="003C612B">
        <w:t xml:space="preserve"> </w:t>
      </w:r>
      <w:r w:rsidR="00F06CEF" w:rsidRPr="003C612B">
        <w:t>a</w:t>
      </w:r>
      <w:r w:rsidRPr="003C612B">
        <w:t>n</w:t>
      </w:r>
      <w:r w:rsidR="00F06CEF" w:rsidRPr="003C612B">
        <w:t>y</w:t>
      </w:r>
      <w:r w:rsidRPr="003C612B">
        <w:t xml:space="preserve"> </w:t>
      </w:r>
      <w:r w:rsidR="00F06CEF" w:rsidRPr="003C612B">
        <w:t>of</w:t>
      </w:r>
      <w:r w:rsidRPr="003C612B">
        <w:t xml:space="preserve"> </w:t>
      </w:r>
      <w:r w:rsidR="00F06CEF" w:rsidRPr="003C612B">
        <w:t>t</w:t>
      </w:r>
      <w:r w:rsidRPr="003C612B">
        <w:t>h</w:t>
      </w:r>
      <w:r w:rsidR="00F06CEF" w:rsidRPr="003C612B">
        <w:t>e</w:t>
      </w:r>
      <w:r w:rsidRPr="003C612B">
        <w:t xml:space="preserve"> w</w:t>
      </w:r>
      <w:r w:rsidR="00F06CEF" w:rsidRPr="003C612B">
        <w:t>or</w:t>
      </w:r>
      <w:r w:rsidRPr="003C612B">
        <w:t>k</w:t>
      </w:r>
      <w:r w:rsidR="00F06CEF" w:rsidRPr="003C612B">
        <w:t>s</w:t>
      </w:r>
      <w:r w:rsidRPr="003C612B">
        <w:t>h</w:t>
      </w:r>
      <w:r w:rsidR="00F06CEF" w:rsidRPr="003C612B">
        <w:t>e</w:t>
      </w:r>
      <w:r w:rsidRPr="003C612B">
        <w:t>e</w:t>
      </w:r>
      <w:r w:rsidR="00F06CEF" w:rsidRPr="003C612B">
        <w:t>ts</w:t>
      </w:r>
      <w:r w:rsidR="00446C6C" w:rsidRPr="003C612B">
        <w:t xml:space="preserve"> or upload</w:t>
      </w:r>
      <w:r w:rsidR="00446C6C" w:rsidRPr="00B85692">
        <w:t xml:space="preserve"> as a separate attachment</w:t>
      </w:r>
      <w:r w:rsidR="00F06CEF" w:rsidRPr="00B85692">
        <w:t>.</w:t>
      </w:r>
      <w:r w:rsidRPr="00B85692">
        <w:t xml:space="preserve"> A</w:t>
      </w:r>
      <w:r w:rsidR="00F06CEF" w:rsidRPr="00B85692">
        <w:t>ny</w:t>
      </w:r>
      <w:r w:rsidRPr="00B85692">
        <w:t xml:space="preserve"> </w:t>
      </w:r>
      <w:r w:rsidR="00F06CEF" w:rsidRPr="00B85692">
        <w:t>such</w:t>
      </w:r>
      <w:r w:rsidRPr="00B85692">
        <w:t xml:space="preserve"> </w:t>
      </w:r>
      <w:r w:rsidR="00F06CEF" w:rsidRPr="00B85692">
        <w:t>a</w:t>
      </w:r>
      <w:r w:rsidRPr="00B85692">
        <w:t>d</w:t>
      </w:r>
      <w:r w:rsidR="00F06CEF" w:rsidRPr="00B85692">
        <w:t>d</w:t>
      </w:r>
      <w:r w:rsidRPr="00B85692">
        <w:t>i</w:t>
      </w:r>
      <w:r w:rsidR="00F06CEF" w:rsidRPr="00B85692">
        <w:t>t</w:t>
      </w:r>
      <w:r w:rsidRPr="00B85692">
        <w:t>io</w:t>
      </w:r>
      <w:r w:rsidR="00F06CEF" w:rsidRPr="00B85692">
        <w:t>n</w:t>
      </w:r>
      <w:r w:rsidRPr="00B85692">
        <w:t>a</w:t>
      </w:r>
      <w:r w:rsidR="00F06CEF" w:rsidRPr="00B85692">
        <w:t xml:space="preserve">l </w:t>
      </w:r>
      <w:r w:rsidRPr="00B85692">
        <w:t>i</w:t>
      </w:r>
      <w:r w:rsidR="00F06CEF" w:rsidRPr="00B85692">
        <w:t>n</w:t>
      </w:r>
      <w:r w:rsidRPr="00B85692">
        <w:t>fo</w:t>
      </w:r>
      <w:r w:rsidR="00F06CEF" w:rsidRPr="00B85692">
        <w:t>rm</w:t>
      </w:r>
      <w:r w:rsidRPr="00B85692">
        <w:t>a</w:t>
      </w:r>
      <w:r w:rsidR="00F06CEF" w:rsidRPr="00B85692">
        <w:t>t</w:t>
      </w:r>
      <w:r w:rsidRPr="00B85692">
        <w:t>i</w:t>
      </w:r>
      <w:r w:rsidR="00F06CEF" w:rsidRPr="00B85692">
        <w:t xml:space="preserve">on </w:t>
      </w:r>
      <w:r w:rsidRPr="00B85692">
        <w:t>wil</w:t>
      </w:r>
      <w:r w:rsidR="00F06CEF" w:rsidRPr="00B85692">
        <w:t>l be d</w:t>
      </w:r>
      <w:r w:rsidRPr="00B85692">
        <w:t>i</w:t>
      </w:r>
      <w:r w:rsidR="00F06CEF" w:rsidRPr="00B85692">
        <w:t>sre</w:t>
      </w:r>
      <w:r w:rsidRPr="00B85692">
        <w:t>ga</w:t>
      </w:r>
      <w:r w:rsidR="00F06CEF" w:rsidRPr="00B85692">
        <w:t>rd</w:t>
      </w:r>
      <w:r w:rsidRPr="00B85692">
        <w:t>e</w:t>
      </w:r>
      <w:r w:rsidR="00F06CEF" w:rsidRPr="00B85692">
        <w:t>d by</w:t>
      </w:r>
      <w:r w:rsidRPr="00B85692">
        <w:t xml:space="preserve"> </w:t>
      </w:r>
      <w:r w:rsidR="003A11CC">
        <w:t>the Agent</w:t>
      </w:r>
      <w:r w:rsidR="00F06CEF" w:rsidRPr="00B85692">
        <w:t>.</w:t>
      </w:r>
    </w:p>
    <w:p w14:paraId="1DF88399" w14:textId="4DC3301E" w:rsidR="00A93A1E" w:rsidRDefault="009F5FF7" w:rsidP="00CF7BEF">
      <w:pPr>
        <w:pStyle w:val="Style9"/>
        <w:ind w:left="2211" w:hanging="964"/>
      </w:pPr>
      <w:r w:rsidRPr="00B85692">
        <w:t>I</w:t>
      </w:r>
      <w:r w:rsidR="00F06CEF" w:rsidRPr="00B85692">
        <w:t>f</w:t>
      </w:r>
      <w:r w:rsidRPr="00B85692">
        <w:t xml:space="preserve"> </w:t>
      </w:r>
      <w:r w:rsidR="00F06CEF" w:rsidRPr="00B85692">
        <w:t>a</w:t>
      </w:r>
      <w:r w:rsidRPr="00B85692">
        <w:t xml:space="preserve"> P</w:t>
      </w:r>
      <w:r w:rsidR="00F06CEF" w:rsidRPr="00B85692">
        <w:t>ote</w:t>
      </w:r>
      <w:r w:rsidRPr="00B85692">
        <w:t>n</w:t>
      </w:r>
      <w:r w:rsidR="00F06CEF" w:rsidRPr="00B85692">
        <w:t>t</w:t>
      </w:r>
      <w:r w:rsidRPr="00B85692">
        <w:t>i</w:t>
      </w:r>
      <w:r w:rsidR="00F06CEF" w:rsidRPr="00B85692">
        <w:t>al</w:t>
      </w:r>
      <w:r w:rsidRPr="00B85692">
        <w:t xml:space="preserve"> P</w:t>
      </w:r>
      <w:r w:rsidR="00F06CEF" w:rsidRPr="00B85692">
        <w:t>ro</w:t>
      </w:r>
      <w:r w:rsidRPr="00B85692">
        <w:t>vi</w:t>
      </w:r>
      <w:r w:rsidR="00F06CEF" w:rsidRPr="00B85692">
        <w:t>d</w:t>
      </w:r>
      <w:r w:rsidRPr="00B85692">
        <w:t>e</w:t>
      </w:r>
      <w:r w:rsidR="00F06CEF" w:rsidRPr="00B85692">
        <w:t>r</w:t>
      </w:r>
      <w:r w:rsidRPr="00B85692">
        <w:t xml:space="preserve"> </w:t>
      </w:r>
      <w:r w:rsidR="00F06CEF" w:rsidRPr="00B85692">
        <w:t>fa</w:t>
      </w:r>
      <w:r w:rsidRPr="00B85692">
        <w:t>il</w:t>
      </w:r>
      <w:r w:rsidR="00F06CEF" w:rsidRPr="00B85692">
        <w:t>s</w:t>
      </w:r>
      <w:r w:rsidRPr="00B85692">
        <w:t xml:space="preserve"> </w:t>
      </w:r>
      <w:r w:rsidR="00F06CEF" w:rsidRPr="00B85692">
        <w:t>to</w:t>
      </w:r>
      <w:r w:rsidRPr="00B85692">
        <w:t xml:space="preserve"> </w:t>
      </w:r>
      <w:r w:rsidR="00F06CEF" w:rsidRPr="00B85692">
        <w:t>su</w:t>
      </w:r>
      <w:r w:rsidRPr="00B85692">
        <w:t>b</w:t>
      </w:r>
      <w:r w:rsidR="00F06CEF" w:rsidRPr="00B85692">
        <w:t>m</w:t>
      </w:r>
      <w:r w:rsidRPr="00B85692">
        <w:t>i</w:t>
      </w:r>
      <w:r w:rsidR="00F06CEF" w:rsidRPr="00B85692">
        <w:t>t</w:t>
      </w:r>
      <w:r w:rsidRPr="00B85692">
        <w:t xml:space="preserve"> </w:t>
      </w:r>
      <w:r w:rsidR="00F06CEF" w:rsidRPr="00B85692">
        <w:t>a</w:t>
      </w:r>
      <w:r w:rsidRPr="00B85692">
        <w:t xml:space="preserve"> </w:t>
      </w:r>
      <w:r w:rsidR="00F06CEF" w:rsidRPr="00B85692">
        <w:t>comp</w:t>
      </w:r>
      <w:r w:rsidRPr="00B85692">
        <w:t>le</w:t>
      </w:r>
      <w:r w:rsidR="00F06CEF" w:rsidRPr="00B85692">
        <w:t>ted</w:t>
      </w:r>
      <w:r w:rsidRPr="00B85692">
        <w:t xml:space="preserve"> </w:t>
      </w:r>
      <w:r w:rsidR="00F06CEF" w:rsidRPr="00B85692">
        <w:t>Pricing Matrix</w:t>
      </w:r>
      <w:r w:rsidR="00B15B5C" w:rsidRPr="009678DA">
        <w:t xml:space="preserve">, </w:t>
      </w:r>
      <w:r w:rsidRPr="00B85692">
        <w:t>i</w:t>
      </w:r>
      <w:r w:rsidR="00F06CEF" w:rsidRPr="00B85692">
        <w:t>ts</w:t>
      </w:r>
      <w:r w:rsidRPr="00B85692">
        <w:t xml:space="preserve"> T</w:t>
      </w:r>
      <w:r w:rsidR="00F06CEF" w:rsidRPr="00B85692">
        <w:t>e</w:t>
      </w:r>
      <w:r w:rsidRPr="00B85692">
        <w:t>nd</w:t>
      </w:r>
      <w:r w:rsidR="00F06CEF" w:rsidRPr="00B85692">
        <w:t>er</w:t>
      </w:r>
      <w:r w:rsidRPr="00B85692">
        <w:t xml:space="preserve"> </w:t>
      </w:r>
      <w:r w:rsidR="00F06CEF" w:rsidRPr="00B85692">
        <w:t>may</w:t>
      </w:r>
      <w:r w:rsidRPr="00B85692">
        <w:t xml:space="preserve"> </w:t>
      </w:r>
      <w:r w:rsidR="00F06CEF" w:rsidRPr="00B85692">
        <w:t>be</w:t>
      </w:r>
      <w:r w:rsidRPr="00B85692">
        <w:t xml:space="preserve"> </w:t>
      </w:r>
      <w:r w:rsidR="00FD7E38" w:rsidRPr="00B85692">
        <w:t>excluded</w:t>
      </w:r>
      <w:r w:rsidRPr="00B85692">
        <w:t xml:space="preserve"> </w:t>
      </w:r>
      <w:r w:rsidR="00F06CEF" w:rsidRPr="00B85692">
        <w:t>fr</w:t>
      </w:r>
      <w:r w:rsidRPr="00B85692">
        <w:t>o</w:t>
      </w:r>
      <w:r w:rsidR="00F06CEF" w:rsidRPr="00B85692">
        <w:t>m fu</w:t>
      </w:r>
      <w:r w:rsidRPr="00B85692">
        <w:t>r</w:t>
      </w:r>
      <w:r w:rsidR="00F06CEF" w:rsidRPr="00B85692">
        <w:t>th</w:t>
      </w:r>
      <w:r w:rsidRPr="00B85692">
        <w:t>e</w:t>
      </w:r>
      <w:r w:rsidR="00F06CEF" w:rsidRPr="00B85692">
        <w:t>r</w:t>
      </w:r>
      <w:r w:rsidRPr="00B85692">
        <w:t xml:space="preserve"> </w:t>
      </w:r>
      <w:r w:rsidR="00F06CEF" w:rsidRPr="00B85692">
        <w:t>p</w:t>
      </w:r>
      <w:r w:rsidRPr="00B85692">
        <w:t>ar</w:t>
      </w:r>
      <w:r w:rsidR="00F06CEF" w:rsidRPr="00B85692">
        <w:t>t</w:t>
      </w:r>
      <w:r w:rsidRPr="00B85692">
        <w:t>i</w:t>
      </w:r>
      <w:r w:rsidR="00F06CEF" w:rsidRPr="00B85692">
        <w:t>c</w:t>
      </w:r>
      <w:r w:rsidRPr="00B85692">
        <w:t>i</w:t>
      </w:r>
      <w:r w:rsidR="00F06CEF" w:rsidRPr="00B85692">
        <w:t>p</w:t>
      </w:r>
      <w:r w:rsidRPr="00B85692">
        <w:t>a</w:t>
      </w:r>
      <w:r w:rsidR="00F06CEF" w:rsidRPr="00B85692">
        <w:t>t</w:t>
      </w:r>
      <w:r w:rsidRPr="00B85692">
        <w:t>i</w:t>
      </w:r>
      <w:r w:rsidR="00F06CEF" w:rsidRPr="00B85692">
        <w:t xml:space="preserve">on </w:t>
      </w:r>
      <w:r w:rsidRPr="00B85692">
        <w:t>i</w:t>
      </w:r>
      <w:r w:rsidR="00F06CEF" w:rsidRPr="00B85692">
        <w:t>n</w:t>
      </w:r>
      <w:r w:rsidRPr="00B85692">
        <w:t xml:space="preserve"> </w:t>
      </w:r>
      <w:r w:rsidR="00F06CEF" w:rsidRPr="00B85692">
        <w:t>th</w:t>
      </w:r>
      <w:r w:rsidRPr="00B85692">
        <w:t>i</w:t>
      </w:r>
      <w:r w:rsidR="00F06CEF" w:rsidRPr="00B85692">
        <w:t>s</w:t>
      </w:r>
      <w:r w:rsidRPr="00B85692">
        <w:t xml:space="preserve"> P</w:t>
      </w:r>
      <w:r w:rsidR="00F06CEF" w:rsidRPr="00B85692">
        <w:t>roc</w:t>
      </w:r>
      <w:r w:rsidRPr="00B85692">
        <w:t>u</w:t>
      </w:r>
      <w:r w:rsidR="00F06CEF" w:rsidRPr="00B85692">
        <w:t>reme</w:t>
      </w:r>
      <w:r w:rsidRPr="00B85692">
        <w:t>nt</w:t>
      </w:r>
      <w:r w:rsidR="00F06CEF" w:rsidRPr="00B85692">
        <w:t>.</w:t>
      </w:r>
    </w:p>
    <w:p w14:paraId="44F2E51D" w14:textId="7EEB813E" w:rsidR="00AC3709" w:rsidRPr="00AC3709" w:rsidRDefault="00AC3709" w:rsidP="00AC3709">
      <w:pPr>
        <w:pStyle w:val="Style9"/>
        <w:ind w:left="2211" w:hanging="964"/>
      </w:pPr>
      <w:r>
        <w:t xml:space="preserve">Potential Providers must provide a Price for each Grade required. </w:t>
      </w:r>
    </w:p>
    <w:p w14:paraId="56E88FAA" w14:textId="7750F0D5" w:rsidR="00AC3709" w:rsidRPr="00AC3709" w:rsidRDefault="00AC3709" w:rsidP="00366A94">
      <w:pPr>
        <w:pStyle w:val="Style9"/>
        <w:ind w:left="2211" w:hanging="964"/>
      </w:pPr>
      <w:r>
        <w:t>All P</w:t>
      </w:r>
      <w:r w:rsidR="00995B18" w:rsidRPr="00B85692">
        <w:t>rices submitted must be excluding VAT and in Great British Pounds Sterling (£).</w:t>
      </w:r>
      <w:r w:rsidR="004D25CF" w:rsidRPr="00B85692">
        <w:t xml:space="preserve"> </w:t>
      </w:r>
    </w:p>
    <w:p w14:paraId="61DD35F5" w14:textId="57F9D15B" w:rsidR="00995B18" w:rsidRPr="009678DA" w:rsidRDefault="00BD70E4" w:rsidP="00CF7BEF">
      <w:pPr>
        <w:pStyle w:val="Style9"/>
        <w:ind w:left="2211" w:hanging="964"/>
      </w:pPr>
      <w:r>
        <w:t xml:space="preserve">Zero </w:t>
      </w:r>
      <w:r w:rsidR="00995B18" w:rsidRPr="00B85692">
        <w:t>bids will be</w:t>
      </w:r>
      <w:r w:rsidR="000703D3">
        <w:t xml:space="preserve"> not be</w:t>
      </w:r>
      <w:r w:rsidR="00995B18" w:rsidRPr="00B85692">
        <w:t xml:space="preserve"> accepted</w:t>
      </w:r>
      <w:r w:rsidR="000703D3">
        <w:t>.</w:t>
      </w:r>
      <w:r>
        <w:t xml:space="preserve"> </w:t>
      </w:r>
      <w:r w:rsidR="00366A94">
        <w:t>F</w:t>
      </w:r>
      <w:r w:rsidR="00366A94" w:rsidRPr="003C612B">
        <w:t>ailure to insert an appli</w:t>
      </w:r>
      <w:r w:rsidR="00366A94">
        <w:t xml:space="preserve">cable price may result in </w:t>
      </w:r>
      <w:r w:rsidR="00366A94" w:rsidRPr="003C612B">
        <w:t xml:space="preserve">your Tender being deemed non-compliant and may </w:t>
      </w:r>
      <w:r w:rsidR="00366A94">
        <w:t xml:space="preserve">be </w:t>
      </w:r>
      <w:r w:rsidR="00366A94" w:rsidRPr="003C612B">
        <w:t>excluded from further participation in this Procurement.</w:t>
      </w:r>
    </w:p>
    <w:p w14:paraId="5BF89621" w14:textId="3B214556" w:rsidR="00404131" w:rsidRDefault="00404131" w:rsidP="00CF7BEF">
      <w:pPr>
        <w:pStyle w:val="Style9"/>
        <w:ind w:left="2211" w:hanging="964"/>
      </w:pPr>
      <w:r w:rsidRPr="009A6808">
        <w:rPr>
          <w:b/>
        </w:rPr>
        <w:t>Abnormally Low Tenders</w:t>
      </w:r>
      <w:r w:rsidR="00D05978" w:rsidRPr="009A6808">
        <w:rPr>
          <w:b/>
        </w:rPr>
        <w:t xml:space="preserve"> </w:t>
      </w:r>
      <w:r w:rsidR="009A6808" w:rsidRPr="009A6808">
        <w:t>- a</w:t>
      </w:r>
      <w:r w:rsidRPr="009A6808">
        <w:t xml:space="preserve">s part of the Price </w:t>
      </w:r>
      <w:r w:rsidRPr="00DB1662">
        <w:t xml:space="preserve">Evaluation process, if </w:t>
      </w:r>
      <w:r w:rsidR="003A11CC" w:rsidRPr="00DB1662">
        <w:t>the Agent</w:t>
      </w:r>
      <w:r w:rsidR="005366BC">
        <w:t xml:space="preserve"> considers</w:t>
      </w:r>
      <w:r w:rsidRPr="00DB1662">
        <w:t xml:space="preserve"> that a </w:t>
      </w:r>
      <w:r w:rsidR="001923E9" w:rsidRPr="00DB1662">
        <w:t>Price you</w:t>
      </w:r>
      <w:r w:rsidR="00E75769" w:rsidRPr="00DB1662">
        <w:t xml:space="preserve"> have submitted for any Grade Day Rate</w:t>
      </w:r>
      <w:r w:rsidR="00E75769">
        <w:t xml:space="preserve"> </w:t>
      </w:r>
      <w:r w:rsidR="001923E9">
        <w:t>provided is abnormally low, the Agent may reject your offer. In accordance with Regulation 69 the Agent will take the following steps:</w:t>
      </w:r>
    </w:p>
    <w:p w14:paraId="3274076B" w14:textId="66130F67" w:rsidR="00E75769" w:rsidRDefault="00E75769" w:rsidP="00E75769">
      <w:pPr>
        <w:pStyle w:val="Style10"/>
      </w:pPr>
      <w:r>
        <w:lastRenderedPageBreak/>
        <w:t>To request in writing an explanation of the abnormally low Grade Day Rate, which may include an explanation of:</w:t>
      </w:r>
    </w:p>
    <w:p w14:paraId="760CD9F9" w14:textId="1416C9C8" w:rsidR="00E75769" w:rsidRDefault="00E75769" w:rsidP="00E75769">
      <w:pPr>
        <w:pStyle w:val="Style10"/>
        <w:numPr>
          <w:ilvl w:val="3"/>
          <w:numId w:val="36"/>
        </w:numPr>
        <w:tabs>
          <w:tab w:val="clear" w:pos="2880"/>
          <w:tab w:val="num" w:pos="3686"/>
        </w:tabs>
        <w:ind w:left="3828" w:hanging="283"/>
      </w:pPr>
      <w:r>
        <w:t>The economics of the Services provided;</w:t>
      </w:r>
    </w:p>
    <w:p w14:paraId="0442DCA1" w14:textId="7B1D73A0" w:rsidR="00E75769" w:rsidRDefault="00E75769" w:rsidP="00E75769">
      <w:pPr>
        <w:pStyle w:val="Style10"/>
        <w:numPr>
          <w:ilvl w:val="3"/>
          <w:numId w:val="36"/>
        </w:numPr>
        <w:tabs>
          <w:tab w:val="clear" w:pos="2880"/>
          <w:tab w:val="num" w:pos="3686"/>
          <w:tab w:val="num" w:pos="4253"/>
        </w:tabs>
        <w:ind w:left="3828" w:hanging="283"/>
      </w:pPr>
      <w:r>
        <w:t xml:space="preserve">The technical solutions suggested by you or the exceptionally favourable conditions </w:t>
      </w:r>
      <w:r w:rsidR="001253D6">
        <w:t>available</w:t>
      </w:r>
      <w:r>
        <w:t xml:space="preserve"> to you for the provision of the Services;</w:t>
      </w:r>
    </w:p>
    <w:p w14:paraId="4947C776" w14:textId="34D19DB1" w:rsidR="00E75769" w:rsidRDefault="00E75769" w:rsidP="00E75769">
      <w:pPr>
        <w:pStyle w:val="Style10"/>
        <w:numPr>
          <w:ilvl w:val="3"/>
          <w:numId w:val="36"/>
        </w:numPr>
        <w:tabs>
          <w:tab w:val="clear" w:pos="2880"/>
          <w:tab w:val="num" w:pos="3686"/>
        </w:tabs>
        <w:ind w:left="3828" w:hanging="283"/>
      </w:pPr>
      <w:r>
        <w:t>The originality of the Services;</w:t>
      </w:r>
    </w:p>
    <w:p w14:paraId="7D39FDFC" w14:textId="539955A8" w:rsidR="00E75769" w:rsidRDefault="00E75769" w:rsidP="00E75769">
      <w:pPr>
        <w:pStyle w:val="Style10"/>
        <w:numPr>
          <w:ilvl w:val="3"/>
          <w:numId w:val="36"/>
        </w:numPr>
        <w:tabs>
          <w:tab w:val="clear" w:pos="2880"/>
          <w:tab w:val="num" w:pos="3686"/>
          <w:tab w:val="num" w:pos="4253"/>
        </w:tabs>
        <w:ind w:left="3828" w:hanging="283"/>
      </w:pPr>
      <w:r>
        <w:t>Your compliance with the provisions relating to employment protection and working conditions in force at the place where the Services are being performed; or</w:t>
      </w:r>
    </w:p>
    <w:p w14:paraId="28FB8B58" w14:textId="3C77EE77" w:rsidR="00E75769" w:rsidRDefault="00E75769" w:rsidP="00E75769">
      <w:pPr>
        <w:pStyle w:val="Style10"/>
        <w:numPr>
          <w:ilvl w:val="3"/>
          <w:numId w:val="36"/>
        </w:numPr>
        <w:tabs>
          <w:tab w:val="clear" w:pos="2880"/>
          <w:tab w:val="num" w:pos="3686"/>
        </w:tabs>
        <w:ind w:left="3828" w:hanging="283"/>
      </w:pPr>
      <w:r>
        <w:t>The possibility of you obtaining State Aid.</w:t>
      </w:r>
    </w:p>
    <w:p w14:paraId="60041C4D" w14:textId="64B38CCC" w:rsidR="00E75769" w:rsidRDefault="00E75769" w:rsidP="00E75769">
      <w:pPr>
        <w:pStyle w:val="Style10"/>
      </w:pPr>
      <w:r>
        <w:t>To take account of the evidence provided in response; and</w:t>
      </w:r>
    </w:p>
    <w:p w14:paraId="18BEA458" w14:textId="443774EF" w:rsidR="00E75769" w:rsidRPr="00E75769" w:rsidRDefault="00E75769" w:rsidP="00E75769">
      <w:pPr>
        <w:pStyle w:val="Style10"/>
      </w:pPr>
      <w:r>
        <w:t>To subsequently verify with you the Grade Day Rate being abnormally low.</w:t>
      </w:r>
    </w:p>
    <w:p w14:paraId="2FCBFA42" w14:textId="37EED8A9" w:rsidR="009678DA" w:rsidRPr="00426E51" w:rsidRDefault="009678DA" w:rsidP="009678DA">
      <w:pPr>
        <w:pStyle w:val="Style8"/>
        <w:rPr>
          <w:b/>
        </w:rPr>
      </w:pPr>
      <w:r w:rsidRPr="00426E51">
        <w:rPr>
          <w:b/>
        </w:rPr>
        <w:t xml:space="preserve">Price </w:t>
      </w:r>
      <w:r w:rsidR="00B15B5C" w:rsidRPr="00426E51">
        <w:rPr>
          <w:b/>
        </w:rPr>
        <w:t>Evaluation</w:t>
      </w:r>
      <w:r w:rsidRPr="00426E51">
        <w:rPr>
          <w:b/>
        </w:rPr>
        <w:t xml:space="preserve"> Process</w:t>
      </w:r>
    </w:p>
    <w:p w14:paraId="6F00859F" w14:textId="066DC385" w:rsidR="007A5BBB" w:rsidRPr="009678DA" w:rsidRDefault="00E34475" w:rsidP="009A6808">
      <w:pPr>
        <w:pStyle w:val="Style9"/>
        <w:ind w:left="2325" w:hanging="851"/>
      </w:pPr>
      <w:r w:rsidRPr="009678DA">
        <w:t>P</w:t>
      </w:r>
      <w:r w:rsidR="009F5FF7" w:rsidRPr="009678DA">
        <w:t xml:space="preserve">ricing will be evaluated on the basis of </w:t>
      </w:r>
      <w:r w:rsidR="00523B5B">
        <w:t>a Day Rate per Grade as below:</w:t>
      </w:r>
    </w:p>
    <w:p w14:paraId="35B31AC3" w14:textId="77777777" w:rsidR="00523B5B" w:rsidRDefault="00523B5B" w:rsidP="00523B5B">
      <w:pPr>
        <w:pStyle w:val="Style9"/>
        <w:numPr>
          <w:ilvl w:val="0"/>
          <w:numId w:val="0"/>
        </w:numPr>
        <w:ind w:left="720"/>
      </w:pPr>
    </w:p>
    <w:tbl>
      <w:tblPr>
        <w:tblW w:w="9262" w:type="dxa"/>
        <w:jc w:val="center"/>
        <w:tblLook w:val="04A0" w:firstRow="1" w:lastRow="0" w:firstColumn="1" w:lastColumn="0" w:noHBand="0" w:noVBand="1"/>
      </w:tblPr>
      <w:tblGrid>
        <w:gridCol w:w="3122"/>
        <w:gridCol w:w="1863"/>
        <w:gridCol w:w="2178"/>
        <w:gridCol w:w="2099"/>
      </w:tblGrid>
      <w:tr w:rsidR="00AC262D" w:rsidRPr="00AC262D" w14:paraId="08A7B589" w14:textId="77777777" w:rsidTr="00AC262D">
        <w:trPr>
          <w:trHeight w:val="1030"/>
          <w:jc w:val="center"/>
        </w:trPr>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76362"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Position / Role</w:t>
            </w:r>
          </w:p>
        </w:tc>
        <w:tc>
          <w:tcPr>
            <w:tcW w:w="1863" w:type="dxa"/>
            <w:tcBorders>
              <w:top w:val="single" w:sz="4" w:space="0" w:color="auto"/>
              <w:left w:val="nil"/>
              <w:bottom w:val="nil"/>
              <w:right w:val="single" w:sz="4" w:space="0" w:color="auto"/>
            </w:tcBorders>
            <w:shd w:val="clear" w:color="auto" w:fill="auto"/>
            <w:vAlign w:val="center"/>
            <w:hideMark/>
          </w:tcPr>
          <w:p w14:paraId="454C68B0"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(A)</w:t>
            </w:r>
            <w:r w:rsidRPr="00AC262D">
              <w:rPr>
                <w:rFonts w:ascii="Arial" w:eastAsia="Times New Roman" w:hAnsi="Arial" w:cs="Arial"/>
                <w:color w:val="000000"/>
              </w:rPr>
              <w:br/>
              <w:t xml:space="preserve">Day Rate (£)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1F5909B9"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(B)</w:t>
            </w:r>
            <w:r w:rsidRPr="00AC262D">
              <w:rPr>
                <w:rFonts w:ascii="Arial" w:eastAsia="Times New Roman" w:hAnsi="Arial" w:cs="Arial"/>
                <w:color w:val="000000"/>
              </w:rPr>
              <w:br/>
              <w:t xml:space="preserve">Weighting </w:t>
            </w:r>
            <w:r w:rsidRPr="00AC262D">
              <w:rPr>
                <w:rFonts w:ascii="Arial" w:eastAsia="Times New Roman" w:hAnsi="Arial" w:cs="Arial"/>
                <w:color w:val="000000"/>
              </w:rPr>
              <w:br/>
              <w:t xml:space="preserve">    </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35D6B342"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(C)</w:t>
            </w:r>
            <w:r w:rsidRPr="00AC262D">
              <w:rPr>
                <w:rFonts w:ascii="Arial" w:eastAsia="Times New Roman" w:hAnsi="Arial" w:cs="Arial"/>
                <w:color w:val="000000"/>
              </w:rPr>
              <w:br/>
              <w:t>Weighted</w:t>
            </w:r>
            <w:r w:rsidRPr="00AC262D">
              <w:rPr>
                <w:rFonts w:ascii="Arial" w:eastAsia="Times New Roman" w:hAnsi="Arial" w:cs="Arial"/>
                <w:color w:val="000000"/>
              </w:rPr>
              <w:br/>
              <w:t>Day Rate</w:t>
            </w:r>
            <w:r w:rsidRPr="00AC262D">
              <w:rPr>
                <w:rFonts w:ascii="Arial" w:eastAsia="Times New Roman" w:hAnsi="Arial" w:cs="Arial"/>
                <w:color w:val="000000"/>
              </w:rPr>
              <w:br/>
              <w:t xml:space="preserve">(£ </w:t>
            </w:r>
            <w:proofErr w:type="spellStart"/>
            <w:r w:rsidRPr="00AC262D">
              <w:rPr>
                <w:rFonts w:ascii="Arial" w:eastAsia="Times New Roman" w:hAnsi="Arial" w:cs="Arial"/>
                <w:color w:val="000000"/>
              </w:rPr>
              <w:t>exc</w:t>
            </w:r>
            <w:proofErr w:type="spellEnd"/>
            <w:r w:rsidRPr="00AC262D">
              <w:rPr>
                <w:rFonts w:ascii="Arial" w:eastAsia="Times New Roman" w:hAnsi="Arial" w:cs="Arial"/>
                <w:color w:val="000000"/>
              </w:rPr>
              <w:t xml:space="preserve"> VAT)  </w:t>
            </w:r>
            <w:r w:rsidRPr="00AC262D">
              <w:rPr>
                <w:rFonts w:ascii="Arial" w:eastAsia="Times New Roman" w:hAnsi="Arial" w:cs="Arial"/>
                <w:color w:val="000000"/>
              </w:rPr>
              <w:br/>
            </w:r>
            <w:r w:rsidRPr="00AC262D">
              <w:rPr>
                <w:rFonts w:ascii="Arial" w:eastAsia="Times New Roman" w:hAnsi="Arial" w:cs="Arial"/>
                <w:color w:val="000000"/>
              </w:rPr>
              <w:br/>
              <w:t>(C = A x B)</w:t>
            </w:r>
          </w:p>
        </w:tc>
      </w:tr>
      <w:tr w:rsidR="00AC262D" w:rsidRPr="00AC262D" w14:paraId="3AC755A8" w14:textId="77777777" w:rsidTr="005366BC">
        <w:trPr>
          <w:trHeight w:val="375"/>
          <w:jc w:val="center"/>
        </w:trPr>
        <w:tc>
          <w:tcPr>
            <w:tcW w:w="3122" w:type="dxa"/>
            <w:tcBorders>
              <w:top w:val="nil"/>
              <w:left w:val="single" w:sz="4" w:space="0" w:color="auto"/>
              <w:bottom w:val="single" w:sz="4" w:space="0" w:color="auto"/>
              <w:right w:val="nil"/>
            </w:tcBorders>
            <w:shd w:val="clear" w:color="auto" w:fill="auto"/>
            <w:vAlign w:val="center"/>
            <w:hideMark/>
          </w:tcPr>
          <w:p w14:paraId="24EBF1FB"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xml:space="preserve">Director / Partner </w:t>
            </w:r>
          </w:p>
        </w:tc>
        <w:tc>
          <w:tcPr>
            <w:tcW w:w="1863" w:type="dxa"/>
            <w:tcBorders>
              <w:top w:val="single" w:sz="8" w:space="0" w:color="auto"/>
              <w:left w:val="single" w:sz="8" w:space="0" w:color="auto"/>
              <w:bottom w:val="single" w:sz="4" w:space="0" w:color="auto"/>
              <w:right w:val="single" w:sz="8" w:space="0" w:color="auto"/>
            </w:tcBorders>
            <w:shd w:val="clear" w:color="000000" w:fill="BDD7EE"/>
            <w:vAlign w:val="center"/>
            <w:hideMark/>
          </w:tcPr>
          <w:p w14:paraId="0AAF0048"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w:t>
            </w:r>
          </w:p>
        </w:tc>
        <w:tc>
          <w:tcPr>
            <w:tcW w:w="2178" w:type="dxa"/>
            <w:tcBorders>
              <w:top w:val="nil"/>
              <w:left w:val="nil"/>
              <w:bottom w:val="single" w:sz="4" w:space="0" w:color="auto"/>
              <w:right w:val="single" w:sz="4" w:space="0" w:color="auto"/>
            </w:tcBorders>
            <w:shd w:val="clear" w:color="auto" w:fill="auto"/>
            <w:vAlign w:val="center"/>
            <w:hideMark/>
          </w:tcPr>
          <w:p w14:paraId="76AA7251"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5%</w:t>
            </w:r>
          </w:p>
        </w:tc>
        <w:tc>
          <w:tcPr>
            <w:tcW w:w="2099" w:type="dxa"/>
            <w:tcBorders>
              <w:top w:val="nil"/>
              <w:left w:val="nil"/>
              <w:bottom w:val="single" w:sz="4" w:space="0" w:color="auto"/>
              <w:right w:val="single" w:sz="4" w:space="0" w:color="auto"/>
            </w:tcBorders>
            <w:shd w:val="clear" w:color="auto" w:fill="auto"/>
            <w:vAlign w:val="center"/>
          </w:tcPr>
          <w:p w14:paraId="03F0750E" w14:textId="641D8623"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AC262D" w:rsidRPr="00AC262D" w14:paraId="77D8BD36" w14:textId="77777777" w:rsidTr="005366BC">
        <w:trPr>
          <w:trHeight w:val="375"/>
          <w:jc w:val="center"/>
        </w:trPr>
        <w:tc>
          <w:tcPr>
            <w:tcW w:w="3122" w:type="dxa"/>
            <w:tcBorders>
              <w:top w:val="nil"/>
              <w:left w:val="single" w:sz="4" w:space="0" w:color="auto"/>
              <w:bottom w:val="single" w:sz="4" w:space="0" w:color="auto"/>
              <w:right w:val="nil"/>
            </w:tcBorders>
            <w:shd w:val="clear" w:color="auto" w:fill="auto"/>
            <w:vAlign w:val="center"/>
            <w:hideMark/>
          </w:tcPr>
          <w:p w14:paraId="0C2DD105"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xml:space="preserve">Managing Consultant / Accountant / Auditor </w:t>
            </w:r>
          </w:p>
        </w:tc>
        <w:tc>
          <w:tcPr>
            <w:tcW w:w="1863" w:type="dxa"/>
            <w:tcBorders>
              <w:top w:val="nil"/>
              <w:left w:val="single" w:sz="8" w:space="0" w:color="auto"/>
              <w:bottom w:val="single" w:sz="4" w:space="0" w:color="auto"/>
              <w:right w:val="single" w:sz="8" w:space="0" w:color="auto"/>
            </w:tcBorders>
            <w:shd w:val="clear" w:color="000000" w:fill="BDD7EE"/>
            <w:noWrap/>
            <w:vAlign w:val="center"/>
            <w:hideMark/>
          </w:tcPr>
          <w:p w14:paraId="54B86F21"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w:t>
            </w:r>
          </w:p>
        </w:tc>
        <w:tc>
          <w:tcPr>
            <w:tcW w:w="2178" w:type="dxa"/>
            <w:tcBorders>
              <w:top w:val="nil"/>
              <w:left w:val="nil"/>
              <w:bottom w:val="single" w:sz="4" w:space="0" w:color="auto"/>
              <w:right w:val="single" w:sz="4" w:space="0" w:color="auto"/>
            </w:tcBorders>
            <w:shd w:val="clear" w:color="auto" w:fill="auto"/>
            <w:noWrap/>
            <w:vAlign w:val="center"/>
            <w:hideMark/>
          </w:tcPr>
          <w:p w14:paraId="428C1550"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5%</w:t>
            </w:r>
          </w:p>
        </w:tc>
        <w:tc>
          <w:tcPr>
            <w:tcW w:w="2099" w:type="dxa"/>
            <w:tcBorders>
              <w:top w:val="nil"/>
              <w:left w:val="nil"/>
              <w:bottom w:val="single" w:sz="4" w:space="0" w:color="auto"/>
              <w:right w:val="single" w:sz="4" w:space="0" w:color="auto"/>
            </w:tcBorders>
            <w:shd w:val="clear" w:color="auto" w:fill="auto"/>
            <w:vAlign w:val="center"/>
          </w:tcPr>
          <w:p w14:paraId="131A6D1D" w14:textId="5BAFCDE5"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AC262D" w:rsidRPr="00AC262D" w14:paraId="3177A7C4" w14:textId="77777777" w:rsidTr="005366BC">
        <w:trPr>
          <w:trHeight w:val="375"/>
          <w:jc w:val="center"/>
        </w:trPr>
        <w:tc>
          <w:tcPr>
            <w:tcW w:w="3122" w:type="dxa"/>
            <w:tcBorders>
              <w:top w:val="nil"/>
              <w:left w:val="single" w:sz="4" w:space="0" w:color="auto"/>
              <w:bottom w:val="single" w:sz="4" w:space="0" w:color="auto"/>
              <w:right w:val="nil"/>
            </w:tcBorders>
            <w:shd w:val="clear" w:color="auto" w:fill="auto"/>
            <w:vAlign w:val="center"/>
            <w:hideMark/>
          </w:tcPr>
          <w:p w14:paraId="50DFABFD"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xml:space="preserve">Principal Consultant / Accountant / Auditor </w:t>
            </w:r>
          </w:p>
        </w:tc>
        <w:tc>
          <w:tcPr>
            <w:tcW w:w="1863" w:type="dxa"/>
            <w:tcBorders>
              <w:top w:val="nil"/>
              <w:left w:val="single" w:sz="8" w:space="0" w:color="auto"/>
              <w:bottom w:val="single" w:sz="4" w:space="0" w:color="auto"/>
              <w:right w:val="single" w:sz="8" w:space="0" w:color="auto"/>
            </w:tcBorders>
            <w:shd w:val="clear" w:color="000000" w:fill="BDD7EE"/>
            <w:noWrap/>
            <w:vAlign w:val="center"/>
            <w:hideMark/>
          </w:tcPr>
          <w:p w14:paraId="2FD5EDFD"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w:t>
            </w:r>
          </w:p>
        </w:tc>
        <w:tc>
          <w:tcPr>
            <w:tcW w:w="2178" w:type="dxa"/>
            <w:tcBorders>
              <w:top w:val="nil"/>
              <w:left w:val="nil"/>
              <w:bottom w:val="single" w:sz="4" w:space="0" w:color="auto"/>
              <w:right w:val="single" w:sz="4" w:space="0" w:color="auto"/>
            </w:tcBorders>
            <w:shd w:val="clear" w:color="auto" w:fill="auto"/>
            <w:noWrap/>
            <w:vAlign w:val="center"/>
            <w:hideMark/>
          </w:tcPr>
          <w:p w14:paraId="3D17DE06"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20%</w:t>
            </w:r>
          </w:p>
        </w:tc>
        <w:tc>
          <w:tcPr>
            <w:tcW w:w="2099" w:type="dxa"/>
            <w:tcBorders>
              <w:top w:val="nil"/>
              <w:left w:val="nil"/>
              <w:bottom w:val="single" w:sz="4" w:space="0" w:color="auto"/>
              <w:right w:val="single" w:sz="4" w:space="0" w:color="auto"/>
            </w:tcBorders>
            <w:shd w:val="clear" w:color="auto" w:fill="auto"/>
            <w:vAlign w:val="center"/>
          </w:tcPr>
          <w:p w14:paraId="57AD6139" w14:textId="027ABA97"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AC262D" w:rsidRPr="00AC262D" w14:paraId="560F1BD7" w14:textId="77777777" w:rsidTr="005366BC">
        <w:trPr>
          <w:trHeight w:val="375"/>
          <w:jc w:val="center"/>
        </w:trPr>
        <w:tc>
          <w:tcPr>
            <w:tcW w:w="3122" w:type="dxa"/>
            <w:tcBorders>
              <w:top w:val="nil"/>
              <w:left w:val="single" w:sz="4" w:space="0" w:color="auto"/>
              <w:bottom w:val="single" w:sz="4" w:space="0" w:color="auto"/>
              <w:right w:val="nil"/>
            </w:tcBorders>
            <w:shd w:val="clear" w:color="auto" w:fill="auto"/>
            <w:vAlign w:val="center"/>
            <w:hideMark/>
          </w:tcPr>
          <w:p w14:paraId="566BDECC"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Senior Consultant / Accountant / Auditor</w:t>
            </w:r>
          </w:p>
        </w:tc>
        <w:tc>
          <w:tcPr>
            <w:tcW w:w="1863" w:type="dxa"/>
            <w:tcBorders>
              <w:top w:val="nil"/>
              <w:left w:val="single" w:sz="8" w:space="0" w:color="auto"/>
              <w:bottom w:val="single" w:sz="4" w:space="0" w:color="auto"/>
              <w:right w:val="single" w:sz="8" w:space="0" w:color="auto"/>
            </w:tcBorders>
            <w:shd w:val="clear" w:color="000000" w:fill="BDD7EE"/>
            <w:noWrap/>
            <w:vAlign w:val="center"/>
            <w:hideMark/>
          </w:tcPr>
          <w:p w14:paraId="034F14BA"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w:t>
            </w:r>
          </w:p>
        </w:tc>
        <w:tc>
          <w:tcPr>
            <w:tcW w:w="2178" w:type="dxa"/>
            <w:tcBorders>
              <w:top w:val="nil"/>
              <w:left w:val="nil"/>
              <w:bottom w:val="single" w:sz="4" w:space="0" w:color="auto"/>
              <w:right w:val="single" w:sz="4" w:space="0" w:color="auto"/>
            </w:tcBorders>
            <w:shd w:val="clear" w:color="auto" w:fill="auto"/>
            <w:noWrap/>
            <w:vAlign w:val="center"/>
            <w:hideMark/>
          </w:tcPr>
          <w:p w14:paraId="0BDAC42B"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50%</w:t>
            </w:r>
          </w:p>
        </w:tc>
        <w:tc>
          <w:tcPr>
            <w:tcW w:w="2099" w:type="dxa"/>
            <w:tcBorders>
              <w:top w:val="nil"/>
              <w:left w:val="nil"/>
              <w:bottom w:val="single" w:sz="4" w:space="0" w:color="auto"/>
              <w:right w:val="single" w:sz="4" w:space="0" w:color="auto"/>
            </w:tcBorders>
            <w:shd w:val="clear" w:color="auto" w:fill="auto"/>
            <w:vAlign w:val="center"/>
          </w:tcPr>
          <w:p w14:paraId="62A4599F" w14:textId="3954D1A7"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AC262D" w:rsidRPr="00AC262D" w14:paraId="70EB6FEB" w14:textId="77777777" w:rsidTr="005366BC">
        <w:trPr>
          <w:trHeight w:val="375"/>
          <w:jc w:val="center"/>
        </w:trPr>
        <w:tc>
          <w:tcPr>
            <w:tcW w:w="3122" w:type="dxa"/>
            <w:tcBorders>
              <w:top w:val="nil"/>
              <w:left w:val="single" w:sz="4" w:space="0" w:color="auto"/>
              <w:bottom w:val="single" w:sz="4" w:space="0" w:color="auto"/>
              <w:right w:val="nil"/>
            </w:tcBorders>
            <w:shd w:val="clear" w:color="auto" w:fill="auto"/>
            <w:vAlign w:val="center"/>
            <w:hideMark/>
          </w:tcPr>
          <w:p w14:paraId="1CABF806"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Consultant / Accountant / Auditor</w:t>
            </w:r>
          </w:p>
        </w:tc>
        <w:tc>
          <w:tcPr>
            <w:tcW w:w="1863" w:type="dxa"/>
            <w:tcBorders>
              <w:top w:val="nil"/>
              <w:left w:val="single" w:sz="8" w:space="0" w:color="auto"/>
              <w:bottom w:val="single" w:sz="4" w:space="0" w:color="auto"/>
              <w:right w:val="single" w:sz="8" w:space="0" w:color="auto"/>
            </w:tcBorders>
            <w:shd w:val="clear" w:color="000000" w:fill="BDD7EE"/>
            <w:noWrap/>
            <w:vAlign w:val="center"/>
            <w:hideMark/>
          </w:tcPr>
          <w:p w14:paraId="0C56CDC2"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w:t>
            </w:r>
          </w:p>
        </w:tc>
        <w:tc>
          <w:tcPr>
            <w:tcW w:w="2178" w:type="dxa"/>
            <w:tcBorders>
              <w:top w:val="nil"/>
              <w:left w:val="nil"/>
              <w:bottom w:val="single" w:sz="4" w:space="0" w:color="auto"/>
              <w:right w:val="single" w:sz="4" w:space="0" w:color="auto"/>
            </w:tcBorders>
            <w:shd w:val="clear" w:color="auto" w:fill="auto"/>
            <w:noWrap/>
            <w:vAlign w:val="center"/>
            <w:hideMark/>
          </w:tcPr>
          <w:p w14:paraId="79203B34"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15%</w:t>
            </w:r>
          </w:p>
        </w:tc>
        <w:tc>
          <w:tcPr>
            <w:tcW w:w="2099" w:type="dxa"/>
            <w:tcBorders>
              <w:top w:val="nil"/>
              <w:left w:val="nil"/>
              <w:bottom w:val="single" w:sz="4" w:space="0" w:color="auto"/>
              <w:right w:val="single" w:sz="4" w:space="0" w:color="auto"/>
            </w:tcBorders>
            <w:shd w:val="clear" w:color="auto" w:fill="auto"/>
            <w:vAlign w:val="center"/>
          </w:tcPr>
          <w:p w14:paraId="648C2EC7" w14:textId="05FBC040"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AC262D" w:rsidRPr="00AC262D" w14:paraId="288B7DAC" w14:textId="77777777" w:rsidTr="005366BC">
        <w:trPr>
          <w:trHeight w:val="375"/>
          <w:jc w:val="center"/>
        </w:trPr>
        <w:tc>
          <w:tcPr>
            <w:tcW w:w="3122" w:type="dxa"/>
            <w:tcBorders>
              <w:top w:val="nil"/>
              <w:left w:val="single" w:sz="4" w:space="0" w:color="auto"/>
              <w:bottom w:val="single" w:sz="4" w:space="0" w:color="auto"/>
              <w:right w:val="nil"/>
            </w:tcBorders>
            <w:shd w:val="clear" w:color="auto" w:fill="auto"/>
            <w:vAlign w:val="center"/>
            <w:hideMark/>
          </w:tcPr>
          <w:p w14:paraId="13316C3B"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Junior Consultant / Accountant / Auditor</w:t>
            </w:r>
          </w:p>
        </w:tc>
        <w:tc>
          <w:tcPr>
            <w:tcW w:w="1863" w:type="dxa"/>
            <w:tcBorders>
              <w:top w:val="nil"/>
              <w:left w:val="single" w:sz="8" w:space="0" w:color="auto"/>
              <w:bottom w:val="single" w:sz="4" w:space="0" w:color="auto"/>
              <w:right w:val="single" w:sz="8" w:space="0" w:color="auto"/>
            </w:tcBorders>
            <w:shd w:val="clear" w:color="000000" w:fill="BDD7EE"/>
            <w:noWrap/>
            <w:vAlign w:val="center"/>
            <w:hideMark/>
          </w:tcPr>
          <w:p w14:paraId="6A11CF99"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 </w:t>
            </w:r>
          </w:p>
        </w:tc>
        <w:tc>
          <w:tcPr>
            <w:tcW w:w="2178" w:type="dxa"/>
            <w:tcBorders>
              <w:top w:val="nil"/>
              <w:left w:val="nil"/>
              <w:bottom w:val="single" w:sz="4" w:space="0" w:color="auto"/>
              <w:right w:val="single" w:sz="4" w:space="0" w:color="auto"/>
            </w:tcBorders>
            <w:shd w:val="clear" w:color="auto" w:fill="auto"/>
            <w:noWrap/>
            <w:vAlign w:val="center"/>
            <w:hideMark/>
          </w:tcPr>
          <w:p w14:paraId="48561B50" w14:textId="77777777" w:rsidR="00AC262D" w:rsidRPr="00AC262D" w:rsidRDefault="00AC262D" w:rsidP="00AC262D">
            <w:pPr>
              <w:spacing w:after="0" w:line="240" w:lineRule="auto"/>
              <w:jc w:val="center"/>
              <w:rPr>
                <w:rFonts w:ascii="Arial" w:eastAsia="Times New Roman" w:hAnsi="Arial" w:cs="Arial"/>
                <w:color w:val="000000"/>
              </w:rPr>
            </w:pPr>
            <w:r w:rsidRPr="00AC262D">
              <w:rPr>
                <w:rFonts w:ascii="Arial" w:eastAsia="Times New Roman" w:hAnsi="Arial" w:cs="Arial"/>
                <w:color w:val="000000"/>
              </w:rPr>
              <w:t>5%</w:t>
            </w:r>
          </w:p>
        </w:tc>
        <w:tc>
          <w:tcPr>
            <w:tcW w:w="2099" w:type="dxa"/>
            <w:tcBorders>
              <w:top w:val="nil"/>
              <w:left w:val="nil"/>
              <w:bottom w:val="single" w:sz="4" w:space="0" w:color="auto"/>
              <w:right w:val="single" w:sz="4" w:space="0" w:color="auto"/>
            </w:tcBorders>
            <w:shd w:val="clear" w:color="auto" w:fill="auto"/>
            <w:vAlign w:val="center"/>
          </w:tcPr>
          <w:p w14:paraId="2A62BA22" w14:textId="260B13CB"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AC262D" w:rsidRPr="00AC262D" w14:paraId="0B269583" w14:textId="77777777" w:rsidTr="005366BC">
        <w:trPr>
          <w:trHeight w:val="347"/>
          <w:jc w:val="center"/>
        </w:trPr>
        <w:tc>
          <w:tcPr>
            <w:tcW w:w="3122" w:type="dxa"/>
            <w:tcBorders>
              <w:top w:val="nil"/>
              <w:left w:val="nil"/>
              <w:bottom w:val="nil"/>
              <w:right w:val="nil"/>
            </w:tcBorders>
            <w:shd w:val="clear" w:color="000000" w:fill="D9D9D9"/>
            <w:noWrap/>
            <w:vAlign w:val="bottom"/>
            <w:hideMark/>
          </w:tcPr>
          <w:p w14:paraId="0A6108BA" w14:textId="77777777" w:rsidR="00AC262D" w:rsidRPr="00AC262D" w:rsidRDefault="00AC262D" w:rsidP="00AC262D">
            <w:pPr>
              <w:spacing w:after="0" w:line="240" w:lineRule="auto"/>
              <w:rPr>
                <w:rFonts w:ascii="Arial" w:eastAsia="Times New Roman" w:hAnsi="Arial" w:cs="Arial"/>
                <w:color w:val="000000"/>
              </w:rPr>
            </w:pPr>
            <w:r w:rsidRPr="00AC262D">
              <w:rPr>
                <w:rFonts w:ascii="Arial" w:eastAsia="Times New Roman" w:hAnsi="Arial" w:cs="Arial"/>
                <w:color w:val="000000"/>
              </w:rPr>
              <w:t> </w:t>
            </w:r>
          </w:p>
        </w:tc>
        <w:tc>
          <w:tcPr>
            <w:tcW w:w="1863" w:type="dxa"/>
            <w:tcBorders>
              <w:top w:val="nil"/>
              <w:left w:val="nil"/>
              <w:bottom w:val="nil"/>
              <w:right w:val="nil"/>
            </w:tcBorders>
            <w:shd w:val="clear" w:color="000000" w:fill="D9D9D9"/>
            <w:vAlign w:val="center"/>
            <w:hideMark/>
          </w:tcPr>
          <w:p w14:paraId="479887DC" w14:textId="77777777" w:rsidR="00AC262D" w:rsidRPr="00AC262D" w:rsidRDefault="00AC262D" w:rsidP="00AC262D">
            <w:pPr>
              <w:spacing w:after="0" w:line="240" w:lineRule="auto"/>
              <w:jc w:val="center"/>
              <w:rPr>
                <w:rFonts w:ascii="Arial" w:eastAsia="Times New Roman" w:hAnsi="Arial" w:cs="Arial"/>
                <w:b/>
                <w:bCs/>
                <w:color w:val="000000"/>
              </w:rPr>
            </w:pPr>
            <w:r w:rsidRPr="00AC262D">
              <w:rPr>
                <w:rFonts w:ascii="Arial" w:eastAsia="Times New Roman" w:hAnsi="Arial" w:cs="Arial"/>
                <w:b/>
                <w:bCs/>
                <w:color w:val="000000"/>
              </w:rPr>
              <w:t> </w:t>
            </w:r>
          </w:p>
        </w:tc>
        <w:tc>
          <w:tcPr>
            <w:tcW w:w="2178" w:type="dxa"/>
            <w:tcBorders>
              <w:top w:val="nil"/>
              <w:left w:val="nil"/>
              <w:bottom w:val="nil"/>
              <w:right w:val="nil"/>
            </w:tcBorders>
            <w:shd w:val="clear" w:color="000000" w:fill="D9D9D9"/>
            <w:vAlign w:val="center"/>
            <w:hideMark/>
          </w:tcPr>
          <w:p w14:paraId="41A0D6EB" w14:textId="77777777" w:rsidR="00AC262D" w:rsidRPr="00AC262D" w:rsidRDefault="00AC262D" w:rsidP="00AC262D">
            <w:pPr>
              <w:spacing w:after="0" w:line="240" w:lineRule="auto"/>
              <w:jc w:val="right"/>
              <w:rPr>
                <w:rFonts w:ascii="Arial" w:eastAsia="Times New Roman" w:hAnsi="Arial" w:cs="Arial"/>
                <w:color w:val="000000"/>
              </w:rPr>
            </w:pPr>
            <w:r w:rsidRPr="00AC262D">
              <w:rPr>
                <w:rFonts w:ascii="Arial" w:eastAsia="Times New Roman" w:hAnsi="Arial" w:cs="Arial"/>
                <w:color w:val="000000"/>
              </w:rPr>
              <w:t>Total of Weighted Day Rates (sum of column C) = D</w:t>
            </w:r>
          </w:p>
        </w:tc>
        <w:tc>
          <w:tcPr>
            <w:tcW w:w="2099" w:type="dxa"/>
            <w:tcBorders>
              <w:top w:val="nil"/>
              <w:left w:val="single" w:sz="8" w:space="0" w:color="auto"/>
              <w:bottom w:val="single" w:sz="8" w:space="0" w:color="auto"/>
              <w:right w:val="single" w:sz="8" w:space="0" w:color="auto"/>
            </w:tcBorders>
            <w:shd w:val="clear" w:color="auto" w:fill="auto"/>
            <w:vAlign w:val="center"/>
          </w:tcPr>
          <w:p w14:paraId="5261C099" w14:textId="12032399" w:rsidR="00AC262D" w:rsidRPr="00AC262D" w:rsidRDefault="005366BC" w:rsidP="00AC262D">
            <w:pPr>
              <w:spacing w:after="0" w:line="240" w:lineRule="auto"/>
              <w:jc w:val="center"/>
              <w:rPr>
                <w:rFonts w:ascii="Arial" w:eastAsia="Times New Roman" w:hAnsi="Arial" w:cs="Arial"/>
                <w:color w:val="000000"/>
              </w:rPr>
            </w:pPr>
            <w:r>
              <w:rPr>
                <w:rFonts w:ascii="Arial" w:eastAsia="Times New Roman" w:hAnsi="Arial" w:cs="Arial"/>
                <w:color w:val="000000"/>
              </w:rPr>
              <w:t>£</w:t>
            </w:r>
          </w:p>
        </w:tc>
      </w:tr>
    </w:tbl>
    <w:p w14:paraId="42CBBCA9" w14:textId="7AEA3B03" w:rsidR="00AC262D" w:rsidRPr="00AC262D" w:rsidRDefault="00AC262D" w:rsidP="00AC262D">
      <w:pPr>
        <w:pStyle w:val="Style9"/>
        <w:numPr>
          <w:ilvl w:val="0"/>
          <w:numId w:val="0"/>
        </w:numPr>
        <w:ind w:left="2160"/>
      </w:pPr>
      <w:r>
        <w:t xml:space="preserve"> </w:t>
      </w:r>
    </w:p>
    <w:p w14:paraId="244F819E" w14:textId="5B3E9553" w:rsidR="003C612B" w:rsidRPr="00DD0E38" w:rsidRDefault="003C612B" w:rsidP="003C612B">
      <w:pPr>
        <w:pStyle w:val="Style9"/>
      </w:pPr>
      <w:r w:rsidRPr="00DD0E38">
        <w:t xml:space="preserve">The </w:t>
      </w:r>
      <w:r>
        <w:t xml:space="preserve">instructions in this section </w:t>
      </w:r>
      <w:r w:rsidR="005A6F5B">
        <w:t>11.</w:t>
      </w:r>
      <w:r w:rsidR="004F0D25">
        <w:t>6 and 11.</w:t>
      </w:r>
      <w:r w:rsidR="005A6F5B">
        <w:t>7</w:t>
      </w:r>
      <w:r w:rsidR="004F0D25">
        <w:t xml:space="preserve"> </w:t>
      </w:r>
      <w:r w:rsidRPr="00DD0E38">
        <w:t>refer to Attachment 9</w:t>
      </w:r>
      <w:r>
        <w:t xml:space="preserve"> - Pricing Matrix</w:t>
      </w:r>
      <w:r w:rsidRPr="00DD0E38">
        <w:t xml:space="preserve"> and</w:t>
      </w:r>
      <w:r w:rsidR="004F0D25">
        <w:t xml:space="preserve"> must read these in conjunction with the instructions contained within </w:t>
      </w:r>
      <w:r w:rsidRPr="00DD0E38">
        <w:t>Attachment</w:t>
      </w:r>
      <w:r w:rsidR="004F0D25">
        <w:t xml:space="preserve"> 9 – Pricing Matrix </w:t>
      </w:r>
      <w:r>
        <w:t>and Framework Schedule 3: Framework Prices and Charging Structure</w:t>
      </w:r>
      <w:r w:rsidRPr="00DD0E38">
        <w:t xml:space="preserve">.  </w:t>
      </w:r>
    </w:p>
    <w:p w14:paraId="4307CC91" w14:textId="79E54B2F" w:rsidR="00B2353A" w:rsidRPr="00B2353A" w:rsidRDefault="00B2353A" w:rsidP="00B2353A">
      <w:pPr>
        <w:pStyle w:val="Style9"/>
      </w:pPr>
      <w:r>
        <w:t>P</w:t>
      </w:r>
      <w:r w:rsidR="003C612B" w:rsidRPr="009F5FF7">
        <w:t>ricing will be evaluated on the basis of a ‘</w:t>
      </w:r>
      <w:r>
        <w:t>Total of Weighted Day Rates’.</w:t>
      </w:r>
    </w:p>
    <w:p w14:paraId="50445336" w14:textId="000FB7B3" w:rsidR="00B2353A" w:rsidRDefault="00B2353A" w:rsidP="00B2353A">
      <w:pPr>
        <w:pStyle w:val="Style9"/>
      </w:pPr>
      <w:r w:rsidRPr="00BF7318">
        <w:t xml:space="preserve">The </w:t>
      </w:r>
      <w:r>
        <w:t>‘Total of Weighted Day Rates’</w:t>
      </w:r>
      <w:r w:rsidR="005A6F5B">
        <w:t xml:space="preserve"> </w:t>
      </w:r>
      <w:r w:rsidRPr="00BF7318">
        <w:t xml:space="preserve">will be </w:t>
      </w:r>
      <w:r w:rsidR="00AC3709">
        <w:t>the sum of</w:t>
      </w:r>
      <w:r>
        <w:t xml:space="preserve"> the ‘Weighted Day Rate’ for each Grade listed</w:t>
      </w:r>
      <w:r w:rsidR="00AC3709">
        <w:t xml:space="preserve"> in column C</w:t>
      </w:r>
      <w:r>
        <w:t xml:space="preserve"> above. </w:t>
      </w:r>
    </w:p>
    <w:p w14:paraId="34AAE290" w14:textId="4CDC38F0" w:rsidR="003C612B" w:rsidRPr="003C612B" w:rsidRDefault="00AC3709" w:rsidP="00AC3709">
      <w:pPr>
        <w:pStyle w:val="Style9"/>
      </w:pPr>
      <w:r>
        <w:t>The Weighted Day Rates will be calculated by multiplying t</w:t>
      </w:r>
      <w:r w:rsidR="004F0D25">
        <w:t>he ‘Day Rate’ per Grade as set out</w:t>
      </w:r>
      <w:r>
        <w:t xml:space="preserve"> in Colu</w:t>
      </w:r>
      <w:r w:rsidR="004F0D25">
        <w:t>mn A by the ‘Weighting’ as set out</w:t>
      </w:r>
      <w:r>
        <w:t xml:space="preserve"> in Column B. </w:t>
      </w:r>
    </w:p>
    <w:p w14:paraId="5E8ADAF4" w14:textId="39E0E6E6" w:rsidR="009A6808" w:rsidRPr="00AC3709" w:rsidRDefault="00904E7F" w:rsidP="00AC3709">
      <w:pPr>
        <w:pStyle w:val="Style9"/>
        <w:ind w:left="2127" w:hanging="709"/>
      </w:pPr>
      <w:r w:rsidRPr="00B85692">
        <w:lastRenderedPageBreak/>
        <w:t xml:space="preserve">The Potential </w:t>
      </w:r>
      <w:r w:rsidR="00E36040" w:rsidRPr="00B85692">
        <w:t>Provider</w:t>
      </w:r>
      <w:r w:rsidR="00A52E1B">
        <w:t>s</w:t>
      </w:r>
      <w:r w:rsidR="00E36040" w:rsidRPr="00B85692">
        <w:t xml:space="preserve"> </w:t>
      </w:r>
      <w:r w:rsidR="00E36040">
        <w:t>will</w:t>
      </w:r>
      <w:r w:rsidR="00523B5B">
        <w:t xml:space="preserve"> be ranked</w:t>
      </w:r>
      <w:r w:rsidR="000703D3">
        <w:t xml:space="preserve"> from lowest </w:t>
      </w:r>
      <w:r w:rsidR="00AC3709">
        <w:t>‘</w:t>
      </w:r>
      <w:r w:rsidR="000703D3">
        <w:t>Total Weighted Day Rates</w:t>
      </w:r>
      <w:r w:rsidR="00AC3709">
        <w:t>’</w:t>
      </w:r>
      <w:r w:rsidR="00523B5B">
        <w:t xml:space="preserve"> </w:t>
      </w:r>
      <w:r w:rsidR="000703D3">
        <w:t>P</w:t>
      </w:r>
      <w:r w:rsidR="00523B5B">
        <w:t>rice</w:t>
      </w:r>
      <w:r w:rsidR="00AC3709">
        <w:t xml:space="preserve"> to the highest;</w:t>
      </w:r>
      <w:r w:rsidR="00523B5B">
        <w:t xml:space="preserve"> and will be awarded a percentage of the Maximum Score </w:t>
      </w:r>
      <w:r w:rsidR="005A6F5B">
        <w:t>A</w:t>
      </w:r>
      <w:r w:rsidR="00E36040">
        <w:t>vailable</w:t>
      </w:r>
      <w:r w:rsidR="00523B5B">
        <w:t xml:space="preserve"> on a reducing basis</w:t>
      </w:r>
      <w:r w:rsidRPr="00B85692">
        <w:t>.</w:t>
      </w:r>
      <w:r w:rsidR="00523B5B">
        <w:t xml:space="preserve"> The process is illustrated in the example below</w:t>
      </w:r>
      <w:r w:rsidR="00AC3709">
        <w:t>.</w:t>
      </w:r>
    </w:p>
    <w:p w14:paraId="5219DA30" w14:textId="41E85C9C" w:rsidR="003414C1" w:rsidRPr="00B64CE3" w:rsidRDefault="006F7FF4" w:rsidP="009A6808">
      <w:pPr>
        <w:pStyle w:val="Style9"/>
        <w:ind w:left="2325" w:hanging="851"/>
        <w:rPr>
          <w:rFonts w:eastAsia="STZhongsong" w:cs="Times New Roman"/>
          <w:szCs w:val="20"/>
          <w:lang w:eastAsia="zh-CN"/>
        </w:rPr>
      </w:pPr>
      <w:r w:rsidRPr="00B85692">
        <w:t xml:space="preserve">The calculation used is as follows: </w:t>
      </w:r>
    </w:p>
    <w:tbl>
      <w:tblPr>
        <w:tblpPr w:leftFromText="180" w:rightFromText="180" w:vertAnchor="text" w:horzAnchor="page" w:tblpX="1701" w:tblpY="37"/>
        <w:tblW w:w="7953" w:type="dxa"/>
        <w:tblLook w:val="04A0" w:firstRow="1" w:lastRow="0" w:firstColumn="1" w:lastColumn="0" w:noHBand="0" w:noVBand="1"/>
      </w:tblPr>
      <w:tblGrid>
        <w:gridCol w:w="2119"/>
        <w:gridCol w:w="3580"/>
        <w:gridCol w:w="2254"/>
      </w:tblGrid>
      <w:tr w:rsidR="00AC3709" w:rsidRPr="006F7FF4" w14:paraId="2C9FFA67" w14:textId="77777777" w:rsidTr="00AC3709">
        <w:trPr>
          <w:trHeight w:val="423"/>
        </w:trPr>
        <w:tc>
          <w:tcPr>
            <w:tcW w:w="2119" w:type="dxa"/>
            <w:vMerge w:val="restart"/>
            <w:shd w:val="clear" w:color="auto" w:fill="auto"/>
            <w:noWrap/>
            <w:vAlign w:val="center"/>
            <w:hideMark/>
          </w:tcPr>
          <w:p w14:paraId="663AB091" w14:textId="77777777" w:rsidR="00AC3709" w:rsidRPr="006F7FF4" w:rsidRDefault="00AC3709" w:rsidP="00AC3709">
            <w:pPr>
              <w:spacing w:after="0" w:line="240" w:lineRule="auto"/>
              <w:ind w:left="680"/>
              <w:jc w:val="center"/>
              <w:rPr>
                <w:rFonts w:ascii="Arial" w:eastAsia="Times New Roman" w:hAnsi="Arial" w:cs="Arial"/>
                <w:color w:val="000000"/>
              </w:rPr>
            </w:pPr>
            <w:r>
              <w:rPr>
                <w:rFonts w:ascii="Arial" w:eastAsia="Times New Roman" w:hAnsi="Arial" w:cs="Arial"/>
                <w:color w:val="000000"/>
              </w:rPr>
              <w:t>Score</w:t>
            </w:r>
            <w:r w:rsidRPr="006F7FF4">
              <w:rPr>
                <w:rFonts w:ascii="Arial" w:eastAsia="Times New Roman" w:hAnsi="Arial" w:cs="Arial"/>
                <w:color w:val="000000"/>
              </w:rPr>
              <w:t xml:space="preserve"> =</w:t>
            </w:r>
          </w:p>
        </w:tc>
        <w:tc>
          <w:tcPr>
            <w:tcW w:w="3580" w:type="dxa"/>
            <w:shd w:val="clear" w:color="auto" w:fill="auto"/>
            <w:noWrap/>
            <w:vAlign w:val="center"/>
            <w:hideMark/>
          </w:tcPr>
          <w:p w14:paraId="7494AB06" w14:textId="21C30ABC" w:rsidR="00AC3709" w:rsidRPr="006F7FF4" w:rsidRDefault="00AC3709" w:rsidP="00AC3709">
            <w:pPr>
              <w:spacing w:after="0" w:line="240" w:lineRule="auto"/>
              <w:ind w:left="680"/>
              <w:jc w:val="center"/>
              <w:rPr>
                <w:rFonts w:ascii="Arial" w:eastAsia="Times New Roman" w:hAnsi="Arial" w:cs="Arial"/>
                <w:color w:val="000000"/>
              </w:rPr>
            </w:pPr>
            <w:r w:rsidRPr="006F7FF4">
              <w:rPr>
                <w:rFonts w:ascii="Arial" w:eastAsia="Times New Roman" w:hAnsi="Arial" w:cs="Arial"/>
                <w:color w:val="000000"/>
                <w:sz w:val="20"/>
                <w:szCs w:val="20"/>
              </w:rPr>
              <w:t>Lowest</w:t>
            </w:r>
            <w:r>
              <w:rPr>
                <w:rFonts w:ascii="Arial" w:eastAsia="Times New Roman" w:hAnsi="Arial" w:cs="Arial"/>
                <w:color w:val="000000"/>
                <w:sz w:val="20"/>
                <w:szCs w:val="20"/>
              </w:rPr>
              <w:t xml:space="preserve"> ‘Total of Weighted D</w:t>
            </w:r>
            <w:r w:rsidR="00D85FB3">
              <w:rPr>
                <w:rFonts w:ascii="Arial" w:eastAsia="Times New Roman" w:hAnsi="Arial" w:cs="Arial"/>
                <w:color w:val="000000"/>
                <w:sz w:val="20"/>
                <w:szCs w:val="20"/>
              </w:rPr>
              <w:t>ay</w:t>
            </w:r>
            <w:r>
              <w:rPr>
                <w:rFonts w:ascii="Arial" w:eastAsia="Times New Roman" w:hAnsi="Arial" w:cs="Arial"/>
                <w:color w:val="000000"/>
                <w:sz w:val="20"/>
                <w:szCs w:val="20"/>
              </w:rPr>
              <w:t xml:space="preserve"> Rate</w:t>
            </w:r>
            <w:r w:rsidR="00D85FB3">
              <w:rPr>
                <w:rFonts w:ascii="Arial" w:eastAsia="Times New Roman" w:hAnsi="Arial" w:cs="Arial"/>
                <w:color w:val="000000"/>
                <w:sz w:val="20"/>
                <w:szCs w:val="20"/>
              </w:rPr>
              <w:t>s</w:t>
            </w:r>
            <w:r>
              <w:rPr>
                <w:rFonts w:ascii="Arial" w:eastAsia="Times New Roman" w:hAnsi="Arial" w:cs="Arial"/>
                <w:color w:val="000000"/>
                <w:sz w:val="20"/>
                <w:szCs w:val="20"/>
              </w:rPr>
              <w:t>’</w:t>
            </w:r>
            <w:r w:rsidRPr="006F7FF4">
              <w:rPr>
                <w:rFonts w:ascii="Arial" w:eastAsia="Times New Roman" w:hAnsi="Arial" w:cs="Arial"/>
                <w:color w:val="000000"/>
                <w:sz w:val="20"/>
                <w:szCs w:val="20"/>
              </w:rPr>
              <w:t xml:space="preserve"> Tendered</w:t>
            </w:r>
            <w:r>
              <w:rPr>
                <w:rFonts w:ascii="Arial" w:eastAsia="Times New Roman" w:hAnsi="Arial" w:cs="Arial"/>
                <w:color w:val="000000"/>
                <w:sz w:val="20"/>
                <w:szCs w:val="20"/>
              </w:rPr>
              <w:t xml:space="preserve"> Price</w:t>
            </w:r>
          </w:p>
          <w:p w14:paraId="06720B28" w14:textId="77777777" w:rsidR="00AC3709" w:rsidRPr="006F7FF4" w:rsidRDefault="00AC3709" w:rsidP="00AC3709">
            <w:pPr>
              <w:spacing w:after="0" w:line="240" w:lineRule="auto"/>
              <w:ind w:left="680"/>
              <w:jc w:val="center"/>
              <w:rPr>
                <w:rFonts w:ascii="Arial" w:eastAsia="Times New Roman" w:hAnsi="Arial" w:cs="Arial"/>
                <w:color w:val="000000"/>
                <w:u w:val="single"/>
              </w:rPr>
            </w:pPr>
            <w:r w:rsidRPr="0048081B">
              <w:rPr>
                <w:rFonts w:ascii="Arial" w:eastAsia="Times New Roman" w:hAnsi="Arial" w:cs="Arial"/>
                <w:noProof/>
                <w:color w:val="000000"/>
              </w:rPr>
              <mc:AlternateContent>
                <mc:Choice Requires="wps">
                  <w:drawing>
                    <wp:anchor distT="0" distB="0" distL="114300" distR="114300" simplePos="0" relativeHeight="251659264" behindDoc="0" locked="0" layoutInCell="1" allowOverlap="1" wp14:anchorId="07AADF87" wp14:editId="414DF57D">
                      <wp:simplePos x="0" y="0"/>
                      <wp:positionH relativeFrom="column">
                        <wp:posOffset>-20320</wp:posOffset>
                      </wp:positionH>
                      <wp:positionV relativeFrom="paragraph">
                        <wp:posOffset>46355</wp:posOffset>
                      </wp:positionV>
                      <wp:extent cx="2489200" cy="0"/>
                      <wp:effectExtent l="8255" t="8255" r="7620" b="1079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3AF7D" id="_x0000_t32" coordsize="21600,21600" o:spt="32" o:oned="t" path="m,l21600,21600e" filled="f">
                      <v:path arrowok="t" fillok="f" o:connecttype="none"/>
                      <o:lock v:ext="edit" shapetype="t"/>
                    </v:shapetype>
                    <v:shape id="AutoShape 12" o:spid="_x0000_s1026" type="#_x0000_t32" style="position:absolute;margin-left:-1.6pt;margin-top:3.65pt;width:1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b2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nGCky&#10;wIqe9l7HyijLw3xG40oIq9XWhg7pUb2YZ02/O6R03RPV8Rj9ejKQnIWM5E1KuDgDVXbjZ80ghkCB&#10;OKxja4cACWNAx7iT020n/OgRhY95MV/AojGiV19Cymuisc5/4npAwaiw85aIrve1Vgo2r20Wy5DD&#10;s/OBFimvCaGq0hshZRSAVGis8GKWz2KC01Kw4Axhzna7Wlp0IEFC8Rd7BM99mNV7xSJYzwlbX2xP&#10;hDzbUFyqgAeNAZ2LddbIj0W6WM/X82JS5A/rSZE2zeRpUxeTh032cdZ8aOq6yX4GallR9oIxrgK7&#10;q16z4u/0cHk5Z6XdFHsbQ/IWPc4LyF7/I+m42bDMsyx2mp229rpxkGgMvjyn8Abu72DfP/rVLwAA&#10;AP//AwBQSwMEFAAGAAgAAAAhAND1tUnbAAAABgEAAA8AAABkcnMvZG93bnJldi54bWxMj0FPwkAU&#10;hO8m/ofNI/FiYEsbtdRuCTHx4FEg8bp0H22l+7bpbmnl1/vgosfJTGa+ydeTbcUZe984UrBcRCCQ&#10;SmcaqhTsd+/zFIQPmoxuHaGCH/SwLu7vcp0ZN9InnrehElxCPtMK6hC6TEpf1mi1X7gOib2j660O&#10;LPtKml6PXG5bGUfRs7S6IV6odYdvNZan7WAVoB+eltFmZav9x2V8/Iov32O3U+phNm1eQQScwl8Y&#10;rviMDgUzHdxAxotWwTyJOangJQHBdpKm/ORw07LI5X/84hcAAP//AwBQSwECLQAUAAYACAAAACEA&#10;toM4kv4AAADhAQAAEwAAAAAAAAAAAAAAAAAAAAAAW0NvbnRlbnRfVHlwZXNdLnhtbFBLAQItABQA&#10;BgAIAAAAIQA4/SH/1gAAAJQBAAALAAAAAAAAAAAAAAAAAC8BAABfcmVscy8ucmVsc1BLAQItABQA&#10;BgAIAAAAIQAGcCb2HwIAADwEAAAOAAAAAAAAAAAAAAAAAC4CAABkcnMvZTJvRG9jLnhtbFBLAQIt&#10;ABQABgAIAAAAIQDQ9bVJ2wAAAAYBAAAPAAAAAAAAAAAAAAAAAHkEAABkcnMvZG93bnJldi54bWxQ&#10;SwUGAAAAAAQABADzAAAAgQUAAAAA&#10;"/>
                  </w:pict>
                </mc:Fallback>
              </mc:AlternateContent>
            </w:r>
          </w:p>
        </w:tc>
        <w:tc>
          <w:tcPr>
            <w:tcW w:w="2254" w:type="dxa"/>
            <w:vMerge w:val="restart"/>
            <w:shd w:val="clear" w:color="auto" w:fill="auto"/>
            <w:noWrap/>
            <w:vAlign w:val="center"/>
            <w:hideMark/>
          </w:tcPr>
          <w:p w14:paraId="6022A850" w14:textId="79E0ED0C" w:rsidR="00AC3709" w:rsidRPr="006F7FF4" w:rsidRDefault="00AC3709" w:rsidP="00AC3709">
            <w:pPr>
              <w:spacing w:after="0" w:line="240" w:lineRule="auto"/>
              <w:ind w:left="680"/>
              <w:jc w:val="center"/>
              <w:rPr>
                <w:rFonts w:ascii="Arial" w:eastAsia="Times New Roman" w:hAnsi="Arial" w:cs="Arial"/>
                <w:color w:val="000000"/>
              </w:rPr>
            </w:pPr>
            <w:r w:rsidRPr="006F7FF4">
              <w:rPr>
                <w:rFonts w:ascii="Arial" w:eastAsia="Times New Roman" w:hAnsi="Arial" w:cs="Arial"/>
                <w:color w:val="000000"/>
              </w:rPr>
              <w:t xml:space="preserve">x  </w:t>
            </w:r>
            <w:r>
              <w:rPr>
                <w:rFonts w:ascii="Arial" w:eastAsia="Times New Roman" w:hAnsi="Arial" w:cs="Arial"/>
                <w:color w:val="000000"/>
              </w:rPr>
              <w:t>100</w:t>
            </w:r>
            <w:r w:rsidRPr="006F7FF4">
              <w:rPr>
                <w:rFonts w:ascii="Arial" w:eastAsia="Times New Roman" w:hAnsi="Arial" w:cs="Arial"/>
                <w:color w:val="000000"/>
              </w:rPr>
              <w:t xml:space="preserve">  Maximum </w:t>
            </w:r>
            <w:r>
              <w:rPr>
                <w:rFonts w:ascii="Arial" w:eastAsia="Times New Roman" w:hAnsi="Arial" w:cs="Arial"/>
                <w:color w:val="000000"/>
              </w:rPr>
              <w:t>Score</w:t>
            </w:r>
            <w:r w:rsidRPr="006F7FF4">
              <w:rPr>
                <w:rFonts w:ascii="Arial" w:eastAsia="Times New Roman" w:hAnsi="Arial" w:cs="Arial"/>
                <w:color w:val="000000"/>
              </w:rPr>
              <w:t xml:space="preserve"> </w:t>
            </w:r>
            <w:r>
              <w:rPr>
                <w:rFonts w:ascii="Arial" w:eastAsia="Times New Roman" w:hAnsi="Arial" w:cs="Arial"/>
                <w:color w:val="000000"/>
              </w:rPr>
              <w:t xml:space="preserve">     </w:t>
            </w:r>
            <w:r w:rsidRPr="006F7FF4">
              <w:rPr>
                <w:rFonts w:ascii="Arial" w:eastAsia="Times New Roman" w:hAnsi="Arial" w:cs="Arial"/>
                <w:color w:val="000000"/>
              </w:rPr>
              <w:t>Available</w:t>
            </w:r>
          </w:p>
        </w:tc>
      </w:tr>
      <w:tr w:rsidR="00AC3709" w:rsidRPr="006F7FF4" w14:paraId="5A7CFAB5" w14:textId="77777777" w:rsidTr="00AC3709">
        <w:trPr>
          <w:trHeight w:val="547"/>
        </w:trPr>
        <w:tc>
          <w:tcPr>
            <w:tcW w:w="2119" w:type="dxa"/>
            <w:vMerge/>
            <w:vAlign w:val="center"/>
            <w:hideMark/>
          </w:tcPr>
          <w:p w14:paraId="10560621" w14:textId="77777777" w:rsidR="00AC3709" w:rsidRPr="006F7FF4" w:rsidRDefault="00AC3709" w:rsidP="00AC3709">
            <w:pPr>
              <w:spacing w:after="0" w:line="240" w:lineRule="auto"/>
              <w:ind w:left="680"/>
              <w:rPr>
                <w:rFonts w:ascii="Calibri" w:eastAsia="Times New Roman" w:hAnsi="Calibri" w:cs="Times New Roman"/>
                <w:color w:val="000000"/>
              </w:rPr>
            </w:pPr>
          </w:p>
        </w:tc>
        <w:tc>
          <w:tcPr>
            <w:tcW w:w="3580" w:type="dxa"/>
            <w:shd w:val="clear" w:color="auto" w:fill="auto"/>
            <w:noWrap/>
            <w:vAlign w:val="center"/>
            <w:hideMark/>
          </w:tcPr>
          <w:p w14:paraId="4F35E91E" w14:textId="018E1000" w:rsidR="00AC3709" w:rsidRPr="006F7FF4" w:rsidRDefault="00AC3709" w:rsidP="00AC3709">
            <w:pPr>
              <w:pStyle w:val="BodyText"/>
              <w:spacing w:line="197" w:lineRule="exact"/>
              <w:ind w:left="720"/>
              <w:jc w:val="center"/>
              <w:rPr>
                <w:rFonts w:cs="Arial"/>
                <w:color w:val="000000"/>
              </w:rPr>
            </w:pPr>
            <w:r>
              <w:rPr>
                <w:rFonts w:cs="Arial"/>
                <w:spacing w:val="1"/>
              </w:rPr>
              <w:t xml:space="preserve">Potential Providers </w:t>
            </w:r>
            <w:r>
              <w:rPr>
                <w:rFonts w:cs="Arial"/>
                <w:color w:val="000000"/>
              </w:rPr>
              <w:t>‘Total of Weighted D</w:t>
            </w:r>
            <w:r w:rsidR="00D85FB3">
              <w:rPr>
                <w:rFonts w:cs="Arial"/>
                <w:color w:val="000000"/>
              </w:rPr>
              <w:t>ay</w:t>
            </w:r>
            <w:r>
              <w:rPr>
                <w:rFonts w:cs="Arial"/>
                <w:color w:val="000000"/>
              </w:rPr>
              <w:t xml:space="preserve"> Rate</w:t>
            </w:r>
            <w:r w:rsidR="00D85FB3">
              <w:rPr>
                <w:rFonts w:cs="Arial"/>
                <w:color w:val="000000"/>
              </w:rPr>
              <w:t>s</w:t>
            </w:r>
            <w:r>
              <w:rPr>
                <w:rFonts w:cs="Arial"/>
                <w:color w:val="000000"/>
              </w:rPr>
              <w:t>’</w:t>
            </w:r>
            <w:r w:rsidRPr="006F7FF4">
              <w:rPr>
                <w:rFonts w:cs="Arial"/>
                <w:spacing w:val="1"/>
              </w:rPr>
              <w:t xml:space="preserve"> Tender</w:t>
            </w:r>
            <w:r>
              <w:rPr>
                <w:rFonts w:cs="Arial"/>
                <w:spacing w:val="1"/>
              </w:rPr>
              <w:t>ed</w:t>
            </w:r>
            <w:r w:rsidRPr="006F7FF4">
              <w:rPr>
                <w:rFonts w:cs="Arial"/>
                <w:spacing w:val="1"/>
              </w:rPr>
              <w:t xml:space="preserve"> </w:t>
            </w:r>
            <w:r>
              <w:rPr>
                <w:rFonts w:cs="Arial"/>
                <w:spacing w:val="1"/>
              </w:rPr>
              <w:t>Price</w:t>
            </w:r>
            <w:r w:rsidRPr="006F7FF4">
              <w:rPr>
                <w:rFonts w:cs="Arial"/>
                <w:spacing w:val="1"/>
              </w:rPr>
              <w:t xml:space="preserve"> </w:t>
            </w:r>
            <w:r w:rsidRPr="0048081B">
              <w:rPr>
                <w:rFonts w:cs="Arial"/>
                <w:spacing w:val="1"/>
              </w:rPr>
              <w:t xml:space="preserve"> </w:t>
            </w:r>
          </w:p>
        </w:tc>
        <w:tc>
          <w:tcPr>
            <w:tcW w:w="2254" w:type="dxa"/>
            <w:vMerge/>
            <w:vAlign w:val="center"/>
            <w:hideMark/>
          </w:tcPr>
          <w:p w14:paraId="623D0886" w14:textId="77777777" w:rsidR="00AC3709" w:rsidRPr="006F7FF4" w:rsidRDefault="00AC3709" w:rsidP="00AC3709">
            <w:pPr>
              <w:spacing w:after="0" w:line="240" w:lineRule="auto"/>
              <w:ind w:left="680"/>
              <w:rPr>
                <w:rFonts w:ascii="Calibri" w:eastAsia="Times New Roman" w:hAnsi="Calibri" w:cs="Times New Roman"/>
                <w:color w:val="000000"/>
              </w:rPr>
            </w:pPr>
          </w:p>
        </w:tc>
      </w:tr>
      <w:tr w:rsidR="00AC3709" w:rsidRPr="006F7FF4" w14:paraId="61563418" w14:textId="77777777" w:rsidTr="00AC3709">
        <w:trPr>
          <w:trHeight w:val="547"/>
        </w:trPr>
        <w:tc>
          <w:tcPr>
            <w:tcW w:w="2119" w:type="dxa"/>
            <w:vAlign w:val="center"/>
          </w:tcPr>
          <w:p w14:paraId="7A74132C" w14:textId="77777777" w:rsidR="00AC3709" w:rsidRPr="006F7FF4" w:rsidRDefault="00AC3709" w:rsidP="00AC3709">
            <w:pPr>
              <w:spacing w:after="0" w:line="240" w:lineRule="auto"/>
              <w:rPr>
                <w:rFonts w:ascii="Calibri" w:eastAsia="Times New Roman" w:hAnsi="Calibri" w:cs="Times New Roman"/>
                <w:color w:val="000000"/>
              </w:rPr>
            </w:pPr>
          </w:p>
        </w:tc>
        <w:tc>
          <w:tcPr>
            <w:tcW w:w="3580" w:type="dxa"/>
            <w:shd w:val="clear" w:color="auto" w:fill="auto"/>
            <w:noWrap/>
            <w:vAlign w:val="center"/>
          </w:tcPr>
          <w:p w14:paraId="5210766B" w14:textId="77777777" w:rsidR="00AC3709" w:rsidRPr="006F7FF4" w:rsidRDefault="00AC3709" w:rsidP="00AC3709">
            <w:pPr>
              <w:pStyle w:val="BodyText"/>
              <w:spacing w:line="197" w:lineRule="exact"/>
              <w:ind w:left="720"/>
              <w:jc w:val="center"/>
              <w:rPr>
                <w:rFonts w:cs="Arial"/>
                <w:spacing w:val="1"/>
              </w:rPr>
            </w:pPr>
          </w:p>
        </w:tc>
        <w:tc>
          <w:tcPr>
            <w:tcW w:w="2254" w:type="dxa"/>
            <w:vAlign w:val="center"/>
          </w:tcPr>
          <w:p w14:paraId="5C9BD564" w14:textId="77777777" w:rsidR="00AC3709" w:rsidRPr="006F7FF4" w:rsidRDefault="00AC3709" w:rsidP="00AC3709">
            <w:pPr>
              <w:spacing w:after="0" w:line="240" w:lineRule="auto"/>
              <w:ind w:left="680"/>
              <w:rPr>
                <w:rFonts w:ascii="Calibri" w:eastAsia="Times New Roman" w:hAnsi="Calibri" w:cs="Times New Roman"/>
                <w:color w:val="000000"/>
              </w:rPr>
            </w:pPr>
          </w:p>
        </w:tc>
      </w:tr>
    </w:tbl>
    <w:p w14:paraId="6E452BEA" w14:textId="77777777" w:rsidR="001C6940" w:rsidRPr="006F7FF4" w:rsidRDefault="001C6940">
      <w:pPr>
        <w:pStyle w:val="Heading1"/>
        <w:numPr>
          <w:ilvl w:val="0"/>
          <w:numId w:val="0"/>
        </w:numPr>
        <w:ind w:left="737" w:hanging="737"/>
      </w:pPr>
    </w:p>
    <w:p w14:paraId="66CFA622" w14:textId="77777777" w:rsidR="00AC3709" w:rsidRPr="00AC3709" w:rsidRDefault="00AC3709" w:rsidP="00AC3709">
      <w:pPr>
        <w:pStyle w:val="Style9"/>
        <w:numPr>
          <w:ilvl w:val="0"/>
          <w:numId w:val="0"/>
        </w:numPr>
        <w:spacing w:before="360"/>
        <w:ind w:left="2382"/>
      </w:pPr>
    </w:p>
    <w:p w14:paraId="400EA71E" w14:textId="77777777" w:rsidR="00AC3709" w:rsidRPr="00AC3709" w:rsidRDefault="00AC3709" w:rsidP="00AC3709">
      <w:pPr>
        <w:pStyle w:val="Style9"/>
        <w:numPr>
          <w:ilvl w:val="0"/>
          <w:numId w:val="0"/>
        </w:numPr>
        <w:spacing w:before="360"/>
        <w:ind w:left="2382"/>
      </w:pPr>
    </w:p>
    <w:p w14:paraId="0D2E0F21" w14:textId="77777777" w:rsidR="00AC3709" w:rsidRPr="00AC3709" w:rsidRDefault="00AC3709" w:rsidP="00AC3709">
      <w:pPr>
        <w:pStyle w:val="Style9"/>
        <w:numPr>
          <w:ilvl w:val="0"/>
          <w:numId w:val="0"/>
        </w:numPr>
        <w:spacing w:before="360"/>
      </w:pPr>
    </w:p>
    <w:p w14:paraId="1760FD88" w14:textId="595A6CB9" w:rsidR="00AF0447" w:rsidRPr="00AF0447" w:rsidRDefault="00AF0447" w:rsidP="00AF0447">
      <w:pPr>
        <w:pStyle w:val="Style9"/>
        <w:ind w:left="2126" w:hanging="567"/>
      </w:pPr>
      <w:r w:rsidRPr="00C17984">
        <w:t xml:space="preserve">The </w:t>
      </w:r>
      <w:r w:rsidR="00C17984" w:rsidRPr="00C17984">
        <w:t>score</w:t>
      </w:r>
      <w:r w:rsidRPr="00C17984">
        <w:t xml:space="preserve"> awarded will be </w:t>
      </w:r>
      <w:r w:rsidR="001253D6" w:rsidRPr="00C17984">
        <w:t>multiplied</w:t>
      </w:r>
      <w:r w:rsidRPr="00C17984">
        <w:t xml:space="preserve"> by the Price Evaluation weighting of</w:t>
      </w:r>
      <w:r w:rsidRPr="00AF0447">
        <w:t xml:space="preserve"> 30% to arrive at the Potential Providers overall Price Score.</w:t>
      </w:r>
    </w:p>
    <w:p w14:paraId="45B245B8" w14:textId="6D7FD2A6" w:rsidR="00D8204E" w:rsidRPr="00AF0447" w:rsidRDefault="00D8204E" w:rsidP="00B64CE3">
      <w:pPr>
        <w:pStyle w:val="Style9"/>
        <w:ind w:left="2382"/>
      </w:pPr>
      <w:r w:rsidRPr="00AF0447">
        <w:t>Pleas</w:t>
      </w:r>
      <w:r w:rsidR="00AF0447" w:rsidRPr="00AF0447">
        <w:t>e see worked example at Annex 1</w:t>
      </w:r>
    </w:p>
    <w:p w14:paraId="6EB2A305" w14:textId="77777777" w:rsidR="001C6940" w:rsidRPr="00DC631D" w:rsidRDefault="00FB312E" w:rsidP="00DC631D">
      <w:pPr>
        <w:pStyle w:val="Style8"/>
        <w:rPr>
          <w:b/>
        </w:rPr>
      </w:pPr>
      <w:r w:rsidRPr="00DC631D">
        <w:rPr>
          <w:b/>
        </w:rPr>
        <w:t>Price Evaluation methodology</w:t>
      </w:r>
    </w:p>
    <w:p w14:paraId="5624F020" w14:textId="5B0C9ABC" w:rsidR="00A93A1E" w:rsidRPr="00B85692" w:rsidRDefault="002A6C07" w:rsidP="00024C87">
      <w:pPr>
        <w:pStyle w:val="Style9"/>
        <w:ind w:left="2325" w:hanging="851"/>
      </w:pPr>
      <w:r w:rsidRPr="00B85692">
        <w:t xml:space="preserve">The Price Evaluation </w:t>
      </w:r>
      <w:r w:rsidR="00E91BC4" w:rsidRPr="00B85692">
        <w:t>P</w:t>
      </w:r>
      <w:r w:rsidR="0058734C" w:rsidRPr="00B85692">
        <w:t xml:space="preserve">rocess </w:t>
      </w:r>
      <w:r w:rsidR="00F415A0" w:rsidRPr="00B85692">
        <w:t xml:space="preserve">as described in paragraph </w:t>
      </w:r>
      <w:r w:rsidR="00650D45">
        <w:t>11.</w:t>
      </w:r>
      <w:r w:rsidR="005A6F5B">
        <w:t>7</w:t>
      </w:r>
      <w:r w:rsidR="003A443D" w:rsidRPr="00B85692">
        <w:t xml:space="preserve"> </w:t>
      </w:r>
      <w:r w:rsidR="0058734C" w:rsidRPr="00B85692">
        <w:t>will be undertaken by different evaluators to those individuals involv</w:t>
      </w:r>
      <w:r w:rsidRPr="00B85692">
        <w:t>ed with the Quality Evaluation p</w:t>
      </w:r>
      <w:r w:rsidR="0058734C" w:rsidRPr="00B85692">
        <w:t>rocess.</w:t>
      </w:r>
    </w:p>
    <w:p w14:paraId="621CD876" w14:textId="77777777" w:rsidR="00A93A1E" w:rsidRPr="00B85692" w:rsidRDefault="0058734C" w:rsidP="00024C87">
      <w:pPr>
        <w:pStyle w:val="Style9"/>
        <w:ind w:left="2325" w:hanging="851"/>
      </w:pPr>
      <w:bookmarkStart w:id="89" w:name="_Ref373315614"/>
      <w:r w:rsidRPr="00B85692">
        <w:t>The Price Evaluatio</w:t>
      </w:r>
      <w:r w:rsidR="002A6C07" w:rsidRPr="00B85692">
        <w:t>n p</w:t>
      </w:r>
      <w:r w:rsidR="000E076D" w:rsidRPr="00B85692">
        <w:t>rocess and resultant ranking</w:t>
      </w:r>
      <w:r w:rsidRPr="00B85692">
        <w:t xml:space="preserve"> of </w:t>
      </w:r>
      <w:r w:rsidR="009F5FF7" w:rsidRPr="00B85692">
        <w:t xml:space="preserve">Potential Providers </w:t>
      </w:r>
      <w:r w:rsidRPr="00B85692">
        <w:t>(along with the marks awarded) will be independently checked and verified by individual(s) not previously involved in the Procurement process.</w:t>
      </w:r>
      <w:bookmarkEnd w:id="89"/>
    </w:p>
    <w:p w14:paraId="07A902BC" w14:textId="612DF600" w:rsidR="00A93A1E" w:rsidRPr="00AF0447" w:rsidRDefault="00E91BC4" w:rsidP="00024C87">
      <w:pPr>
        <w:pStyle w:val="Style9"/>
        <w:ind w:left="2325" w:hanging="851"/>
      </w:pPr>
      <w:r w:rsidRPr="000703D3">
        <w:t xml:space="preserve">Annex </w:t>
      </w:r>
      <w:r w:rsidR="00650D45" w:rsidRPr="000703D3">
        <w:t xml:space="preserve">1 </w:t>
      </w:r>
      <w:r w:rsidR="00B15B5C" w:rsidRPr="000703D3">
        <w:t>of</w:t>
      </w:r>
      <w:r w:rsidRPr="000703D3">
        <w:t xml:space="preserve"> this ITT illustrates how </w:t>
      </w:r>
      <w:r w:rsidR="000703D3" w:rsidRPr="000703D3">
        <w:t>the P</w:t>
      </w:r>
      <w:r w:rsidR="00C3145D" w:rsidRPr="000703D3">
        <w:t>rices</w:t>
      </w:r>
      <w:r w:rsidRPr="000703D3">
        <w:t xml:space="preserve"> will be evaluated. The worked example</w:t>
      </w:r>
      <w:r w:rsidR="00F71BD8" w:rsidRPr="000703D3">
        <w:t>s</w:t>
      </w:r>
      <w:r w:rsidRPr="000703D3">
        <w:t xml:space="preserve"> </w:t>
      </w:r>
      <w:r w:rsidR="00F71BD8" w:rsidRPr="000703D3">
        <w:t>are</w:t>
      </w:r>
      <w:r w:rsidRPr="000703D3">
        <w:t xml:space="preserve"> provided for illustrative purposes only; the </w:t>
      </w:r>
      <w:r w:rsidR="005A6F5B">
        <w:t>P</w:t>
      </w:r>
      <w:r w:rsidR="00DB669B" w:rsidRPr="000703D3">
        <w:t xml:space="preserve">rices </w:t>
      </w:r>
      <w:r w:rsidR="00F71BD8" w:rsidRPr="000703D3">
        <w:t xml:space="preserve">used </w:t>
      </w:r>
      <w:r w:rsidRPr="000703D3">
        <w:t xml:space="preserve">are fictitious and are provided purely to demonstrate how the Price Evaluation methodology will </w:t>
      </w:r>
      <w:r w:rsidRPr="00AF0447">
        <w:t>be applied.</w:t>
      </w:r>
    </w:p>
    <w:p w14:paraId="5083E709" w14:textId="293248F3" w:rsidR="00A93A1E" w:rsidRPr="00AF0447" w:rsidRDefault="009F5FF7" w:rsidP="00024C87">
      <w:pPr>
        <w:pStyle w:val="Style9"/>
        <w:ind w:left="2325" w:hanging="851"/>
      </w:pPr>
      <w:r w:rsidRPr="00AF0447">
        <w:t>R</w:t>
      </w:r>
      <w:r w:rsidR="00DB669B" w:rsidRPr="00AF0447">
        <w:t>o</w:t>
      </w:r>
      <w:r w:rsidRPr="00AF0447">
        <w:t>u</w:t>
      </w:r>
      <w:r w:rsidR="00DB669B" w:rsidRPr="00AF0447">
        <w:t>n</w:t>
      </w:r>
      <w:r w:rsidRPr="00AF0447">
        <w:t>di</w:t>
      </w:r>
      <w:r w:rsidR="00DB669B" w:rsidRPr="00AF0447">
        <w:t>ng</w:t>
      </w:r>
      <w:r w:rsidRPr="00AF0447">
        <w:t xml:space="preserve"> o</w:t>
      </w:r>
      <w:r w:rsidR="00DB669B" w:rsidRPr="00AF0447">
        <w:t>f</w:t>
      </w:r>
      <w:r w:rsidRPr="00AF0447">
        <w:t xml:space="preserve"> </w:t>
      </w:r>
      <w:r w:rsidR="00DB669B" w:rsidRPr="00AF0447">
        <w:t>ca</w:t>
      </w:r>
      <w:r w:rsidRPr="00AF0447">
        <w:t>l</w:t>
      </w:r>
      <w:r w:rsidR="00DB669B" w:rsidRPr="00AF0447">
        <w:t>cu</w:t>
      </w:r>
      <w:r w:rsidRPr="00AF0447">
        <w:t>l</w:t>
      </w:r>
      <w:r w:rsidR="00DB669B" w:rsidRPr="00AF0447">
        <w:t>ati</w:t>
      </w:r>
      <w:r w:rsidRPr="00AF0447">
        <w:t>o</w:t>
      </w:r>
      <w:r w:rsidR="00DB669B" w:rsidRPr="00AF0447">
        <w:t>ns</w:t>
      </w:r>
      <w:r w:rsidRPr="00AF0447">
        <w:t xml:space="preserve"> </w:t>
      </w:r>
      <w:r w:rsidR="00DB669B" w:rsidRPr="00AF0447">
        <w:t>u</w:t>
      </w:r>
      <w:r w:rsidRPr="00AF0447">
        <w:t>n</w:t>
      </w:r>
      <w:r w:rsidR="00DB669B" w:rsidRPr="00AF0447">
        <w:t>d</w:t>
      </w:r>
      <w:r w:rsidRPr="00AF0447">
        <w:t>e</w:t>
      </w:r>
      <w:r w:rsidR="00DB669B" w:rsidRPr="00AF0447">
        <w:t>rt</w:t>
      </w:r>
      <w:r w:rsidRPr="00AF0447">
        <w:t>ak</w:t>
      </w:r>
      <w:r w:rsidR="00DB669B" w:rsidRPr="00AF0447">
        <w:t>en</w:t>
      </w:r>
      <w:r w:rsidRPr="00AF0447">
        <w:t xml:space="preserve"> i</w:t>
      </w:r>
      <w:r w:rsidR="00DB669B" w:rsidRPr="00AF0447">
        <w:t>n</w:t>
      </w:r>
      <w:r w:rsidRPr="00AF0447">
        <w:t xml:space="preserve"> </w:t>
      </w:r>
      <w:r w:rsidR="00DB669B" w:rsidRPr="00AF0447">
        <w:t>the</w:t>
      </w:r>
      <w:r w:rsidRPr="00AF0447">
        <w:t xml:space="preserve"> P</w:t>
      </w:r>
      <w:r w:rsidR="00DB669B" w:rsidRPr="00AF0447">
        <w:t>r</w:t>
      </w:r>
      <w:r w:rsidRPr="00AF0447">
        <w:t>i</w:t>
      </w:r>
      <w:r w:rsidR="00DB669B" w:rsidRPr="00AF0447">
        <w:t>ce</w:t>
      </w:r>
      <w:r w:rsidRPr="00AF0447">
        <w:t xml:space="preserve"> Ev</w:t>
      </w:r>
      <w:r w:rsidR="00DB669B" w:rsidRPr="00AF0447">
        <w:t>a</w:t>
      </w:r>
      <w:r w:rsidRPr="00AF0447">
        <w:t>l</w:t>
      </w:r>
      <w:r w:rsidR="00DB669B" w:rsidRPr="00AF0447">
        <w:t>u</w:t>
      </w:r>
      <w:r w:rsidRPr="00AF0447">
        <w:t>a</w:t>
      </w:r>
      <w:r w:rsidR="00DB669B" w:rsidRPr="00AF0447">
        <w:t>t</w:t>
      </w:r>
      <w:r w:rsidRPr="00AF0447">
        <w:t>i</w:t>
      </w:r>
      <w:r w:rsidR="00DB669B" w:rsidRPr="00AF0447">
        <w:t>on</w:t>
      </w:r>
      <w:r w:rsidRPr="00AF0447">
        <w:t xml:space="preserve"> </w:t>
      </w:r>
      <w:r w:rsidR="00DB669B" w:rsidRPr="00AF0447">
        <w:t xml:space="preserve">process </w:t>
      </w:r>
      <w:r w:rsidRPr="00AF0447">
        <w:t>i</w:t>
      </w:r>
      <w:r w:rsidR="00DB669B" w:rsidRPr="00AF0447">
        <w:t>n</w:t>
      </w:r>
      <w:r w:rsidRPr="00AF0447">
        <w:t xml:space="preserve"> </w:t>
      </w:r>
      <w:r w:rsidR="00DB669B" w:rsidRPr="00AF0447">
        <w:t>th</w:t>
      </w:r>
      <w:r w:rsidRPr="00AF0447">
        <w:t>i</w:t>
      </w:r>
      <w:r w:rsidR="00DB669B" w:rsidRPr="00AF0447">
        <w:t>s</w:t>
      </w:r>
      <w:r w:rsidRPr="00AF0447">
        <w:t xml:space="preserve"> P</w:t>
      </w:r>
      <w:r w:rsidR="00DB669B" w:rsidRPr="00AF0447">
        <w:t>roc</w:t>
      </w:r>
      <w:r w:rsidRPr="00AF0447">
        <w:t>u</w:t>
      </w:r>
      <w:r w:rsidR="00DB669B" w:rsidRPr="00AF0447">
        <w:t>reme</w:t>
      </w:r>
      <w:r w:rsidRPr="00AF0447">
        <w:t>n</w:t>
      </w:r>
      <w:r w:rsidR="00DB669B" w:rsidRPr="00AF0447">
        <w:t>t</w:t>
      </w:r>
      <w:r w:rsidRPr="00AF0447">
        <w:t xml:space="preserve"> wil</w:t>
      </w:r>
      <w:r w:rsidR="00DB669B" w:rsidRPr="00AF0447">
        <w:t>l</w:t>
      </w:r>
      <w:r w:rsidRPr="00AF0447">
        <w:t xml:space="preserve"> </w:t>
      </w:r>
      <w:r w:rsidR="00DB669B" w:rsidRPr="00AF0447">
        <w:t>be</w:t>
      </w:r>
      <w:r w:rsidRPr="00AF0447">
        <w:t xml:space="preserve"> </w:t>
      </w:r>
      <w:r w:rsidR="00DB669B" w:rsidRPr="00AF0447">
        <w:t>ca</w:t>
      </w:r>
      <w:r w:rsidRPr="00AF0447">
        <w:t>l</w:t>
      </w:r>
      <w:r w:rsidR="00DB669B" w:rsidRPr="00AF0447">
        <w:t>cu</w:t>
      </w:r>
      <w:r w:rsidRPr="00AF0447">
        <w:t>l</w:t>
      </w:r>
      <w:r w:rsidR="00DB669B" w:rsidRPr="00AF0447">
        <w:t>ated</w:t>
      </w:r>
      <w:r w:rsidRPr="00AF0447">
        <w:t xml:space="preserve"> </w:t>
      </w:r>
      <w:r w:rsidR="00DB669B" w:rsidRPr="00AF0447">
        <w:t>to</w:t>
      </w:r>
      <w:r w:rsidRPr="00AF0447">
        <w:t xml:space="preserve"> </w:t>
      </w:r>
      <w:r w:rsidR="00DB669B" w:rsidRPr="00AF0447">
        <w:t>two</w:t>
      </w:r>
      <w:r w:rsidRPr="00AF0447">
        <w:t xml:space="preserve"> </w:t>
      </w:r>
      <w:r w:rsidR="00DB669B" w:rsidRPr="00AF0447">
        <w:t>d</w:t>
      </w:r>
      <w:r w:rsidRPr="00AF0447">
        <w:t>eci</w:t>
      </w:r>
      <w:r w:rsidR="00DB669B" w:rsidRPr="00AF0447">
        <w:t>mal</w:t>
      </w:r>
      <w:r w:rsidRPr="00AF0447">
        <w:t xml:space="preserve"> </w:t>
      </w:r>
      <w:r w:rsidR="00DB669B" w:rsidRPr="00AF0447">
        <w:t>p</w:t>
      </w:r>
      <w:r w:rsidRPr="00AF0447">
        <w:t>l</w:t>
      </w:r>
      <w:r w:rsidR="00DB669B" w:rsidRPr="00AF0447">
        <w:t>aces</w:t>
      </w:r>
      <w:r w:rsidRPr="00AF0447">
        <w:t xml:space="preserve"> </w:t>
      </w:r>
      <w:r w:rsidR="00DB669B" w:rsidRPr="00AF0447">
        <w:t>us</w:t>
      </w:r>
      <w:r w:rsidRPr="00AF0447">
        <w:t>i</w:t>
      </w:r>
      <w:r w:rsidR="00DB669B" w:rsidRPr="00AF0447">
        <w:t>ng</w:t>
      </w:r>
      <w:r w:rsidRPr="00AF0447">
        <w:t xml:space="preserve"> </w:t>
      </w:r>
      <w:r w:rsidR="00DB669B" w:rsidRPr="00AF0447">
        <w:t>the sta</w:t>
      </w:r>
      <w:r w:rsidRPr="00AF0447">
        <w:t>n</w:t>
      </w:r>
      <w:r w:rsidR="00DB669B" w:rsidRPr="00AF0447">
        <w:t>d</w:t>
      </w:r>
      <w:r w:rsidRPr="00AF0447">
        <w:t>a</w:t>
      </w:r>
      <w:r w:rsidR="00DB669B" w:rsidRPr="00AF0447">
        <w:t>rd</w:t>
      </w:r>
      <w:r w:rsidRPr="00AF0447">
        <w:t xml:space="preserve"> Ex</w:t>
      </w:r>
      <w:r w:rsidR="00DB669B" w:rsidRPr="00AF0447">
        <w:t>cel</w:t>
      </w:r>
      <w:r w:rsidRPr="00AF0447">
        <w:t xml:space="preserve"> </w:t>
      </w:r>
      <w:r w:rsidR="003A443D" w:rsidRPr="00AF0447">
        <w:t xml:space="preserve">2013 </w:t>
      </w:r>
      <w:r w:rsidRPr="00AF0447">
        <w:t>for</w:t>
      </w:r>
      <w:r w:rsidR="00DB669B" w:rsidRPr="00AF0447">
        <w:t>mu</w:t>
      </w:r>
      <w:r w:rsidRPr="00AF0447">
        <w:t>l</w:t>
      </w:r>
      <w:r w:rsidR="00DB669B" w:rsidRPr="00AF0447">
        <w:t>a.</w:t>
      </w:r>
    </w:p>
    <w:p w14:paraId="7CAD6C6D" w14:textId="77777777" w:rsidR="00CB4183" w:rsidRDefault="00CB4183" w:rsidP="008A23DC">
      <w:pPr>
        <w:pStyle w:val="Heading3"/>
        <w:numPr>
          <w:ilvl w:val="0"/>
          <w:numId w:val="0"/>
        </w:numPr>
        <w:ind w:left="2438"/>
      </w:pPr>
    </w:p>
    <w:p w14:paraId="2F32568D" w14:textId="77777777" w:rsidR="00024C87" w:rsidRDefault="00024C87">
      <w:pPr>
        <w:rPr>
          <w:rFonts w:ascii="Arial" w:eastAsia="Times New Roman" w:hAnsi="Arial" w:cs="Arial"/>
          <w:b/>
        </w:rPr>
      </w:pPr>
      <w:bookmarkStart w:id="90" w:name="_Ref356399001"/>
      <w:bookmarkStart w:id="91" w:name="_Ref285704730"/>
      <w:r>
        <w:rPr>
          <w:b/>
        </w:rPr>
        <w:br w:type="page"/>
      </w:r>
    </w:p>
    <w:p w14:paraId="24259732" w14:textId="54C1F073" w:rsidR="00A93A1E" w:rsidRPr="00DC631D" w:rsidRDefault="009F5FF7" w:rsidP="00DC631D">
      <w:pPr>
        <w:pStyle w:val="Style8"/>
        <w:rPr>
          <w:b/>
        </w:rPr>
      </w:pPr>
      <w:r w:rsidRPr="00DC631D">
        <w:rPr>
          <w:b/>
        </w:rPr>
        <w:lastRenderedPageBreak/>
        <w:t>Final Score</w:t>
      </w:r>
    </w:p>
    <w:p w14:paraId="497E070B" w14:textId="77777777" w:rsidR="00AD0569" w:rsidRDefault="009F5FF7" w:rsidP="000703D3">
      <w:pPr>
        <w:pStyle w:val="Style9"/>
        <w:ind w:left="2325" w:hanging="851"/>
        <w:rPr>
          <w:b/>
        </w:rPr>
      </w:pPr>
      <w:r w:rsidRPr="009F5FF7">
        <w:t xml:space="preserve">The Quality Score </w:t>
      </w:r>
      <w:r w:rsidR="00B15B5C" w:rsidRPr="009F5FF7">
        <w:t xml:space="preserve">awarded </w:t>
      </w:r>
      <w:r w:rsidR="00B15B5C" w:rsidRPr="00A237C9">
        <w:t>will</w:t>
      </w:r>
      <w:r w:rsidR="005D097F" w:rsidRPr="00A237C9">
        <w:t xml:space="preserve"> be added to the Price Score </w:t>
      </w:r>
      <w:r w:rsidR="008C1766">
        <w:t>t</w:t>
      </w:r>
      <w:r w:rsidRPr="009F5FF7">
        <w:t>o determine the final score for each Potential Provider</w:t>
      </w:r>
      <w:r w:rsidR="008C1766">
        <w:t xml:space="preserve"> </w:t>
      </w:r>
      <w:r w:rsidR="005D097F" w:rsidRPr="00DC631D">
        <w:rPr>
          <w:b/>
        </w:rPr>
        <w:t>(“</w:t>
      </w:r>
      <w:r w:rsidRPr="00DC631D">
        <w:rPr>
          <w:b/>
        </w:rPr>
        <w:t>Final Score”).</w:t>
      </w:r>
      <w:r w:rsidR="009A323C">
        <w:rPr>
          <w:b/>
        </w:rPr>
        <w:t xml:space="preserve"> </w:t>
      </w:r>
    </w:p>
    <w:p w14:paraId="09225357" w14:textId="65FA03B6" w:rsidR="009A323C" w:rsidRDefault="00AD0569" w:rsidP="00AD0569">
      <w:pPr>
        <w:pStyle w:val="Style9"/>
        <w:ind w:left="2325" w:hanging="851"/>
      </w:pPr>
      <w:r w:rsidRPr="00A237C9">
        <w:t xml:space="preserve">Rounding takes place in the e-Sourcing Suite, rounding up to 2 decimal places. </w:t>
      </w:r>
      <w:r>
        <w:t>The Agent</w:t>
      </w:r>
      <w:r w:rsidRPr="00A237C9">
        <w:t xml:space="preserve"> will not apply any other rounding. All results will be ranked by the highest s</w:t>
      </w:r>
      <w:r w:rsidRPr="009F5FF7">
        <w:t>core.</w:t>
      </w:r>
      <w:r>
        <w:t xml:space="preserve"> </w:t>
      </w:r>
      <w:r w:rsidR="009A323C" w:rsidRPr="00DC631D">
        <w:t>Please see example below:</w:t>
      </w:r>
    </w:p>
    <w:tbl>
      <w:tblPr>
        <w:tblStyle w:val="TableGrid"/>
        <w:tblW w:w="0" w:type="auto"/>
        <w:tblInd w:w="2299" w:type="dxa"/>
        <w:tblLook w:val="04A0" w:firstRow="1" w:lastRow="0" w:firstColumn="1" w:lastColumn="0" w:noHBand="0" w:noVBand="1"/>
      </w:tblPr>
      <w:tblGrid>
        <w:gridCol w:w="2376"/>
        <w:gridCol w:w="1615"/>
        <w:gridCol w:w="1615"/>
        <w:gridCol w:w="1615"/>
      </w:tblGrid>
      <w:tr w:rsidR="004B3298" w:rsidRPr="009A323C" w14:paraId="5B678A5D" w14:textId="77777777" w:rsidTr="00024C87">
        <w:tc>
          <w:tcPr>
            <w:tcW w:w="2376" w:type="dxa"/>
            <w:vMerge w:val="restart"/>
            <w:shd w:val="clear" w:color="auto" w:fill="BFBFBF" w:themeFill="background1" w:themeFillShade="BF"/>
          </w:tcPr>
          <w:p w14:paraId="65FB331B" w14:textId="79EE1F4A" w:rsidR="004B3298" w:rsidRPr="00DC631D" w:rsidRDefault="004B3298" w:rsidP="004B3298">
            <w:pPr>
              <w:pStyle w:val="Style9"/>
              <w:numPr>
                <w:ilvl w:val="0"/>
                <w:numId w:val="0"/>
              </w:numPr>
              <w:ind w:left="2160"/>
            </w:pPr>
            <w:r w:rsidRPr="00DC631D">
              <w:t xml:space="preserve"> </w:t>
            </w:r>
          </w:p>
        </w:tc>
        <w:tc>
          <w:tcPr>
            <w:tcW w:w="1615" w:type="dxa"/>
            <w:shd w:val="clear" w:color="auto" w:fill="BFBFBF" w:themeFill="background1" w:themeFillShade="BF"/>
            <w:vAlign w:val="center"/>
          </w:tcPr>
          <w:p w14:paraId="70E47E41" w14:textId="3C35EC6E" w:rsidR="004B3298" w:rsidRPr="00777AD8" w:rsidRDefault="004B3298" w:rsidP="009F5A08">
            <w:pPr>
              <w:spacing w:before="120" w:after="120"/>
              <w:jc w:val="center"/>
              <w:rPr>
                <w:rFonts w:ascii="Arial" w:hAnsi="Arial" w:cs="Arial"/>
              </w:rPr>
            </w:pPr>
            <w:r w:rsidRPr="00777AD8">
              <w:rPr>
                <w:rFonts w:ascii="Arial" w:hAnsi="Arial" w:cs="Arial"/>
              </w:rPr>
              <w:t>Quality Score</w:t>
            </w:r>
          </w:p>
        </w:tc>
        <w:tc>
          <w:tcPr>
            <w:tcW w:w="1615" w:type="dxa"/>
            <w:shd w:val="clear" w:color="auto" w:fill="BFBFBF" w:themeFill="background1" w:themeFillShade="BF"/>
            <w:vAlign w:val="center"/>
          </w:tcPr>
          <w:p w14:paraId="08CC6F97" w14:textId="7BBC0D60" w:rsidR="004B3298" w:rsidRPr="00777AD8" w:rsidRDefault="009F5A08" w:rsidP="009F5A08">
            <w:pPr>
              <w:spacing w:before="120" w:after="120"/>
              <w:jc w:val="center"/>
              <w:rPr>
                <w:rFonts w:ascii="Arial" w:hAnsi="Arial" w:cs="Arial"/>
              </w:rPr>
            </w:pPr>
            <w:r>
              <w:rPr>
                <w:rFonts w:ascii="Arial" w:hAnsi="Arial" w:cs="Arial"/>
              </w:rPr>
              <w:t>Price Score</w:t>
            </w:r>
          </w:p>
        </w:tc>
        <w:tc>
          <w:tcPr>
            <w:tcW w:w="1615" w:type="dxa"/>
            <w:shd w:val="clear" w:color="auto" w:fill="BFBFBF" w:themeFill="background1" w:themeFillShade="BF"/>
            <w:vAlign w:val="center"/>
          </w:tcPr>
          <w:p w14:paraId="25E19D98" w14:textId="785A1EC6" w:rsidR="004B3298" w:rsidRPr="00777AD8" w:rsidRDefault="009F5A08" w:rsidP="009F5A08">
            <w:pPr>
              <w:spacing w:before="120" w:after="120"/>
              <w:jc w:val="center"/>
              <w:rPr>
                <w:rFonts w:ascii="Arial" w:hAnsi="Arial" w:cs="Arial"/>
              </w:rPr>
            </w:pPr>
            <w:r>
              <w:rPr>
                <w:rFonts w:ascii="Arial" w:hAnsi="Arial" w:cs="Arial"/>
              </w:rPr>
              <w:t>Final Score</w:t>
            </w:r>
          </w:p>
        </w:tc>
      </w:tr>
      <w:tr w:rsidR="004B3298" w:rsidRPr="009A323C" w14:paraId="4CB67EFA" w14:textId="77777777" w:rsidTr="00024C87">
        <w:tc>
          <w:tcPr>
            <w:tcW w:w="2376" w:type="dxa"/>
            <w:vMerge/>
            <w:shd w:val="clear" w:color="auto" w:fill="BFBFBF" w:themeFill="background1" w:themeFillShade="BF"/>
          </w:tcPr>
          <w:p w14:paraId="7952B4D4" w14:textId="368A7D1A" w:rsidR="004B3298" w:rsidRPr="009A323C" w:rsidRDefault="004B3298" w:rsidP="00DC631D">
            <w:pPr>
              <w:pStyle w:val="Style9"/>
              <w:numPr>
                <w:ilvl w:val="0"/>
                <w:numId w:val="0"/>
              </w:numPr>
              <w:ind w:left="2160"/>
            </w:pPr>
          </w:p>
        </w:tc>
        <w:tc>
          <w:tcPr>
            <w:tcW w:w="1615" w:type="dxa"/>
            <w:shd w:val="clear" w:color="auto" w:fill="BFBFBF" w:themeFill="background1" w:themeFillShade="BF"/>
            <w:vAlign w:val="center"/>
          </w:tcPr>
          <w:p w14:paraId="3BB2235E" w14:textId="28153793" w:rsidR="004B3298" w:rsidRPr="00777AD8" w:rsidRDefault="004B3298" w:rsidP="004C729C">
            <w:pPr>
              <w:jc w:val="center"/>
              <w:rPr>
                <w:rFonts w:ascii="Arial" w:hAnsi="Arial" w:cs="Arial"/>
              </w:rPr>
            </w:pPr>
            <w:r>
              <w:rPr>
                <w:rFonts w:ascii="Arial" w:hAnsi="Arial" w:cs="Arial"/>
              </w:rPr>
              <w:t>(</w:t>
            </w:r>
            <w:r w:rsidRPr="00777AD8">
              <w:rPr>
                <w:rFonts w:ascii="Arial" w:hAnsi="Arial" w:cs="Arial"/>
              </w:rPr>
              <w:t>Maximum Score</w:t>
            </w:r>
            <w:r>
              <w:rPr>
                <w:rFonts w:ascii="Arial" w:hAnsi="Arial" w:cs="Arial"/>
              </w:rPr>
              <w:t xml:space="preserve"> </w:t>
            </w:r>
            <w:r w:rsidR="001253D6">
              <w:rPr>
                <w:rFonts w:ascii="Arial" w:hAnsi="Arial" w:cs="Arial"/>
              </w:rPr>
              <w:t>Available</w:t>
            </w:r>
            <w:r w:rsidRPr="00777AD8">
              <w:rPr>
                <w:rFonts w:ascii="Arial" w:hAnsi="Arial" w:cs="Arial"/>
              </w:rPr>
              <w:t xml:space="preserve"> 70</w:t>
            </w:r>
            <w:r>
              <w:rPr>
                <w:rFonts w:ascii="Arial" w:hAnsi="Arial" w:cs="Arial"/>
              </w:rPr>
              <w:t>)</w:t>
            </w:r>
          </w:p>
        </w:tc>
        <w:tc>
          <w:tcPr>
            <w:tcW w:w="1615" w:type="dxa"/>
            <w:shd w:val="clear" w:color="auto" w:fill="BFBFBF" w:themeFill="background1" w:themeFillShade="BF"/>
            <w:vAlign w:val="center"/>
          </w:tcPr>
          <w:p w14:paraId="736F067A" w14:textId="2375F1A8" w:rsidR="004B3298" w:rsidRPr="00777AD8" w:rsidRDefault="004B3298" w:rsidP="004C729C">
            <w:pPr>
              <w:jc w:val="center"/>
              <w:rPr>
                <w:rFonts w:ascii="Arial" w:hAnsi="Arial" w:cs="Arial"/>
              </w:rPr>
            </w:pPr>
            <w:r>
              <w:rPr>
                <w:rFonts w:ascii="Arial" w:hAnsi="Arial" w:cs="Arial"/>
              </w:rPr>
              <w:t>(</w:t>
            </w:r>
            <w:r w:rsidRPr="00777AD8">
              <w:rPr>
                <w:rFonts w:ascii="Arial" w:hAnsi="Arial" w:cs="Arial"/>
              </w:rPr>
              <w:t xml:space="preserve">Maximum Score </w:t>
            </w:r>
            <w:r w:rsidR="001253D6">
              <w:rPr>
                <w:rFonts w:ascii="Arial" w:hAnsi="Arial" w:cs="Arial"/>
              </w:rPr>
              <w:t>Available</w:t>
            </w:r>
            <w:r w:rsidRPr="00777AD8">
              <w:rPr>
                <w:rFonts w:ascii="Arial" w:hAnsi="Arial" w:cs="Arial"/>
              </w:rPr>
              <w:t xml:space="preserve"> 30</w:t>
            </w:r>
            <w:r>
              <w:rPr>
                <w:rFonts w:ascii="Arial" w:hAnsi="Arial" w:cs="Arial"/>
              </w:rPr>
              <w:t>)</w:t>
            </w:r>
          </w:p>
        </w:tc>
        <w:tc>
          <w:tcPr>
            <w:tcW w:w="1615" w:type="dxa"/>
            <w:shd w:val="clear" w:color="auto" w:fill="BFBFBF" w:themeFill="background1" w:themeFillShade="BF"/>
            <w:vAlign w:val="center"/>
          </w:tcPr>
          <w:p w14:paraId="2A63AB7C" w14:textId="51BDD97B" w:rsidR="004B3298" w:rsidRPr="00777AD8" w:rsidRDefault="004B3298" w:rsidP="004C729C">
            <w:pPr>
              <w:jc w:val="center"/>
              <w:rPr>
                <w:rFonts w:ascii="Arial" w:hAnsi="Arial" w:cs="Arial"/>
              </w:rPr>
            </w:pPr>
            <w:r>
              <w:rPr>
                <w:rFonts w:ascii="Arial" w:hAnsi="Arial" w:cs="Arial"/>
              </w:rPr>
              <w:t>(</w:t>
            </w:r>
            <w:r w:rsidRPr="00777AD8">
              <w:rPr>
                <w:rFonts w:ascii="Arial" w:hAnsi="Arial" w:cs="Arial"/>
              </w:rPr>
              <w:t>Maximum Score</w:t>
            </w:r>
            <w:r>
              <w:rPr>
                <w:rFonts w:ascii="Arial" w:hAnsi="Arial" w:cs="Arial"/>
              </w:rPr>
              <w:t xml:space="preserve"> </w:t>
            </w:r>
            <w:r w:rsidR="001253D6">
              <w:rPr>
                <w:rFonts w:ascii="Arial" w:hAnsi="Arial" w:cs="Arial"/>
              </w:rPr>
              <w:t>Available</w:t>
            </w:r>
            <w:r w:rsidRPr="00777AD8">
              <w:rPr>
                <w:rFonts w:ascii="Arial" w:hAnsi="Arial" w:cs="Arial"/>
              </w:rPr>
              <w:t xml:space="preserve"> 100</w:t>
            </w:r>
            <w:r>
              <w:rPr>
                <w:rFonts w:ascii="Arial" w:hAnsi="Arial" w:cs="Arial"/>
              </w:rPr>
              <w:t>)</w:t>
            </w:r>
          </w:p>
        </w:tc>
      </w:tr>
      <w:tr w:rsidR="009A323C" w14:paraId="3E5C01C7" w14:textId="77777777" w:rsidTr="00024C87">
        <w:tc>
          <w:tcPr>
            <w:tcW w:w="2376" w:type="dxa"/>
          </w:tcPr>
          <w:p w14:paraId="103208E0" w14:textId="77777777" w:rsidR="009A323C" w:rsidRPr="004C729C" w:rsidRDefault="009A323C" w:rsidP="004C729C">
            <w:pPr>
              <w:rPr>
                <w:rFonts w:ascii="Arial" w:hAnsi="Arial" w:cs="Arial"/>
              </w:rPr>
            </w:pPr>
            <w:r w:rsidRPr="004C729C">
              <w:rPr>
                <w:rFonts w:ascii="Arial" w:hAnsi="Arial" w:cs="Arial"/>
              </w:rPr>
              <w:t>POTENTIAL PROVIDER A</w:t>
            </w:r>
          </w:p>
        </w:tc>
        <w:tc>
          <w:tcPr>
            <w:tcW w:w="1615" w:type="dxa"/>
            <w:vAlign w:val="center"/>
          </w:tcPr>
          <w:p w14:paraId="6A8B3ADC" w14:textId="77777777" w:rsidR="009A323C" w:rsidRPr="00777AD8" w:rsidRDefault="009A323C" w:rsidP="004C729C">
            <w:pPr>
              <w:jc w:val="center"/>
              <w:rPr>
                <w:rFonts w:ascii="Arial" w:hAnsi="Arial" w:cs="Arial"/>
              </w:rPr>
            </w:pPr>
            <w:r w:rsidRPr="00777AD8">
              <w:rPr>
                <w:rFonts w:ascii="Arial" w:hAnsi="Arial" w:cs="Arial"/>
              </w:rPr>
              <w:t>65.70</w:t>
            </w:r>
          </w:p>
        </w:tc>
        <w:tc>
          <w:tcPr>
            <w:tcW w:w="1615" w:type="dxa"/>
            <w:vAlign w:val="center"/>
          </w:tcPr>
          <w:p w14:paraId="7A5E00AE" w14:textId="77777777" w:rsidR="009A323C" w:rsidRPr="00777AD8" w:rsidRDefault="009A323C" w:rsidP="004C729C">
            <w:pPr>
              <w:jc w:val="center"/>
              <w:rPr>
                <w:rFonts w:ascii="Arial" w:hAnsi="Arial" w:cs="Arial"/>
              </w:rPr>
            </w:pPr>
            <w:r w:rsidRPr="00777AD8">
              <w:rPr>
                <w:rFonts w:ascii="Arial" w:hAnsi="Arial" w:cs="Arial"/>
              </w:rPr>
              <w:t>20.25</w:t>
            </w:r>
          </w:p>
        </w:tc>
        <w:tc>
          <w:tcPr>
            <w:tcW w:w="1615" w:type="dxa"/>
            <w:vAlign w:val="center"/>
          </w:tcPr>
          <w:p w14:paraId="034D0F99" w14:textId="5867D7D9" w:rsidR="009A323C" w:rsidRPr="00777AD8" w:rsidRDefault="009A323C" w:rsidP="004C729C">
            <w:pPr>
              <w:jc w:val="center"/>
              <w:rPr>
                <w:rFonts w:ascii="Arial" w:hAnsi="Arial" w:cs="Arial"/>
              </w:rPr>
            </w:pPr>
            <w:r w:rsidRPr="00777AD8">
              <w:rPr>
                <w:rFonts w:ascii="Arial" w:hAnsi="Arial" w:cs="Arial"/>
              </w:rPr>
              <w:t>85.95</w:t>
            </w:r>
          </w:p>
        </w:tc>
      </w:tr>
      <w:tr w:rsidR="009A323C" w14:paraId="1B96D3D8" w14:textId="77777777" w:rsidTr="00024C87">
        <w:tc>
          <w:tcPr>
            <w:tcW w:w="2376" w:type="dxa"/>
          </w:tcPr>
          <w:p w14:paraId="6ABCF4AD" w14:textId="77777777" w:rsidR="009A323C" w:rsidRPr="004C729C" w:rsidRDefault="009A323C" w:rsidP="004C729C">
            <w:pPr>
              <w:rPr>
                <w:rFonts w:ascii="Arial" w:hAnsi="Arial" w:cs="Arial"/>
              </w:rPr>
            </w:pPr>
            <w:r w:rsidRPr="004C729C">
              <w:rPr>
                <w:rFonts w:ascii="Arial" w:hAnsi="Arial" w:cs="Arial"/>
              </w:rPr>
              <w:t>P</w:t>
            </w:r>
            <w:r>
              <w:rPr>
                <w:rFonts w:ascii="Arial" w:hAnsi="Arial" w:cs="Arial"/>
              </w:rPr>
              <w:t>O</w:t>
            </w:r>
            <w:r w:rsidRPr="004C729C">
              <w:rPr>
                <w:rFonts w:ascii="Arial" w:hAnsi="Arial" w:cs="Arial"/>
              </w:rPr>
              <w:t xml:space="preserve">TENTIAL PROVIDER </w:t>
            </w:r>
            <w:r>
              <w:rPr>
                <w:rFonts w:ascii="Arial" w:hAnsi="Arial" w:cs="Arial"/>
              </w:rPr>
              <w:t>B</w:t>
            </w:r>
          </w:p>
        </w:tc>
        <w:tc>
          <w:tcPr>
            <w:tcW w:w="1615" w:type="dxa"/>
            <w:vAlign w:val="center"/>
          </w:tcPr>
          <w:p w14:paraId="6E038954" w14:textId="77777777" w:rsidR="009A323C" w:rsidRPr="00777AD8" w:rsidRDefault="009A323C" w:rsidP="004C729C">
            <w:pPr>
              <w:jc w:val="center"/>
              <w:rPr>
                <w:rFonts w:ascii="Arial" w:hAnsi="Arial" w:cs="Arial"/>
              </w:rPr>
            </w:pPr>
            <w:r w:rsidRPr="00777AD8">
              <w:rPr>
                <w:rFonts w:ascii="Arial" w:hAnsi="Arial" w:cs="Arial"/>
              </w:rPr>
              <w:t>50.25</w:t>
            </w:r>
          </w:p>
        </w:tc>
        <w:tc>
          <w:tcPr>
            <w:tcW w:w="1615" w:type="dxa"/>
            <w:vAlign w:val="center"/>
          </w:tcPr>
          <w:p w14:paraId="18B85EB8" w14:textId="77777777" w:rsidR="009A323C" w:rsidRPr="00777AD8" w:rsidRDefault="009A323C" w:rsidP="004C729C">
            <w:pPr>
              <w:jc w:val="center"/>
              <w:rPr>
                <w:rFonts w:ascii="Arial" w:hAnsi="Arial" w:cs="Arial"/>
              </w:rPr>
            </w:pPr>
            <w:r w:rsidRPr="00777AD8">
              <w:rPr>
                <w:rFonts w:ascii="Arial" w:hAnsi="Arial" w:cs="Arial"/>
              </w:rPr>
              <w:t>30.00</w:t>
            </w:r>
          </w:p>
        </w:tc>
        <w:tc>
          <w:tcPr>
            <w:tcW w:w="1615" w:type="dxa"/>
            <w:vAlign w:val="center"/>
          </w:tcPr>
          <w:p w14:paraId="74166E6A" w14:textId="31F29781" w:rsidR="009A323C" w:rsidRPr="00777AD8" w:rsidRDefault="009A323C" w:rsidP="004C729C">
            <w:pPr>
              <w:jc w:val="center"/>
              <w:rPr>
                <w:rFonts w:ascii="Arial" w:hAnsi="Arial" w:cs="Arial"/>
              </w:rPr>
            </w:pPr>
            <w:r w:rsidRPr="00777AD8">
              <w:rPr>
                <w:rFonts w:ascii="Arial" w:hAnsi="Arial" w:cs="Arial"/>
              </w:rPr>
              <w:t>80.25</w:t>
            </w:r>
          </w:p>
        </w:tc>
      </w:tr>
    </w:tbl>
    <w:p w14:paraId="0449B859" w14:textId="77777777" w:rsidR="001C6940" w:rsidRDefault="001C6940" w:rsidP="008A23DC">
      <w:pPr>
        <w:pStyle w:val="Heading1"/>
        <w:numPr>
          <w:ilvl w:val="0"/>
          <w:numId w:val="0"/>
        </w:numPr>
        <w:ind w:left="737" w:hanging="737"/>
      </w:pPr>
    </w:p>
    <w:p w14:paraId="40075E22" w14:textId="7AFA59D8" w:rsidR="0026784B" w:rsidRPr="00024C87" w:rsidRDefault="0026784B" w:rsidP="00024C87">
      <w:pPr>
        <w:tabs>
          <w:tab w:val="left" w:pos="7608"/>
        </w:tabs>
        <w:rPr>
          <w:rFonts w:ascii="Arial" w:eastAsia="Times New Roman" w:hAnsi="Arial" w:cs="Arial"/>
        </w:rPr>
      </w:pPr>
      <w:bookmarkStart w:id="92" w:name="_Ref372797423"/>
      <w:bookmarkEnd w:id="90"/>
      <w:bookmarkEnd w:id="91"/>
      <w:r w:rsidRPr="00024C87">
        <w:br w:type="page"/>
      </w:r>
      <w:r w:rsidR="00024C87" w:rsidRPr="00024C87">
        <w:lastRenderedPageBreak/>
        <w:tab/>
      </w:r>
    </w:p>
    <w:p w14:paraId="1B31EEA0" w14:textId="21E4A54A" w:rsidR="0058734C" w:rsidRPr="00A237C9" w:rsidRDefault="00024C87" w:rsidP="00B3341B">
      <w:pPr>
        <w:pStyle w:val="Style7"/>
      </w:pPr>
      <w:bookmarkStart w:id="93" w:name="_Toc433035511"/>
      <w:r>
        <w:t>F</w:t>
      </w:r>
      <w:r w:rsidR="009F5FF7" w:rsidRPr="009F5FF7">
        <w:t>INAL DECISION TO A</w:t>
      </w:r>
      <w:bookmarkEnd w:id="92"/>
      <w:r w:rsidR="00511854">
        <w:t>WARD</w:t>
      </w:r>
      <w:bookmarkEnd w:id="93"/>
    </w:p>
    <w:p w14:paraId="659C1DC1" w14:textId="2522A8D5" w:rsidR="001C6940" w:rsidRPr="001D1216" w:rsidRDefault="009F5FF7" w:rsidP="00B3341B">
      <w:pPr>
        <w:pStyle w:val="Style8"/>
      </w:pPr>
      <w:r w:rsidRPr="00B3341B">
        <w:rPr>
          <w:rFonts w:eastAsia="STZhongsong"/>
        </w:rPr>
        <w:t xml:space="preserve">Following evaluation of </w:t>
      </w:r>
      <w:r w:rsidR="00123266" w:rsidRPr="00B3341B">
        <w:rPr>
          <w:rFonts w:eastAsia="STZhongsong"/>
        </w:rPr>
        <w:t xml:space="preserve">Potential Providers’ </w:t>
      </w:r>
      <w:r w:rsidRPr="00B3341B">
        <w:rPr>
          <w:rFonts w:eastAsia="STZhongsong"/>
        </w:rPr>
        <w:t xml:space="preserve">Tenders </w:t>
      </w:r>
      <w:r w:rsidR="0058734C" w:rsidRPr="00B3341B">
        <w:rPr>
          <w:rFonts w:eastAsia="STZhongsong"/>
        </w:rPr>
        <w:t>in accordance with the evaluation process set out in this ITT</w:t>
      </w:r>
      <w:r w:rsidR="00B15B5C" w:rsidRPr="00B3341B">
        <w:rPr>
          <w:rFonts w:eastAsia="STZhongsong"/>
        </w:rPr>
        <w:t xml:space="preserve">, </w:t>
      </w:r>
      <w:r w:rsidR="00B15B5C">
        <w:rPr>
          <w:rFonts w:eastAsia="STZhongsong"/>
        </w:rPr>
        <w:t>a</w:t>
      </w:r>
      <w:r w:rsidR="008C1766">
        <w:rPr>
          <w:rFonts w:eastAsia="STZhongsong"/>
        </w:rPr>
        <w:t xml:space="preserve"> </w:t>
      </w:r>
      <w:r w:rsidR="00123266" w:rsidRPr="00B3341B">
        <w:rPr>
          <w:rFonts w:eastAsia="STZhongsong"/>
        </w:rPr>
        <w:t xml:space="preserve">Framework Agreement will be concluded with </w:t>
      </w:r>
      <w:r w:rsidR="0058734C" w:rsidRPr="00B3341B">
        <w:rPr>
          <w:rFonts w:eastAsia="STZhongsong"/>
        </w:rPr>
        <w:t>the Potential Provider</w:t>
      </w:r>
      <w:r w:rsidR="00AE1EBB">
        <w:rPr>
          <w:rFonts w:eastAsia="STZhongsong"/>
        </w:rPr>
        <w:t>s</w:t>
      </w:r>
      <w:r w:rsidR="0058734C" w:rsidRPr="00B3341B">
        <w:rPr>
          <w:rFonts w:eastAsia="STZhongsong"/>
        </w:rPr>
        <w:t xml:space="preserve"> who offer</w:t>
      </w:r>
      <w:r w:rsidR="008C1766">
        <w:rPr>
          <w:rFonts w:eastAsia="STZhongsong"/>
        </w:rPr>
        <w:t>s</w:t>
      </w:r>
      <w:r w:rsidR="0058734C" w:rsidRPr="00B3341B">
        <w:rPr>
          <w:rFonts w:eastAsia="STZhongsong"/>
        </w:rPr>
        <w:t xml:space="preserve"> the most economically advantageous </w:t>
      </w:r>
      <w:r w:rsidR="00B15B5C" w:rsidRPr="00B3341B">
        <w:rPr>
          <w:rFonts w:eastAsia="STZhongsong"/>
        </w:rPr>
        <w:t>Tenders starting</w:t>
      </w:r>
      <w:r w:rsidR="00123266" w:rsidRPr="00B3341B">
        <w:rPr>
          <w:rFonts w:eastAsia="STZhongsong"/>
        </w:rPr>
        <w:t xml:space="preserve"> from the Potential Provider with the</w:t>
      </w:r>
      <w:r w:rsidR="00123266" w:rsidRPr="00D62F53">
        <w:t xml:space="preserve"> highest score</w:t>
      </w:r>
      <w:r w:rsidR="00DC631D">
        <w:t>.</w:t>
      </w:r>
    </w:p>
    <w:p w14:paraId="60568299" w14:textId="634B89A7" w:rsidR="00FC1476" w:rsidRPr="00BE3146" w:rsidRDefault="00E16BAD" w:rsidP="00FC1476">
      <w:pPr>
        <w:pStyle w:val="Style8"/>
      </w:pPr>
      <w:r w:rsidRPr="000C3CC8">
        <w:t xml:space="preserve">For the purposes of </w:t>
      </w:r>
      <w:r w:rsidR="00123266" w:rsidRPr="000C3CC8">
        <w:t xml:space="preserve">determining the final decision to award all the results will be ranked from highest score downwards. </w:t>
      </w:r>
      <w:r w:rsidR="00FC1476">
        <w:t>The Agent</w:t>
      </w:r>
      <w:r w:rsidR="00FC1476" w:rsidRPr="00BE3146">
        <w:t xml:space="preserve"> will then appoint the number of Suppliers </w:t>
      </w:r>
      <w:r w:rsidR="00FC1476">
        <w:t>to</w:t>
      </w:r>
      <w:r w:rsidR="00FC1476" w:rsidRPr="00BE3146">
        <w:t xml:space="preserve"> the Framework Agreement as </w:t>
      </w:r>
      <w:r w:rsidR="00AE1EBB">
        <w:t>stated in the OJEU Contract Notice</w:t>
      </w:r>
      <w:r w:rsidR="00FC1476">
        <w:t>.</w:t>
      </w:r>
    </w:p>
    <w:p w14:paraId="312E66B5" w14:textId="63ECB3AB" w:rsidR="001C6940" w:rsidRDefault="00FC1476" w:rsidP="00FC1476">
      <w:pPr>
        <w:pStyle w:val="Style8"/>
      </w:pPr>
      <w:r w:rsidRPr="00FC1476">
        <w:t xml:space="preserve">The maximum number of Suppliers for </w:t>
      </w:r>
      <w:r w:rsidR="00306811">
        <w:t xml:space="preserve">this Framework Agreement </w:t>
      </w:r>
      <w:r w:rsidRPr="00FC1476">
        <w:t xml:space="preserve">may increase only where two or more Potential Providers have tied scores and are placed in the </w:t>
      </w:r>
      <w:r w:rsidR="00AE1EBB">
        <w:t>last position</w:t>
      </w:r>
      <w:r w:rsidRPr="00FC1476">
        <w:t>. In such cases, Potential Providers who are tied with the same score in the last position shall be deemed to be one Supplier for the purpose of calculating the maximum number of Suppliers</w:t>
      </w:r>
      <w:r w:rsidR="00306811">
        <w:t>. The Agent</w:t>
      </w:r>
      <w:r w:rsidRPr="00FC1476">
        <w:t xml:space="preserve"> will award a Framework Agreement to additional Potential Providers whe</w:t>
      </w:r>
      <w:r w:rsidR="00306811">
        <w:t>re their Final Score is within 1</w:t>
      </w:r>
      <w:r w:rsidRPr="00FC1476">
        <w:t xml:space="preserve">% of the original awarded last place position score only. For the avoidance of </w:t>
      </w:r>
      <w:r w:rsidR="00306811">
        <w:t xml:space="preserve">doubt, last position </w:t>
      </w:r>
      <w:r w:rsidR="00AE1EBB">
        <w:t xml:space="preserve">is </w:t>
      </w:r>
      <w:r w:rsidR="00306811">
        <w:t>5th</w:t>
      </w:r>
      <w:r w:rsidRPr="00FC1476">
        <w:t xml:space="preserve"> position.</w:t>
      </w:r>
    </w:p>
    <w:p w14:paraId="125EB6A5" w14:textId="3374DE18" w:rsidR="00A93A1E" w:rsidRDefault="003A11CC" w:rsidP="00B3341B">
      <w:pPr>
        <w:pStyle w:val="Style8"/>
      </w:pPr>
      <w:r>
        <w:t>The Agent</w:t>
      </w:r>
      <w:r w:rsidR="009F5FF7" w:rsidRPr="009F5FF7">
        <w:t xml:space="preserve"> will inform you, along with all other Potential Providers via the e-Sourcing Suite of its intention to award a Framework Agreement.</w:t>
      </w:r>
    </w:p>
    <w:p w14:paraId="24F016FF" w14:textId="6CB28DE9" w:rsidR="00FC1476" w:rsidRPr="00FC1476" w:rsidRDefault="009F5FF7" w:rsidP="00306811">
      <w:pPr>
        <w:pStyle w:val="Style8"/>
      </w:pPr>
      <w:r w:rsidRPr="009F5FF7">
        <w:t>Should</w:t>
      </w:r>
      <w:r w:rsidR="000703D3">
        <w:t xml:space="preserve"> any of</w:t>
      </w:r>
      <w:r w:rsidR="00AE1EBB">
        <w:t xml:space="preserve"> the successful</w:t>
      </w:r>
      <w:r w:rsidRPr="009F5FF7">
        <w:t xml:space="preserve"> Potential Provider</w:t>
      </w:r>
      <w:r w:rsidR="000703D3">
        <w:t>s</w:t>
      </w:r>
      <w:r w:rsidR="00AE1EBB">
        <w:t xml:space="preserve"> </w:t>
      </w:r>
      <w:r w:rsidRPr="009F5FF7">
        <w:t>decline to accept a Framework Agreement, then it will be offered to the next ranked Potential Provider, until it has been accepted.</w:t>
      </w:r>
    </w:p>
    <w:p w14:paraId="2BAF163D" w14:textId="18FB097A" w:rsidR="001C6940" w:rsidRDefault="009F5FF7" w:rsidP="00B3341B">
      <w:pPr>
        <w:pStyle w:val="Style8"/>
      </w:pPr>
      <w:r w:rsidRPr="009F5FF7">
        <w:t xml:space="preserve">Following a Standstill Period of 10 calendar days </w:t>
      </w:r>
      <w:r w:rsidR="0026784B" w:rsidRPr="00C351DF">
        <w:t xml:space="preserve">and subject to there being no substantive challenge to that </w:t>
      </w:r>
      <w:r w:rsidR="00B15B5C" w:rsidRPr="00C351DF">
        <w:t>intention,</w:t>
      </w:r>
      <w:r w:rsidR="00B15B5C" w:rsidRPr="009F5FF7">
        <w:t xml:space="preserve"> a</w:t>
      </w:r>
      <w:r w:rsidRPr="009F5FF7">
        <w:t xml:space="preserve"> Framework Agreement will be formally awarded, subject to contract, to the successful Potential Provider</w:t>
      </w:r>
      <w:r w:rsidR="00AE1EBB">
        <w:t>s</w:t>
      </w:r>
      <w:r w:rsidRPr="009F5FF7">
        <w:t>.</w:t>
      </w:r>
    </w:p>
    <w:p w14:paraId="76F4EF09" w14:textId="24499982" w:rsidR="0020090C" w:rsidRDefault="0020090C" w:rsidP="00B3341B">
      <w:pPr>
        <w:pStyle w:val="Style8"/>
      </w:pPr>
      <w:r>
        <w:t>T</w:t>
      </w:r>
      <w:r w:rsidRPr="0020090C">
        <w:t xml:space="preserve">he term Standstill Period is set out in Regulation 87 (2) </w:t>
      </w:r>
      <w:r w:rsidR="0026784B">
        <w:t xml:space="preserve">of the Regulations </w:t>
      </w:r>
      <w:r w:rsidRPr="0020090C">
        <w:t xml:space="preserve">and, in summary, is a period of ten calendar days following the sending by </w:t>
      </w:r>
      <w:r w:rsidR="003A11CC">
        <w:t>the Agent</w:t>
      </w:r>
      <w:r w:rsidRPr="0020090C">
        <w:t xml:space="preserve"> (in this instance by electronic means) of </w:t>
      </w:r>
      <w:r w:rsidR="003A11CC">
        <w:t>the Agent</w:t>
      </w:r>
      <w:r w:rsidRPr="0020090C">
        <w:t xml:space="preserve">’s notice of decision to conclude the Framework Agreement tendered via the Official Journal of the European Union, during which </w:t>
      </w:r>
      <w:r w:rsidR="003A11CC">
        <w:t>the Agent</w:t>
      </w:r>
      <w:r w:rsidRPr="0020090C">
        <w:t xml:space="preserve"> must not conclude the Framework Agreement</w:t>
      </w:r>
      <w:r w:rsidR="00EC6707">
        <w:t xml:space="preserve"> with the successful Supplier</w:t>
      </w:r>
      <w:r w:rsidR="00AE1EBB">
        <w:t>s. It allows unsuccessful Potential Providers</w:t>
      </w:r>
      <w:r w:rsidRPr="0020090C">
        <w:t xml:space="preserve"> the opportunity to raise any questions with </w:t>
      </w:r>
      <w:r w:rsidR="003A11CC">
        <w:t>the Agent</w:t>
      </w:r>
      <w:r w:rsidRPr="0020090C">
        <w:t xml:space="preserve"> that relate to the decision to award before the Framework Agreement is concluded. </w:t>
      </w:r>
      <w:r w:rsidR="003A11CC">
        <w:t>The Agent</w:t>
      </w:r>
      <w:r w:rsidRPr="0020090C">
        <w:t xml:space="preserve"> cannot provide advice to unsuccessful Potential Providers of the steps they should take and, if they have not already done so, Potential Providers should always seek independent legal advice, where appropriate.</w:t>
      </w:r>
    </w:p>
    <w:p w14:paraId="2D83140C" w14:textId="77777777" w:rsidR="001C6940" w:rsidRDefault="0020090C" w:rsidP="00B3341B">
      <w:pPr>
        <w:pStyle w:val="Style8"/>
      </w:pPr>
      <w:r w:rsidRPr="0020090C">
        <w:t>The conclusion of a Framework Agreement is subject to contract (including the satisfaction of any conditions precedent) and subject to provision of due ‘certificates, statements and other means of proof’ where Potential Providers have to this point relied on self-certification.</w:t>
      </w:r>
    </w:p>
    <w:p w14:paraId="18A4D9DE" w14:textId="77777777" w:rsidR="0020090C" w:rsidRDefault="0020090C" w:rsidP="0020090C">
      <w:pPr>
        <w:pStyle w:val="Style1"/>
        <w:numPr>
          <w:ilvl w:val="0"/>
          <w:numId w:val="0"/>
        </w:numPr>
        <w:ind w:left="1872"/>
      </w:pPr>
    </w:p>
    <w:p w14:paraId="23C48321" w14:textId="77777777" w:rsidR="00994637" w:rsidRDefault="00994637" w:rsidP="00994637">
      <w:pPr>
        <w:spacing w:before="100" w:beforeAutospacing="1" w:after="100" w:afterAutospacing="1"/>
      </w:pPr>
      <w:r>
        <w:rPr>
          <w:rFonts w:ascii="Arial" w:hAnsi="Arial" w:cs="Arial"/>
          <w:color w:val="1F497D"/>
        </w:rPr>
        <w:t> </w:t>
      </w:r>
    </w:p>
    <w:p w14:paraId="39E56BD7" w14:textId="77777777" w:rsidR="00290807" w:rsidRDefault="00290807" w:rsidP="00290807">
      <w:pPr>
        <w:pStyle w:val="Heading1"/>
        <w:numPr>
          <w:ilvl w:val="0"/>
          <w:numId w:val="0"/>
        </w:numPr>
        <w:ind w:left="737" w:hanging="737"/>
      </w:pPr>
      <w:bookmarkStart w:id="94" w:name="_Ref372795758"/>
    </w:p>
    <w:p w14:paraId="3166F345" w14:textId="77777777" w:rsidR="008736CF" w:rsidRDefault="008736CF">
      <w:pPr>
        <w:rPr>
          <w:rFonts w:ascii="Arial" w:eastAsia="STZhongsong" w:hAnsi="Arial" w:cs="Arial"/>
          <w:sz w:val="20"/>
          <w:szCs w:val="20"/>
          <w:lang w:eastAsia="zh-CN"/>
        </w:rPr>
      </w:pPr>
      <w:r>
        <w:br w:type="page"/>
      </w:r>
    </w:p>
    <w:p w14:paraId="558F6193" w14:textId="77777777" w:rsidR="00437F0A" w:rsidRDefault="00437F0A" w:rsidP="000740CC">
      <w:pPr>
        <w:pStyle w:val="Style7"/>
      </w:pPr>
      <w:bookmarkStart w:id="95" w:name="_Toc422929141"/>
      <w:bookmarkStart w:id="96" w:name="_Toc433035512"/>
      <w:r>
        <w:lastRenderedPageBreak/>
        <w:t>GLOSSARY</w:t>
      </w:r>
      <w:bookmarkEnd w:id="95"/>
      <w:bookmarkEnd w:id="96"/>
    </w:p>
    <w:tbl>
      <w:tblPr>
        <w:tblStyle w:val="TableGrid"/>
        <w:tblW w:w="0" w:type="auto"/>
        <w:tblInd w:w="675" w:type="dxa"/>
        <w:tblLook w:val="04A0" w:firstRow="1" w:lastRow="0" w:firstColumn="1" w:lastColumn="0" w:noHBand="0" w:noVBand="1"/>
      </w:tblPr>
      <w:tblGrid>
        <w:gridCol w:w="2217"/>
        <w:gridCol w:w="5571"/>
      </w:tblGrid>
      <w:tr w:rsidR="002E55A9" w:rsidRPr="00EE3DEA" w14:paraId="750A76C7" w14:textId="77777777" w:rsidTr="00290807">
        <w:trPr>
          <w:cantSplit/>
        </w:trPr>
        <w:tc>
          <w:tcPr>
            <w:tcW w:w="2217" w:type="dxa"/>
            <w:vAlign w:val="center"/>
          </w:tcPr>
          <w:bookmarkEnd w:id="94"/>
          <w:p w14:paraId="789F377D" w14:textId="77777777" w:rsidR="002E55A9" w:rsidRPr="000740CC" w:rsidRDefault="002E55A9" w:rsidP="00E718D6">
            <w:pPr>
              <w:pStyle w:val="MarginText"/>
              <w:rPr>
                <w:rFonts w:cs="Arial"/>
              </w:rPr>
            </w:pPr>
            <w:r w:rsidRPr="000740CC">
              <w:rPr>
                <w:rFonts w:cs="Arial"/>
              </w:rPr>
              <w:t>Attachment</w:t>
            </w:r>
          </w:p>
        </w:tc>
        <w:tc>
          <w:tcPr>
            <w:tcW w:w="5571" w:type="dxa"/>
          </w:tcPr>
          <w:p w14:paraId="0F20B69E" w14:textId="77777777" w:rsidR="002E55A9" w:rsidRPr="000740CC" w:rsidRDefault="002E55A9" w:rsidP="00FA7E24">
            <w:pPr>
              <w:pStyle w:val="MarginText"/>
              <w:rPr>
                <w:rFonts w:cs="Arial"/>
              </w:rPr>
            </w:pPr>
            <w:r w:rsidRPr="000740CC">
              <w:rPr>
                <w:rFonts w:cs="Arial"/>
              </w:rPr>
              <w:t>means a document made available to Potential Providers in relation to this Procurement via the e</w:t>
            </w:r>
            <w:r w:rsidRPr="000740CC">
              <w:rPr>
                <w:rFonts w:cs="Arial"/>
              </w:rPr>
              <w:noBreakHyphen/>
              <w:t>Sourcing Suite,</w:t>
            </w:r>
          </w:p>
        </w:tc>
      </w:tr>
      <w:tr w:rsidR="00507654" w:rsidRPr="00EE3DEA" w14:paraId="7898DA72" w14:textId="77777777" w:rsidTr="00290807">
        <w:trPr>
          <w:cantSplit/>
        </w:trPr>
        <w:tc>
          <w:tcPr>
            <w:tcW w:w="2217" w:type="dxa"/>
            <w:vAlign w:val="center"/>
          </w:tcPr>
          <w:p w14:paraId="0E640992" w14:textId="1B015076" w:rsidR="00507654" w:rsidRPr="000740CC" w:rsidRDefault="00507654" w:rsidP="00E718D6">
            <w:pPr>
              <w:pStyle w:val="MarginText"/>
              <w:rPr>
                <w:rFonts w:cs="Arial"/>
              </w:rPr>
            </w:pPr>
            <w:r>
              <w:rPr>
                <w:rFonts w:cs="Arial"/>
              </w:rPr>
              <w:t xml:space="preserve">Agent </w:t>
            </w:r>
          </w:p>
        </w:tc>
        <w:tc>
          <w:tcPr>
            <w:tcW w:w="5571" w:type="dxa"/>
          </w:tcPr>
          <w:p w14:paraId="2ECFE534" w14:textId="06768C0C" w:rsidR="00507654" w:rsidRPr="000740CC" w:rsidRDefault="00833A6A" w:rsidP="00833A6A">
            <w:pPr>
              <w:pStyle w:val="MarginText"/>
              <w:rPr>
                <w:rFonts w:cs="Arial"/>
              </w:rPr>
            </w:pPr>
            <w:r>
              <w:rPr>
                <w:rFonts w:cs="Arial"/>
              </w:rPr>
              <w:t>means Crown Commercial Service (CCS);</w:t>
            </w:r>
          </w:p>
        </w:tc>
      </w:tr>
      <w:tr w:rsidR="002E55A9" w:rsidRPr="00EE3DEA" w14:paraId="085CE96D" w14:textId="77777777" w:rsidTr="00290807">
        <w:trPr>
          <w:cantSplit/>
        </w:trPr>
        <w:tc>
          <w:tcPr>
            <w:tcW w:w="2217" w:type="dxa"/>
            <w:vAlign w:val="center"/>
          </w:tcPr>
          <w:p w14:paraId="43A3FBA7" w14:textId="77777777" w:rsidR="002E55A9" w:rsidRPr="000740CC" w:rsidRDefault="002E55A9" w:rsidP="00E718D6">
            <w:pPr>
              <w:pStyle w:val="MarginText"/>
              <w:rPr>
                <w:rFonts w:cs="Arial"/>
              </w:rPr>
            </w:pPr>
            <w:r w:rsidRPr="000740CC">
              <w:rPr>
                <w:rFonts w:cs="Arial"/>
              </w:rPr>
              <w:t>Award Questionnaire</w:t>
            </w:r>
          </w:p>
        </w:tc>
        <w:tc>
          <w:tcPr>
            <w:tcW w:w="5571" w:type="dxa"/>
          </w:tcPr>
          <w:p w14:paraId="04FA10A3" w14:textId="77777777" w:rsidR="002E55A9" w:rsidRPr="000740CC" w:rsidRDefault="002E55A9" w:rsidP="002E55A9">
            <w:pPr>
              <w:pStyle w:val="MarginText"/>
              <w:rPr>
                <w:rFonts w:cs="Arial"/>
              </w:rPr>
            </w:pPr>
            <w:r w:rsidRPr="000740CC">
              <w:rPr>
                <w:rFonts w:cs="Arial"/>
              </w:rPr>
              <w:t>means the award questionnaire set out in the e</w:t>
            </w:r>
            <w:r w:rsidRPr="000740CC">
              <w:rPr>
                <w:rFonts w:cs="Arial"/>
              </w:rPr>
              <w:noBreakHyphen/>
              <w:t>Sourcing Suite;</w:t>
            </w:r>
          </w:p>
        </w:tc>
      </w:tr>
      <w:tr w:rsidR="002E55A9" w:rsidRPr="00EE3DEA" w14:paraId="0A00D364" w14:textId="77777777" w:rsidTr="00290807">
        <w:trPr>
          <w:cantSplit/>
        </w:trPr>
        <w:tc>
          <w:tcPr>
            <w:tcW w:w="2217" w:type="dxa"/>
            <w:vAlign w:val="center"/>
          </w:tcPr>
          <w:p w14:paraId="6F73B484" w14:textId="77777777" w:rsidR="002E55A9" w:rsidRPr="000740CC" w:rsidRDefault="002E55A9" w:rsidP="00E718D6">
            <w:pPr>
              <w:pStyle w:val="MarginText"/>
              <w:rPr>
                <w:rFonts w:cs="Arial"/>
              </w:rPr>
            </w:pPr>
            <w:r w:rsidRPr="000740CC">
              <w:rPr>
                <w:rFonts w:cs="Arial"/>
              </w:rPr>
              <w:t>Award Stage</w:t>
            </w:r>
          </w:p>
        </w:tc>
        <w:tc>
          <w:tcPr>
            <w:tcW w:w="5571" w:type="dxa"/>
          </w:tcPr>
          <w:p w14:paraId="44E11574" w14:textId="0644C2F9" w:rsidR="002E55A9" w:rsidRPr="0001357C" w:rsidRDefault="009F5FF7" w:rsidP="008436A9">
            <w:pPr>
              <w:pStyle w:val="MarginText"/>
              <w:overflowPunct/>
              <w:autoSpaceDE/>
              <w:autoSpaceDN/>
              <w:textAlignment w:val="auto"/>
              <w:rPr>
                <w:rFonts w:cs="Arial"/>
              </w:rPr>
            </w:pPr>
            <w:r w:rsidRPr="0001357C">
              <w:rPr>
                <w:rFonts w:cs="Arial"/>
              </w:rPr>
              <w:t xml:space="preserve">means the part of the evaluation process described in paragraph </w:t>
            </w:r>
            <w:r w:rsidR="008436A9" w:rsidRPr="0001357C">
              <w:rPr>
                <w:rFonts w:cs="Arial"/>
              </w:rPr>
              <w:t>11</w:t>
            </w:r>
          </w:p>
        </w:tc>
      </w:tr>
      <w:tr w:rsidR="002E55A9" w:rsidRPr="00EE3DEA" w14:paraId="758E8A8C" w14:textId="77777777" w:rsidTr="00290807">
        <w:trPr>
          <w:cantSplit/>
        </w:trPr>
        <w:tc>
          <w:tcPr>
            <w:tcW w:w="2217" w:type="dxa"/>
            <w:vAlign w:val="center"/>
          </w:tcPr>
          <w:p w14:paraId="5CBA6B68" w14:textId="0B1A2D56" w:rsidR="002E55A9" w:rsidRPr="000740CC" w:rsidRDefault="00A24FD1" w:rsidP="00507654">
            <w:pPr>
              <w:pStyle w:val="MarginText"/>
              <w:rPr>
                <w:rFonts w:cs="Arial"/>
              </w:rPr>
            </w:pPr>
            <w:r w:rsidRPr="000740CC">
              <w:rPr>
                <w:rFonts w:cs="Arial"/>
              </w:rPr>
              <w:t xml:space="preserve">Call Off </w:t>
            </w:r>
            <w:r w:rsidR="00507654">
              <w:rPr>
                <w:rFonts w:cs="Arial"/>
              </w:rPr>
              <w:t xml:space="preserve"> Agreement</w:t>
            </w:r>
          </w:p>
        </w:tc>
        <w:tc>
          <w:tcPr>
            <w:tcW w:w="5571" w:type="dxa"/>
          </w:tcPr>
          <w:p w14:paraId="76B76AF1" w14:textId="1621A558" w:rsidR="002E55A9" w:rsidRPr="0001357C" w:rsidRDefault="002E55A9" w:rsidP="00507654">
            <w:pPr>
              <w:pStyle w:val="MarginText"/>
              <w:rPr>
                <w:rFonts w:cs="Arial"/>
              </w:rPr>
            </w:pPr>
            <w:proofErr w:type="gramStart"/>
            <w:r w:rsidRPr="0001357C">
              <w:rPr>
                <w:rFonts w:cs="Arial"/>
              </w:rPr>
              <w:t>means</w:t>
            </w:r>
            <w:proofErr w:type="gramEnd"/>
            <w:r w:rsidRPr="0001357C">
              <w:rPr>
                <w:rFonts w:cs="Arial"/>
              </w:rPr>
              <w:t xml:space="preserve"> a specific contract awarded by a Contracting </w:t>
            </w:r>
            <w:r w:rsidR="008436A9" w:rsidRPr="0001357C">
              <w:rPr>
                <w:rFonts w:cs="Arial"/>
              </w:rPr>
              <w:t xml:space="preserve">Authority </w:t>
            </w:r>
            <w:r w:rsidRPr="0001357C">
              <w:rPr>
                <w:rFonts w:cs="Arial"/>
              </w:rPr>
              <w:t>under the terms of the Framework Agreement</w:t>
            </w:r>
            <w:r w:rsidR="00155B09" w:rsidRPr="0001357C">
              <w:rPr>
                <w:rFonts w:cs="Arial"/>
              </w:rPr>
              <w:t xml:space="preserve">.  The template </w:t>
            </w:r>
            <w:r w:rsidR="00507654" w:rsidRPr="0001357C">
              <w:rPr>
                <w:rFonts w:cs="Arial"/>
              </w:rPr>
              <w:t xml:space="preserve"> c</w:t>
            </w:r>
            <w:r w:rsidR="005D2308" w:rsidRPr="0001357C">
              <w:rPr>
                <w:rFonts w:cs="Arial"/>
              </w:rPr>
              <w:t xml:space="preserve">all </w:t>
            </w:r>
            <w:r w:rsidR="00507654" w:rsidRPr="0001357C">
              <w:rPr>
                <w:rFonts w:cs="Arial"/>
              </w:rPr>
              <w:t>of</w:t>
            </w:r>
            <w:r w:rsidR="005D2308" w:rsidRPr="0001357C">
              <w:rPr>
                <w:rFonts w:cs="Arial"/>
              </w:rPr>
              <w:t xml:space="preserve">f </w:t>
            </w:r>
            <w:r w:rsidR="00507654" w:rsidRPr="0001357C">
              <w:rPr>
                <w:rFonts w:cs="Arial"/>
              </w:rPr>
              <w:t>a</w:t>
            </w:r>
            <w:r w:rsidR="005D2308" w:rsidRPr="0001357C">
              <w:rPr>
                <w:rFonts w:cs="Arial"/>
              </w:rPr>
              <w:t>greement</w:t>
            </w:r>
            <w:r w:rsidR="00EC3DFE" w:rsidRPr="0001357C">
              <w:rPr>
                <w:rFonts w:cs="Arial"/>
              </w:rPr>
              <w:t xml:space="preserve"> terms and conditions,</w:t>
            </w:r>
            <w:r w:rsidR="00155B09" w:rsidRPr="0001357C">
              <w:rPr>
                <w:rFonts w:cs="Arial"/>
              </w:rPr>
              <w:t xml:space="preserve"> to be used </w:t>
            </w:r>
            <w:r w:rsidR="00EC3DFE" w:rsidRPr="0001357C">
              <w:rPr>
                <w:rFonts w:cs="Arial"/>
              </w:rPr>
              <w:t xml:space="preserve">for every </w:t>
            </w:r>
            <w:r w:rsidR="00A24FD1" w:rsidRPr="0001357C">
              <w:rPr>
                <w:rFonts w:cs="Arial"/>
              </w:rPr>
              <w:t xml:space="preserve">Call Off </w:t>
            </w:r>
            <w:r w:rsidR="00507654" w:rsidRPr="0001357C">
              <w:rPr>
                <w:rFonts w:cs="Arial"/>
              </w:rPr>
              <w:t xml:space="preserve">Agreement </w:t>
            </w:r>
            <w:r w:rsidR="00EC3DFE" w:rsidRPr="0001357C">
              <w:rPr>
                <w:rFonts w:cs="Arial"/>
              </w:rPr>
              <w:t xml:space="preserve">awarded </w:t>
            </w:r>
            <w:r w:rsidR="00155B09" w:rsidRPr="0001357C">
              <w:rPr>
                <w:rFonts w:cs="Arial"/>
              </w:rPr>
              <w:t>under the terms of the Framework Agreement</w:t>
            </w:r>
            <w:r w:rsidR="00EC3DFE" w:rsidRPr="0001357C">
              <w:rPr>
                <w:rFonts w:cs="Arial"/>
              </w:rPr>
              <w:t>, are</w:t>
            </w:r>
            <w:r w:rsidR="00155B09" w:rsidRPr="0001357C">
              <w:rPr>
                <w:rFonts w:cs="Arial"/>
              </w:rPr>
              <w:t xml:space="preserve"> at Attachment </w:t>
            </w:r>
            <w:r w:rsidR="00D92A0C" w:rsidRPr="0001357C">
              <w:rPr>
                <w:rFonts w:cs="Arial"/>
              </w:rPr>
              <w:t>6</w:t>
            </w:r>
            <w:r w:rsidRPr="0001357C">
              <w:rPr>
                <w:rFonts w:cs="Arial"/>
              </w:rPr>
              <w:t>;</w:t>
            </w:r>
          </w:p>
        </w:tc>
      </w:tr>
      <w:tr w:rsidR="00507654" w:rsidRPr="00EE3DEA" w14:paraId="58A2CFAD" w14:textId="77777777" w:rsidTr="00290807">
        <w:trPr>
          <w:cantSplit/>
        </w:trPr>
        <w:tc>
          <w:tcPr>
            <w:tcW w:w="2217" w:type="dxa"/>
            <w:vAlign w:val="center"/>
          </w:tcPr>
          <w:p w14:paraId="56B8C717" w14:textId="79060A2B" w:rsidR="00507654" w:rsidRPr="000740CC" w:rsidRDefault="00507654" w:rsidP="00E718D6">
            <w:pPr>
              <w:pStyle w:val="MarginText"/>
              <w:rPr>
                <w:rFonts w:cs="Arial"/>
              </w:rPr>
            </w:pPr>
            <w:r>
              <w:rPr>
                <w:rFonts w:cs="Arial"/>
              </w:rPr>
              <w:t>Costing Centre of Excellence</w:t>
            </w:r>
          </w:p>
        </w:tc>
        <w:tc>
          <w:tcPr>
            <w:tcW w:w="5571" w:type="dxa"/>
          </w:tcPr>
          <w:p w14:paraId="09BAA6EF" w14:textId="5984942B" w:rsidR="00507654" w:rsidRPr="009C78A4" w:rsidRDefault="009C78A4" w:rsidP="008436A9">
            <w:pPr>
              <w:pStyle w:val="MarginText"/>
              <w:rPr>
                <w:rFonts w:cs="Arial"/>
              </w:rPr>
            </w:pPr>
            <w:r>
              <w:rPr>
                <w:rFonts w:cs="Arial"/>
                <w:color w:val="222222"/>
                <w:shd w:val="clear" w:color="auto" w:fill="FFFFFF"/>
              </w:rPr>
              <w:t>consists</w:t>
            </w:r>
            <w:r w:rsidRPr="009C78A4">
              <w:rPr>
                <w:rFonts w:cs="Arial"/>
                <w:color w:val="222222"/>
                <w:shd w:val="clear" w:color="auto" w:fill="FFFFFF"/>
              </w:rPr>
              <w:t xml:space="preserve"> of Contracting Authority and other HMG personnel with a purpose to ensure that internal costing capability is raised, Costing Projects are undertaken according to best practice, and costing capability is shared more widely across HMG</w:t>
            </w:r>
          </w:p>
        </w:tc>
      </w:tr>
      <w:tr w:rsidR="000F5D2C" w:rsidRPr="00EE3DEA" w14:paraId="4F4DD272" w14:textId="77777777" w:rsidTr="00290807">
        <w:trPr>
          <w:cantSplit/>
        </w:trPr>
        <w:tc>
          <w:tcPr>
            <w:tcW w:w="2217" w:type="dxa"/>
            <w:vAlign w:val="center"/>
          </w:tcPr>
          <w:p w14:paraId="7DC91CED" w14:textId="4F8B5714" w:rsidR="000F5D2C" w:rsidRPr="000740CC" w:rsidRDefault="000F5D2C" w:rsidP="00E718D6">
            <w:pPr>
              <w:pStyle w:val="MarginText"/>
              <w:rPr>
                <w:rFonts w:cs="Arial"/>
              </w:rPr>
            </w:pPr>
            <w:r>
              <w:rPr>
                <w:rFonts w:cs="Arial"/>
              </w:rPr>
              <w:t>Costing Project</w:t>
            </w:r>
          </w:p>
        </w:tc>
        <w:tc>
          <w:tcPr>
            <w:tcW w:w="5571" w:type="dxa"/>
          </w:tcPr>
          <w:p w14:paraId="2767AC68" w14:textId="23EA39A5" w:rsidR="000F5D2C" w:rsidRPr="009C78A4" w:rsidRDefault="000F5D2C" w:rsidP="008436A9">
            <w:pPr>
              <w:pStyle w:val="MarginText"/>
              <w:rPr>
                <w:rFonts w:cs="Arial"/>
              </w:rPr>
            </w:pPr>
            <w:r w:rsidRPr="009C78A4">
              <w:rPr>
                <w:rFonts w:cs="Arial"/>
              </w:rPr>
              <w:t>means</w:t>
            </w:r>
            <w:r w:rsidR="009C78A4" w:rsidRPr="009C78A4">
              <w:rPr>
                <w:rFonts w:cs="Arial"/>
              </w:rPr>
              <w:t xml:space="preserve"> </w:t>
            </w:r>
            <w:r w:rsidR="009C78A4" w:rsidRPr="009C78A4">
              <w:rPr>
                <w:rFonts w:cs="Arial"/>
                <w:shd w:val="clear" w:color="auto" w:fill="FFFFFF"/>
              </w:rPr>
              <w:t>A short project undertaken to improve the understanding of costs in an area of public spending, with a view to improve efficiency of public spend;</w:t>
            </w:r>
          </w:p>
        </w:tc>
      </w:tr>
      <w:tr w:rsidR="000F5D2C" w:rsidRPr="00EE3DEA" w14:paraId="6EA87487" w14:textId="77777777" w:rsidTr="00290807">
        <w:trPr>
          <w:cantSplit/>
        </w:trPr>
        <w:tc>
          <w:tcPr>
            <w:tcW w:w="2217" w:type="dxa"/>
            <w:vAlign w:val="center"/>
          </w:tcPr>
          <w:p w14:paraId="16AAC9A7" w14:textId="2F9873CE" w:rsidR="000F5D2C" w:rsidRPr="000740CC" w:rsidRDefault="000F5D2C" w:rsidP="00E718D6">
            <w:pPr>
              <w:pStyle w:val="MarginText"/>
              <w:rPr>
                <w:rFonts w:cs="Arial"/>
              </w:rPr>
            </w:pPr>
            <w:r>
              <w:rPr>
                <w:rFonts w:cs="Arial"/>
              </w:rPr>
              <w:t>Costing Programme</w:t>
            </w:r>
          </w:p>
        </w:tc>
        <w:tc>
          <w:tcPr>
            <w:tcW w:w="5571" w:type="dxa"/>
          </w:tcPr>
          <w:p w14:paraId="3106D865" w14:textId="2E2C7A08" w:rsidR="000F5D2C" w:rsidRPr="002814FA" w:rsidRDefault="002814FA" w:rsidP="002814FA">
            <w:pPr>
              <w:pStyle w:val="MarginText"/>
              <w:rPr>
                <w:rFonts w:cs="Arial"/>
              </w:rPr>
            </w:pPr>
            <w:r>
              <w:rPr>
                <w:rFonts w:cs="Arial"/>
              </w:rPr>
              <w:t>m</w:t>
            </w:r>
            <w:r w:rsidR="000F5D2C" w:rsidRPr="002814FA">
              <w:rPr>
                <w:rFonts w:cs="Arial"/>
              </w:rPr>
              <w:t>eans</w:t>
            </w:r>
            <w:r w:rsidRPr="002814FA">
              <w:rPr>
                <w:rFonts w:cs="Arial"/>
              </w:rPr>
              <w:t xml:space="preserve"> </w:t>
            </w:r>
            <w:r>
              <w:rPr>
                <w:rFonts w:cs="Arial"/>
              </w:rPr>
              <w:t>t</w:t>
            </w:r>
            <w:r w:rsidRPr="002814FA">
              <w:rPr>
                <w:rFonts w:cs="Arial"/>
                <w:shd w:val="clear" w:color="auto" w:fill="FFFFFF"/>
              </w:rPr>
              <w:t xml:space="preserve">he approach to </w:t>
            </w:r>
            <w:r>
              <w:rPr>
                <w:rFonts w:cs="Arial"/>
                <w:shd w:val="clear" w:color="auto" w:fill="FFFFFF"/>
              </w:rPr>
              <w:t>improving costing capability across HMG</w:t>
            </w:r>
            <w:r w:rsidRPr="002814FA">
              <w:rPr>
                <w:rFonts w:cs="Arial"/>
                <w:shd w:val="clear" w:color="auto" w:fill="FFFFFF"/>
              </w:rPr>
              <w:t>, of which</w:t>
            </w:r>
            <w:r>
              <w:rPr>
                <w:rFonts w:cs="Arial"/>
                <w:shd w:val="clear" w:color="auto" w:fill="FFFFFF"/>
              </w:rPr>
              <w:t xml:space="preserve"> the</w:t>
            </w:r>
            <w:r w:rsidRPr="002814FA">
              <w:rPr>
                <w:rFonts w:cs="Arial"/>
                <w:shd w:val="clear" w:color="auto" w:fill="FFFFFF"/>
              </w:rPr>
              <w:t xml:space="preserve"> </w:t>
            </w:r>
            <w:r>
              <w:rPr>
                <w:rFonts w:cs="Arial"/>
                <w:shd w:val="clear" w:color="auto" w:fill="FFFFFF"/>
              </w:rPr>
              <w:t>Costing Projects are</w:t>
            </w:r>
            <w:r w:rsidRPr="002814FA">
              <w:rPr>
                <w:rFonts w:cs="Arial"/>
                <w:shd w:val="clear" w:color="auto" w:fill="FFFFFF"/>
              </w:rPr>
              <w:t xml:space="preserve"> the principal part</w:t>
            </w:r>
            <w:r w:rsidR="009C78A4">
              <w:rPr>
                <w:rFonts w:cs="Arial"/>
                <w:shd w:val="clear" w:color="auto" w:fill="FFFFFF"/>
              </w:rPr>
              <w:t xml:space="preserve"> of the Programme;</w:t>
            </w:r>
          </w:p>
        </w:tc>
      </w:tr>
      <w:tr w:rsidR="002E55A9" w:rsidRPr="00EE3DEA" w14:paraId="217E58EF" w14:textId="77777777" w:rsidTr="00290807">
        <w:trPr>
          <w:cantSplit/>
        </w:trPr>
        <w:tc>
          <w:tcPr>
            <w:tcW w:w="2217" w:type="dxa"/>
            <w:vAlign w:val="center"/>
          </w:tcPr>
          <w:p w14:paraId="78660562" w14:textId="77777777" w:rsidR="002E55A9" w:rsidRPr="000740CC" w:rsidRDefault="002E55A9" w:rsidP="00E718D6">
            <w:pPr>
              <w:pStyle w:val="MarginText"/>
              <w:rPr>
                <w:rFonts w:cs="Arial"/>
              </w:rPr>
            </w:pPr>
            <w:r w:rsidRPr="000740CC">
              <w:rPr>
                <w:rFonts w:cs="Arial"/>
              </w:rPr>
              <w:t>Consensus Marking Procedure</w:t>
            </w:r>
          </w:p>
        </w:tc>
        <w:tc>
          <w:tcPr>
            <w:tcW w:w="5571" w:type="dxa"/>
          </w:tcPr>
          <w:p w14:paraId="7CE9696C" w14:textId="5446A77A" w:rsidR="002E55A9" w:rsidRPr="000740CC" w:rsidRDefault="002E55A9" w:rsidP="008436A9">
            <w:pPr>
              <w:pStyle w:val="MarginText"/>
              <w:rPr>
                <w:rFonts w:cs="Arial"/>
              </w:rPr>
            </w:pPr>
            <w:r w:rsidRPr="000740CC">
              <w:rPr>
                <w:rFonts w:cs="Arial"/>
              </w:rPr>
              <w:t xml:space="preserve">means the evaluation procedure described in </w:t>
            </w:r>
            <w:r w:rsidRPr="00777AD8">
              <w:rPr>
                <w:rFonts w:cs="Arial"/>
              </w:rPr>
              <w:t xml:space="preserve">paragraph </w:t>
            </w:r>
            <w:r w:rsidR="008436A9" w:rsidRPr="00777AD8">
              <w:rPr>
                <w:rFonts w:cs="Arial"/>
              </w:rPr>
              <w:t>8.2</w:t>
            </w:r>
          </w:p>
        </w:tc>
      </w:tr>
      <w:tr w:rsidR="004173D9" w:rsidRPr="00EE3DEA" w14:paraId="3C1597D8" w14:textId="77777777" w:rsidTr="00290807">
        <w:trPr>
          <w:cantSplit/>
        </w:trPr>
        <w:tc>
          <w:tcPr>
            <w:tcW w:w="2217" w:type="dxa"/>
            <w:vAlign w:val="center"/>
          </w:tcPr>
          <w:p w14:paraId="072696AE" w14:textId="77777777" w:rsidR="004173D9" w:rsidRPr="000740CC" w:rsidRDefault="00DB34BE" w:rsidP="00955445">
            <w:pPr>
              <w:pStyle w:val="MarginText"/>
              <w:rPr>
                <w:rFonts w:cs="Arial"/>
              </w:rPr>
            </w:pPr>
            <w:r w:rsidRPr="000740CC">
              <w:rPr>
                <w:rFonts w:cs="Arial"/>
              </w:rPr>
              <w:t>Group of Economic Operators</w:t>
            </w:r>
          </w:p>
        </w:tc>
        <w:tc>
          <w:tcPr>
            <w:tcW w:w="5571" w:type="dxa"/>
          </w:tcPr>
          <w:p w14:paraId="6E6F3A1F" w14:textId="23D0EC46" w:rsidR="00A93A1E" w:rsidRPr="000740CC" w:rsidRDefault="004173D9">
            <w:pPr>
              <w:pStyle w:val="MarginText"/>
              <w:rPr>
                <w:rFonts w:cs="Arial"/>
              </w:rPr>
            </w:pPr>
            <w:r w:rsidRPr="000740CC">
              <w:rPr>
                <w:rFonts w:cs="Arial"/>
              </w:rPr>
              <w:t xml:space="preserve">means a group of economic operators acting jointly and severally to provide the </w:t>
            </w:r>
            <w:r w:rsidR="009F5FF7" w:rsidRPr="000740CC">
              <w:rPr>
                <w:rFonts w:cs="Arial"/>
              </w:rPr>
              <w:t xml:space="preserve"> Services</w:t>
            </w:r>
            <w:r w:rsidR="00A200C1" w:rsidRPr="000740CC">
              <w:rPr>
                <w:rFonts w:cs="Arial"/>
              </w:rPr>
              <w:t>;</w:t>
            </w:r>
          </w:p>
        </w:tc>
      </w:tr>
      <w:tr w:rsidR="004173D9" w:rsidRPr="00EE3DEA" w14:paraId="437DFD3F" w14:textId="77777777" w:rsidTr="00290807">
        <w:trPr>
          <w:cantSplit/>
        </w:trPr>
        <w:tc>
          <w:tcPr>
            <w:tcW w:w="2217" w:type="dxa"/>
            <w:vAlign w:val="center"/>
          </w:tcPr>
          <w:p w14:paraId="236F188E" w14:textId="77777777" w:rsidR="004173D9" w:rsidRPr="000740CC" w:rsidRDefault="004173D9" w:rsidP="00290807">
            <w:pPr>
              <w:pStyle w:val="MarginText"/>
              <w:rPr>
                <w:rFonts w:cs="Arial"/>
              </w:rPr>
            </w:pPr>
            <w:r w:rsidRPr="000740CC">
              <w:rPr>
                <w:rFonts w:cs="Arial"/>
              </w:rPr>
              <w:t xml:space="preserve">Contracting </w:t>
            </w:r>
            <w:r w:rsidR="00290807" w:rsidRPr="000740CC">
              <w:rPr>
                <w:rFonts w:cs="Arial"/>
              </w:rPr>
              <w:t>Authority</w:t>
            </w:r>
          </w:p>
        </w:tc>
        <w:tc>
          <w:tcPr>
            <w:tcW w:w="5571" w:type="dxa"/>
          </w:tcPr>
          <w:p w14:paraId="780DC651" w14:textId="52B8AE90" w:rsidR="004173D9" w:rsidRPr="000740CC" w:rsidRDefault="004173D9" w:rsidP="000703D3">
            <w:pPr>
              <w:pStyle w:val="MarginText"/>
              <w:rPr>
                <w:rFonts w:cs="Arial"/>
              </w:rPr>
            </w:pPr>
            <w:r w:rsidRPr="000740CC">
              <w:rPr>
                <w:rFonts w:cs="Arial"/>
              </w:rPr>
              <w:t xml:space="preserve">means the </w:t>
            </w:r>
            <w:r w:rsidR="00507654">
              <w:rPr>
                <w:rFonts w:cs="Arial"/>
              </w:rPr>
              <w:t xml:space="preserve">Contracting </w:t>
            </w:r>
            <w:r w:rsidRPr="000740CC">
              <w:rPr>
                <w:rFonts w:cs="Arial"/>
              </w:rPr>
              <w:t xml:space="preserve">Authority </w:t>
            </w:r>
            <w:r w:rsidR="00507654">
              <w:rPr>
                <w:rFonts w:cs="Arial"/>
              </w:rPr>
              <w:t xml:space="preserve">Her Majesty’s Treasury (HMT) </w:t>
            </w:r>
            <w:r w:rsidR="000703D3">
              <w:rPr>
                <w:rFonts w:cs="Arial"/>
              </w:rPr>
              <w:t>and/or any O</w:t>
            </w:r>
            <w:r w:rsidRPr="000740CC">
              <w:rPr>
                <w:rFonts w:cs="Arial"/>
              </w:rPr>
              <w:t>ther Contracting</w:t>
            </w:r>
            <w:r w:rsidR="000703D3">
              <w:rPr>
                <w:rFonts w:cs="Arial"/>
              </w:rPr>
              <w:t xml:space="preserve"> Authorities</w:t>
            </w:r>
            <w:r w:rsidRPr="000740CC">
              <w:rPr>
                <w:rFonts w:cs="Arial"/>
              </w:rPr>
              <w:t xml:space="preserve"> described in the OJEU Contract Notice;</w:t>
            </w:r>
          </w:p>
        </w:tc>
      </w:tr>
      <w:tr w:rsidR="00412BB2" w:rsidRPr="00EE3DEA" w14:paraId="085FF5FB" w14:textId="77777777" w:rsidTr="00290807">
        <w:trPr>
          <w:cantSplit/>
        </w:trPr>
        <w:tc>
          <w:tcPr>
            <w:tcW w:w="2217" w:type="dxa"/>
            <w:vAlign w:val="center"/>
          </w:tcPr>
          <w:p w14:paraId="53694269" w14:textId="77777777" w:rsidR="00412BB2" w:rsidRPr="000740CC" w:rsidRDefault="00DC3590" w:rsidP="00E718D6">
            <w:pPr>
              <w:pStyle w:val="MarginText"/>
              <w:rPr>
                <w:rFonts w:cs="Arial"/>
              </w:rPr>
            </w:pPr>
            <w:r w:rsidRPr="000740CC">
              <w:rPr>
                <w:rFonts w:cs="Arial"/>
              </w:rPr>
              <w:t>Cy</w:t>
            </w:r>
            <w:r w:rsidR="00412BB2" w:rsidRPr="000740CC">
              <w:rPr>
                <w:rFonts w:cs="Arial"/>
              </w:rPr>
              <w:t>ber Essentials</w:t>
            </w:r>
          </w:p>
        </w:tc>
        <w:tc>
          <w:tcPr>
            <w:tcW w:w="5571" w:type="dxa"/>
          </w:tcPr>
          <w:p w14:paraId="08259EE6" w14:textId="77777777" w:rsidR="00412BB2" w:rsidRPr="000740CC" w:rsidRDefault="00412BB2" w:rsidP="00412BB2">
            <w:pPr>
              <w:pStyle w:val="MarginText"/>
              <w:rPr>
                <w:rFonts w:cs="Arial"/>
              </w:rPr>
            </w:pPr>
            <w:r w:rsidRPr="000740CC">
              <w:rPr>
                <w:rFonts w:cs="Arial"/>
              </w:rPr>
              <w:t>means one of the two levels of certification which are available under the Cyber Essentials Scheme;</w:t>
            </w:r>
          </w:p>
          <w:p w14:paraId="264D8E7C" w14:textId="77777777" w:rsidR="00412BB2" w:rsidRPr="000740CC" w:rsidRDefault="00412BB2" w:rsidP="002E55A9">
            <w:pPr>
              <w:pStyle w:val="MarginText"/>
              <w:rPr>
                <w:rFonts w:cs="Arial"/>
              </w:rPr>
            </w:pPr>
          </w:p>
        </w:tc>
      </w:tr>
      <w:tr w:rsidR="00412BB2" w:rsidRPr="00EE3DEA" w14:paraId="4FA32CC6" w14:textId="77777777" w:rsidTr="00290807">
        <w:trPr>
          <w:cantSplit/>
        </w:trPr>
        <w:tc>
          <w:tcPr>
            <w:tcW w:w="2217" w:type="dxa"/>
            <w:vAlign w:val="center"/>
          </w:tcPr>
          <w:p w14:paraId="646C43DF" w14:textId="77777777" w:rsidR="00412BB2" w:rsidRPr="000740CC" w:rsidRDefault="00412BB2" w:rsidP="00412BB2">
            <w:pPr>
              <w:pStyle w:val="MarginText"/>
              <w:rPr>
                <w:rFonts w:cs="Arial"/>
              </w:rPr>
            </w:pPr>
            <w:r w:rsidRPr="000740CC">
              <w:rPr>
                <w:rFonts w:cs="Arial"/>
              </w:rPr>
              <w:t>Cyber Essentials Data</w:t>
            </w:r>
          </w:p>
          <w:p w14:paraId="2874A9DD" w14:textId="77777777" w:rsidR="00412BB2" w:rsidRPr="000740CC" w:rsidRDefault="00412BB2" w:rsidP="00E718D6">
            <w:pPr>
              <w:pStyle w:val="MarginText"/>
              <w:rPr>
                <w:rFonts w:cs="Arial"/>
              </w:rPr>
            </w:pPr>
          </w:p>
        </w:tc>
        <w:tc>
          <w:tcPr>
            <w:tcW w:w="5571" w:type="dxa"/>
          </w:tcPr>
          <w:p w14:paraId="1EA553B0" w14:textId="77777777" w:rsidR="00412BB2" w:rsidRPr="000740CC" w:rsidRDefault="00412BB2" w:rsidP="00412BB2">
            <w:pPr>
              <w:pStyle w:val="MarginText"/>
              <w:rPr>
                <w:rFonts w:cs="Arial"/>
              </w:rPr>
            </w:pPr>
            <w:r w:rsidRPr="000740CC">
              <w:rPr>
                <w:rFonts w:cs="Arial"/>
              </w:rPr>
              <w:t>means sensitive and personal information and other relevant information as referred to in the Cyber Essentials Scheme</w:t>
            </w:r>
          </w:p>
          <w:p w14:paraId="47883697" w14:textId="77777777" w:rsidR="00412BB2" w:rsidRPr="000740CC" w:rsidRDefault="00412BB2" w:rsidP="00412BB2">
            <w:pPr>
              <w:pStyle w:val="MarginText"/>
              <w:rPr>
                <w:rFonts w:cs="Arial"/>
              </w:rPr>
            </w:pPr>
          </w:p>
        </w:tc>
      </w:tr>
      <w:tr w:rsidR="00FB680D" w:rsidRPr="00EE3DEA" w14:paraId="7F173C49" w14:textId="77777777" w:rsidTr="00290807">
        <w:trPr>
          <w:cantSplit/>
        </w:trPr>
        <w:tc>
          <w:tcPr>
            <w:tcW w:w="2217" w:type="dxa"/>
            <w:vAlign w:val="center"/>
          </w:tcPr>
          <w:p w14:paraId="7D071AE4" w14:textId="77777777" w:rsidR="00FB680D" w:rsidRPr="000740CC" w:rsidRDefault="00FB680D" w:rsidP="00682F3F">
            <w:pPr>
              <w:pStyle w:val="MarginText"/>
              <w:jc w:val="left"/>
              <w:rPr>
                <w:rFonts w:cs="Arial"/>
              </w:rPr>
            </w:pPr>
            <w:r w:rsidRPr="000740CC">
              <w:rPr>
                <w:rFonts w:cs="Arial"/>
              </w:rPr>
              <w:t>Cyber Essentials Scheme</w:t>
            </w:r>
          </w:p>
          <w:p w14:paraId="149F934B" w14:textId="77777777" w:rsidR="00FB680D" w:rsidRPr="000740CC" w:rsidRDefault="00FB680D" w:rsidP="00FB680D">
            <w:pPr>
              <w:pStyle w:val="MarginText"/>
              <w:rPr>
                <w:rFonts w:cs="Arial"/>
              </w:rPr>
            </w:pPr>
          </w:p>
        </w:tc>
        <w:tc>
          <w:tcPr>
            <w:tcW w:w="5571" w:type="dxa"/>
          </w:tcPr>
          <w:p w14:paraId="48E25E77" w14:textId="77777777" w:rsidR="00FB680D" w:rsidRPr="000740CC" w:rsidRDefault="00FB680D" w:rsidP="00FB680D">
            <w:pPr>
              <w:pStyle w:val="MarginText"/>
              <w:rPr>
                <w:rFonts w:cs="Arial"/>
              </w:rPr>
            </w:pPr>
            <w:proofErr w:type="gramStart"/>
            <w:r w:rsidRPr="000740CC">
              <w:rPr>
                <w:rFonts w:cs="Arial"/>
              </w:rPr>
              <w:t>means</w:t>
            </w:r>
            <w:proofErr w:type="gramEnd"/>
            <w:r w:rsidRPr="000740CC">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w:t>
            </w:r>
          </w:p>
          <w:p w14:paraId="2F4EDA3E" w14:textId="77777777" w:rsidR="00FB680D" w:rsidRPr="000740CC" w:rsidRDefault="009E5D58" w:rsidP="00FB680D">
            <w:pPr>
              <w:pStyle w:val="MarginText"/>
              <w:rPr>
                <w:rFonts w:cs="Arial"/>
              </w:rPr>
            </w:pPr>
            <w:hyperlink r:id="rId19" w:history="1">
              <w:r w:rsidR="00FB680D" w:rsidRPr="000740CC">
                <w:rPr>
                  <w:rStyle w:val="Hyperlink"/>
                  <w:rFonts w:cs="Arial"/>
                </w:rPr>
                <w:t>https://www.gov.uk/government/publications/cyber-essentials-scheme-overview</w:t>
              </w:r>
            </w:hyperlink>
          </w:p>
        </w:tc>
      </w:tr>
      <w:tr w:rsidR="0093744A" w:rsidRPr="00EE3DEA" w14:paraId="6E3A0111" w14:textId="77777777" w:rsidTr="00290807">
        <w:trPr>
          <w:cantSplit/>
        </w:trPr>
        <w:tc>
          <w:tcPr>
            <w:tcW w:w="2217" w:type="dxa"/>
            <w:vAlign w:val="center"/>
          </w:tcPr>
          <w:p w14:paraId="075FA853" w14:textId="4247CACF" w:rsidR="0093744A" w:rsidRPr="000740CC" w:rsidRDefault="0093744A" w:rsidP="00E718D6">
            <w:pPr>
              <w:pStyle w:val="MarginText"/>
              <w:rPr>
                <w:rFonts w:cs="Arial"/>
              </w:rPr>
            </w:pPr>
            <w:r>
              <w:rPr>
                <w:rFonts w:cs="Arial"/>
              </w:rPr>
              <w:t>Day Rate</w:t>
            </w:r>
          </w:p>
        </w:tc>
        <w:tc>
          <w:tcPr>
            <w:tcW w:w="5571" w:type="dxa"/>
          </w:tcPr>
          <w:p w14:paraId="7BC92269" w14:textId="3C860696" w:rsidR="0093744A" w:rsidRPr="000740CC" w:rsidRDefault="00CB2E5D" w:rsidP="002E55A9">
            <w:pPr>
              <w:pStyle w:val="MarginText"/>
              <w:rPr>
                <w:rFonts w:cs="Arial"/>
              </w:rPr>
            </w:pPr>
            <w:r w:rsidRPr="00CB2E5D">
              <w:rPr>
                <w:rFonts w:cs="Arial"/>
              </w:rPr>
              <w:t>has the meaning</w:t>
            </w:r>
            <w:r>
              <w:rPr>
                <w:rFonts w:cs="Arial"/>
              </w:rPr>
              <w:t xml:space="preserve"> used in Framework Agreement Schedule 3 (Framework Prices and Charges Structure); </w:t>
            </w:r>
          </w:p>
        </w:tc>
      </w:tr>
      <w:tr w:rsidR="004173D9" w:rsidRPr="00EE3DEA" w14:paraId="1C0A4C99" w14:textId="77777777" w:rsidTr="00290807">
        <w:trPr>
          <w:cantSplit/>
        </w:trPr>
        <w:tc>
          <w:tcPr>
            <w:tcW w:w="2217" w:type="dxa"/>
            <w:vAlign w:val="center"/>
          </w:tcPr>
          <w:p w14:paraId="3970AC77" w14:textId="77777777" w:rsidR="004173D9" w:rsidRPr="000740CC" w:rsidRDefault="004173D9" w:rsidP="00E718D6">
            <w:pPr>
              <w:pStyle w:val="MarginText"/>
              <w:rPr>
                <w:rFonts w:cs="Arial"/>
              </w:rPr>
            </w:pPr>
            <w:r w:rsidRPr="000740CC">
              <w:rPr>
                <w:rFonts w:cs="Arial"/>
              </w:rPr>
              <w:t>e-Sourcing Suite</w:t>
            </w:r>
          </w:p>
        </w:tc>
        <w:tc>
          <w:tcPr>
            <w:tcW w:w="5571" w:type="dxa"/>
          </w:tcPr>
          <w:p w14:paraId="32951318" w14:textId="210501F6" w:rsidR="004173D9" w:rsidRPr="000740CC" w:rsidRDefault="004173D9" w:rsidP="002E55A9">
            <w:pPr>
              <w:pStyle w:val="MarginText"/>
              <w:rPr>
                <w:rFonts w:cs="Arial"/>
              </w:rPr>
            </w:pPr>
            <w:r w:rsidRPr="000740CC">
              <w:rPr>
                <w:rFonts w:cs="Arial"/>
              </w:rPr>
              <w:t xml:space="preserve">means the online tender management and administration system used by </w:t>
            </w:r>
            <w:r w:rsidR="003A11CC">
              <w:rPr>
                <w:rFonts w:cs="Arial"/>
              </w:rPr>
              <w:t>the Agent</w:t>
            </w:r>
            <w:r w:rsidRPr="000740CC">
              <w:rPr>
                <w:rFonts w:cs="Arial"/>
              </w:rPr>
              <w:t>;</w:t>
            </w:r>
          </w:p>
        </w:tc>
      </w:tr>
      <w:tr w:rsidR="004173D9" w:rsidRPr="00EE3DEA" w14:paraId="42A38051" w14:textId="77777777" w:rsidTr="00290807">
        <w:trPr>
          <w:cantSplit/>
        </w:trPr>
        <w:tc>
          <w:tcPr>
            <w:tcW w:w="2217" w:type="dxa"/>
            <w:vAlign w:val="center"/>
          </w:tcPr>
          <w:p w14:paraId="52294AFE" w14:textId="77777777" w:rsidR="004173D9" w:rsidRPr="000740CC" w:rsidRDefault="009F5FF7" w:rsidP="00E718D6">
            <w:pPr>
              <w:pStyle w:val="MarginText"/>
              <w:overflowPunct/>
              <w:autoSpaceDE/>
              <w:autoSpaceDN/>
              <w:textAlignment w:val="auto"/>
              <w:rPr>
                <w:rFonts w:cs="Arial"/>
              </w:rPr>
            </w:pPr>
            <w:r w:rsidRPr="000740CC">
              <w:rPr>
                <w:rFonts w:cs="Arial"/>
              </w:rPr>
              <w:lastRenderedPageBreak/>
              <w:t>Final Score</w:t>
            </w:r>
          </w:p>
        </w:tc>
        <w:tc>
          <w:tcPr>
            <w:tcW w:w="5571" w:type="dxa"/>
          </w:tcPr>
          <w:p w14:paraId="152EE212" w14:textId="3B314881" w:rsidR="004173D9" w:rsidRPr="0001357C" w:rsidRDefault="009F5FF7" w:rsidP="000703D3">
            <w:pPr>
              <w:pStyle w:val="MarginText"/>
              <w:overflowPunct/>
              <w:autoSpaceDE/>
              <w:autoSpaceDN/>
              <w:textAlignment w:val="auto"/>
              <w:rPr>
                <w:rFonts w:cs="Arial"/>
              </w:rPr>
            </w:pPr>
            <w:proofErr w:type="gramStart"/>
            <w:r w:rsidRPr="0001357C">
              <w:rPr>
                <w:rFonts w:cs="Arial"/>
              </w:rPr>
              <w:t>means</w:t>
            </w:r>
            <w:proofErr w:type="gramEnd"/>
            <w:r w:rsidRPr="0001357C">
              <w:rPr>
                <w:rFonts w:cs="Arial"/>
              </w:rPr>
              <w:t xml:space="preserve"> the score achieved by a Tender at the conclusion of the Award Stage evaluation calculated in accordance with paragraph </w:t>
            </w:r>
            <w:r w:rsidR="0001357C" w:rsidRPr="0001357C">
              <w:rPr>
                <w:rFonts w:cs="Arial"/>
              </w:rPr>
              <w:t>12.</w:t>
            </w:r>
          </w:p>
        </w:tc>
      </w:tr>
      <w:tr w:rsidR="004173D9" w:rsidRPr="00EE3DEA" w14:paraId="1FDF1C7E" w14:textId="77777777" w:rsidTr="00290807">
        <w:trPr>
          <w:cantSplit/>
          <w:trHeight w:val="989"/>
        </w:trPr>
        <w:tc>
          <w:tcPr>
            <w:tcW w:w="2217" w:type="dxa"/>
            <w:vAlign w:val="center"/>
          </w:tcPr>
          <w:p w14:paraId="157E6A9C" w14:textId="77777777" w:rsidR="004173D9" w:rsidRPr="000740CC" w:rsidRDefault="004173D9" w:rsidP="00E718D6">
            <w:pPr>
              <w:pStyle w:val="MarginText"/>
              <w:rPr>
                <w:rFonts w:cs="Arial"/>
              </w:rPr>
            </w:pPr>
            <w:r w:rsidRPr="000740CC">
              <w:rPr>
                <w:rFonts w:cs="Arial"/>
              </w:rPr>
              <w:t>Framework Agreement</w:t>
            </w:r>
          </w:p>
        </w:tc>
        <w:tc>
          <w:tcPr>
            <w:tcW w:w="5571" w:type="dxa"/>
          </w:tcPr>
          <w:p w14:paraId="2DCCAB94" w14:textId="58290D9D" w:rsidR="004173D9" w:rsidRPr="0001357C" w:rsidRDefault="004173D9" w:rsidP="00A237C9">
            <w:pPr>
              <w:pStyle w:val="MarginText"/>
              <w:rPr>
                <w:rFonts w:cs="Arial"/>
              </w:rPr>
            </w:pPr>
            <w:r w:rsidRPr="0001357C">
              <w:rPr>
                <w:rFonts w:cs="Arial"/>
              </w:rPr>
              <w:t xml:space="preserve">means the contractually-binding terms and conditions set out at Attachment </w:t>
            </w:r>
            <w:r w:rsidR="009F5FF7" w:rsidRPr="0001357C">
              <w:rPr>
                <w:rFonts w:cs="Arial"/>
              </w:rPr>
              <w:t>4</w:t>
            </w:r>
            <w:r w:rsidRPr="0001357C">
              <w:rPr>
                <w:rFonts w:cs="Arial"/>
              </w:rPr>
              <w:t xml:space="preserve"> of this ITT to be entered into between </w:t>
            </w:r>
            <w:r w:rsidR="003A11CC" w:rsidRPr="0001357C">
              <w:rPr>
                <w:rFonts w:cs="Arial"/>
              </w:rPr>
              <w:t>the Agent</w:t>
            </w:r>
            <w:r w:rsidRPr="0001357C">
              <w:rPr>
                <w:rFonts w:cs="Arial"/>
              </w:rPr>
              <w:t xml:space="preserve"> and the successful Potential Provider(s) at the conclusion of this Procurement;</w:t>
            </w:r>
          </w:p>
        </w:tc>
      </w:tr>
      <w:tr w:rsidR="004173D9" w:rsidRPr="00EE3DEA" w14:paraId="2434C942" w14:textId="77777777" w:rsidTr="00290807">
        <w:trPr>
          <w:cantSplit/>
        </w:trPr>
        <w:tc>
          <w:tcPr>
            <w:tcW w:w="2217" w:type="dxa"/>
            <w:vAlign w:val="center"/>
          </w:tcPr>
          <w:p w14:paraId="4D54CB70" w14:textId="77777777" w:rsidR="004173D9" w:rsidRPr="000740CC" w:rsidRDefault="004173D9" w:rsidP="00E718D6">
            <w:pPr>
              <w:pStyle w:val="MarginText"/>
              <w:rPr>
                <w:rFonts w:cs="Arial"/>
              </w:rPr>
            </w:pPr>
            <w:r w:rsidRPr="000740CC">
              <w:rPr>
                <w:rFonts w:cs="Arial"/>
              </w:rPr>
              <w:t>Framework Schedule</w:t>
            </w:r>
          </w:p>
        </w:tc>
        <w:tc>
          <w:tcPr>
            <w:tcW w:w="5571" w:type="dxa"/>
          </w:tcPr>
          <w:p w14:paraId="490D7455" w14:textId="77777777" w:rsidR="004173D9" w:rsidRPr="000740CC" w:rsidRDefault="004173D9" w:rsidP="002E55A9">
            <w:pPr>
              <w:pStyle w:val="MarginText"/>
              <w:rPr>
                <w:rFonts w:cs="Arial"/>
              </w:rPr>
            </w:pPr>
            <w:r w:rsidRPr="000740CC">
              <w:rPr>
                <w:rFonts w:cs="Arial"/>
              </w:rPr>
              <w:t>means a schedule to the Framework Agreement;</w:t>
            </w:r>
          </w:p>
        </w:tc>
      </w:tr>
      <w:tr w:rsidR="00840883" w:rsidRPr="00EE3DEA" w14:paraId="49E09F6E" w14:textId="77777777" w:rsidTr="00290807">
        <w:trPr>
          <w:cantSplit/>
        </w:trPr>
        <w:tc>
          <w:tcPr>
            <w:tcW w:w="2217" w:type="dxa"/>
            <w:vAlign w:val="center"/>
          </w:tcPr>
          <w:p w14:paraId="54100E5F" w14:textId="264BD943" w:rsidR="00840883" w:rsidRPr="000740CC" w:rsidRDefault="00840883" w:rsidP="00E718D6">
            <w:pPr>
              <w:pStyle w:val="MarginText"/>
              <w:rPr>
                <w:rFonts w:cs="Arial"/>
              </w:rPr>
            </w:pPr>
            <w:r>
              <w:rPr>
                <w:rFonts w:cs="Arial"/>
              </w:rPr>
              <w:t>‘Go Live’</w:t>
            </w:r>
          </w:p>
        </w:tc>
        <w:tc>
          <w:tcPr>
            <w:tcW w:w="5571" w:type="dxa"/>
          </w:tcPr>
          <w:p w14:paraId="0704453B" w14:textId="283776CB" w:rsidR="00840883" w:rsidRPr="000740CC" w:rsidRDefault="00840883" w:rsidP="003A11CC">
            <w:pPr>
              <w:pStyle w:val="MarginText"/>
              <w:rPr>
                <w:rFonts w:cs="Arial"/>
              </w:rPr>
            </w:pPr>
            <w:r>
              <w:rPr>
                <w:rFonts w:cs="Arial"/>
                <w:color w:val="222222"/>
                <w:shd w:val="clear" w:color="auto" w:fill="FFFFFF"/>
              </w:rPr>
              <w:t xml:space="preserve">means the first date that the </w:t>
            </w:r>
            <w:r w:rsidR="003A11CC">
              <w:rPr>
                <w:rFonts w:cs="Arial"/>
                <w:color w:val="222222"/>
                <w:shd w:val="clear" w:color="auto" w:fill="FFFFFF"/>
              </w:rPr>
              <w:t xml:space="preserve"> Service Provision For Financial Management Reform Costing Programme</w:t>
            </w:r>
            <w:r>
              <w:rPr>
                <w:rFonts w:cs="Arial"/>
                <w:color w:val="222222"/>
                <w:shd w:val="clear" w:color="auto" w:fill="FFFFFF"/>
              </w:rPr>
              <w:t xml:space="preserve"> will be active and available to Users;</w:t>
            </w:r>
          </w:p>
        </w:tc>
      </w:tr>
      <w:tr w:rsidR="0093744A" w:rsidRPr="00EE3DEA" w14:paraId="3995DEEB" w14:textId="77777777" w:rsidTr="00290807">
        <w:trPr>
          <w:cantSplit/>
        </w:trPr>
        <w:tc>
          <w:tcPr>
            <w:tcW w:w="2217" w:type="dxa"/>
            <w:vAlign w:val="center"/>
          </w:tcPr>
          <w:p w14:paraId="7411C1B8" w14:textId="4595BC61" w:rsidR="0093744A" w:rsidRPr="00C91FC0" w:rsidRDefault="0093744A" w:rsidP="00E718D6">
            <w:pPr>
              <w:pStyle w:val="MarginText"/>
              <w:rPr>
                <w:rFonts w:cs="Arial"/>
              </w:rPr>
            </w:pPr>
            <w:r w:rsidRPr="00C91FC0">
              <w:rPr>
                <w:rFonts w:cs="Arial"/>
              </w:rPr>
              <w:t>Grade</w:t>
            </w:r>
          </w:p>
        </w:tc>
        <w:tc>
          <w:tcPr>
            <w:tcW w:w="5571" w:type="dxa"/>
          </w:tcPr>
          <w:p w14:paraId="6841A64E" w14:textId="3FAABBC6" w:rsidR="0093744A" w:rsidRPr="00C91FC0" w:rsidRDefault="004C0A6A" w:rsidP="003A11CC">
            <w:pPr>
              <w:pStyle w:val="MarginText"/>
              <w:rPr>
                <w:rFonts w:cs="Arial"/>
                <w:color w:val="222222"/>
                <w:shd w:val="clear" w:color="auto" w:fill="FFFFFF"/>
              </w:rPr>
            </w:pPr>
            <w:r w:rsidRPr="00CB2E5D">
              <w:rPr>
                <w:rFonts w:cs="Arial"/>
              </w:rPr>
              <w:t>has the meaning</w:t>
            </w:r>
            <w:r>
              <w:rPr>
                <w:rFonts w:cs="Arial"/>
              </w:rPr>
              <w:t xml:space="preserve"> used in Framework Agreement Schedule 3 (Framework Prices and Charges Structure);</w:t>
            </w:r>
          </w:p>
        </w:tc>
      </w:tr>
      <w:tr w:rsidR="00FB680D" w:rsidRPr="00EE3DEA" w14:paraId="5F63FC80" w14:textId="77777777" w:rsidTr="00290807">
        <w:trPr>
          <w:cantSplit/>
        </w:trPr>
        <w:tc>
          <w:tcPr>
            <w:tcW w:w="2217" w:type="dxa"/>
            <w:vAlign w:val="center"/>
          </w:tcPr>
          <w:p w14:paraId="18199D6E" w14:textId="72D5187E" w:rsidR="00FB680D" w:rsidRPr="000740CC" w:rsidRDefault="00FB680D" w:rsidP="00E718D6">
            <w:pPr>
              <w:pStyle w:val="MarginText"/>
              <w:rPr>
                <w:rFonts w:cs="Arial"/>
              </w:rPr>
            </w:pPr>
            <w:r w:rsidRPr="00FA2CB6">
              <w:rPr>
                <w:rFonts w:cs="Arial"/>
              </w:rPr>
              <w:t xml:space="preserve"> Services</w:t>
            </w:r>
          </w:p>
        </w:tc>
        <w:tc>
          <w:tcPr>
            <w:tcW w:w="5571" w:type="dxa"/>
          </w:tcPr>
          <w:p w14:paraId="29B93E22" w14:textId="7419964D" w:rsidR="00FB680D" w:rsidRPr="000740CC" w:rsidRDefault="00FB680D" w:rsidP="00FB680D">
            <w:pPr>
              <w:pStyle w:val="MarginText"/>
              <w:rPr>
                <w:rFonts w:cs="Arial"/>
              </w:rPr>
            </w:pPr>
            <w:r w:rsidRPr="000740CC">
              <w:rPr>
                <w:rFonts w:cs="Arial"/>
              </w:rPr>
              <w:t xml:space="preserve">means the </w:t>
            </w:r>
            <w:r w:rsidRPr="00FA2CB6">
              <w:rPr>
                <w:rFonts w:cs="Arial"/>
              </w:rPr>
              <w:t xml:space="preserve"> Services</w:t>
            </w:r>
            <w:r w:rsidRPr="000740CC">
              <w:rPr>
                <w:rFonts w:cs="Arial"/>
              </w:rPr>
              <w:t xml:space="preserve"> that may be provided by Suppliers, as set out at Framework </w:t>
            </w:r>
            <w:r w:rsidRPr="0001357C">
              <w:rPr>
                <w:rFonts w:cs="Arial"/>
              </w:rPr>
              <w:t>Schedule 2</w:t>
            </w:r>
            <w:r w:rsidRPr="000740CC">
              <w:rPr>
                <w:rFonts w:cs="Arial"/>
              </w:rPr>
              <w:t>;</w:t>
            </w:r>
          </w:p>
          <w:p w14:paraId="42916888" w14:textId="77777777" w:rsidR="00FB680D" w:rsidRPr="000740CC" w:rsidRDefault="00FB680D" w:rsidP="002E55A9">
            <w:pPr>
              <w:pStyle w:val="MarginText"/>
              <w:rPr>
                <w:rFonts w:cs="Arial"/>
              </w:rPr>
            </w:pPr>
          </w:p>
        </w:tc>
      </w:tr>
      <w:tr w:rsidR="004173D9" w:rsidRPr="00EE3DEA" w14:paraId="4DC35195" w14:textId="77777777" w:rsidTr="00290807">
        <w:trPr>
          <w:cantSplit/>
        </w:trPr>
        <w:tc>
          <w:tcPr>
            <w:tcW w:w="2217" w:type="dxa"/>
            <w:vAlign w:val="center"/>
          </w:tcPr>
          <w:p w14:paraId="19DAA533" w14:textId="77777777" w:rsidR="004173D9" w:rsidRPr="000740CC" w:rsidRDefault="004173D9" w:rsidP="00405EFE">
            <w:pPr>
              <w:pStyle w:val="MarginText"/>
              <w:rPr>
                <w:rFonts w:cs="Arial"/>
              </w:rPr>
            </w:pPr>
            <w:r w:rsidRPr="000740CC">
              <w:rPr>
                <w:rFonts w:cs="Arial"/>
              </w:rPr>
              <w:t xml:space="preserve">Group </w:t>
            </w:r>
          </w:p>
        </w:tc>
        <w:tc>
          <w:tcPr>
            <w:tcW w:w="5571" w:type="dxa"/>
          </w:tcPr>
          <w:p w14:paraId="7400622D" w14:textId="77777777" w:rsidR="004173D9" w:rsidRPr="000740CC" w:rsidRDefault="004173D9" w:rsidP="002E55A9">
            <w:pPr>
              <w:pStyle w:val="MarginText"/>
              <w:rPr>
                <w:rFonts w:cs="Arial"/>
              </w:rPr>
            </w:pPr>
            <w:proofErr w:type="gramStart"/>
            <w:r w:rsidRPr="000740CC">
              <w:rPr>
                <w:rFonts w:cs="Arial"/>
              </w:rPr>
              <w:t>means</w:t>
            </w:r>
            <w:proofErr w:type="gramEnd"/>
            <w:r w:rsidRPr="000740CC">
              <w:rPr>
                <w:rFonts w:cs="Arial"/>
              </w:rPr>
              <w:t xml:space="preserve"> in relation to a company, that company, any subsidiary or holding company from time to time of that company, and any subsidiary from time to time of a holding company of that company. Holding company and subsidiary shall mean a </w:t>
            </w:r>
            <w:r w:rsidR="00290807" w:rsidRPr="000740CC">
              <w:rPr>
                <w:rFonts w:cs="Arial"/>
              </w:rPr>
              <w:t>“</w:t>
            </w:r>
            <w:r w:rsidRPr="000740CC">
              <w:rPr>
                <w:rFonts w:cs="Arial"/>
              </w:rPr>
              <w:t>holding company</w:t>
            </w:r>
            <w:r w:rsidR="00290807" w:rsidRPr="000740CC">
              <w:rPr>
                <w:rFonts w:cs="Arial"/>
              </w:rPr>
              <w:t>”</w:t>
            </w:r>
            <w:r w:rsidRPr="000740CC">
              <w:rPr>
                <w:rFonts w:cs="Arial"/>
              </w:rPr>
              <w:t xml:space="preserve"> and </w:t>
            </w:r>
            <w:r w:rsidR="00290807" w:rsidRPr="000740CC">
              <w:rPr>
                <w:rFonts w:cs="Arial"/>
              </w:rPr>
              <w:t>“</w:t>
            </w:r>
            <w:r w:rsidRPr="000740CC">
              <w:rPr>
                <w:rFonts w:cs="Arial"/>
              </w:rPr>
              <w:t>subsidiary</w:t>
            </w:r>
            <w:r w:rsidR="00290807" w:rsidRPr="000740CC">
              <w:rPr>
                <w:rFonts w:cs="Arial"/>
              </w:rPr>
              <w:t>”</w:t>
            </w:r>
            <w:r w:rsidRPr="000740CC">
              <w:rPr>
                <w:rFonts w:cs="Arial"/>
              </w:rPr>
              <w:t xml:space="preserve"> as defined in section 1159 of the Companies Act 2006;</w:t>
            </w:r>
          </w:p>
        </w:tc>
      </w:tr>
      <w:tr w:rsidR="00507654" w:rsidRPr="00EE3DEA" w14:paraId="5DA1E6A7" w14:textId="77777777" w:rsidTr="00290807">
        <w:trPr>
          <w:cantSplit/>
        </w:trPr>
        <w:tc>
          <w:tcPr>
            <w:tcW w:w="2217" w:type="dxa"/>
            <w:vAlign w:val="center"/>
          </w:tcPr>
          <w:p w14:paraId="40074876" w14:textId="77D81862" w:rsidR="00507654" w:rsidRPr="000740CC" w:rsidRDefault="00507654" w:rsidP="00E718D6">
            <w:pPr>
              <w:pStyle w:val="MarginText"/>
              <w:rPr>
                <w:rFonts w:cs="Arial"/>
              </w:rPr>
            </w:pPr>
            <w:bookmarkStart w:id="97" w:name="_GoBack"/>
            <w:bookmarkEnd w:id="97"/>
            <w:r>
              <w:rPr>
                <w:rFonts w:cs="Arial"/>
              </w:rPr>
              <w:t>HMG</w:t>
            </w:r>
          </w:p>
        </w:tc>
        <w:tc>
          <w:tcPr>
            <w:tcW w:w="5571" w:type="dxa"/>
          </w:tcPr>
          <w:p w14:paraId="7273C037" w14:textId="1F040409" w:rsidR="00507654" w:rsidRPr="000740CC" w:rsidRDefault="007875B8" w:rsidP="002E55A9">
            <w:pPr>
              <w:pStyle w:val="MarginText"/>
              <w:rPr>
                <w:rFonts w:cs="Arial"/>
              </w:rPr>
            </w:pPr>
            <w:r>
              <w:rPr>
                <w:rFonts w:cs="Arial"/>
              </w:rPr>
              <w:t xml:space="preserve">means </w:t>
            </w:r>
            <w:r w:rsidR="00507654">
              <w:rPr>
                <w:rFonts w:cs="Arial"/>
              </w:rPr>
              <w:t>Her Majesty’ Government</w:t>
            </w:r>
          </w:p>
        </w:tc>
      </w:tr>
      <w:tr w:rsidR="004173D9" w:rsidRPr="00EE3DEA" w14:paraId="3A36CF47" w14:textId="77777777" w:rsidTr="00290807">
        <w:trPr>
          <w:cantSplit/>
        </w:trPr>
        <w:tc>
          <w:tcPr>
            <w:tcW w:w="2217" w:type="dxa"/>
            <w:vAlign w:val="center"/>
          </w:tcPr>
          <w:p w14:paraId="591D9712" w14:textId="77777777" w:rsidR="004173D9" w:rsidRPr="000740CC" w:rsidRDefault="004173D9" w:rsidP="00E718D6">
            <w:pPr>
              <w:pStyle w:val="MarginText"/>
              <w:rPr>
                <w:rFonts w:cs="Arial"/>
              </w:rPr>
            </w:pPr>
            <w:r w:rsidRPr="000740CC">
              <w:rPr>
                <w:rFonts w:cs="Arial"/>
              </w:rPr>
              <w:t>Invitation to Tender or ITT</w:t>
            </w:r>
          </w:p>
        </w:tc>
        <w:tc>
          <w:tcPr>
            <w:tcW w:w="5571" w:type="dxa"/>
          </w:tcPr>
          <w:p w14:paraId="5F39747D" w14:textId="14A803FB" w:rsidR="004173D9" w:rsidRPr="000740CC" w:rsidRDefault="004173D9" w:rsidP="002E55A9">
            <w:pPr>
              <w:pStyle w:val="MarginText"/>
              <w:rPr>
                <w:rFonts w:cs="Arial"/>
                <w:b/>
              </w:rPr>
            </w:pPr>
            <w:r w:rsidRPr="000740CC">
              <w:rPr>
                <w:rFonts w:cs="Arial"/>
              </w:rPr>
              <w:t>means</w:t>
            </w:r>
            <w:r w:rsidRPr="000740CC">
              <w:rPr>
                <w:rFonts w:cs="Arial"/>
                <w:b/>
              </w:rPr>
              <w:t xml:space="preserve"> </w:t>
            </w:r>
            <w:r w:rsidRPr="000740CC">
              <w:rPr>
                <w:rFonts w:cs="Arial"/>
              </w:rPr>
              <w:t xml:space="preserve">this invitation to tender document and its Attachments, incorporating the Terms of Participation and all related documents published by </w:t>
            </w:r>
            <w:r w:rsidR="003A11CC">
              <w:rPr>
                <w:rFonts w:cs="Arial"/>
              </w:rPr>
              <w:t>the Agent</w:t>
            </w:r>
            <w:r w:rsidRPr="000740CC">
              <w:rPr>
                <w:rFonts w:cs="Arial"/>
              </w:rPr>
              <w:t xml:space="preserve"> in relation to this Procurement;</w:t>
            </w:r>
          </w:p>
        </w:tc>
      </w:tr>
      <w:tr w:rsidR="004173D9" w:rsidRPr="00EE3DEA" w14:paraId="335CF577" w14:textId="77777777" w:rsidTr="00290807">
        <w:trPr>
          <w:cantSplit/>
        </w:trPr>
        <w:tc>
          <w:tcPr>
            <w:tcW w:w="2217" w:type="dxa"/>
            <w:vAlign w:val="center"/>
          </w:tcPr>
          <w:p w14:paraId="63BAB7E6" w14:textId="77777777" w:rsidR="004173D9" w:rsidRPr="000740CC" w:rsidRDefault="004173D9" w:rsidP="00955445">
            <w:pPr>
              <w:pStyle w:val="MarginText"/>
              <w:rPr>
                <w:rFonts w:cs="Arial"/>
              </w:rPr>
            </w:pPr>
            <w:r w:rsidRPr="000740CC">
              <w:rPr>
                <w:rFonts w:cs="Arial"/>
              </w:rPr>
              <w:t>Lead Contact</w:t>
            </w:r>
          </w:p>
        </w:tc>
        <w:tc>
          <w:tcPr>
            <w:tcW w:w="5571" w:type="dxa"/>
          </w:tcPr>
          <w:p w14:paraId="0D2DDBFB" w14:textId="77777777" w:rsidR="004173D9" w:rsidRPr="000740CC" w:rsidRDefault="004173D9" w:rsidP="00DB34BE">
            <w:pPr>
              <w:pStyle w:val="MarginText"/>
              <w:rPr>
                <w:rFonts w:cs="Arial"/>
              </w:rPr>
            </w:pPr>
            <w:r w:rsidRPr="000740CC">
              <w:rPr>
                <w:rFonts w:cs="Arial"/>
              </w:rPr>
              <w:t xml:space="preserve"> </w:t>
            </w:r>
            <w:r w:rsidR="00DB34BE" w:rsidRPr="000740CC">
              <w:rPr>
                <w:rFonts w:cs="Arial"/>
              </w:rPr>
              <w:t>means the individual nominated by the  Group of Economic Operators who is authorised in writing by each of the other members to that Group of Economic Operators to provide the responses to the Selection and Award Questionnaires;</w:t>
            </w:r>
          </w:p>
        </w:tc>
      </w:tr>
      <w:tr w:rsidR="004173D9" w:rsidRPr="00EE3DEA" w14:paraId="2623307D" w14:textId="77777777" w:rsidTr="00290807">
        <w:trPr>
          <w:cantSplit/>
        </w:trPr>
        <w:tc>
          <w:tcPr>
            <w:tcW w:w="2217" w:type="dxa"/>
            <w:vAlign w:val="center"/>
          </w:tcPr>
          <w:p w14:paraId="71E53DE4" w14:textId="77777777" w:rsidR="004173D9" w:rsidRPr="000740CC" w:rsidRDefault="004173D9" w:rsidP="00E718D6">
            <w:pPr>
              <w:pStyle w:val="MarginText"/>
              <w:rPr>
                <w:rFonts w:cs="Arial"/>
              </w:rPr>
            </w:pPr>
            <w:r w:rsidRPr="000740CC">
              <w:rPr>
                <w:rFonts w:cs="Arial"/>
              </w:rPr>
              <w:t>Management Information or MI</w:t>
            </w:r>
          </w:p>
        </w:tc>
        <w:tc>
          <w:tcPr>
            <w:tcW w:w="5571" w:type="dxa"/>
          </w:tcPr>
          <w:p w14:paraId="02843CF5" w14:textId="77777777" w:rsidR="004173D9" w:rsidRPr="000740CC" w:rsidRDefault="004173D9" w:rsidP="00A237C9">
            <w:pPr>
              <w:pStyle w:val="MarginText"/>
              <w:rPr>
                <w:rFonts w:cs="Arial"/>
              </w:rPr>
            </w:pPr>
            <w:r w:rsidRPr="000740CC">
              <w:rPr>
                <w:rFonts w:cs="Arial"/>
              </w:rPr>
              <w:t xml:space="preserve">means </w:t>
            </w:r>
            <w:r w:rsidRPr="005A6F5B">
              <w:rPr>
                <w:rFonts w:cs="Arial"/>
              </w:rPr>
              <w:t xml:space="preserve">the management information specified in Framework Schedule </w:t>
            </w:r>
            <w:r w:rsidR="009F5FF7" w:rsidRPr="005A6F5B">
              <w:rPr>
                <w:rFonts w:cs="Arial"/>
              </w:rPr>
              <w:t>9</w:t>
            </w:r>
            <w:r w:rsidRPr="005A6F5B">
              <w:rPr>
                <w:rFonts w:cs="Arial"/>
              </w:rPr>
              <w:t>;</w:t>
            </w:r>
          </w:p>
        </w:tc>
      </w:tr>
      <w:tr w:rsidR="004173D9" w:rsidRPr="00EE3DEA" w14:paraId="3E67CC14" w14:textId="77777777" w:rsidTr="00290807">
        <w:trPr>
          <w:cantSplit/>
        </w:trPr>
        <w:tc>
          <w:tcPr>
            <w:tcW w:w="2217" w:type="dxa"/>
            <w:vAlign w:val="center"/>
          </w:tcPr>
          <w:p w14:paraId="2F07E8B5" w14:textId="77777777" w:rsidR="004173D9" w:rsidRPr="000740CC" w:rsidRDefault="004173D9" w:rsidP="00E718D6">
            <w:pPr>
              <w:pStyle w:val="MarginText"/>
              <w:rPr>
                <w:rFonts w:cs="Arial"/>
              </w:rPr>
            </w:pPr>
            <w:r w:rsidRPr="000740CC">
              <w:rPr>
                <w:rFonts w:cs="Arial"/>
              </w:rPr>
              <w:t>Marking Scheme</w:t>
            </w:r>
          </w:p>
        </w:tc>
        <w:tc>
          <w:tcPr>
            <w:tcW w:w="5571" w:type="dxa"/>
          </w:tcPr>
          <w:p w14:paraId="5D772232" w14:textId="77777777" w:rsidR="004173D9" w:rsidRPr="000740CC" w:rsidRDefault="004173D9" w:rsidP="00A237C9">
            <w:pPr>
              <w:pStyle w:val="MarginText"/>
              <w:rPr>
                <w:rFonts w:cs="Arial"/>
              </w:rPr>
            </w:pPr>
            <w:r w:rsidRPr="000740CC">
              <w:rPr>
                <w:rFonts w:cs="Arial"/>
              </w:rPr>
              <w:t xml:space="preserve">means the range of marks that may be given to a Potential </w:t>
            </w:r>
            <w:r w:rsidRPr="0001357C">
              <w:rPr>
                <w:rFonts w:cs="Arial"/>
              </w:rPr>
              <w:t xml:space="preserve">Provider depending on the quality of its response to a question as set out in Attachment </w:t>
            </w:r>
            <w:r w:rsidR="009F5FF7" w:rsidRPr="0001357C">
              <w:rPr>
                <w:rFonts w:cs="Arial"/>
              </w:rPr>
              <w:t>2</w:t>
            </w:r>
            <w:r w:rsidRPr="0001357C">
              <w:rPr>
                <w:rFonts w:cs="Arial"/>
              </w:rPr>
              <w:t xml:space="preserve"> </w:t>
            </w:r>
            <w:r w:rsidR="00290807" w:rsidRPr="0001357C">
              <w:rPr>
                <w:rFonts w:cs="Arial"/>
              </w:rPr>
              <w:t>–</w:t>
            </w:r>
            <w:r w:rsidRPr="0001357C">
              <w:rPr>
                <w:rFonts w:cs="Arial"/>
              </w:rPr>
              <w:t xml:space="preserve"> Selection Questionnaire</w:t>
            </w:r>
            <w:r w:rsidR="00D92A0C" w:rsidRPr="0001357C">
              <w:rPr>
                <w:rFonts w:cs="Arial"/>
              </w:rPr>
              <w:t xml:space="preserve"> Response Guidance, Evaluation and Marking Scheme and </w:t>
            </w:r>
            <w:r w:rsidRPr="0001357C">
              <w:rPr>
                <w:rFonts w:cs="Arial"/>
              </w:rPr>
              <w:t xml:space="preserve"> Attachment </w:t>
            </w:r>
            <w:r w:rsidR="009F5FF7" w:rsidRPr="0001357C">
              <w:rPr>
                <w:rFonts w:cs="Arial"/>
              </w:rPr>
              <w:t>3</w:t>
            </w:r>
            <w:r w:rsidRPr="0001357C">
              <w:rPr>
                <w:rFonts w:cs="Arial"/>
              </w:rPr>
              <w:t xml:space="preserve"> </w:t>
            </w:r>
            <w:r w:rsidR="00290807" w:rsidRPr="0001357C">
              <w:rPr>
                <w:rFonts w:cs="Arial"/>
              </w:rPr>
              <w:t>–</w:t>
            </w:r>
            <w:r w:rsidRPr="0001357C">
              <w:rPr>
                <w:rFonts w:cs="Arial"/>
              </w:rPr>
              <w:t xml:space="preserve"> Award</w:t>
            </w:r>
            <w:r w:rsidRPr="000740CC">
              <w:rPr>
                <w:rFonts w:cs="Arial"/>
              </w:rPr>
              <w:t xml:space="preserve"> Questionnaire </w:t>
            </w:r>
            <w:r w:rsidR="00D92A0C" w:rsidRPr="000740CC">
              <w:rPr>
                <w:rFonts w:cs="Arial"/>
              </w:rPr>
              <w:t xml:space="preserve">Response Guidance, </w:t>
            </w:r>
            <w:r w:rsidRPr="000740CC">
              <w:rPr>
                <w:rFonts w:cs="Arial"/>
              </w:rPr>
              <w:t xml:space="preserve">Evaluation </w:t>
            </w:r>
            <w:r w:rsidR="00D92A0C" w:rsidRPr="000740CC">
              <w:rPr>
                <w:rFonts w:cs="Arial"/>
              </w:rPr>
              <w:t>and Marking Scheme</w:t>
            </w:r>
            <w:r w:rsidRPr="000740CC">
              <w:rPr>
                <w:rFonts w:cs="Arial"/>
              </w:rPr>
              <w:t>;</w:t>
            </w:r>
          </w:p>
        </w:tc>
      </w:tr>
      <w:tr w:rsidR="0093744A" w:rsidRPr="00EE3DEA" w14:paraId="0A45F842" w14:textId="77777777" w:rsidTr="00290807">
        <w:trPr>
          <w:cantSplit/>
        </w:trPr>
        <w:tc>
          <w:tcPr>
            <w:tcW w:w="2217" w:type="dxa"/>
            <w:vAlign w:val="center"/>
          </w:tcPr>
          <w:p w14:paraId="6ABA333D" w14:textId="7D57A52E" w:rsidR="0093744A" w:rsidRPr="00C91FC0" w:rsidRDefault="0093744A">
            <w:pPr>
              <w:pStyle w:val="MarginText"/>
              <w:jc w:val="left"/>
              <w:rPr>
                <w:rFonts w:cs="Arial"/>
              </w:rPr>
            </w:pPr>
            <w:r w:rsidRPr="00C91FC0">
              <w:rPr>
                <w:rFonts w:cs="Arial"/>
              </w:rPr>
              <w:t>Maximum Mark Available</w:t>
            </w:r>
          </w:p>
        </w:tc>
        <w:tc>
          <w:tcPr>
            <w:tcW w:w="5571" w:type="dxa"/>
          </w:tcPr>
          <w:p w14:paraId="044C9D94" w14:textId="071A013F" w:rsidR="0093744A" w:rsidRPr="00C91FC0" w:rsidRDefault="00C91FC0" w:rsidP="00D67EB8">
            <w:pPr>
              <w:pStyle w:val="MarginText"/>
              <w:rPr>
                <w:rFonts w:cs="Arial"/>
              </w:rPr>
            </w:pPr>
            <w:r w:rsidRPr="00C91FC0">
              <w:rPr>
                <w:rFonts w:cs="Arial"/>
              </w:rPr>
              <w:t>has the meaning set out in paragraph 11.3.3</w:t>
            </w:r>
          </w:p>
        </w:tc>
      </w:tr>
      <w:tr w:rsidR="004173D9" w:rsidRPr="00EE3DEA" w14:paraId="4FD4842F" w14:textId="77777777" w:rsidTr="00290807">
        <w:trPr>
          <w:cantSplit/>
        </w:trPr>
        <w:tc>
          <w:tcPr>
            <w:tcW w:w="2217" w:type="dxa"/>
            <w:vAlign w:val="center"/>
          </w:tcPr>
          <w:p w14:paraId="2F0CF508" w14:textId="77777777" w:rsidR="00A93A1E" w:rsidRPr="00C91FC0" w:rsidRDefault="004173D9">
            <w:pPr>
              <w:pStyle w:val="MarginText"/>
              <w:jc w:val="left"/>
              <w:rPr>
                <w:rFonts w:cs="Arial"/>
              </w:rPr>
            </w:pPr>
            <w:r w:rsidRPr="00C91FC0">
              <w:rPr>
                <w:rFonts w:cs="Arial"/>
              </w:rPr>
              <w:t>Maximum Score Available</w:t>
            </w:r>
          </w:p>
        </w:tc>
        <w:tc>
          <w:tcPr>
            <w:tcW w:w="5571" w:type="dxa"/>
          </w:tcPr>
          <w:p w14:paraId="320E7BCC" w14:textId="77777777" w:rsidR="00D67EB8" w:rsidRPr="00C91FC0" w:rsidRDefault="004173D9" w:rsidP="00D67EB8">
            <w:pPr>
              <w:pStyle w:val="MarginText"/>
              <w:rPr>
                <w:rFonts w:cs="Arial"/>
              </w:rPr>
            </w:pPr>
            <w:r w:rsidRPr="00C91FC0">
              <w:rPr>
                <w:rFonts w:cs="Arial"/>
              </w:rPr>
              <w:t xml:space="preserve">means the maximum potential score that can be awarded for a response to a question as set out in the table at paragraph </w:t>
            </w:r>
          </w:p>
          <w:p w14:paraId="1F20FE9D" w14:textId="03DD1ABF" w:rsidR="004173D9" w:rsidRPr="00C91FC0" w:rsidRDefault="00777AD8" w:rsidP="009F5A08">
            <w:pPr>
              <w:pStyle w:val="MarginText"/>
              <w:rPr>
                <w:rFonts w:cs="Arial"/>
                <w:b/>
              </w:rPr>
            </w:pPr>
            <w:r w:rsidRPr="00C91FC0">
              <w:rPr>
                <w:rFonts w:cs="Arial"/>
              </w:rPr>
              <w:t>11.</w:t>
            </w:r>
            <w:r w:rsidR="009F5A08" w:rsidRPr="00C91FC0">
              <w:rPr>
                <w:rFonts w:cs="Arial"/>
              </w:rPr>
              <w:t>3.</w:t>
            </w:r>
            <w:r w:rsidR="00C91FC0" w:rsidRPr="00C91FC0">
              <w:rPr>
                <w:rFonts w:cs="Arial"/>
              </w:rPr>
              <w:t>4</w:t>
            </w:r>
            <w:r w:rsidRPr="00C91FC0">
              <w:rPr>
                <w:rFonts w:cs="Arial"/>
              </w:rPr>
              <w:t>.</w:t>
            </w:r>
            <w:r w:rsidR="009F5A08" w:rsidRPr="00C91FC0">
              <w:rPr>
                <w:rFonts w:cs="Arial"/>
              </w:rPr>
              <w:t xml:space="preserve">; and the maximum potential score that can be awarded for the </w:t>
            </w:r>
            <w:r w:rsidR="009F5A08" w:rsidRPr="00C91FC0">
              <w:t>lowest Total of Weighted Day Rates Price submitted as set out in the table at paragraph 11.7.7.</w:t>
            </w:r>
          </w:p>
        </w:tc>
      </w:tr>
      <w:tr w:rsidR="008946DE" w:rsidRPr="00EE3DEA" w14:paraId="1B4E7019" w14:textId="77777777" w:rsidTr="00290807">
        <w:trPr>
          <w:cantSplit/>
        </w:trPr>
        <w:tc>
          <w:tcPr>
            <w:tcW w:w="2217" w:type="dxa"/>
            <w:vAlign w:val="center"/>
          </w:tcPr>
          <w:p w14:paraId="26DFCCED" w14:textId="77777777" w:rsidR="00A93A1E" w:rsidRPr="000740CC" w:rsidRDefault="008946DE">
            <w:pPr>
              <w:pStyle w:val="MarginText"/>
              <w:jc w:val="left"/>
              <w:rPr>
                <w:rFonts w:cs="Arial"/>
              </w:rPr>
            </w:pPr>
            <w:r w:rsidRPr="000740CC">
              <w:rPr>
                <w:rFonts w:cs="Arial"/>
              </w:rPr>
              <w:t xml:space="preserve">Minimum Quality Threshold </w:t>
            </w:r>
          </w:p>
        </w:tc>
        <w:tc>
          <w:tcPr>
            <w:tcW w:w="5571" w:type="dxa"/>
          </w:tcPr>
          <w:p w14:paraId="72C56F5E" w14:textId="28896C48" w:rsidR="008946DE" w:rsidRPr="000740CC" w:rsidRDefault="00682F3F" w:rsidP="000703D3">
            <w:pPr>
              <w:pStyle w:val="MarginText"/>
              <w:rPr>
                <w:rFonts w:cs="Arial"/>
              </w:rPr>
            </w:pPr>
            <w:r w:rsidRPr="000740CC">
              <w:rPr>
                <w:rFonts w:cs="Arial"/>
              </w:rPr>
              <w:t>mean</w:t>
            </w:r>
            <w:r w:rsidR="005A6F5B">
              <w:rPr>
                <w:rFonts w:cs="Arial"/>
              </w:rPr>
              <w:t xml:space="preserve">s a </w:t>
            </w:r>
            <w:r w:rsidR="009F5A08">
              <w:rPr>
                <w:rFonts w:cs="Arial"/>
              </w:rPr>
              <w:t>Total Sub-Weighted Score of 46.20</w:t>
            </w:r>
          </w:p>
        </w:tc>
      </w:tr>
      <w:tr w:rsidR="00290807" w:rsidRPr="00EE3DEA" w14:paraId="3F792306" w14:textId="77777777" w:rsidTr="00290807">
        <w:trPr>
          <w:cantSplit/>
        </w:trPr>
        <w:tc>
          <w:tcPr>
            <w:tcW w:w="2217" w:type="dxa"/>
            <w:vAlign w:val="center"/>
          </w:tcPr>
          <w:p w14:paraId="2B2F27CE" w14:textId="24704EBB" w:rsidR="00290807" w:rsidRPr="000740CC" w:rsidRDefault="00290807">
            <w:pPr>
              <w:pStyle w:val="MarginText"/>
              <w:jc w:val="left"/>
              <w:rPr>
                <w:rFonts w:cs="Arial"/>
              </w:rPr>
            </w:pPr>
            <w:r w:rsidRPr="000740CC">
              <w:rPr>
                <w:rFonts w:cs="Arial"/>
              </w:rPr>
              <w:lastRenderedPageBreak/>
              <w:t xml:space="preserve">Occasion of Tax Non </w:t>
            </w:r>
            <w:r w:rsidR="00B15B5C" w:rsidRPr="000740CC">
              <w:rPr>
                <w:rFonts w:cs="Arial"/>
              </w:rPr>
              <w:t>Compliance</w:t>
            </w:r>
          </w:p>
        </w:tc>
        <w:tc>
          <w:tcPr>
            <w:tcW w:w="5571" w:type="dxa"/>
          </w:tcPr>
          <w:p w14:paraId="4B16D091" w14:textId="77777777" w:rsidR="00290807" w:rsidRPr="000740CC" w:rsidRDefault="00290807" w:rsidP="00290807">
            <w:pPr>
              <w:pStyle w:val="MarginText"/>
              <w:rPr>
                <w:rFonts w:cs="Arial"/>
              </w:rPr>
            </w:pPr>
            <w:r w:rsidRPr="000740CC">
              <w:rPr>
                <w:rFonts w:cs="Arial"/>
              </w:rPr>
              <w:t xml:space="preserve">means: </w:t>
            </w:r>
          </w:p>
          <w:p w14:paraId="454C367F" w14:textId="69E13C45" w:rsidR="00290807" w:rsidRPr="000740CC" w:rsidRDefault="00290807" w:rsidP="00290807">
            <w:pPr>
              <w:pStyle w:val="MarginText"/>
              <w:rPr>
                <w:rFonts w:cs="Arial"/>
              </w:rPr>
            </w:pPr>
            <w:r w:rsidRPr="000740CC">
              <w:rPr>
                <w:rFonts w:cs="Arial"/>
              </w:rPr>
              <w:t>(a)</w:t>
            </w:r>
            <w:r w:rsidR="00682F3F" w:rsidRPr="000740CC">
              <w:rPr>
                <w:rFonts w:cs="Arial"/>
              </w:rPr>
              <w:t xml:space="preserve"> </w:t>
            </w:r>
            <w:r w:rsidRPr="000740CC">
              <w:rPr>
                <w:rFonts w:cs="Arial"/>
              </w:rPr>
              <w:t xml:space="preserve">any tax return of the Supplier submitted to a Relevant Tax Authority on or after 1 October 2012 is found to be incorrect as a result of: </w:t>
            </w:r>
          </w:p>
          <w:p w14:paraId="17D38E97" w14:textId="1821656E" w:rsidR="00290807" w:rsidRPr="000740CC" w:rsidRDefault="00290807" w:rsidP="00290807">
            <w:pPr>
              <w:pStyle w:val="MarginText"/>
              <w:rPr>
                <w:rFonts w:cs="Arial"/>
              </w:rPr>
            </w:pPr>
            <w:r w:rsidRPr="000740CC">
              <w:rPr>
                <w:rFonts w:cs="Arial"/>
              </w:rPr>
              <w:t>1.</w:t>
            </w:r>
            <w:r w:rsidR="00682F3F" w:rsidRPr="000740CC">
              <w:rPr>
                <w:rFonts w:cs="Arial"/>
              </w:rPr>
              <w:t xml:space="preserve"> </w:t>
            </w:r>
            <w:r w:rsidRPr="000740CC">
              <w:rPr>
                <w:rFonts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2A11F246" w14:textId="42971687" w:rsidR="00290807" w:rsidRPr="000740CC" w:rsidRDefault="00290807" w:rsidP="00290807">
            <w:pPr>
              <w:pStyle w:val="MarginText"/>
              <w:rPr>
                <w:rFonts w:cs="Arial"/>
              </w:rPr>
            </w:pPr>
            <w:r w:rsidRPr="000740CC">
              <w:rPr>
                <w:rFonts w:cs="Arial"/>
              </w:rPr>
              <w:t>2.</w:t>
            </w:r>
            <w:r w:rsidR="00682F3F" w:rsidRPr="000740CC">
              <w:rPr>
                <w:rFonts w:cs="Arial"/>
              </w:rPr>
              <w:t xml:space="preserve"> </w:t>
            </w:r>
            <w:r w:rsidRPr="000740CC">
              <w:rPr>
                <w:rFonts w:cs="Arial"/>
              </w:rPr>
              <w:t xml:space="preserve">the failure of an avoidance scheme which the Supplier was involved in, and which was, or should have been, notified to a Relevant Tax Authority under the DOTAS or any equivalent or similar regime; and/or </w:t>
            </w:r>
          </w:p>
          <w:p w14:paraId="0D8842D8" w14:textId="1D56D649" w:rsidR="00290807" w:rsidRPr="000740CC" w:rsidRDefault="00290807" w:rsidP="00682F3F">
            <w:pPr>
              <w:pStyle w:val="MarginText"/>
              <w:rPr>
                <w:rFonts w:cs="Arial"/>
              </w:rPr>
            </w:pPr>
            <w:r w:rsidRPr="000740CC">
              <w:rPr>
                <w:rFonts w:cs="Arial"/>
              </w:rPr>
              <w:t>(b)</w:t>
            </w:r>
            <w:r w:rsidR="00682F3F" w:rsidRPr="000740CC">
              <w:rPr>
                <w:rFonts w:cs="Arial"/>
              </w:rPr>
              <w:t xml:space="preserve"> </w:t>
            </w:r>
            <w:proofErr w:type="gramStart"/>
            <w:r w:rsidRPr="000740CC">
              <w:rPr>
                <w:rFonts w:cs="Arial"/>
              </w:rPr>
              <w:t>the</w:t>
            </w:r>
            <w:proofErr w:type="gramEnd"/>
            <w:r w:rsidRPr="000740CC">
              <w:rPr>
                <w:rFonts w:cs="Arial"/>
              </w:rPr>
              <w:t xml:space="preserve"> Supplier’s tax affairs give rise on or after 1 April 2013 to a criminal conviction in any jurisdiction for tax related offences which is not spent at the Effective Date or to a penalty for civil fraud or evasion.</w:t>
            </w:r>
          </w:p>
        </w:tc>
      </w:tr>
      <w:tr w:rsidR="004173D9" w:rsidRPr="00EE3DEA" w14:paraId="4D2605C7" w14:textId="77777777" w:rsidTr="00290807">
        <w:trPr>
          <w:cantSplit/>
        </w:trPr>
        <w:tc>
          <w:tcPr>
            <w:tcW w:w="2217" w:type="dxa"/>
            <w:vAlign w:val="center"/>
          </w:tcPr>
          <w:p w14:paraId="25416CC1" w14:textId="77777777" w:rsidR="004173D9" w:rsidRPr="000740CC" w:rsidRDefault="004173D9" w:rsidP="00E718D6">
            <w:pPr>
              <w:pStyle w:val="MarginText"/>
              <w:rPr>
                <w:rFonts w:cs="Arial"/>
              </w:rPr>
            </w:pPr>
            <w:r w:rsidRPr="000740CC">
              <w:rPr>
                <w:rFonts w:cs="Arial"/>
              </w:rPr>
              <w:t>OJEU Contract Notice</w:t>
            </w:r>
          </w:p>
        </w:tc>
        <w:tc>
          <w:tcPr>
            <w:tcW w:w="5571" w:type="dxa"/>
          </w:tcPr>
          <w:p w14:paraId="59F5FE34" w14:textId="77777777" w:rsidR="004173D9" w:rsidRPr="000740CC" w:rsidRDefault="004173D9" w:rsidP="002E55A9">
            <w:pPr>
              <w:pStyle w:val="MarginText"/>
              <w:rPr>
                <w:rFonts w:cs="Arial"/>
                <w:b/>
              </w:rPr>
            </w:pPr>
            <w:r w:rsidRPr="000740CC">
              <w:rPr>
                <w:rFonts w:cs="Arial"/>
              </w:rPr>
              <w:t>means the advertisement for this Procurement issued in the Official Journal of the European Union;</w:t>
            </w:r>
          </w:p>
        </w:tc>
      </w:tr>
      <w:tr w:rsidR="00FE5642" w:rsidRPr="00EE3DEA" w14:paraId="29F293B7" w14:textId="77777777" w:rsidTr="00290807">
        <w:trPr>
          <w:cantSplit/>
        </w:trPr>
        <w:tc>
          <w:tcPr>
            <w:tcW w:w="2217" w:type="dxa"/>
            <w:vAlign w:val="center"/>
          </w:tcPr>
          <w:p w14:paraId="238ECFE1" w14:textId="2285FDB8" w:rsidR="00FE5642" w:rsidRPr="000740CC" w:rsidRDefault="00FE5642" w:rsidP="00E718D6">
            <w:pPr>
              <w:pStyle w:val="MarginText"/>
              <w:rPr>
                <w:rFonts w:cs="Arial"/>
              </w:rPr>
            </w:pPr>
            <w:r>
              <w:rPr>
                <w:rFonts w:cs="Arial"/>
              </w:rPr>
              <w:t>Participation Requirements and Selection Questionnaire</w:t>
            </w:r>
          </w:p>
        </w:tc>
        <w:tc>
          <w:tcPr>
            <w:tcW w:w="5571" w:type="dxa"/>
          </w:tcPr>
          <w:p w14:paraId="38C99F57" w14:textId="6CFF38A9" w:rsidR="00FE5642" w:rsidRPr="000740CC" w:rsidRDefault="00FE5642" w:rsidP="004127FF">
            <w:pPr>
              <w:pStyle w:val="MarginText"/>
              <w:rPr>
                <w:rFonts w:cs="Arial"/>
              </w:rPr>
            </w:pPr>
            <w:r w:rsidRPr="000740CC">
              <w:rPr>
                <w:rFonts w:cs="Arial"/>
              </w:rPr>
              <w:t xml:space="preserve">means the </w:t>
            </w:r>
            <w:r>
              <w:rPr>
                <w:rFonts w:cs="Arial"/>
              </w:rPr>
              <w:t>Participation Requirements and Selection Questionnaire</w:t>
            </w:r>
            <w:r w:rsidRPr="000740CC">
              <w:rPr>
                <w:rFonts w:cs="Arial"/>
              </w:rPr>
              <w:t xml:space="preserve"> set out in the e</w:t>
            </w:r>
            <w:r w:rsidRPr="000740CC">
              <w:rPr>
                <w:rFonts w:cs="Arial"/>
              </w:rPr>
              <w:noBreakHyphen/>
              <w:t>Sourcing Suite;</w:t>
            </w:r>
          </w:p>
        </w:tc>
      </w:tr>
      <w:tr w:rsidR="004173D9" w:rsidRPr="00EE3DEA" w14:paraId="5A0B0273" w14:textId="77777777" w:rsidTr="00290807">
        <w:trPr>
          <w:cantSplit/>
        </w:trPr>
        <w:tc>
          <w:tcPr>
            <w:tcW w:w="2217" w:type="dxa"/>
            <w:vAlign w:val="center"/>
          </w:tcPr>
          <w:p w14:paraId="46B88AEB" w14:textId="77777777" w:rsidR="004173D9" w:rsidRPr="000740CC" w:rsidRDefault="004173D9" w:rsidP="00E718D6">
            <w:pPr>
              <w:pStyle w:val="MarginText"/>
              <w:rPr>
                <w:rFonts w:cs="Arial"/>
              </w:rPr>
            </w:pPr>
            <w:r w:rsidRPr="000740CC">
              <w:rPr>
                <w:rFonts w:cs="Arial"/>
              </w:rPr>
              <w:t>Potential Provider</w:t>
            </w:r>
          </w:p>
        </w:tc>
        <w:tc>
          <w:tcPr>
            <w:tcW w:w="5571" w:type="dxa"/>
          </w:tcPr>
          <w:p w14:paraId="30B63B3B" w14:textId="56FA29EA" w:rsidR="004173D9" w:rsidRPr="000740CC" w:rsidRDefault="004173D9" w:rsidP="004127FF">
            <w:pPr>
              <w:pStyle w:val="MarginText"/>
              <w:rPr>
                <w:rFonts w:cs="Arial"/>
              </w:rPr>
            </w:pPr>
            <w:r w:rsidRPr="000740CC">
              <w:rPr>
                <w:rFonts w:cs="Arial"/>
              </w:rPr>
              <w:t xml:space="preserve">has the meaning in </w:t>
            </w:r>
            <w:r w:rsidRPr="00777AD8">
              <w:rPr>
                <w:rFonts w:cs="Arial"/>
              </w:rPr>
              <w:t xml:space="preserve">paragraph </w:t>
            </w:r>
            <w:r w:rsidR="00777AD8" w:rsidRPr="00777AD8">
              <w:rPr>
                <w:rFonts w:cs="Arial"/>
              </w:rPr>
              <w:t>1.2</w:t>
            </w:r>
          </w:p>
        </w:tc>
      </w:tr>
      <w:tr w:rsidR="0093744A" w:rsidRPr="00EE3DEA" w14:paraId="4F908AFB" w14:textId="77777777" w:rsidTr="00290807">
        <w:trPr>
          <w:cantSplit/>
        </w:trPr>
        <w:tc>
          <w:tcPr>
            <w:tcW w:w="2217" w:type="dxa"/>
            <w:vAlign w:val="center"/>
          </w:tcPr>
          <w:p w14:paraId="5D03CC29" w14:textId="2AD861DE" w:rsidR="0093744A" w:rsidRPr="000740CC" w:rsidRDefault="0093744A" w:rsidP="002A6C07">
            <w:pPr>
              <w:pStyle w:val="MarginText"/>
              <w:rPr>
                <w:rFonts w:cs="Arial"/>
              </w:rPr>
            </w:pPr>
            <w:r>
              <w:rPr>
                <w:rFonts w:cs="Arial"/>
              </w:rPr>
              <w:t>Price / Prices</w:t>
            </w:r>
          </w:p>
        </w:tc>
        <w:tc>
          <w:tcPr>
            <w:tcW w:w="5571" w:type="dxa"/>
          </w:tcPr>
          <w:p w14:paraId="75BC3029" w14:textId="69957AB2" w:rsidR="0093744A" w:rsidRPr="000740CC" w:rsidRDefault="00D6129C" w:rsidP="00C91FC0">
            <w:pPr>
              <w:pStyle w:val="MarginText"/>
              <w:rPr>
                <w:rFonts w:cs="Arial"/>
              </w:rPr>
            </w:pPr>
            <w:r w:rsidRPr="00D6129C">
              <w:rPr>
                <w:rFonts w:cs="Arial"/>
              </w:rPr>
              <w:t>m</w:t>
            </w:r>
            <w:r w:rsidR="0093744A" w:rsidRPr="00D6129C">
              <w:rPr>
                <w:rFonts w:cs="Arial"/>
              </w:rPr>
              <w:t>eans</w:t>
            </w:r>
            <w:r w:rsidRPr="00D6129C">
              <w:rPr>
                <w:rFonts w:cs="Arial"/>
              </w:rPr>
              <w:t xml:space="preserve"> the </w:t>
            </w:r>
            <w:r w:rsidR="00C91FC0">
              <w:rPr>
                <w:rFonts w:cs="Arial"/>
              </w:rPr>
              <w:t>Day Rate per Grade required as set out in Attachment 9 – Pricing Matrix used for the Price Evaluation;</w:t>
            </w:r>
            <w:r>
              <w:rPr>
                <w:rFonts w:cs="Arial"/>
              </w:rPr>
              <w:t xml:space="preserve"> </w:t>
            </w:r>
          </w:p>
        </w:tc>
      </w:tr>
      <w:tr w:rsidR="004173D9" w:rsidRPr="00EE3DEA" w14:paraId="0AA8DC58" w14:textId="77777777" w:rsidTr="00290807">
        <w:trPr>
          <w:cantSplit/>
        </w:trPr>
        <w:tc>
          <w:tcPr>
            <w:tcW w:w="2217" w:type="dxa"/>
            <w:vAlign w:val="center"/>
          </w:tcPr>
          <w:p w14:paraId="7369E292" w14:textId="77777777" w:rsidR="004173D9" w:rsidRPr="000740CC" w:rsidRDefault="004173D9" w:rsidP="002A6C07">
            <w:pPr>
              <w:pStyle w:val="MarginText"/>
              <w:rPr>
                <w:rFonts w:cs="Arial"/>
              </w:rPr>
            </w:pPr>
            <w:r w:rsidRPr="000740CC">
              <w:rPr>
                <w:rFonts w:cs="Arial"/>
              </w:rPr>
              <w:t>Price Evaluation</w:t>
            </w:r>
          </w:p>
        </w:tc>
        <w:tc>
          <w:tcPr>
            <w:tcW w:w="5571" w:type="dxa"/>
          </w:tcPr>
          <w:p w14:paraId="4025F15A" w14:textId="77777777" w:rsidR="004173D9" w:rsidRPr="000740CC" w:rsidRDefault="004173D9" w:rsidP="002E55A9">
            <w:pPr>
              <w:pStyle w:val="MarginText"/>
              <w:rPr>
                <w:rFonts w:cs="Arial"/>
              </w:rPr>
            </w:pPr>
            <w:r w:rsidRPr="000740CC">
              <w:rPr>
                <w:rFonts w:cs="Arial"/>
              </w:rPr>
              <w:t>means part of the Award Stage used to evaluate the charges tendered by a Potential Provider;</w:t>
            </w:r>
          </w:p>
        </w:tc>
      </w:tr>
      <w:tr w:rsidR="004173D9" w:rsidRPr="00EE3DEA" w14:paraId="3689A1D0" w14:textId="77777777" w:rsidTr="00290807">
        <w:trPr>
          <w:cantSplit/>
        </w:trPr>
        <w:tc>
          <w:tcPr>
            <w:tcW w:w="2217" w:type="dxa"/>
            <w:vAlign w:val="center"/>
          </w:tcPr>
          <w:p w14:paraId="0B19DCDC" w14:textId="77777777" w:rsidR="004173D9" w:rsidRPr="000740CC" w:rsidRDefault="004173D9" w:rsidP="00E718D6">
            <w:pPr>
              <w:pStyle w:val="MarginText"/>
              <w:rPr>
                <w:rFonts w:cs="Arial"/>
              </w:rPr>
            </w:pPr>
            <w:r w:rsidRPr="000740CC">
              <w:rPr>
                <w:rFonts w:cs="Arial"/>
              </w:rPr>
              <w:t>Price Score</w:t>
            </w:r>
          </w:p>
        </w:tc>
        <w:tc>
          <w:tcPr>
            <w:tcW w:w="5571" w:type="dxa"/>
          </w:tcPr>
          <w:p w14:paraId="7A3AA2EF" w14:textId="22CE664A" w:rsidR="004173D9" w:rsidRPr="000740CC" w:rsidRDefault="00437F0A" w:rsidP="00777AD8">
            <w:pPr>
              <w:pStyle w:val="MarginText"/>
              <w:rPr>
                <w:rFonts w:cs="Arial"/>
              </w:rPr>
            </w:pPr>
            <w:r w:rsidRPr="000740CC">
              <w:rPr>
                <w:rFonts w:cs="Arial"/>
              </w:rPr>
              <w:t xml:space="preserve">means the score awarded to a Potential Provider at the conclusion of the Price Evaluation process calculated in accordance with </w:t>
            </w:r>
            <w:r w:rsidRPr="00D93F69">
              <w:rPr>
                <w:rFonts w:cs="Arial"/>
              </w:rPr>
              <w:t>paragraph</w:t>
            </w:r>
            <w:r w:rsidR="00777AD8">
              <w:rPr>
                <w:rFonts w:cs="Arial"/>
              </w:rPr>
              <w:t xml:space="preserve"> 11.7.9</w:t>
            </w:r>
          </w:p>
        </w:tc>
      </w:tr>
      <w:tr w:rsidR="0093744A" w:rsidRPr="00EE3DEA" w14:paraId="10812C9E" w14:textId="77777777" w:rsidTr="00290807">
        <w:trPr>
          <w:cantSplit/>
        </w:trPr>
        <w:tc>
          <w:tcPr>
            <w:tcW w:w="2217" w:type="dxa"/>
            <w:vAlign w:val="center"/>
          </w:tcPr>
          <w:p w14:paraId="02B686F0" w14:textId="4699651E" w:rsidR="0093744A" w:rsidRPr="000740CC" w:rsidRDefault="0093744A" w:rsidP="00E718D6">
            <w:pPr>
              <w:pStyle w:val="MarginText"/>
              <w:rPr>
                <w:rFonts w:cs="Arial"/>
              </w:rPr>
            </w:pPr>
            <w:r>
              <w:rPr>
                <w:rFonts w:cs="Arial"/>
              </w:rPr>
              <w:t>Pricing Matrix</w:t>
            </w:r>
          </w:p>
        </w:tc>
        <w:tc>
          <w:tcPr>
            <w:tcW w:w="5571" w:type="dxa"/>
          </w:tcPr>
          <w:p w14:paraId="2F635358" w14:textId="0B138D31" w:rsidR="0093744A" w:rsidRPr="000740CC" w:rsidRDefault="00C91FC0" w:rsidP="00777AD8">
            <w:pPr>
              <w:pStyle w:val="MarginText"/>
              <w:rPr>
                <w:rFonts w:cs="Arial"/>
              </w:rPr>
            </w:pPr>
            <w:r w:rsidRPr="00C91FC0">
              <w:rPr>
                <w:rFonts w:cs="Arial"/>
              </w:rPr>
              <w:t>m</w:t>
            </w:r>
            <w:r w:rsidR="0093744A" w:rsidRPr="00C91FC0">
              <w:rPr>
                <w:rFonts w:cs="Arial"/>
              </w:rPr>
              <w:t>eans</w:t>
            </w:r>
            <w:r>
              <w:rPr>
                <w:rFonts w:cs="Arial"/>
              </w:rPr>
              <w:t xml:space="preserve"> </w:t>
            </w:r>
            <w:r w:rsidRPr="00D6129C">
              <w:rPr>
                <w:rFonts w:cs="Arial"/>
              </w:rPr>
              <w:t>the Pricing</w:t>
            </w:r>
            <w:r>
              <w:rPr>
                <w:rFonts w:cs="Arial"/>
              </w:rPr>
              <w:t xml:space="preserve"> Matrix as set out in Attachment 9 in the </w:t>
            </w:r>
            <w:proofErr w:type="spellStart"/>
            <w:r>
              <w:rPr>
                <w:rFonts w:cs="Arial"/>
              </w:rPr>
              <w:t>eSouring</w:t>
            </w:r>
            <w:proofErr w:type="spellEnd"/>
            <w:r>
              <w:rPr>
                <w:rFonts w:cs="Arial"/>
              </w:rPr>
              <w:t xml:space="preserve"> Suite</w:t>
            </w:r>
          </w:p>
        </w:tc>
      </w:tr>
      <w:tr w:rsidR="004173D9" w:rsidRPr="00EE3DEA" w14:paraId="299581CC" w14:textId="77777777" w:rsidTr="00290807">
        <w:trPr>
          <w:cantSplit/>
        </w:trPr>
        <w:tc>
          <w:tcPr>
            <w:tcW w:w="2217" w:type="dxa"/>
            <w:vAlign w:val="center"/>
          </w:tcPr>
          <w:p w14:paraId="59116D1F" w14:textId="77777777" w:rsidR="004173D9" w:rsidRPr="000740CC" w:rsidRDefault="004173D9" w:rsidP="00E718D6">
            <w:pPr>
              <w:pStyle w:val="MarginText"/>
              <w:rPr>
                <w:rFonts w:cs="Arial"/>
              </w:rPr>
            </w:pPr>
            <w:r w:rsidRPr="000740CC">
              <w:rPr>
                <w:rFonts w:cs="Arial"/>
              </w:rPr>
              <w:t>Procurement</w:t>
            </w:r>
          </w:p>
        </w:tc>
        <w:tc>
          <w:tcPr>
            <w:tcW w:w="5571" w:type="dxa"/>
          </w:tcPr>
          <w:p w14:paraId="0C941FD2" w14:textId="12846B05" w:rsidR="004173D9" w:rsidRPr="000740CC" w:rsidRDefault="004173D9" w:rsidP="006F4585">
            <w:pPr>
              <w:pStyle w:val="MarginText"/>
              <w:rPr>
                <w:rFonts w:cs="Arial"/>
              </w:rPr>
            </w:pPr>
            <w:r w:rsidRPr="000740CC">
              <w:rPr>
                <w:rFonts w:cs="Arial"/>
              </w:rPr>
              <w:t xml:space="preserve">means the process used to establish a Framework Agreement that facilitates the supply of the </w:t>
            </w:r>
            <w:r w:rsidR="00CB5037" w:rsidRPr="00FA2CB6">
              <w:rPr>
                <w:rFonts w:cs="Arial"/>
              </w:rPr>
              <w:t xml:space="preserve"> Services</w:t>
            </w:r>
            <w:r w:rsidR="00CB5037" w:rsidRPr="00E26C18">
              <w:rPr>
                <w:rFonts w:cs="Arial"/>
              </w:rPr>
              <w:t xml:space="preserve"> </w:t>
            </w:r>
            <w:r w:rsidRPr="000740CC">
              <w:rPr>
                <w:rFonts w:cs="Arial"/>
              </w:rPr>
              <w:t xml:space="preserve">to Contracting </w:t>
            </w:r>
            <w:r w:rsidR="006F4585">
              <w:rPr>
                <w:rFonts w:cs="Arial"/>
              </w:rPr>
              <w:t>Authority</w:t>
            </w:r>
            <w:r w:rsidRPr="000740CC">
              <w:rPr>
                <w:rFonts w:cs="Arial"/>
              </w:rPr>
              <w:t xml:space="preserve"> as described in the OJEU Contract Notice;</w:t>
            </w:r>
          </w:p>
        </w:tc>
      </w:tr>
      <w:tr w:rsidR="00290807" w:rsidRPr="00EE3DEA" w14:paraId="25E518EF" w14:textId="77777777" w:rsidTr="00290807">
        <w:trPr>
          <w:cantSplit/>
        </w:trPr>
        <w:tc>
          <w:tcPr>
            <w:tcW w:w="2217" w:type="dxa"/>
            <w:vAlign w:val="center"/>
          </w:tcPr>
          <w:p w14:paraId="67A14606" w14:textId="77777777" w:rsidR="00290807" w:rsidRPr="000740CC" w:rsidRDefault="00290807" w:rsidP="00E718D6">
            <w:pPr>
              <w:pStyle w:val="MarginText"/>
              <w:rPr>
                <w:rFonts w:cs="Arial"/>
              </w:rPr>
            </w:pPr>
            <w:r w:rsidRPr="000740CC">
              <w:rPr>
                <w:rFonts w:cs="Arial"/>
              </w:rPr>
              <w:t>Public Contracts Directive</w:t>
            </w:r>
          </w:p>
        </w:tc>
        <w:tc>
          <w:tcPr>
            <w:tcW w:w="5571" w:type="dxa"/>
          </w:tcPr>
          <w:p w14:paraId="310848FE" w14:textId="77777777" w:rsidR="00290807" w:rsidRPr="000740CC" w:rsidRDefault="00290807" w:rsidP="00247FD2">
            <w:pPr>
              <w:pStyle w:val="MarginText"/>
              <w:rPr>
                <w:rFonts w:cs="Arial"/>
              </w:rPr>
            </w:pPr>
            <w:r w:rsidRPr="000740CC">
              <w:rPr>
                <w:rFonts w:cs="Arial"/>
              </w:rPr>
              <w:t>means Directive 2014/24/EU of the European Parliament and of the Council;</w:t>
            </w:r>
          </w:p>
        </w:tc>
      </w:tr>
      <w:tr w:rsidR="004173D9" w:rsidRPr="00EE3DEA" w14:paraId="7FD4C09D" w14:textId="77777777" w:rsidTr="00290807">
        <w:trPr>
          <w:cantSplit/>
        </w:trPr>
        <w:tc>
          <w:tcPr>
            <w:tcW w:w="2217" w:type="dxa"/>
            <w:vAlign w:val="center"/>
          </w:tcPr>
          <w:p w14:paraId="60FA4870" w14:textId="77777777" w:rsidR="004173D9" w:rsidRPr="000740CC" w:rsidRDefault="004173D9" w:rsidP="00E718D6">
            <w:pPr>
              <w:pStyle w:val="MarginText"/>
              <w:rPr>
                <w:rFonts w:cs="Arial"/>
              </w:rPr>
            </w:pPr>
            <w:r w:rsidRPr="000740CC">
              <w:rPr>
                <w:rFonts w:cs="Arial"/>
              </w:rPr>
              <w:t>Quality Evaluation</w:t>
            </w:r>
          </w:p>
        </w:tc>
        <w:tc>
          <w:tcPr>
            <w:tcW w:w="5571" w:type="dxa"/>
          </w:tcPr>
          <w:p w14:paraId="7CB9D2B1" w14:textId="77777777" w:rsidR="004173D9" w:rsidRPr="000740CC" w:rsidRDefault="004173D9" w:rsidP="002E55A9">
            <w:pPr>
              <w:pStyle w:val="MarginText"/>
              <w:rPr>
                <w:rFonts w:cs="Arial"/>
              </w:rPr>
            </w:pPr>
            <w:r w:rsidRPr="000740CC">
              <w:rPr>
                <w:rFonts w:cs="Arial"/>
              </w:rPr>
              <w:t>means the qualitative evaluation of a Tender undertaken during the Award Stage;</w:t>
            </w:r>
          </w:p>
        </w:tc>
      </w:tr>
      <w:tr w:rsidR="004173D9" w:rsidRPr="00EE3DEA" w14:paraId="31A3F4E5" w14:textId="77777777" w:rsidTr="00290807">
        <w:trPr>
          <w:cantSplit/>
        </w:trPr>
        <w:tc>
          <w:tcPr>
            <w:tcW w:w="2217" w:type="dxa"/>
            <w:vAlign w:val="center"/>
          </w:tcPr>
          <w:p w14:paraId="1FEE5208" w14:textId="77777777" w:rsidR="004173D9" w:rsidRPr="000740CC" w:rsidRDefault="004173D9" w:rsidP="00E718D6">
            <w:pPr>
              <w:pStyle w:val="MarginText"/>
              <w:rPr>
                <w:rFonts w:cs="Arial"/>
              </w:rPr>
            </w:pPr>
            <w:r w:rsidRPr="000740CC">
              <w:rPr>
                <w:rFonts w:cs="Arial"/>
              </w:rPr>
              <w:t>Quality Score</w:t>
            </w:r>
          </w:p>
        </w:tc>
        <w:tc>
          <w:tcPr>
            <w:tcW w:w="5571" w:type="dxa"/>
          </w:tcPr>
          <w:p w14:paraId="14CDAE49" w14:textId="05C5B62E" w:rsidR="004173D9" w:rsidRPr="000740CC" w:rsidRDefault="004173D9" w:rsidP="008436A9">
            <w:pPr>
              <w:pStyle w:val="MarginText"/>
              <w:rPr>
                <w:rFonts w:cs="Arial"/>
              </w:rPr>
            </w:pPr>
            <w:r w:rsidRPr="000740CC">
              <w:rPr>
                <w:rFonts w:cs="Arial"/>
              </w:rPr>
              <w:t>means the score awarded to a Potential Provider at the conclusion of the Quality Evaluation process calculated in accordance with paragraph</w:t>
            </w:r>
            <w:r w:rsidR="00777AD8">
              <w:rPr>
                <w:rFonts w:cs="Arial"/>
              </w:rPr>
              <w:t xml:space="preserve"> 11.4</w:t>
            </w:r>
          </w:p>
        </w:tc>
      </w:tr>
      <w:tr w:rsidR="004173D9" w:rsidRPr="00EE3DEA" w14:paraId="06BCE65B" w14:textId="77777777" w:rsidTr="00290807">
        <w:trPr>
          <w:cantSplit/>
        </w:trPr>
        <w:tc>
          <w:tcPr>
            <w:tcW w:w="2217" w:type="dxa"/>
            <w:vAlign w:val="center"/>
          </w:tcPr>
          <w:p w14:paraId="79F6CEE1" w14:textId="77777777" w:rsidR="004173D9" w:rsidRPr="000740CC" w:rsidRDefault="004173D9" w:rsidP="00E718D6">
            <w:pPr>
              <w:pStyle w:val="MarginText"/>
              <w:rPr>
                <w:rFonts w:cs="Arial"/>
              </w:rPr>
            </w:pPr>
            <w:r w:rsidRPr="000740CC">
              <w:rPr>
                <w:rFonts w:cs="Arial"/>
              </w:rPr>
              <w:t>Regulations</w:t>
            </w:r>
          </w:p>
        </w:tc>
        <w:tc>
          <w:tcPr>
            <w:tcW w:w="5571" w:type="dxa"/>
          </w:tcPr>
          <w:p w14:paraId="0C6B77D7" w14:textId="77777777" w:rsidR="00290807" w:rsidRPr="000740CC" w:rsidRDefault="004173D9" w:rsidP="00290807">
            <w:pPr>
              <w:pStyle w:val="MarginText"/>
              <w:rPr>
                <w:rFonts w:cs="Arial"/>
              </w:rPr>
            </w:pPr>
            <w:r w:rsidRPr="000740CC">
              <w:rPr>
                <w:rFonts w:cs="Arial"/>
              </w:rPr>
              <w:t>means the Public Contracts Regulations 20</w:t>
            </w:r>
            <w:r w:rsidR="00290807" w:rsidRPr="000740CC">
              <w:rPr>
                <w:rFonts w:cs="Arial"/>
              </w:rPr>
              <w:t>15 (</w:t>
            </w:r>
            <w:hyperlink r:id="rId20" w:history="1">
              <w:r w:rsidR="00290807" w:rsidRPr="000740CC">
                <w:rPr>
                  <w:rStyle w:val="Hyperlink"/>
                  <w:rFonts w:cs="Arial"/>
                </w:rPr>
                <w:t>http://www.legislation.gov.uk/uksi/2015/102/contents/made)</w:t>
              </w:r>
            </w:hyperlink>
          </w:p>
          <w:p w14:paraId="11E12E60" w14:textId="77777777" w:rsidR="00A93A1E" w:rsidRPr="000740CC" w:rsidRDefault="00290807" w:rsidP="00290807">
            <w:pPr>
              <w:pStyle w:val="MarginText"/>
              <w:rPr>
                <w:rFonts w:cs="Arial"/>
              </w:rPr>
            </w:pPr>
            <w:r w:rsidRPr="000740CC">
              <w:rPr>
                <w:rFonts w:cs="Arial"/>
              </w:rPr>
              <w:t xml:space="preserve"> and the Public Contracts (Scotland) Regulations 2012, as amended from time to time;</w:t>
            </w:r>
          </w:p>
        </w:tc>
      </w:tr>
      <w:tr w:rsidR="00FE5642" w:rsidRPr="00EE3DEA" w14:paraId="2C5D5963" w14:textId="77777777" w:rsidTr="00290807">
        <w:trPr>
          <w:cantSplit/>
        </w:trPr>
        <w:tc>
          <w:tcPr>
            <w:tcW w:w="2217" w:type="dxa"/>
            <w:vAlign w:val="center"/>
          </w:tcPr>
          <w:p w14:paraId="2238D504" w14:textId="1C31BC7B" w:rsidR="00FE5642" w:rsidRPr="000740CC" w:rsidRDefault="00FE5642" w:rsidP="00815BBF">
            <w:pPr>
              <w:pStyle w:val="MarginText"/>
              <w:jc w:val="left"/>
              <w:rPr>
                <w:rFonts w:cs="Arial"/>
              </w:rPr>
            </w:pPr>
            <w:r>
              <w:rPr>
                <w:rFonts w:cs="Arial"/>
              </w:rPr>
              <w:t>Selection Questionnaire</w:t>
            </w:r>
          </w:p>
        </w:tc>
        <w:tc>
          <w:tcPr>
            <w:tcW w:w="5571" w:type="dxa"/>
          </w:tcPr>
          <w:p w14:paraId="7950D08B" w14:textId="3B18811E" w:rsidR="00FE5642" w:rsidRPr="000740CC" w:rsidRDefault="00FE5642" w:rsidP="00815BBF">
            <w:pPr>
              <w:pStyle w:val="MarginText"/>
              <w:jc w:val="left"/>
              <w:rPr>
                <w:rFonts w:cs="Arial"/>
              </w:rPr>
            </w:pPr>
            <w:r w:rsidRPr="000740CC">
              <w:rPr>
                <w:rFonts w:cs="Arial"/>
              </w:rPr>
              <w:t xml:space="preserve">means the </w:t>
            </w:r>
            <w:r>
              <w:rPr>
                <w:rFonts w:cs="Arial"/>
              </w:rPr>
              <w:t>Participation Requirements and Selection Questionnaire</w:t>
            </w:r>
            <w:r w:rsidRPr="000740CC">
              <w:rPr>
                <w:rFonts w:cs="Arial"/>
              </w:rPr>
              <w:t xml:space="preserve"> set out in the e</w:t>
            </w:r>
            <w:r w:rsidRPr="000740CC">
              <w:rPr>
                <w:rFonts w:cs="Arial"/>
              </w:rPr>
              <w:noBreakHyphen/>
              <w:t>Sourcing Suite;</w:t>
            </w:r>
          </w:p>
        </w:tc>
      </w:tr>
      <w:tr w:rsidR="00815BBF" w:rsidRPr="00EE3DEA" w14:paraId="16223FB9" w14:textId="77777777" w:rsidTr="00290807">
        <w:trPr>
          <w:cantSplit/>
        </w:trPr>
        <w:tc>
          <w:tcPr>
            <w:tcW w:w="2217" w:type="dxa"/>
            <w:vAlign w:val="center"/>
          </w:tcPr>
          <w:p w14:paraId="17DDDD7E" w14:textId="77777777" w:rsidR="00815BBF" w:rsidRPr="000740CC" w:rsidRDefault="00815BBF" w:rsidP="00815BBF">
            <w:pPr>
              <w:pStyle w:val="MarginText"/>
              <w:jc w:val="left"/>
              <w:rPr>
                <w:rFonts w:cs="Arial"/>
              </w:rPr>
            </w:pPr>
            <w:r w:rsidRPr="000740CC">
              <w:rPr>
                <w:rFonts w:cs="Arial"/>
              </w:rPr>
              <w:lastRenderedPageBreak/>
              <w:t>Small Medium Enterprise or SME</w:t>
            </w:r>
          </w:p>
        </w:tc>
        <w:tc>
          <w:tcPr>
            <w:tcW w:w="5571" w:type="dxa"/>
          </w:tcPr>
          <w:p w14:paraId="3586F999" w14:textId="3D26950C" w:rsidR="00815BBF" w:rsidRPr="000740CC" w:rsidRDefault="00815BBF" w:rsidP="00815BBF">
            <w:pPr>
              <w:pStyle w:val="MarginText"/>
              <w:jc w:val="left"/>
              <w:rPr>
                <w:rFonts w:cs="Arial"/>
              </w:rPr>
            </w:pPr>
            <w:proofErr w:type="gramStart"/>
            <w:r w:rsidRPr="000740CC">
              <w:rPr>
                <w:rFonts w:cs="Arial"/>
              </w:rPr>
              <w:t>means</w:t>
            </w:r>
            <w:proofErr w:type="gramEnd"/>
            <w:r w:rsidRPr="000740CC">
              <w:rPr>
                <w:rFonts w:cs="Arial"/>
              </w:rPr>
              <w:t xml:space="preserve"> an economic </w:t>
            </w:r>
            <w:r w:rsidR="00B15B5C" w:rsidRPr="000740CC">
              <w:rPr>
                <w:rFonts w:cs="Arial"/>
              </w:rPr>
              <w:t>organisation falling</w:t>
            </w:r>
            <w:r w:rsidRPr="000740CC">
              <w:rPr>
                <w:rFonts w:cs="Arial"/>
              </w:rPr>
              <w:t xml:space="preserve"> within the category of micro, small and medium-sized enterprises defined by the Commission Recommendation of 6 May 2003. See also </w:t>
            </w:r>
            <w:hyperlink r:id="rId21" w:history="1">
              <w:r w:rsidRPr="000740CC">
                <w:rPr>
                  <w:rStyle w:val="Hyperlink"/>
                  <w:rFonts w:cs="Arial"/>
                </w:rPr>
                <w:t>http://ec.europa.eu/enterprise/policies/sme/facts-figures-analysis/sme-definition/</w:t>
              </w:r>
            </w:hyperlink>
            <w:r w:rsidRPr="000740CC">
              <w:rPr>
                <w:rFonts w:cs="Arial"/>
              </w:rPr>
              <w:t>;</w:t>
            </w:r>
          </w:p>
        </w:tc>
      </w:tr>
      <w:tr w:rsidR="00815BBF" w:rsidRPr="00EE3DEA" w14:paraId="722E92A1" w14:textId="77777777" w:rsidTr="00290807">
        <w:trPr>
          <w:cantSplit/>
        </w:trPr>
        <w:tc>
          <w:tcPr>
            <w:tcW w:w="2217" w:type="dxa"/>
            <w:vAlign w:val="center"/>
          </w:tcPr>
          <w:p w14:paraId="3AF34737" w14:textId="77777777" w:rsidR="00815BBF" w:rsidRPr="000740CC" w:rsidRDefault="00815BBF" w:rsidP="00815BBF">
            <w:pPr>
              <w:pStyle w:val="MarginText"/>
              <w:rPr>
                <w:rFonts w:cs="Arial"/>
              </w:rPr>
            </w:pPr>
            <w:r w:rsidRPr="000740CC">
              <w:rPr>
                <w:rFonts w:cs="Arial"/>
              </w:rPr>
              <w:t>Standstill Period</w:t>
            </w:r>
          </w:p>
        </w:tc>
        <w:tc>
          <w:tcPr>
            <w:tcW w:w="5571" w:type="dxa"/>
          </w:tcPr>
          <w:p w14:paraId="21FFECDD" w14:textId="33D794C1" w:rsidR="00815BBF" w:rsidRPr="000740CC" w:rsidRDefault="00815BBF" w:rsidP="00D93F69">
            <w:pPr>
              <w:pStyle w:val="MarginText"/>
              <w:rPr>
                <w:rFonts w:cs="Arial"/>
              </w:rPr>
            </w:pPr>
            <w:proofErr w:type="gramStart"/>
            <w:r w:rsidRPr="000740CC">
              <w:rPr>
                <w:rFonts w:cs="Arial"/>
              </w:rPr>
              <w:t>has</w:t>
            </w:r>
            <w:proofErr w:type="gramEnd"/>
            <w:r w:rsidRPr="000740CC">
              <w:rPr>
                <w:rFonts w:cs="Arial"/>
              </w:rPr>
              <w:t xml:space="preserve"> the meaning as set out in </w:t>
            </w:r>
            <w:r w:rsidRPr="0001357C">
              <w:rPr>
                <w:rFonts w:cs="Arial"/>
              </w:rPr>
              <w:t xml:space="preserve">paragraph </w:t>
            </w:r>
            <w:r w:rsidR="0001357C" w:rsidRPr="0001357C">
              <w:rPr>
                <w:rFonts w:cs="Arial"/>
              </w:rPr>
              <w:t>12.</w:t>
            </w:r>
          </w:p>
        </w:tc>
      </w:tr>
      <w:tr w:rsidR="00815BBF" w:rsidRPr="00EE3DEA" w14:paraId="134F4DF6" w14:textId="77777777" w:rsidTr="00290807">
        <w:trPr>
          <w:cantSplit/>
        </w:trPr>
        <w:tc>
          <w:tcPr>
            <w:tcW w:w="2217" w:type="dxa"/>
            <w:vAlign w:val="center"/>
          </w:tcPr>
          <w:p w14:paraId="7FBC1B1A" w14:textId="0EC7A726" w:rsidR="00815BBF" w:rsidRPr="000740CC" w:rsidRDefault="00731B06" w:rsidP="00815BBF">
            <w:pPr>
              <w:pStyle w:val="MarginText"/>
              <w:rPr>
                <w:rFonts w:cs="Arial"/>
              </w:rPr>
            </w:pPr>
            <w:r>
              <w:rPr>
                <w:rFonts w:cs="Arial"/>
              </w:rPr>
              <w:t>Sub-Contractor</w:t>
            </w:r>
          </w:p>
        </w:tc>
        <w:tc>
          <w:tcPr>
            <w:tcW w:w="5571" w:type="dxa"/>
          </w:tcPr>
          <w:p w14:paraId="6E68B4F2" w14:textId="77777777" w:rsidR="00815BBF" w:rsidRPr="000740CC" w:rsidRDefault="00815BBF" w:rsidP="00815BBF">
            <w:pPr>
              <w:pStyle w:val="MarginText"/>
              <w:rPr>
                <w:rFonts w:cs="Arial"/>
              </w:rPr>
            </w:pPr>
            <w:r w:rsidRPr="000740CC">
              <w:rPr>
                <w:rFonts w:cs="Arial"/>
              </w:rPr>
              <w:t xml:space="preserve">means a third party which: </w:t>
            </w:r>
          </w:p>
          <w:p w14:paraId="41F29589" w14:textId="1C6408CA" w:rsidR="00815BBF" w:rsidRPr="000740CC" w:rsidRDefault="00815BBF" w:rsidP="00815BBF">
            <w:pPr>
              <w:pStyle w:val="MarginText"/>
              <w:rPr>
                <w:rFonts w:cs="Arial"/>
              </w:rPr>
            </w:pPr>
            <w:r w:rsidRPr="000740CC">
              <w:rPr>
                <w:rFonts w:cs="Arial"/>
              </w:rPr>
              <w:t>a)</w:t>
            </w:r>
            <w:r w:rsidR="00E44017" w:rsidRPr="000740CC">
              <w:rPr>
                <w:rFonts w:cs="Arial"/>
              </w:rPr>
              <w:t xml:space="preserve"> </w:t>
            </w:r>
            <w:r w:rsidRPr="000740CC">
              <w:rPr>
                <w:rFonts w:cs="Arial"/>
              </w:rPr>
              <w:t xml:space="preserve">provides the  Services (or any part of them); </w:t>
            </w:r>
          </w:p>
          <w:p w14:paraId="125F78B9" w14:textId="44B1F8C3" w:rsidR="00815BBF" w:rsidRPr="000740CC" w:rsidRDefault="00815BBF" w:rsidP="00815BBF">
            <w:pPr>
              <w:pStyle w:val="MarginText"/>
              <w:rPr>
                <w:rFonts w:cs="Arial"/>
              </w:rPr>
            </w:pPr>
            <w:r w:rsidRPr="000740CC">
              <w:rPr>
                <w:rFonts w:cs="Arial"/>
              </w:rPr>
              <w:t>b)</w:t>
            </w:r>
            <w:r w:rsidR="00E44017" w:rsidRPr="000740CC">
              <w:rPr>
                <w:rFonts w:cs="Arial"/>
              </w:rPr>
              <w:t xml:space="preserve"> </w:t>
            </w:r>
            <w:r w:rsidRPr="000740CC">
              <w:rPr>
                <w:rFonts w:cs="Arial"/>
              </w:rPr>
              <w:t>provides facilities or services necessary for the provision of the  Services (or any part of them); and/or</w:t>
            </w:r>
          </w:p>
          <w:p w14:paraId="73A6FD69" w14:textId="7AA12056" w:rsidR="00815BBF" w:rsidRPr="000740CC" w:rsidRDefault="00815BBF" w:rsidP="00815BBF">
            <w:pPr>
              <w:pStyle w:val="MarginText"/>
              <w:rPr>
                <w:rFonts w:cs="Arial"/>
              </w:rPr>
            </w:pPr>
            <w:r w:rsidRPr="000740CC">
              <w:rPr>
                <w:rFonts w:cs="Arial"/>
              </w:rPr>
              <w:t>c)</w:t>
            </w:r>
            <w:r w:rsidR="00E44017" w:rsidRPr="000740CC">
              <w:rPr>
                <w:rFonts w:cs="Arial"/>
              </w:rPr>
              <w:t xml:space="preserve"> </w:t>
            </w:r>
            <w:r w:rsidRPr="000740CC">
              <w:rPr>
                <w:rFonts w:cs="Arial"/>
              </w:rPr>
              <w:t>is responsible for the management, direction or control of the  Services (or any part of them);</w:t>
            </w:r>
          </w:p>
          <w:p w14:paraId="6854ABCA" w14:textId="77777777" w:rsidR="00815BBF" w:rsidRPr="000740CC" w:rsidRDefault="00815BBF" w:rsidP="00815BBF">
            <w:pPr>
              <w:pStyle w:val="MarginText"/>
              <w:rPr>
                <w:rFonts w:cs="Arial"/>
              </w:rPr>
            </w:pPr>
            <w:r w:rsidRPr="000740CC">
              <w:rPr>
                <w:rFonts w:cs="Arial"/>
              </w:rPr>
              <w:t>pursuant to any contract or agreement (or proposed contract or agreement), other than the Framework Agreement or a Call Off Contract;</w:t>
            </w:r>
          </w:p>
        </w:tc>
      </w:tr>
      <w:tr w:rsidR="00815BBF" w:rsidRPr="00EE3DEA" w14:paraId="48EAC54B" w14:textId="77777777" w:rsidTr="00290807">
        <w:trPr>
          <w:cantSplit/>
        </w:trPr>
        <w:tc>
          <w:tcPr>
            <w:tcW w:w="2217" w:type="dxa"/>
            <w:vAlign w:val="center"/>
          </w:tcPr>
          <w:p w14:paraId="646E8738" w14:textId="1FA3DF7E" w:rsidR="00815BBF" w:rsidRPr="000740CC" w:rsidRDefault="00815BBF" w:rsidP="00815BBF">
            <w:pPr>
              <w:pStyle w:val="MarginText"/>
              <w:rPr>
                <w:rFonts w:cs="Arial"/>
              </w:rPr>
            </w:pPr>
            <w:r w:rsidRPr="000740CC">
              <w:rPr>
                <w:rFonts w:cs="Arial"/>
              </w:rPr>
              <w:t>Supplier</w:t>
            </w:r>
            <w:r w:rsidR="000703D3">
              <w:rPr>
                <w:rFonts w:cs="Arial"/>
              </w:rPr>
              <w:t xml:space="preserve"> / Suppliers </w:t>
            </w:r>
          </w:p>
        </w:tc>
        <w:tc>
          <w:tcPr>
            <w:tcW w:w="5571" w:type="dxa"/>
          </w:tcPr>
          <w:p w14:paraId="7F4659AA" w14:textId="6CC1B372" w:rsidR="00815BBF" w:rsidRPr="000740CC" w:rsidRDefault="00815BBF" w:rsidP="00815BBF">
            <w:pPr>
              <w:pStyle w:val="MarginText"/>
              <w:rPr>
                <w:rFonts w:cs="Arial"/>
              </w:rPr>
            </w:pPr>
            <w:r w:rsidRPr="000703D3">
              <w:rPr>
                <w:rFonts w:cs="Arial"/>
              </w:rPr>
              <w:t>means a Potential Provider</w:t>
            </w:r>
            <w:r w:rsidR="000703D3" w:rsidRPr="000703D3">
              <w:rPr>
                <w:rFonts w:cs="Arial"/>
              </w:rPr>
              <w:t>(s)</w:t>
            </w:r>
            <w:r w:rsidRPr="000703D3">
              <w:rPr>
                <w:rFonts w:cs="Arial"/>
              </w:rPr>
              <w:t xml:space="preserve"> with whom the </w:t>
            </w:r>
            <w:r w:rsidR="00507654" w:rsidRPr="000703D3">
              <w:rPr>
                <w:rFonts w:cs="Arial"/>
              </w:rPr>
              <w:t xml:space="preserve">Contracting </w:t>
            </w:r>
            <w:r w:rsidRPr="000703D3">
              <w:rPr>
                <w:rFonts w:cs="Arial"/>
              </w:rPr>
              <w:t>Authority has concluded</w:t>
            </w:r>
            <w:r w:rsidRPr="000740CC">
              <w:rPr>
                <w:rFonts w:cs="Arial"/>
              </w:rPr>
              <w:t xml:space="preserve"> a Framework Agreement;</w:t>
            </w:r>
          </w:p>
        </w:tc>
      </w:tr>
      <w:tr w:rsidR="00815BBF" w:rsidRPr="00EE3DEA" w14:paraId="044DE02F" w14:textId="77777777" w:rsidTr="00290807">
        <w:trPr>
          <w:cantSplit/>
        </w:trPr>
        <w:tc>
          <w:tcPr>
            <w:tcW w:w="2217" w:type="dxa"/>
            <w:vAlign w:val="center"/>
          </w:tcPr>
          <w:p w14:paraId="719FB5DF" w14:textId="77777777" w:rsidR="00815BBF" w:rsidRPr="000740CC" w:rsidRDefault="00815BBF" w:rsidP="00815BBF">
            <w:pPr>
              <w:pStyle w:val="MarginText"/>
              <w:rPr>
                <w:rFonts w:cs="Arial"/>
              </w:rPr>
            </w:pPr>
            <w:r w:rsidRPr="000740CC">
              <w:rPr>
                <w:rFonts w:cs="Arial"/>
              </w:rPr>
              <w:t>Tender</w:t>
            </w:r>
          </w:p>
        </w:tc>
        <w:tc>
          <w:tcPr>
            <w:tcW w:w="5571" w:type="dxa"/>
          </w:tcPr>
          <w:p w14:paraId="17110DDF" w14:textId="77777777" w:rsidR="00815BBF" w:rsidRPr="000740CC" w:rsidRDefault="00815BBF" w:rsidP="00815BBF">
            <w:pPr>
              <w:pStyle w:val="MarginText"/>
              <w:rPr>
                <w:rFonts w:cs="Arial"/>
                <w:b/>
              </w:rPr>
            </w:pPr>
            <w:proofErr w:type="gramStart"/>
            <w:r w:rsidRPr="000740CC">
              <w:rPr>
                <w:rFonts w:cs="Arial"/>
              </w:rPr>
              <w:t>means</w:t>
            </w:r>
            <w:proofErr w:type="gramEnd"/>
            <w:r w:rsidRPr="000740CC">
              <w:rPr>
                <w:rFonts w:cs="Arial"/>
              </w:rPr>
              <w:t xml:space="preserve"> the Potential Provider’s formal offer in response to the Invitation to Tender.</w:t>
            </w:r>
          </w:p>
        </w:tc>
      </w:tr>
      <w:tr w:rsidR="0093744A" w:rsidRPr="00EE3DEA" w14:paraId="65C5BAFF" w14:textId="77777777" w:rsidTr="00290807">
        <w:trPr>
          <w:cantSplit/>
        </w:trPr>
        <w:tc>
          <w:tcPr>
            <w:tcW w:w="2217" w:type="dxa"/>
            <w:vAlign w:val="center"/>
          </w:tcPr>
          <w:p w14:paraId="5A452144" w14:textId="6DA3A851" w:rsidR="0093744A" w:rsidRPr="000740CC" w:rsidRDefault="0093744A" w:rsidP="00815BBF">
            <w:pPr>
              <w:pStyle w:val="MarginText"/>
              <w:rPr>
                <w:rFonts w:cs="Arial"/>
              </w:rPr>
            </w:pPr>
            <w:r>
              <w:rPr>
                <w:rFonts w:cs="Arial"/>
              </w:rPr>
              <w:t>Tender Period</w:t>
            </w:r>
          </w:p>
        </w:tc>
        <w:tc>
          <w:tcPr>
            <w:tcW w:w="5571" w:type="dxa"/>
          </w:tcPr>
          <w:p w14:paraId="291A01D9" w14:textId="6607C8DC" w:rsidR="0093744A" w:rsidRPr="00777AD8" w:rsidRDefault="00B31377" w:rsidP="000703D3">
            <w:pPr>
              <w:pStyle w:val="MarginText"/>
              <w:rPr>
                <w:rFonts w:cs="Arial"/>
              </w:rPr>
            </w:pPr>
            <w:r>
              <w:rPr>
                <w:rFonts w:cs="Arial"/>
              </w:rPr>
              <w:t>m</w:t>
            </w:r>
            <w:r w:rsidR="0093744A" w:rsidRPr="00B31377">
              <w:rPr>
                <w:rFonts w:cs="Arial"/>
              </w:rPr>
              <w:t>eans</w:t>
            </w:r>
            <w:r w:rsidRPr="00B31377">
              <w:rPr>
                <w:rFonts w:cs="Arial"/>
              </w:rPr>
              <w:t xml:space="preserve"> the</w:t>
            </w:r>
            <w:r>
              <w:rPr>
                <w:rFonts w:cs="Arial"/>
              </w:rPr>
              <w:t xml:space="preserve"> period from the OJEU Contract Notice Dispatch to the </w:t>
            </w:r>
            <w:r w:rsidR="00B365C8">
              <w:rPr>
                <w:rFonts w:cs="Arial"/>
              </w:rPr>
              <w:t>Tender</w:t>
            </w:r>
            <w:r>
              <w:rPr>
                <w:rFonts w:cs="Arial"/>
              </w:rPr>
              <w:t xml:space="preserve"> Submission Deadline as set out in paragraph 4;</w:t>
            </w:r>
          </w:p>
        </w:tc>
      </w:tr>
      <w:tr w:rsidR="00815BBF" w:rsidRPr="00EE3DEA" w14:paraId="32A77090" w14:textId="77777777" w:rsidTr="00290807">
        <w:trPr>
          <w:cantSplit/>
        </w:trPr>
        <w:tc>
          <w:tcPr>
            <w:tcW w:w="2217" w:type="dxa"/>
            <w:vAlign w:val="center"/>
          </w:tcPr>
          <w:p w14:paraId="3A9E1915" w14:textId="77777777" w:rsidR="00815BBF" w:rsidRPr="000740CC" w:rsidRDefault="00815BBF" w:rsidP="00815BBF">
            <w:pPr>
              <w:pStyle w:val="MarginText"/>
              <w:rPr>
                <w:rFonts w:cs="Arial"/>
              </w:rPr>
            </w:pPr>
            <w:r w:rsidRPr="000740CC">
              <w:rPr>
                <w:rFonts w:cs="Arial"/>
              </w:rPr>
              <w:t>Tender Clarifications Deadline</w:t>
            </w:r>
          </w:p>
        </w:tc>
        <w:tc>
          <w:tcPr>
            <w:tcW w:w="5571" w:type="dxa"/>
          </w:tcPr>
          <w:p w14:paraId="5E350255" w14:textId="217C16B5" w:rsidR="00815BBF" w:rsidRPr="00777AD8" w:rsidRDefault="00815BBF" w:rsidP="000703D3">
            <w:pPr>
              <w:pStyle w:val="MarginText"/>
              <w:rPr>
                <w:rFonts w:cs="Arial"/>
              </w:rPr>
            </w:pPr>
            <w:r w:rsidRPr="00777AD8">
              <w:rPr>
                <w:rFonts w:cs="Arial"/>
              </w:rPr>
              <w:t xml:space="preserve">means the time and date set out in paragraph </w:t>
            </w:r>
            <w:r w:rsidR="00777AD8" w:rsidRPr="00777AD8">
              <w:rPr>
                <w:rFonts w:cs="Arial"/>
              </w:rPr>
              <w:t>4</w:t>
            </w:r>
            <w:r w:rsidR="000703D3" w:rsidRPr="00777AD8">
              <w:rPr>
                <w:rFonts w:cs="Arial"/>
              </w:rPr>
              <w:t xml:space="preserve"> </w:t>
            </w:r>
            <w:r w:rsidRPr="00777AD8">
              <w:rPr>
                <w:rFonts w:cs="Arial"/>
              </w:rPr>
              <w:t>for the latest submission of clarification questions;</w:t>
            </w:r>
          </w:p>
        </w:tc>
      </w:tr>
      <w:tr w:rsidR="00815BBF" w:rsidRPr="00EE3DEA" w14:paraId="2BDAB55F" w14:textId="77777777" w:rsidTr="00290807">
        <w:trPr>
          <w:cantSplit/>
        </w:trPr>
        <w:tc>
          <w:tcPr>
            <w:tcW w:w="2217" w:type="dxa"/>
            <w:vAlign w:val="center"/>
          </w:tcPr>
          <w:p w14:paraId="5C961D8D" w14:textId="77777777" w:rsidR="00815BBF" w:rsidRPr="000740CC" w:rsidRDefault="00815BBF" w:rsidP="00815BBF">
            <w:pPr>
              <w:pStyle w:val="MarginText"/>
              <w:rPr>
                <w:rFonts w:cs="Arial"/>
              </w:rPr>
            </w:pPr>
            <w:r w:rsidRPr="000740CC">
              <w:rPr>
                <w:rFonts w:cs="Arial"/>
              </w:rPr>
              <w:t>Tender Submission Deadline</w:t>
            </w:r>
          </w:p>
        </w:tc>
        <w:tc>
          <w:tcPr>
            <w:tcW w:w="5571" w:type="dxa"/>
          </w:tcPr>
          <w:p w14:paraId="05F890E1" w14:textId="37DFF8AD" w:rsidR="00815BBF" w:rsidRPr="00777AD8" w:rsidRDefault="00815BBF" w:rsidP="000703D3">
            <w:pPr>
              <w:pStyle w:val="MarginText"/>
              <w:rPr>
                <w:rFonts w:cs="Arial"/>
                <w:b/>
              </w:rPr>
            </w:pPr>
            <w:r w:rsidRPr="00777AD8">
              <w:rPr>
                <w:rFonts w:cs="Arial"/>
              </w:rPr>
              <w:t xml:space="preserve">means the time and date set out in paragraph </w:t>
            </w:r>
            <w:r w:rsidR="00777AD8" w:rsidRPr="00777AD8">
              <w:rPr>
                <w:rFonts w:cs="Arial"/>
              </w:rPr>
              <w:t>4</w:t>
            </w:r>
            <w:r w:rsidRPr="00777AD8">
              <w:rPr>
                <w:rFonts w:cs="Arial"/>
              </w:rPr>
              <w:t xml:space="preserve"> for the latest uploading of Tenders; </w:t>
            </w:r>
          </w:p>
        </w:tc>
      </w:tr>
      <w:tr w:rsidR="00840883" w:rsidRPr="00EE3DEA" w14:paraId="0F9B8E1D" w14:textId="77777777" w:rsidTr="00290807">
        <w:trPr>
          <w:cantSplit/>
        </w:trPr>
        <w:tc>
          <w:tcPr>
            <w:tcW w:w="2217" w:type="dxa"/>
            <w:vAlign w:val="center"/>
          </w:tcPr>
          <w:p w14:paraId="549F0907" w14:textId="5DA7B497" w:rsidR="00840883" w:rsidRPr="000740CC" w:rsidRDefault="00840883" w:rsidP="00815BBF">
            <w:pPr>
              <w:pStyle w:val="MarginText"/>
              <w:rPr>
                <w:rFonts w:cs="Arial"/>
              </w:rPr>
            </w:pPr>
            <w:r>
              <w:rPr>
                <w:rFonts w:cs="Arial"/>
              </w:rPr>
              <w:t>User</w:t>
            </w:r>
          </w:p>
        </w:tc>
        <w:tc>
          <w:tcPr>
            <w:tcW w:w="5571" w:type="dxa"/>
          </w:tcPr>
          <w:p w14:paraId="742A235D" w14:textId="126278BC" w:rsidR="00840883" w:rsidRPr="00D93F69" w:rsidRDefault="00840883" w:rsidP="00815BBF">
            <w:pPr>
              <w:pStyle w:val="MarginText"/>
              <w:rPr>
                <w:rFonts w:cs="Arial"/>
              </w:rPr>
            </w:pPr>
            <w:r>
              <w:rPr>
                <w:rFonts w:cs="Arial"/>
                <w:color w:val="000000"/>
                <w:sz w:val="19"/>
                <w:szCs w:val="19"/>
                <w:shd w:val="clear" w:color="auto" w:fill="FFFFFF"/>
              </w:rPr>
              <w:t xml:space="preserve">means a Contracting Authority’s employee who is eligible to use the </w:t>
            </w:r>
            <w:r w:rsidR="00F97BCE">
              <w:rPr>
                <w:rFonts w:cs="Arial"/>
                <w:color w:val="000000"/>
                <w:sz w:val="19"/>
                <w:szCs w:val="19"/>
                <w:shd w:val="clear" w:color="auto" w:fill="FFFFFF"/>
              </w:rPr>
              <w:t>Financial Management Reform Costing</w:t>
            </w:r>
            <w:r w:rsidR="003A11CC">
              <w:rPr>
                <w:rFonts w:cs="Arial"/>
                <w:color w:val="000000"/>
                <w:sz w:val="19"/>
                <w:szCs w:val="19"/>
                <w:shd w:val="clear" w:color="auto" w:fill="FFFFFF"/>
              </w:rPr>
              <w:t xml:space="preserve"> </w:t>
            </w:r>
            <w:r w:rsidR="00F97BCE">
              <w:rPr>
                <w:rFonts w:cs="Arial"/>
                <w:color w:val="000000"/>
                <w:sz w:val="19"/>
                <w:szCs w:val="19"/>
                <w:shd w:val="clear" w:color="auto" w:fill="FFFFFF"/>
              </w:rPr>
              <w:t>Programme</w:t>
            </w:r>
            <w:r w:rsidR="003A11CC">
              <w:rPr>
                <w:rFonts w:cs="Arial"/>
                <w:color w:val="000000"/>
                <w:sz w:val="19"/>
                <w:szCs w:val="19"/>
                <w:shd w:val="clear" w:color="auto" w:fill="FFFFFF"/>
              </w:rPr>
              <w:t xml:space="preserve"> </w:t>
            </w:r>
            <w:r>
              <w:rPr>
                <w:rFonts w:cs="Arial"/>
                <w:color w:val="000000"/>
                <w:sz w:val="19"/>
                <w:szCs w:val="19"/>
                <w:shd w:val="clear" w:color="auto" w:fill="FFFFFF"/>
              </w:rPr>
              <w:t>schemes;</w:t>
            </w:r>
          </w:p>
        </w:tc>
      </w:tr>
      <w:tr w:rsidR="00815BBF" w:rsidRPr="00EE3DEA" w14:paraId="74CA6BDB" w14:textId="77777777" w:rsidTr="00290807">
        <w:trPr>
          <w:cantSplit/>
        </w:trPr>
        <w:tc>
          <w:tcPr>
            <w:tcW w:w="2217" w:type="dxa"/>
            <w:vAlign w:val="center"/>
          </w:tcPr>
          <w:p w14:paraId="006CC8BE" w14:textId="77777777" w:rsidR="00815BBF" w:rsidRPr="000740CC" w:rsidRDefault="00815BBF" w:rsidP="00815BBF">
            <w:pPr>
              <w:pStyle w:val="MarginText"/>
              <w:jc w:val="left"/>
              <w:rPr>
                <w:rFonts w:cs="Arial"/>
              </w:rPr>
            </w:pPr>
            <w:r w:rsidRPr="000740CC">
              <w:rPr>
                <w:rFonts w:cs="Arial"/>
              </w:rPr>
              <w:t>Voluntary Community Social Enterprise or VCSE</w:t>
            </w:r>
          </w:p>
        </w:tc>
        <w:tc>
          <w:tcPr>
            <w:tcW w:w="5571" w:type="dxa"/>
          </w:tcPr>
          <w:p w14:paraId="685DE295" w14:textId="77777777" w:rsidR="00815BBF" w:rsidRPr="000740CC" w:rsidRDefault="00815BBF" w:rsidP="00815BBF">
            <w:pPr>
              <w:pStyle w:val="MarginText"/>
              <w:rPr>
                <w:rFonts w:cs="Arial"/>
              </w:rPr>
            </w:pPr>
            <w:proofErr w:type="gramStart"/>
            <w:r w:rsidRPr="000740CC">
              <w:rPr>
                <w:rFonts w:cs="Arial"/>
              </w:rPr>
              <w:t>means</w:t>
            </w:r>
            <w:proofErr w:type="gramEnd"/>
            <w:r w:rsidRPr="000740CC">
              <w:rPr>
                <w:rFonts w:cs="Arial"/>
              </w:rPr>
              <w:t xml:space="preserve"> a non-governmental organisation that is value-driven and which principally reinvests its surpluses to further social, environmental or cultural objectives.</w:t>
            </w:r>
          </w:p>
        </w:tc>
      </w:tr>
    </w:tbl>
    <w:p w14:paraId="20D43943" w14:textId="3A49EF45" w:rsidR="00553706" w:rsidRDefault="00553706" w:rsidP="00195815">
      <w:pPr>
        <w:spacing w:before="13" w:line="240" w:lineRule="exact"/>
        <w:rPr>
          <w:rFonts w:ascii="Arial" w:hAnsi="Arial" w:cs="Arial"/>
          <w:sz w:val="20"/>
          <w:szCs w:val="20"/>
        </w:rPr>
      </w:pPr>
    </w:p>
    <w:p w14:paraId="416CF5F8" w14:textId="77777777" w:rsidR="00553706" w:rsidRDefault="00553706">
      <w:pPr>
        <w:rPr>
          <w:rFonts w:ascii="Arial" w:hAnsi="Arial" w:cs="Arial"/>
          <w:sz w:val="20"/>
          <w:szCs w:val="20"/>
        </w:rPr>
      </w:pPr>
      <w:r>
        <w:rPr>
          <w:rFonts w:ascii="Arial" w:hAnsi="Arial" w:cs="Arial"/>
          <w:sz w:val="20"/>
          <w:szCs w:val="20"/>
        </w:rPr>
        <w:br w:type="page"/>
      </w:r>
    </w:p>
    <w:p w14:paraId="0D060066" w14:textId="033DF65F" w:rsidR="00CB4183" w:rsidRPr="00D85FB3" w:rsidRDefault="00553706" w:rsidP="00195815">
      <w:pPr>
        <w:spacing w:before="13" w:line="240" w:lineRule="exact"/>
        <w:rPr>
          <w:rFonts w:ascii="Arial" w:hAnsi="Arial" w:cs="Arial"/>
        </w:rPr>
      </w:pPr>
      <w:r w:rsidRPr="00D85FB3">
        <w:rPr>
          <w:rFonts w:ascii="Arial" w:hAnsi="Arial" w:cs="Arial"/>
        </w:rPr>
        <w:lastRenderedPageBreak/>
        <w:t>Annex 1</w:t>
      </w:r>
    </w:p>
    <w:p w14:paraId="4085A292" w14:textId="66BE7094" w:rsidR="00553706" w:rsidRPr="00D85FB3" w:rsidRDefault="00553706" w:rsidP="00553706">
      <w:pPr>
        <w:rPr>
          <w:rFonts w:ascii="Arial" w:hAnsi="Arial" w:cs="Arial"/>
        </w:rPr>
      </w:pPr>
      <w:r w:rsidRPr="00D85FB3">
        <w:rPr>
          <w:rFonts w:ascii="Arial" w:hAnsi="Arial" w:cs="Arial"/>
        </w:rPr>
        <w:t xml:space="preserve">The worked examples in this Annex 1 illustrate how </w:t>
      </w:r>
      <w:r w:rsidR="003A11CC" w:rsidRPr="00D85FB3">
        <w:rPr>
          <w:rFonts w:ascii="Arial" w:hAnsi="Arial" w:cs="Arial"/>
        </w:rPr>
        <w:t>the Agent</w:t>
      </w:r>
      <w:r w:rsidRPr="00D85FB3">
        <w:rPr>
          <w:rFonts w:ascii="Arial" w:hAnsi="Arial" w:cs="Arial"/>
        </w:rPr>
        <w:t xml:space="preserve"> will calculate the Price Score  </w:t>
      </w:r>
    </w:p>
    <w:p w14:paraId="72A4D8F7" w14:textId="2E1E45E8" w:rsidR="0001357C" w:rsidRPr="00D85FB3" w:rsidRDefault="00553706" w:rsidP="00553706">
      <w:pPr>
        <w:rPr>
          <w:rFonts w:ascii="Arial" w:hAnsi="Arial" w:cs="Arial"/>
        </w:rPr>
      </w:pPr>
      <w:r w:rsidRPr="00D85FB3">
        <w:rPr>
          <w:rFonts w:ascii="Arial" w:hAnsi="Arial" w:cs="Arial"/>
        </w:rPr>
        <w:t xml:space="preserve">The worked examples consists of a series of tables which provide a worked example </w:t>
      </w:r>
      <w:r w:rsidR="001253D6" w:rsidRPr="00D85FB3">
        <w:rPr>
          <w:rFonts w:ascii="Arial" w:hAnsi="Arial" w:cs="Arial"/>
        </w:rPr>
        <w:t>for the</w:t>
      </w:r>
      <w:r w:rsidR="0001357C" w:rsidRPr="00D85FB3">
        <w:rPr>
          <w:rFonts w:ascii="Arial" w:hAnsi="Arial" w:cs="Arial"/>
        </w:rPr>
        <w:t xml:space="preserve"> </w:t>
      </w:r>
      <w:r w:rsidR="001253D6" w:rsidRPr="00D85FB3">
        <w:rPr>
          <w:rFonts w:ascii="Arial" w:hAnsi="Arial" w:cs="Arial"/>
        </w:rPr>
        <w:t>calculation</w:t>
      </w:r>
      <w:r w:rsidR="0001357C" w:rsidRPr="00D85FB3">
        <w:rPr>
          <w:rFonts w:ascii="Arial" w:hAnsi="Arial" w:cs="Arial"/>
        </w:rPr>
        <w:t xml:space="preserve"> of the ‘Total of Weighted Day Rates</w:t>
      </w:r>
      <w:r w:rsidR="00777AD8">
        <w:rPr>
          <w:rFonts w:ascii="Arial" w:hAnsi="Arial" w:cs="Arial"/>
        </w:rPr>
        <w:t xml:space="preserve"> and overall Price Score</w:t>
      </w:r>
      <w:r w:rsidR="0001357C" w:rsidRPr="00D85FB3">
        <w:rPr>
          <w:rFonts w:ascii="Arial" w:hAnsi="Arial" w:cs="Arial"/>
        </w:rPr>
        <w:t>.</w:t>
      </w:r>
    </w:p>
    <w:p w14:paraId="4D503486" w14:textId="6E2045B4" w:rsidR="00553706" w:rsidRPr="00D85FB3" w:rsidRDefault="00553706" w:rsidP="00553706">
      <w:pPr>
        <w:rPr>
          <w:rFonts w:ascii="Arial" w:hAnsi="Arial" w:cs="Arial"/>
        </w:rPr>
      </w:pPr>
      <w:r w:rsidRPr="00D85FB3">
        <w:rPr>
          <w:rFonts w:ascii="Arial" w:hAnsi="Arial" w:cs="Arial"/>
        </w:rPr>
        <w:t>The worked examples are provided for illustrative purposes only; the prices used are fictitious and are provided purely to demonstrate how the Price Score will be calculated</w:t>
      </w:r>
      <w:r w:rsidR="00413101">
        <w:rPr>
          <w:rFonts w:ascii="Arial" w:hAnsi="Arial" w:cs="Arial"/>
        </w:rPr>
        <w:t xml:space="preserve"> to 2 </w:t>
      </w:r>
      <w:proofErr w:type="spellStart"/>
      <w:r w:rsidR="00413101">
        <w:rPr>
          <w:rFonts w:ascii="Arial" w:hAnsi="Arial" w:cs="Arial"/>
        </w:rPr>
        <w:t>d.p</w:t>
      </w:r>
      <w:r w:rsidRPr="00D85FB3">
        <w:rPr>
          <w:rFonts w:ascii="Arial" w:hAnsi="Arial" w:cs="Arial"/>
        </w:rPr>
        <w:t>.</w:t>
      </w:r>
      <w:proofErr w:type="spellEnd"/>
    </w:p>
    <w:p w14:paraId="3ED0F99B" w14:textId="7DE7DFEC" w:rsidR="00553706" w:rsidRPr="00D85FB3" w:rsidRDefault="00833A6A" w:rsidP="0001357C">
      <w:pPr>
        <w:pStyle w:val="ListParagraph"/>
        <w:numPr>
          <w:ilvl w:val="1"/>
          <w:numId w:val="5"/>
        </w:numPr>
        <w:rPr>
          <w:rFonts w:cs="Arial"/>
          <w:b/>
          <w:sz w:val="22"/>
          <w:szCs w:val="22"/>
        </w:rPr>
      </w:pPr>
      <w:r w:rsidRPr="00D85FB3">
        <w:rPr>
          <w:rFonts w:cs="Arial"/>
          <w:b/>
          <w:sz w:val="22"/>
          <w:szCs w:val="22"/>
        </w:rPr>
        <w:t xml:space="preserve">Pricing Matrix </w:t>
      </w:r>
      <w:r w:rsidR="00553706" w:rsidRPr="00D85FB3">
        <w:rPr>
          <w:rFonts w:cs="Arial"/>
          <w:b/>
          <w:sz w:val="22"/>
          <w:szCs w:val="22"/>
        </w:rPr>
        <w:t xml:space="preserve">- example </w:t>
      </w:r>
      <w:r w:rsidR="0001357C" w:rsidRPr="00D85FB3">
        <w:rPr>
          <w:rFonts w:cs="Arial"/>
          <w:b/>
          <w:sz w:val="22"/>
          <w:szCs w:val="22"/>
        </w:rPr>
        <w:t>submitted by Potential Provider A</w:t>
      </w:r>
      <w:r w:rsidR="00553706" w:rsidRPr="00D85FB3">
        <w:rPr>
          <w:rFonts w:cs="Arial"/>
          <w:b/>
          <w:sz w:val="22"/>
          <w:szCs w:val="22"/>
        </w:rPr>
        <w:t xml:space="preserve"> </w:t>
      </w:r>
    </w:p>
    <w:tbl>
      <w:tblPr>
        <w:tblW w:w="10052" w:type="dxa"/>
        <w:tblLook w:val="04A0" w:firstRow="1" w:lastRow="0" w:firstColumn="1" w:lastColumn="0" w:noHBand="0" w:noVBand="1"/>
      </w:tblPr>
      <w:tblGrid>
        <w:gridCol w:w="3389"/>
        <w:gridCol w:w="2022"/>
        <w:gridCol w:w="2363"/>
        <w:gridCol w:w="2278"/>
      </w:tblGrid>
      <w:tr w:rsidR="0001357C" w:rsidRPr="0001357C" w14:paraId="749C116E" w14:textId="77777777" w:rsidTr="0001357C">
        <w:trPr>
          <w:trHeight w:val="929"/>
        </w:trPr>
        <w:tc>
          <w:tcPr>
            <w:tcW w:w="3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6213"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Position / Role</w:t>
            </w:r>
          </w:p>
        </w:tc>
        <w:tc>
          <w:tcPr>
            <w:tcW w:w="2022" w:type="dxa"/>
            <w:tcBorders>
              <w:top w:val="single" w:sz="4" w:space="0" w:color="auto"/>
              <w:left w:val="nil"/>
              <w:bottom w:val="nil"/>
              <w:right w:val="single" w:sz="4" w:space="0" w:color="auto"/>
            </w:tcBorders>
            <w:shd w:val="clear" w:color="auto" w:fill="auto"/>
            <w:vAlign w:val="center"/>
            <w:hideMark/>
          </w:tcPr>
          <w:p w14:paraId="3B0BD7D4" w14:textId="77777777" w:rsidR="009F5A08" w:rsidRDefault="009F5A08" w:rsidP="0001357C">
            <w:pPr>
              <w:spacing w:after="0" w:line="240" w:lineRule="auto"/>
              <w:jc w:val="center"/>
              <w:rPr>
                <w:rFonts w:ascii="Arial" w:eastAsia="Times New Roman" w:hAnsi="Arial" w:cs="Arial"/>
                <w:color w:val="000000"/>
              </w:rPr>
            </w:pPr>
            <w:r>
              <w:rPr>
                <w:rFonts w:ascii="Arial" w:eastAsia="Times New Roman" w:hAnsi="Arial" w:cs="Arial"/>
                <w:color w:val="000000"/>
              </w:rPr>
              <w:t>(A)</w:t>
            </w:r>
          </w:p>
          <w:p w14:paraId="419B4327" w14:textId="7016AD7A" w:rsidR="0001357C" w:rsidRPr="0001357C" w:rsidRDefault="009F5A08" w:rsidP="0001357C">
            <w:pPr>
              <w:spacing w:after="0" w:line="240" w:lineRule="auto"/>
              <w:jc w:val="center"/>
              <w:rPr>
                <w:rFonts w:ascii="Arial" w:eastAsia="Times New Roman" w:hAnsi="Arial" w:cs="Arial"/>
                <w:color w:val="000000"/>
              </w:rPr>
            </w:pPr>
            <w:r>
              <w:rPr>
                <w:rFonts w:ascii="Arial" w:eastAsia="Times New Roman" w:hAnsi="Arial" w:cs="Arial"/>
                <w:color w:val="000000"/>
              </w:rPr>
              <w:t xml:space="preserve">Day Rate (£)   </w:t>
            </w:r>
            <w:r>
              <w:rPr>
                <w:rFonts w:ascii="Arial" w:eastAsia="Times New Roman" w:hAnsi="Arial" w:cs="Arial"/>
                <w:color w:val="000000"/>
              </w:rPr>
              <w:br/>
            </w:r>
          </w:p>
        </w:tc>
        <w:tc>
          <w:tcPr>
            <w:tcW w:w="2363" w:type="dxa"/>
            <w:tcBorders>
              <w:top w:val="single" w:sz="4" w:space="0" w:color="auto"/>
              <w:left w:val="nil"/>
              <w:bottom w:val="single" w:sz="4" w:space="0" w:color="auto"/>
              <w:right w:val="single" w:sz="4" w:space="0" w:color="auto"/>
            </w:tcBorders>
            <w:shd w:val="clear" w:color="auto" w:fill="auto"/>
            <w:vAlign w:val="center"/>
            <w:hideMark/>
          </w:tcPr>
          <w:p w14:paraId="310A13AA" w14:textId="77777777" w:rsidR="009F5A08" w:rsidRDefault="009F5A08" w:rsidP="0001357C">
            <w:pPr>
              <w:spacing w:after="0" w:line="240" w:lineRule="auto"/>
              <w:jc w:val="center"/>
              <w:rPr>
                <w:rFonts w:ascii="Arial" w:eastAsia="Times New Roman" w:hAnsi="Arial" w:cs="Arial"/>
                <w:color w:val="000000"/>
              </w:rPr>
            </w:pPr>
            <w:r>
              <w:rPr>
                <w:rFonts w:ascii="Arial" w:eastAsia="Times New Roman" w:hAnsi="Arial" w:cs="Arial"/>
                <w:color w:val="000000"/>
              </w:rPr>
              <w:t>(B)</w:t>
            </w:r>
          </w:p>
          <w:p w14:paraId="7C6BF73F" w14:textId="7D33943C" w:rsidR="0001357C" w:rsidRPr="0001357C" w:rsidRDefault="0001357C" w:rsidP="009F5A08">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Weighting </w:t>
            </w:r>
            <w:r w:rsidRPr="0001357C">
              <w:rPr>
                <w:rFonts w:ascii="Arial" w:eastAsia="Times New Roman" w:hAnsi="Arial" w:cs="Arial"/>
                <w:color w:val="000000"/>
              </w:rPr>
              <w:br/>
              <w:t xml:space="preserve">    </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3ECABB1B" w14:textId="0278D7A6" w:rsidR="009F5A08" w:rsidRDefault="009F5A08" w:rsidP="0001357C">
            <w:pPr>
              <w:spacing w:after="0" w:line="240" w:lineRule="auto"/>
              <w:jc w:val="center"/>
              <w:rPr>
                <w:rFonts w:ascii="Arial" w:eastAsia="Times New Roman" w:hAnsi="Arial" w:cs="Arial"/>
                <w:color w:val="000000"/>
              </w:rPr>
            </w:pPr>
            <w:r>
              <w:rPr>
                <w:rFonts w:ascii="Arial" w:eastAsia="Times New Roman" w:hAnsi="Arial" w:cs="Arial"/>
                <w:color w:val="000000"/>
              </w:rPr>
              <w:t>(C)</w:t>
            </w:r>
          </w:p>
          <w:p w14:paraId="54F9220C" w14:textId="6B3D1C50"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Wei</w:t>
            </w:r>
            <w:r w:rsidR="009F5A08">
              <w:rPr>
                <w:rFonts w:ascii="Arial" w:eastAsia="Times New Roman" w:hAnsi="Arial" w:cs="Arial"/>
                <w:color w:val="000000"/>
              </w:rPr>
              <w:t>ghted</w:t>
            </w:r>
            <w:r w:rsidR="009F5A08">
              <w:rPr>
                <w:rFonts w:ascii="Arial" w:eastAsia="Times New Roman" w:hAnsi="Arial" w:cs="Arial"/>
                <w:color w:val="000000"/>
              </w:rPr>
              <w:br/>
              <w:t>Day Rate</w:t>
            </w:r>
            <w:r w:rsidR="009F5A08">
              <w:rPr>
                <w:rFonts w:ascii="Arial" w:eastAsia="Times New Roman" w:hAnsi="Arial" w:cs="Arial"/>
                <w:color w:val="000000"/>
              </w:rPr>
              <w:br/>
              <w:t xml:space="preserve">(£ </w:t>
            </w:r>
            <w:proofErr w:type="spellStart"/>
            <w:r w:rsidR="009F5A08">
              <w:rPr>
                <w:rFonts w:ascii="Arial" w:eastAsia="Times New Roman" w:hAnsi="Arial" w:cs="Arial"/>
                <w:color w:val="000000"/>
              </w:rPr>
              <w:t>exc</w:t>
            </w:r>
            <w:proofErr w:type="spellEnd"/>
            <w:r w:rsidR="009F5A08">
              <w:rPr>
                <w:rFonts w:ascii="Arial" w:eastAsia="Times New Roman" w:hAnsi="Arial" w:cs="Arial"/>
                <w:color w:val="000000"/>
              </w:rPr>
              <w:t xml:space="preserve"> VAT)  </w:t>
            </w:r>
            <w:r w:rsidRPr="0001357C">
              <w:rPr>
                <w:rFonts w:ascii="Arial" w:eastAsia="Times New Roman" w:hAnsi="Arial" w:cs="Arial"/>
                <w:color w:val="000000"/>
              </w:rPr>
              <w:br/>
              <w:t>(C = A x B)</w:t>
            </w:r>
          </w:p>
        </w:tc>
      </w:tr>
      <w:tr w:rsidR="0001357C" w:rsidRPr="0001357C" w14:paraId="0377B4B5" w14:textId="77777777" w:rsidTr="00413101">
        <w:trPr>
          <w:trHeight w:val="405"/>
        </w:trPr>
        <w:tc>
          <w:tcPr>
            <w:tcW w:w="3389" w:type="dxa"/>
            <w:tcBorders>
              <w:top w:val="nil"/>
              <w:left w:val="single" w:sz="4" w:space="0" w:color="auto"/>
              <w:bottom w:val="single" w:sz="4" w:space="0" w:color="auto"/>
              <w:right w:val="nil"/>
            </w:tcBorders>
            <w:shd w:val="clear" w:color="auto" w:fill="auto"/>
            <w:vAlign w:val="center"/>
            <w:hideMark/>
          </w:tcPr>
          <w:p w14:paraId="22559875" w14:textId="6AA11B6D"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Director / Partner </w:t>
            </w:r>
          </w:p>
        </w:tc>
        <w:tc>
          <w:tcPr>
            <w:tcW w:w="2022" w:type="dxa"/>
            <w:tcBorders>
              <w:top w:val="single" w:sz="8" w:space="0" w:color="auto"/>
              <w:left w:val="single" w:sz="8" w:space="0" w:color="auto"/>
              <w:bottom w:val="single" w:sz="4" w:space="0" w:color="auto"/>
              <w:right w:val="single" w:sz="8" w:space="0" w:color="auto"/>
            </w:tcBorders>
            <w:shd w:val="clear" w:color="000000" w:fill="BDD7EE"/>
            <w:vAlign w:val="center"/>
            <w:hideMark/>
          </w:tcPr>
          <w:p w14:paraId="48C67EC5" w14:textId="77F549BD"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£500</w:t>
            </w:r>
            <w:r w:rsidR="00413101">
              <w:rPr>
                <w:rFonts w:ascii="Arial" w:eastAsia="Times New Roman" w:hAnsi="Arial" w:cs="Arial"/>
                <w:color w:val="000000"/>
              </w:rPr>
              <w:t>.00</w:t>
            </w:r>
          </w:p>
        </w:tc>
        <w:tc>
          <w:tcPr>
            <w:tcW w:w="2363" w:type="dxa"/>
            <w:tcBorders>
              <w:top w:val="nil"/>
              <w:left w:val="nil"/>
              <w:bottom w:val="single" w:sz="4" w:space="0" w:color="auto"/>
              <w:right w:val="single" w:sz="4" w:space="0" w:color="auto"/>
            </w:tcBorders>
            <w:shd w:val="clear" w:color="auto" w:fill="auto"/>
            <w:vAlign w:val="center"/>
            <w:hideMark/>
          </w:tcPr>
          <w:p w14:paraId="01FA233D"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78" w:type="dxa"/>
            <w:tcBorders>
              <w:top w:val="nil"/>
              <w:left w:val="nil"/>
              <w:bottom w:val="single" w:sz="4" w:space="0" w:color="auto"/>
              <w:right w:val="single" w:sz="4" w:space="0" w:color="auto"/>
            </w:tcBorders>
            <w:shd w:val="clear" w:color="auto" w:fill="auto"/>
            <w:vAlign w:val="center"/>
          </w:tcPr>
          <w:p w14:paraId="74267C33" w14:textId="675F3807"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25.00</w:t>
            </w:r>
          </w:p>
        </w:tc>
      </w:tr>
      <w:tr w:rsidR="0001357C" w:rsidRPr="0001357C" w14:paraId="09BCDDD2" w14:textId="77777777" w:rsidTr="00413101">
        <w:trPr>
          <w:trHeight w:val="405"/>
        </w:trPr>
        <w:tc>
          <w:tcPr>
            <w:tcW w:w="3389" w:type="dxa"/>
            <w:tcBorders>
              <w:top w:val="nil"/>
              <w:left w:val="single" w:sz="4" w:space="0" w:color="auto"/>
              <w:bottom w:val="single" w:sz="4" w:space="0" w:color="auto"/>
              <w:right w:val="nil"/>
            </w:tcBorders>
            <w:shd w:val="clear" w:color="auto" w:fill="auto"/>
            <w:vAlign w:val="center"/>
            <w:hideMark/>
          </w:tcPr>
          <w:p w14:paraId="225C37D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Managing Consultant / Accountant / Auditor </w:t>
            </w:r>
          </w:p>
        </w:tc>
        <w:tc>
          <w:tcPr>
            <w:tcW w:w="2022" w:type="dxa"/>
            <w:tcBorders>
              <w:top w:val="nil"/>
              <w:left w:val="single" w:sz="8" w:space="0" w:color="auto"/>
              <w:bottom w:val="single" w:sz="4" w:space="0" w:color="auto"/>
              <w:right w:val="single" w:sz="8" w:space="0" w:color="auto"/>
            </w:tcBorders>
            <w:shd w:val="clear" w:color="000000" w:fill="BDD7EE"/>
            <w:noWrap/>
            <w:vAlign w:val="center"/>
            <w:hideMark/>
          </w:tcPr>
          <w:p w14:paraId="46D6A312" w14:textId="5D746474"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£450</w:t>
            </w:r>
            <w:r w:rsidR="00413101">
              <w:rPr>
                <w:rFonts w:ascii="Arial" w:eastAsia="Times New Roman" w:hAnsi="Arial" w:cs="Arial"/>
                <w:color w:val="000000"/>
              </w:rPr>
              <w:t>.00</w:t>
            </w:r>
          </w:p>
        </w:tc>
        <w:tc>
          <w:tcPr>
            <w:tcW w:w="2363" w:type="dxa"/>
            <w:tcBorders>
              <w:top w:val="nil"/>
              <w:left w:val="nil"/>
              <w:bottom w:val="single" w:sz="4" w:space="0" w:color="auto"/>
              <w:right w:val="single" w:sz="4" w:space="0" w:color="auto"/>
            </w:tcBorders>
            <w:shd w:val="clear" w:color="auto" w:fill="auto"/>
            <w:noWrap/>
            <w:vAlign w:val="center"/>
            <w:hideMark/>
          </w:tcPr>
          <w:p w14:paraId="333AC853"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78" w:type="dxa"/>
            <w:tcBorders>
              <w:top w:val="nil"/>
              <w:left w:val="nil"/>
              <w:bottom w:val="single" w:sz="4" w:space="0" w:color="auto"/>
              <w:right w:val="single" w:sz="4" w:space="0" w:color="auto"/>
            </w:tcBorders>
            <w:shd w:val="clear" w:color="auto" w:fill="auto"/>
            <w:vAlign w:val="center"/>
          </w:tcPr>
          <w:p w14:paraId="7123E95F" w14:textId="4AF54892"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22.50</w:t>
            </w:r>
          </w:p>
        </w:tc>
      </w:tr>
      <w:tr w:rsidR="0001357C" w:rsidRPr="0001357C" w14:paraId="4A38A6BC" w14:textId="77777777" w:rsidTr="00413101">
        <w:trPr>
          <w:trHeight w:val="405"/>
        </w:trPr>
        <w:tc>
          <w:tcPr>
            <w:tcW w:w="3389" w:type="dxa"/>
            <w:tcBorders>
              <w:top w:val="nil"/>
              <w:left w:val="single" w:sz="4" w:space="0" w:color="auto"/>
              <w:bottom w:val="single" w:sz="4" w:space="0" w:color="auto"/>
              <w:right w:val="nil"/>
            </w:tcBorders>
            <w:shd w:val="clear" w:color="auto" w:fill="auto"/>
            <w:vAlign w:val="center"/>
            <w:hideMark/>
          </w:tcPr>
          <w:p w14:paraId="2D9681F4"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Principal Consultant / Accountant / Auditor </w:t>
            </w:r>
          </w:p>
        </w:tc>
        <w:tc>
          <w:tcPr>
            <w:tcW w:w="2022" w:type="dxa"/>
            <w:tcBorders>
              <w:top w:val="nil"/>
              <w:left w:val="single" w:sz="8" w:space="0" w:color="auto"/>
              <w:bottom w:val="single" w:sz="4" w:space="0" w:color="auto"/>
              <w:right w:val="single" w:sz="8" w:space="0" w:color="auto"/>
            </w:tcBorders>
            <w:shd w:val="clear" w:color="000000" w:fill="BDD7EE"/>
            <w:noWrap/>
            <w:vAlign w:val="center"/>
            <w:hideMark/>
          </w:tcPr>
          <w:p w14:paraId="02043E1E" w14:textId="6A2065FB"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£400</w:t>
            </w:r>
            <w:r w:rsidR="00413101">
              <w:rPr>
                <w:rFonts w:ascii="Arial" w:eastAsia="Times New Roman" w:hAnsi="Arial" w:cs="Arial"/>
                <w:color w:val="000000"/>
              </w:rPr>
              <w:t>.00</w:t>
            </w:r>
          </w:p>
        </w:tc>
        <w:tc>
          <w:tcPr>
            <w:tcW w:w="2363" w:type="dxa"/>
            <w:tcBorders>
              <w:top w:val="nil"/>
              <w:left w:val="nil"/>
              <w:bottom w:val="single" w:sz="4" w:space="0" w:color="auto"/>
              <w:right w:val="single" w:sz="4" w:space="0" w:color="auto"/>
            </w:tcBorders>
            <w:shd w:val="clear" w:color="auto" w:fill="auto"/>
            <w:noWrap/>
            <w:vAlign w:val="center"/>
            <w:hideMark/>
          </w:tcPr>
          <w:p w14:paraId="77CFBB8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20%</w:t>
            </w:r>
          </w:p>
        </w:tc>
        <w:tc>
          <w:tcPr>
            <w:tcW w:w="2278" w:type="dxa"/>
            <w:tcBorders>
              <w:top w:val="nil"/>
              <w:left w:val="nil"/>
              <w:bottom w:val="single" w:sz="4" w:space="0" w:color="auto"/>
              <w:right w:val="single" w:sz="4" w:space="0" w:color="auto"/>
            </w:tcBorders>
            <w:shd w:val="clear" w:color="auto" w:fill="auto"/>
            <w:vAlign w:val="center"/>
          </w:tcPr>
          <w:p w14:paraId="7759C71D" w14:textId="3EEDF5AF"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80.00</w:t>
            </w:r>
          </w:p>
        </w:tc>
      </w:tr>
      <w:tr w:rsidR="0001357C" w:rsidRPr="0001357C" w14:paraId="26A88D64" w14:textId="77777777" w:rsidTr="00413101">
        <w:trPr>
          <w:trHeight w:val="405"/>
        </w:trPr>
        <w:tc>
          <w:tcPr>
            <w:tcW w:w="3389" w:type="dxa"/>
            <w:tcBorders>
              <w:top w:val="nil"/>
              <w:left w:val="single" w:sz="4" w:space="0" w:color="auto"/>
              <w:bottom w:val="single" w:sz="4" w:space="0" w:color="auto"/>
              <w:right w:val="nil"/>
            </w:tcBorders>
            <w:shd w:val="clear" w:color="auto" w:fill="auto"/>
            <w:vAlign w:val="center"/>
            <w:hideMark/>
          </w:tcPr>
          <w:p w14:paraId="7A61563B"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Senior Consultant / Accountant / Auditor</w:t>
            </w:r>
          </w:p>
        </w:tc>
        <w:tc>
          <w:tcPr>
            <w:tcW w:w="2022" w:type="dxa"/>
            <w:tcBorders>
              <w:top w:val="nil"/>
              <w:left w:val="single" w:sz="8" w:space="0" w:color="auto"/>
              <w:bottom w:val="single" w:sz="4" w:space="0" w:color="auto"/>
              <w:right w:val="single" w:sz="8" w:space="0" w:color="auto"/>
            </w:tcBorders>
            <w:shd w:val="clear" w:color="000000" w:fill="BDD7EE"/>
            <w:noWrap/>
            <w:vAlign w:val="center"/>
            <w:hideMark/>
          </w:tcPr>
          <w:p w14:paraId="033610C5" w14:textId="7AA4F52D"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£450</w:t>
            </w:r>
            <w:r w:rsidR="00413101">
              <w:rPr>
                <w:rFonts w:ascii="Arial" w:eastAsia="Times New Roman" w:hAnsi="Arial" w:cs="Arial"/>
                <w:color w:val="000000"/>
              </w:rPr>
              <w:t>.20</w:t>
            </w:r>
          </w:p>
        </w:tc>
        <w:tc>
          <w:tcPr>
            <w:tcW w:w="2363" w:type="dxa"/>
            <w:tcBorders>
              <w:top w:val="nil"/>
              <w:left w:val="nil"/>
              <w:bottom w:val="single" w:sz="4" w:space="0" w:color="auto"/>
              <w:right w:val="single" w:sz="4" w:space="0" w:color="auto"/>
            </w:tcBorders>
            <w:shd w:val="clear" w:color="auto" w:fill="auto"/>
            <w:noWrap/>
            <w:vAlign w:val="center"/>
            <w:hideMark/>
          </w:tcPr>
          <w:p w14:paraId="4C2E0871"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50%</w:t>
            </w:r>
          </w:p>
        </w:tc>
        <w:tc>
          <w:tcPr>
            <w:tcW w:w="2278" w:type="dxa"/>
            <w:tcBorders>
              <w:top w:val="nil"/>
              <w:left w:val="nil"/>
              <w:bottom w:val="single" w:sz="4" w:space="0" w:color="auto"/>
              <w:right w:val="single" w:sz="4" w:space="0" w:color="auto"/>
            </w:tcBorders>
            <w:shd w:val="clear" w:color="auto" w:fill="auto"/>
            <w:vAlign w:val="center"/>
          </w:tcPr>
          <w:p w14:paraId="1D06BDB5" w14:textId="49F722F3"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225.10</w:t>
            </w:r>
          </w:p>
        </w:tc>
      </w:tr>
      <w:tr w:rsidR="0001357C" w:rsidRPr="0001357C" w14:paraId="11262534" w14:textId="77777777" w:rsidTr="00413101">
        <w:trPr>
          <w:trHeight w:val="405"/>
        </w:trPr>
        <w:tc>
          <w:tcPr>
            <w:tcW w:w="3389" w:type="dxa"/>
            <w:tcBorders>
              <w:top w:val="nil"/>
              <w:left w:val="single" w:sz="4" w:space="0" w:color="auto"/>
              <w:bottom w:val="single" w:sz="4" w:space="0" w:color="auto"/>
              <w:right w:val="nil"/>
            </w:tcBorders>
            <w:shd w:val="clear" w:color="auto" w:fill="auto"/>
            <w:vAlign w:val="center"/>
            <w:hideMark/>
          </w:tcPr>
          <w:p w14:paraId="2B44F77E"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Consultant / Accountant / Auditor</w:t>
            </w:r>
          </w:p>
        </w:tc>
        <w:tc>
          <w:tcPr>
            <w:tcW w:w="2022" w:type="dxa"/>
            <w:tcBorders>
              <w:top w:val="nil"/>
              <w:left w:val="single" w:sz="8" w:space="0" w:color="auto"/>
              <w:bottom w:val="single" w:sz="4" w:space="0" w:color="auto"/>
              <w:right w:val="single" w:sz="8" w:space="0" w:color="auto"/>
            </w:tcBorders>
            <w:shd w:val="clear" w:color="000000" w:fill="BDD7EE"/>
            <w:noWrap/>
            <w:vAlign w:val="center"/>
            <w:hideMark/>
          </w:tcPr>
          <w:p w14:paraId="0FD75F2A" w14:textId="561D8A62"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£300</w:t>
            </w:r>
            <w:r w:rsidR="00413101">
              <w:rPr>
                <w:rFonts w:ascii="Arial" w:eastAsia="Times New Roman" w:hAnsi="Arial" w:cs="Arial"/>
                <w:color w:val="000000"/>
              </w:rPr>
              <w:t>.50</w:t>
            </w:r>
          </w:p>
        </w:tc>
        <w:tc>
          <w:tcPr>
            <w:tcW w:w="2363" w:type="dxa"/>
            <w:tcBorders>
              <w:top w:val="nil"/>
              <w:left w:val="nil"/>
              <w:bottom w:val="single" w:sz="4" w:space="0" w:color="auto"/>
              <w:right w:val="single" w:sz="4" w:space="0" w:color="auto"/>
            </w:tcBorders>
            <w:shd w:val="clear" w:color="auto" w:fill="auto"/>
            <w:noWrap/>
            <w:vAlign w:val="center"/>
            <w:hideMark/>
          </w:tcPr>
          <w:p w14:paraId="546A7F2F"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15%</w:t>
            </w:r>
          </w:p>
        </w:tc>
        <w:tc>
          <w:tcPr>
            <w:tcW w:w="2278" w:type="dxa"/>
            <w:tcBorders>
              <w:top w:val="nil"/>
              <w:left w:val="nil"/>
              <w:bottom w:val="single" w:sz="4" w:space="0" w:color="auto"/>
              <w:right w:val="single" w:sz="4" w:space="0" w:color="auto"/>
            </w:tcBorders>
            <w:shd w:val="clear" w:color="auto" w:fill="auto"/>
            <w:vAlign w:val="center"/>
          </w:tcPr>
          <w:p w14:paraId="149E1F5E" w14:textId="29049F18"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45.08</w:t>
            </w:r>
          </w:p>
        </w:tc>
      </w:tr>
      <w:tr w:rsidR="0001357C" w:rsidRPr="0001357C" w14:paraId="14E74856" w14:textId="77777777" w:rsidTr="00413101">
        <w:trPr>
          <w:trHeight w:val="405"/>
        </w:trPr>
        <w:tc>
          <w:tcPr>
            <w:tcW w:w="3389" w:type="dxa"/>
            <w:tcBorders>
              <w:top w:val="nil"/>
              <w:left w:val="single" w:sz="4" w:space="0" w:color="auto"/>
              <w:bottom w:val="single" w:sz="4" w:space="0" w:color="auto"/>
              <w:right w:val="nil"/>
            </w:tcBorders>
            <w:shd w:val="clear" w:color="auto" w:fill="auto"/>
            <w:vAlign w:val="center"/>
            <w:hideMark/>
          </w:tcPr>
          <w:p w14:paraId="7F6DFD60"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Junior Consultant / Accountant / Auditor</w:t>
            </w:r>
          </w:p>
        </w:tc>
        <w:tc>
          <w:tcPr>
            <w:tcW w:w="2022" w:type="dxa"/>
            <w:tcBorders>
              <w:top w:val="nil"/>
              <w:left w:val="single" w:sz="8" w:space="0" w:color="auto"/>
              <w:bottom w:val="single" w:sz="4" w:space="0" w:color="auto"/>
              <w:right w:val="single" w:sz="8" w:space="0" w:color="auto"/>
            </w:tcBorders>
            <w:shd w:val="clear" w:color="000000" w:fill="BDD7EE"/>
            <w:noWrap/>
            <w:vAlign w:val="center"/>
            <w:hideMark/>
          </w:tcPr>
          <w:p w14:paraId="399E42A3" w14:textId="4652AEF6"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£250</w:t>
            </w:r>
            <w:r w:rsidR="00413101">
              <w:rPr>
                <w:rFonts w:ascii="Arial" w:eastAsia="Times New Roman" w:hAnsi="Arial" w:cs="Arial"/>
                <w:color w:val="000000"/>
              </w:rPr>
              <w:t>.00</w:t>
            </w:r>
          </w:p>
        </w:tc>
        <w:tc>
          <w:tcPr>
            <w:tcW w:w="2363" w:type="dxa"/>
            <w:tcBorders>
              <w:top w:val="nil"/>
              <w:left w:val="nil"/>
              <w:bottom w:val="single" w:sz="4" w:space="0" w:color="auto"/>
              <w:right w:val="single" w:sz="4" w:space="0" w:color="auto"/>
            </w:tcBorders>
            <w:shd w:val="clear" w:color="auto" w:fill="auto"/>
            <w:noWrap/>
            <w:vAlign w:val="center"/>
            <w:hideMark/>
          </w:tcPr>
          <w:p w14:paraId="076F3D50"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78" w:type="dxa"/>
            <w:tcBorders>
              <w:top w:val="nil"/>
              <w:left w:val="nil"/>
              <w:bottom w:val="single" w:sz="4" w:space="0" w:color="auto"/>
              <w:right w:val="single" w:sz="4" w:space="0" w:color="auto"/>
            </w:tcBorders>
            <w:shd w:val="clear" w:color="auto" w:fill="auto"/>
            <w:vAlign w:val="center"/>
          </w:tcPr>
          <w:p w14:paraId="518FCE39" w14:textId="315814E4"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12.50</w:t>
            </w:r>
          </w:p>
        </w:tc>
      </w:tr>
      <w:tr w:rsidR="0001357C" w:rsidRPr="0001357C" w14:paraId="67140F66" w14:textId="77777777" w:rsidTr="00413101">
        <w:trPr>
          <w:trHeight w:val="375"/>
        </w:trPr>
        <w:tc>
          <w:tcPr>
            <w:tcW w:w="3389" w:type="dxa"/>
            <w:tcBorders>
              <w:top w:val="nil"/>
              <w:left w:val="nil"/>
              <w:bottom w:val="nil"/>
              <w:right w:val="nil"/>
            </w:tcBorders>
            <w:shd w:val="clear" w:color="000000" w:fill="D9D9D9"/>
            <w:noWrap/>
            <w:vAlign w:val="bottom"/>
            <w:hideMark/>
          </w:tcPr>
          <w:p w14:paraId="07CEC6BD" w14:textId="77777777" w:rsidR="0001357C" w:rsidRPr="0001357C" w:rsidRDefault="0001357C" w:rsidP="0001357C">
            <w:pPr>
              <w:spacing w:after="0" w:line="240" w:lineRule="auto"/>
              <w:rPr>
                <w:rFonts w:ascii="Arial" w:eastAsia="Times New Roman" w:hAnsi="Arial" w:cs="Arial"/>
                <w:color w:val="000000"/>
              </w:rPr>
            </w:pPr>
            <w:r w:rsidRPr="0001357C">
              <w:rPr>
                <w:rFonts w:ascii="Arial" w:eastAsia="Times New Roman" w:hAnsi="Arial" w:cs="Arial"/>
                <w:color w:val="000000"/>
              </w:rPr>
              <w:t> </w:t>
            </w:r>
          </w:p>
        </w:tc>
        <w:tc>
          <w:tcPr>
            <w:tcW w:w="2022" w:type="dxa"/>
            <w:tcBorders>
              <w:top w:val="nil"/>
              <w:left w:val="nil"/>
              <w:bottom w:val="nil"/>
              <w:right w:val="nil"/>
            </w:tcBorders>
            <w:shd w:val="clear" w:color="000000" w:fill="D9D9D9"/>
            <w:vAlign w:val="center"/>
            <w:hideMark/>
          </w:tcPr>
          <w:p w14:paraId="22AAFCAE" w14:textId="77777777" w:rsidR="0001357C" w:rsidRPr="0001357C" w:rsidRDefault="0001357C" w:rsidP="0001357C">
            <w:pPr>
              <w:spacing w:after="0" w:line="240" w:lineRule="auto"/>
              <w:jc w:val="center"/>
              <w:rPr>
                <w:rFonts w:ascii="Arial" w:eastAsia="Times New Roman" w:hAnsi="Arial" w:cs="Arial"/>
                <w:b/>
                <w:bCs/>
                <w:color w:val="000000"/>
              </w:rPr>
            </w:pPr>
            <w:r w:rsidRPr="0001357C">
              <w:rPr>
                <w:rFonts w:ascii="Arial" w:eastAsia="Times New Roman" w:hAnsi="Arial" w:cs="Arial"/>
                <w:b/>
                <w:bCs/>
                <w:color w:val="000000"/>
              </w:rPr>
              <w:t> </w:t>
            </w:r>
          </w:p>
        </w:tc>
        <w:tc>
          <w:tcPr>
            <w:tcW w:w="2363" w:type="dxa"/>
            <w:tcBorders>
              <w:top w:val="nil"/>
              <w:left w:val="nil"/>
              <w:bottom w:val="nil"/>
              <w:right w:val="nil"/>
            </w:tcBorders>
            <w:shd w:val="clear" w:color="000000" w:fill="D9D9D9"/>
            <w:vAlign w:val="center"/>
            <w:hideMark/>
          </w:tcPr>
          <w:p w14:paraId="14AC65A6" w14:textId="77777777" w:rsidR="0001357C" w:rsidRPr="0001357C" w:rsidRDefault="0001357C" w:rsidP="0001357C">
            <w:pPr>
              <w:spacing w:after="0" w:line="240" w:lineRule="auto"/>
              <w:jc w:val="right"/>
              <w:rPr>
                <w:rFonts w:ascii="Arial" w:eastAsia="Times New Roman" w:hAnsi="Arial" w:cs="Arial"/>
                <w:color w:val="000000"/>
              </w:rPr>
            </w:pPr>
            <w:r w:rsidRPr="0001357C">
              <w:rPr>
                <w:rFonts w:ascii="Arial" w:eastAsia="Times New Roman" w:hAnsi="Arial" w:cs="Arial"/>
                <w:color w:val="000000"/>
              </w:rPr>
              <w:t>Total of Weighted Day Rates (sum of column C) = D</w:t>
            </w:r>
          </w:p>
        </w:tc>
        <w:tc>
          <w:tcPr>
            <w:tcW w:w="2278" w:type="dxa"/>
            <w:tcBorders>
              <w:top w:val="single" w:sz="8" w:space="0" w:color="auto"/>
              <w:left w:val="single" w:sz="8" w:space="0" w:color="auto"/>
              <w:bottom w:val="single" w:sz="8" w:space="0" w:color="auto"/>
              <w:right w:val="single" w:sz="8" w:space="0" w:color="auto"/>
            </w:tcBorders>
            <w:shd w:val="clear" w:color="auto" w:fill="auto"/>
            <w:vAlign w:val="center"/>
          </w:tcPr>
          <w:p w14:paraId="34C43AE4" w14:textId="1B263902"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410.18</w:t>
            </w:r>
          </w:p>
        </w:tc>
      </w:tr>
    </w:tbl>
    <w:p w14:paraId="70727F9C" w14:textId="77777777" w:rsidR="0001357C" w:rsidRPr="00D85FB3" w:rsidRDefault="0001357C" w:rsidP="00195815">
      <w:pPr>
        <w:spacing w:before="13" w:line="240" w:lineRule="exact"/>
        <w:rPr>
          <w:rFonts w:ascii="Arial" w:hAnsi="Arial" w:cs="Arial"/>
        </w:rPr>
      </w:pPr>
    </w:p>
    <w:p w14:paraId="585C3FF5" w14:textId="42E91310" w:rsidR="0001357C" w:rsidRPr="00D85FB3" w:rsidRDefault="0001357C" w:rsidP="0001357C">
      <w:pPr>
        <w:pStyle w:val="ListParagraph"/>
        <w:numPr>
          <w:ilvl w:val="1"/>
          <w:numId w:val="5"/>
        </w:numPr>
        <w:rPr>
          <w:rFonts w:cs="Arial"/>
          <w:b/>
          <w:sz w:val="22"/>
          <w:szCs w:val="22"/>
        </w:rPr>
      </w:pPr>
      <w:r w:rsidRPr="00D85FB3">
        <w:rPr>
          <w:rFonts w:cs="Arial"/>
          <w:b/>
          <w:sz w:val="22"/>
          <w:szCs w:val="22"/>
        </w:rPr>
        <w:t>Pricing Matrix - example submitted by Potential Provider B</w:t>
      </w:r>
    </w:p>
    <w:tbl>
      <w:tblPr>
        <w:tblW w:w="10009" w:type="dxa"/>
        <w:tblLook w:val="04A0" w:firstRow="1" w:lastRow="0" w:firstColumn="1" w:lastColumn="0" w:noHBand="0" w:noVBand="1"/>
      </w:tblPr>
      <w:tblGrid>
        <w:gridCol w:w="3374"/>
        <w:gridCol w:w="2013"/>
        <w:gridCol w:w="2353"/>
        <w:gridCol w:w="2269"/>
      </w:tblGrid>
      <w:tr w:rsidR="0001357C" w:rsidRPr="0001357C" w14:paraId="647E3BBB" w14:textId="77777777" w:rsidTr="0001357C">
        <w:trPr>
          <w:trHeight w:val="1039"/>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D536A"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Position / Role</w:t>
            </w:r>
          </w:p>
        </w:tc>
        <w:tc>
          <w:tcPr>
            <w:tcW w:w="2013" w:type="dxa"/>
            <w:tcBorders>
              <w:top w:val="single" w:sz="4" w:space="0" w:color="auto"/>
              <w:left w:val="nil"/>
              <w:bottom w:val="nil"/>
              <w:right w:val="single" w:sz="4" w:space="0" w:color="auto"/>
            </w:tcBorders>
            <w:shd w:val="clear" w:color="auto" w:fill="auto"/>
            <w:vAlign w:val="center"/>
            <w:hideMark/>
          </w:tcPr>
          <w:p w14:paraId="11C603A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Day Rate (£)   </w:t>
            </w:r>
            <w:r w:rsidRPr="0001357C">
              <w:rPr>
                <w:rFonts w:ascii="Arial" w:eastAsia="Times New Roman" w:hAnsi="Arial" w:cs="Arial"/>
                <w:color w:val="000000"/>
              </w:rPr>
              <w:br/>
              <w:t>(A)</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14:paraId="74868743"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Weighting </w:t>
            </w:r>
            <w:r w:rsidRPr="0001357C">
              <w:rPr>
                <w:rFonts w:ascii="Arial" w:eastAsia="Times New Roman" w:hAnsi="Arial" w:cs="Arial"/>
                <w:color w:val="000000"/>
              </w:rPr>
              <w:br/>
              <w:t xml:space="preserve">(B)    </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680009A0"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Weighted</w:t>
            </w:r>
            <w:r w:rsidRPr="0001357C">
              <w:rPr>
                <w:rFonts w:ascii="Arial" w:eastAsia="Times New Roman" w:hAnsi="Arial" w:cs="Arial"/>
                <w:color w:val="000000"/>
              </w:rPr>
              <w:br/>
              <w:t>Day Rate</w:t>
            </w:r>
            <w:r w:rsidRPr="0001357C">
              <w:rPr>
                <w:rFonts w:ascii="Arial" w:eastAsia="Times New Roman" w:hAnsi="Arial" w:cs="Arial"/>
                <w:color w:val="000000"/>
              </w:rPr>
              <w:br/>
              <w:t xml:space="preserve">(£ </w:t>
            </w:r>
            <w:proofErr w:type="spellStart"/>
            <w:r w:rsidRPr="0001357C">
              <w:rPr>
                <w:rFonts w:ascii="Arial" w:eastAsia="Times New Roman" w:hAnsi="Arial" w:cs="Arial"/>
                <w:color w:val="000000"/>
              </w:rPr>
              <w:t>exc</w:t>
            </w:r>
            <w:proofErr w:type="spellEnd"/>
            <w:r w:rsidRPr="0001357C">
              <w:rPr>
                <w:rFonts w:ascii="Arial" w:eastAsia="Times New Roman" w:hAnsi="Arial" w:cs="Arial"/>
                <w:color w:val="000000"/>
              </w:rPr>
              <w:t xml:space="preserve"> VAT)  </w:t>
            </w:r>
            <w:r w:rsidRPr="0001357C">
              <w:rPr>
                <w:rFonts w:ascii="Arial" w:eastAsia="Times New Roman" w:hAnsi="Arial" w:cs="Arial"/>
                <w:color w:val="000000"/>
              </w:rPr>
              <w:br/>
              <w:t>(C)</w:t>
            </w:r>
            <w:r w:rsidRPr="0001357C">
              <w:rPr>
                <w:rFonts w:ascii="Arial" w:eastAsia="Times New Roman" w:hAnsi="Arial" w:cs="Arial"/>
                <w:color w:val="000000"/>
              </w:rPr>
              <w:br/>
              <w:t>(C = A x B)</w:t>
            </w:r>
          </w:p>
        </w:tc>
      </w:tr>
      <w:tr w:rsidR="0001357C" w:rsidRPr="0001357C" w14:paraId="68A9BA55" w14:textId="77777777" w:rsidTr="0001357C">
        <w:trPr>
          <w:trHeight w:val="452"/>
        </w:trPr>
        <w:tc>
          <w:tcPr>
            <w:tcW w:w="3374" w:type="dxa"/>
            <w:tcBorders>
              <w:top w:val="nil"/>
              <w:left w:val="single" w:sz="4" w:space="0" w:color="auto"/>
              <w:bottom w:val="single" w:sz="4" w:space="0" w:color="auto"/>
              <w:right w:val="nil"/>
            </w:tcBorders>
            <w:shd w:val="clear" w:color="auto" w:fill="auto"/>
            <w:vAlign w:val="center"/>
            <w:hideMark/>
          </w:tcPr>
          <w:p w14:paraId="59C6516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Director / Partner </w:t>
            </w:r>
          </w:p>
        </w:tc>
        <w:tc>
          <w:tcPr>
            <w:tcW w:w="2013" w:type="dxa"/>
            <w:tcBorders>
              <w:top w:val="single" w:sz="8" w:space="0" w:color="auto"/>
              <w:left w:val="single" w:sz="8" w:space="0" w:color="auto"/>
              <w:bottom w:val="single" w:sz="4" w:space="0" w:color="auto"/>
              <w:right w:val="single" w:sz="8" w:space="0" w:color="auto"/>
            </w:tcBorders>
            <w:shd w:val="clear" w:color="000000" w:fill="BDD7EE"/>
            <w:vAlign w:val="center"/>
            <w:hideMark/>
          </w:tcPr>
          <w:p w14:paraId="282D6F14" w14:textId="19BD3FA2"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£800</w:t>
            </w:r>
            <w:r w:rsidR="00413101">
              <w:rPr>
                <w:rFonts w:ascii="Arial" w:eastAsia="Times New Roman" w:hAnsi="Arial" w:cs="Arial"/>
                <w:color w:val="000000"/>
              </w:rPr>
              <w:t>.00</w:t>
            </w:r>
          </w:p>
        </w:tc>
        <w:tc>
          <w:tcPr>
            <w:tcW w:w="2353" w:type="dxa"/>
            <w:tcBorders>
              <w:top w:val="nil"/>
              <w:left w:val="nil"/>
              <w:bottom w:val="single" w:sz="4" w:space="0" w:color="auto"/>
              <w:right w:val="single" w:sz="4" w:space="0" w:color="auto"/>
            </w:tcBorders>
            <w:shd w:val="clear" w:color="auto" w:fill="auto"/>
            <w:vAlign w:val="center"/>
            <w:hideMark/>
          </w:tcPr>
          <w:p w14:paraId="720B0E81"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69" w:type="dxa"/>
            <w:tcBorders>
              <w:top w:val="nil"/>
              <w:left w:val="nil"/>
              <w:bottom w:val="single" w:sz="4" w:space="0" w:color="auto"/>
              <w:right w:val="single" w:sz="4" w:space="0" w:color="auto"/>
            </w:tcBorders>
            <w:shd w:val="clear" w:color="auto" w:fill="auto"/>
            <w:vAlign w:val="center"/>
            <w:hideMark/>
          </w:tcPr>
          <w:p w14:paraId="2D386C91" w14:textId="6AC6D186"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£40</w:t>
            </w:r>
            <w:r w:rsidR="00413101">
              <w:rPr>
                <w:rFonts w:ascii="Arial" w:eastAsia="Times New Roman" w:hAnsi="Arial" w:cs="Arial"/>
                <w:color w:val="000000"/>
              </w:rPr>
              <w:t>.00</w:t>
            </w:r>
          </w:p>
        </w:tc>
      </w:tr>
      <w:tr w:rsidR="0001357C" w:rsidRPr="0001357C" w14:paraId="7F2D92E6" w14:textId="77777777" w:rsidTr="0001357C">
        <w:trPr>
          <w:trHeight w:val="452"/>
        </w:trPr>
        <w:tc>
          <w:tcPr>
            <w:tcW w:w="3374" w:type="dxa"/>
            <w:tcBorders>
              <w:top w:val="nil"/>
              <w:left w:val="single" w:sz="4" w:space="0" w:color="auto"/>
              <w:bottom w:val="single" w:sz="4" w:space="0" w:color="auto"/>
              <w:right w:val="nil"/>
            </w:tcBorders>
            <w:shd w:val="clear" w:color="auto" w:fill="auto"/>
            <w:vAlign w:val="center"/>
            <w:hideMark/>
          </w:tcPr>
          <w:p w14:paraId="525E4FE8"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Managing Consultant / Accountant / Auditor </w:t>
            </w:r>
          </w:p>
        </w:tc>
        <w:tc>
          <w:tcPr>
            <w:tcW w:w="2013" w:type="dxa"/>
            <w:tcBorders>
              <w:top w:val="nil"/>
              <w:left w:val="single" w:sz="8" w:space="0" w:color="auto"/>
              <w:bottom w:val="single" w:sz="4" w:space="0" w:color="auto"/>
              <w:right w:val="single" w:sz="8" w:space="0" w:color="auto"/>
            </w:tcBorders>
            <w:shd w:val="clear" w:color="000000" w:fill="BDD7EE"/>
            <w:noWrap/>
            <w:vAlign w:val="center"/>
            <w:hideMark/>
          </w:tcPr>
          <w:p w14:paraId="072C48E2" w14:textId="0C3EDF21"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£600</w:t>
            </w:r>
            <w:r w:rsidR="00413101">
              <w:rPr>
                <w:rFonts w:ascii="Arial" w:eastAsia="Times New Roman" w:hAnsi="Arial" w:cs="Arial"/>
                <w:color w:val="000000"/>
              </w:rPr>
              <w:t>.00</w:t>
            </w:r>
          </w:p>
        </w:tc>
        <w:tc>
          <w:tcPr>
            <w:tcW w:w="2353" w:type="dxa"/>
            <w:tcBorders>
              <w:top w:val="nil"/>
              <w:left w:val="nil"/>
              <w:bottom w:val="single" w:sz="4" w:space="0" w:color="auto"/>
              <w:right w:val="single" w:sz="4" w:space="0" w:color="auto"/>
            </w:tcBorders>
            <w:shd w:val="clear" w:color="auto" w:fill="auto"/>
            <w:noWrap/>
            <w:vAlign w:val="center"/>
            <w:hideMark/>
          </w:tcPr>
          <w:p w14:paraId="48F4B229"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69" w:type="dxa"/>
            <w:tcBorders>
              <w:top w:val="nil"/>
              <w:left w:val="nil"/>
              <w:bottom w:val="single" w:sz="4" w:space="0" w:color="auto"/>
              <w:right w:val="single" w:sz="4" w:space="0" w:color="auto"/>
            </w:tcBorders>
            <w:shd w:val="clear" w:color="auto" w:fill="auto"/>
            <w:vAlign w:val="center"/>
            <w:hideMark/>
          </w:tcPr>
          <w:p w14:paraId="6E63A13D" w14:textId="6860E92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£30</w:t>
            </w:r>
            <w:r w:rsidR="00413101">
              <w:rPr>
                <w:rFonts w:ascii="Arial" w:eastAsia="Times New Roman" w:hAnsi="Arial" w:cs="Arial"/>
                <w:color w:val="000000"/>
              </w:rPr>
              <w:t>.00</w:t>
            </w:r>
          </w:p>
        </w:tc>
      </w:tr>
      <w:tr w:rsidR="0001357C" w:rsidRPr="0001357C" w14:paraId="62CBF1D7" w14:textId="77777777" w:rsidTr="0001357C">
        <w:trPr>
          <w:trHeight w:val="452"/>
        </w:trPr>
        <w:tc>
          <w:tcPr>
            <w:tcW w:w="3374" w:type="dxa"/>
            <w:tcBorders>
              <w:top w:val="nil"/>
              <w:left w:val="single" w:sz="4" w:space="0" w:color="auto"/>
              <w:bottom w:val="single" w:sz="4" w:space="0" w:color="auto"/>
              <w:right w:val="nil"/>
            </w:tcBorders>
            <w:shd w:val="clear" w:color="auto" w:fill="auto"/>
            <w:vAlign w:val="center"/>
            <w:hideMark/>
          </w:tcPr>
          <w:p w14:paraId="12697792"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Principal Consultant / Accountant / Auditor </w:t>
            </w:r>
          </w:p>
        </w:tc>
        <w:tc>
          <w:tcPr>
            <w:tcW w:w="2013" w:type="dxa"/>
            <w:tcBorders>
              <w:top w:val="nil"/>
              <w:left w:val="single" w:sz="8" w:space="0" w:color="auto"/>
              <w:bottom w:val="single" w:sz="4" w:space="0" w:color="auto"/>
              <w:right w:val="single" w:sz="8" w:space="0" w:color="auto"/>
            </w:tcBorders>
            <w:shd w:val="clear" w:color="000000" w:fill="BDD7EE"/>
            <w:noWrap/>
            <w:vAlign w:val="center"/>
            <w:hideMark/>
          </w:tcPr>
          <w:p w14:paraId="731CD2CF" w14:textId="6302AE15"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£400</w:t>
            </w:r>
            <w:r w:rsidR="00413101">
              <w:rPr>
                <w:rFonts w:ascii="Arial" w:eastAsia="Times New Roman" w:hAnsi="Arial" w:cs="Arial"/>
                <w:color w:val="000000"/>
              </w:rPr>
              <w:t>.00</w:t>
            </w:r>
          </w:p>
        </w:tc>
        <w:tc>
          <w:tcPr>
            <w:tcW w:w="2353" w:type="dxa"/>
            <w:tcBorders>
              <w:top w:val="nil"/>
              <w:left w:val="nil"/>
              <w:bottom w:val="single" w:sz="4" w:space="0" w:color="auto"/>
              <w:right w:val="single" w:sz="4" w:space="0" w:color="auto"/>
            </w:tcBorders>
            <w:shd w:val="clear" w:color="auto" w:fill="auto"/>
            <w:noWrap/>
            <w:vAlign w:val="center"/>
            <w:hideMark/>
          </w:tcPr>
          <w:p w14:paraId="33D046F0"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20%</w:t>
            </w:r>
          </w:p>
        </w:tc>
        <w:tc>
          <w:tcPr>
            <w:tcW w:w="2269" w:type="dxa"/>
            <w:tcBorders>
              <w:top w:val="nil"/>
              <w:left w:val="nil"/>
              <w:bottom w:val="single" w:sz="4" w:space="0" w:color="auto"/>
              <w:right w:val="single" w:sz="4" w:space="0" w:color="auto"/>
            </w:tcBorders>
            <w:shd w:val="clear" w:color="auto" w:fill="auto"/>
            <w:vAlign w:val="center"/>
            <w:hideMark/>
          </w:tcPr>
          <w:p w14:paraId="583E22DA" w14:textId="68DD7786"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£80</w:t>
            </w:r>
            <w:r w:rsidR="00413101">
              <w:rPr>
                <w:rFonts w:ascii="Arial" w:eastAsia="Times New Roman" w:hAnsi="Arial" w:cs="Arial"/>
                <w:color w:val="000000"/>
              </w:rPr>
              <w:t>.00</w:t>
            </w:r>
          </w:p>
        </w:tc>
      </w:tr>
      <w:tr w:rsidR="0001357C" w:rsidRPr="0001357C" w14:paraId="6945A5DA" w14:textId="77777777" w:rsidTr="0001357C">
        <w:trPr>
          <w:trHeight w:val="452"/>
        </w:trPr>
        <w:tc>
          <w:tcPr>
            <w:tcW w:w="3374" w:type="dxa"/>
            <w:tcBorders>
              <w:top w:val="nil"/>
              <w:left w:val="single" w:sz="4" w:space="0" w:color="auto"/>
              <w:bottom w:val="single" w:sz="4" w:space="0" w:color="auto"/>
              <w:right w:val="nil"/>
            </w:tcBorders>
            <w:shd w:val="clear" w:color="auto" w:fill="auto"/>
            <w:vAlign w:val="center"/>
            <w:hideMark/>
          </w:tcPr>
          <w:p w14:paraId="4509AD7B"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Senior Consultant / Accountant / Auditor</w:t>
            </w:r>
          </w:p>
        </w:tc>
        <w:tc>
          <w:tcPr>
            <w:tcW w:w="2013" w:type="dxa"/>
            <w:tcBorders>
              <w:top w:val="nil"/>
              <w:left w:val="single" w:sz="8" w:space="0" w:color="auto"/>
              <w:bottom w:val="single" w:sz="4" w:space="0" w:color="auto"/>
              <w:right w:val="single" w:sz="8" w:space="0" w:color="auto"/>
            </w:tcBorders>
            <w:shd w:val="clear" w:color="000000" w:fill="BDD7EE"/>
            <w:noWrap/>
            <w:vAlign w:val="center"/>
            <w:hideMark/>
          </w:tcPr>
          <w:p w14:paraId="1F512280" w14:textId="78DD4533"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£300</w:t>
            </w:r>
            <w:r w:rsidR="00413101">
              <w:rPr>
                <w:rFonts w:ascii="Arial" w:eastAsia="Times New Roman" w:hAnsi="Arial" w:cs="Arial"/>
                <w:color w:val="000000"/>
              </w:rPr>
              <w:t>.00</w:t>
            </w:r>
          </w:p>
        </w:tc>
        <w:tc>
          <w:tcPr>
            <w:tcW w:w="2353" w:type="dxa"/>
            <w:tcBorders>
              <w:top w:val="nil"/>
              <w:left w:val="nil"/>
              <w:bottom w:val="single" w:sz="4" w:space="0" w:color="auto"/>
              <w:right w:val="single" w:sz="4" w:space="0" w:color="auto"/>
            </w:tcBorders>
            <w:shd w:val="clear" w:color="auto" w:fill="auto"/>
            <w:noWrap/>
            <w:vAlign w:val="center"/>
            <w:hideMark/>
          </w:tcPr>
          <w:p w14:paraId="06A541AD"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50%</w:t>
            </w:r>
          </w:p>
        </w:tc>
        <w:tc>
          <w:tcPr>
            <w:tcW w:w="2269" w:type="dxa"/>
            <w:tcBorders>
              <w:top w:val="nil"/>
              <w:left w:val="nil"/>
              <w:bottom w:val="single" w:sz="4" w:space="0" w:color="auto"/>
              <w:right w:val="single" w:sz="4" w:space="0" w:color="auto"/>
            </w:tcBorders>
            <w:shd w:val="clear" w:color="auto" w:fill="auto"/>
            <w:vAlign w:val="center"/>
            <w:hideMark/>
          </w:tcPr>
          <w:p w14:paraId="0CD52DAB" w14:textId="133F4146"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£150</w:t>
            </w:r>
            <w:r w:rsidR="00413101">
              <w:rPr>
                <w:rFonts w:ascii="Arial" w:eastAsia="Times New Roman" w:hAnsi="Arial" w:cs="Arial"/>
                <w:color w:val="000000"/>
              </w:rPr>
              <w:t>.00</w:t>
            </w:r>
          </w:p>
        </w:tc>
      </w:tr>
      <w:tr w:rsidR="0001357C" w:rsidRPr="0001357C" w14:paraId="32AD54D0" w14:textId="77777777" w:rsidTr="0001357C">
        <w:trPr>
          <w:trHeight w:val="452"/>
        </w:trPr>
        <w:tc>
          <w:tcPr>
            <w:tcW w:w="3374" w:type="dxa"/>
            <w:tcBorders>
              <w:top w:val="nil"/>
              <w:left w:val="single" w:sz="4" w:space="0" w:color="auto"/>
              <w:bottom w:val="single" w:sz="4" w:space="0" w:color="auto"/>
              <w:right w:val="nil"/>
            </w:tcBorders>
            <w:shd w:val="clear" w:color="auto" w:fill="auto"/>
            <w:vAlign w:val="center"/>
            <w:hideMark/>
          </w:tcPr>
          <w:p w14:paraId="2FF886E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Consultant / Accountant / Auditor</w:t>
            </w:r>
          </w:p>
        </w:tc>
        <w:tc>
          <w:tcPr>
            <w:tcW w:w="2013" w:type="dxa"/>
            <w:tcBorders>
              <w:top w:val="nil"/>
              <w:left w:val="single" w:sz="8" w:space="0" w:color="auto"/>
              <w:bottom w:val="single" w:sz="4" w:space="0" w:color="auto"/>
              <w:right w:val="single" w:sz="8" w:space="0" w:color="auto"/>
            </w:tcBorders>
            <w:shd w:val="clear" w:color="000000" w:fill="BDD7EE"/>
            <w:noWrap/>
            <w:vAlign w:val="center"/>
            <w:hideMark/>
          </w:tcPr>
          <w:p w14:paraId="6C5BCBD7" w14:textId="5BB4B31B"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£200</w:t>
            </w:r>
            <w:r w:rsidR="00413101">
              <w:rPr>
                <w:rFonts w:ascii="Arial" w:eastAsia="Times New Roman" w:hAnsi="Arial" w:cs="Arial"/>
                <w:color w:val="000000"/>
              </w:rPr>
              <w:t>.00</w:t>
            </w:r>
          </w:p>
        </w:tc>
        <w:tc>
          <w:tcPr>
            <w:tcW w:w="2353" w:type="dxa"/>
            <w:tcBorders>
              <w:top w:val="nil"/>
              <w:left w:val="nil"/>
              <w:bottom w:val="single" w:sz="4" w:space="0" w:color="auto"/>
              <w:right w:val="single" w:sz="4" w:space="0" w:color="auto"/>
            </w:tcBorders>
            <w:shd w:val="clear" w:color="auto" w:fill="auto"/>
            <w:noWrap/>
            <w:vAlign w:val="center"/>
            <w:hideMark/>
          </w:tcPr>
          <w:p w14:paraId="18A7F058"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15%</w:t>
            </w:r>
          </w:p>
        </w:tc>
        <w:tc>
          <w:tcPr>
            <w:tcW w:w="2269" w:type="dxa"/>
            <w:tcBorders>
              <w:top w:val="nil"/>
              <w:left w:val="nil"/>
              <w:bottom w:val="single" w:sz="4" w:space="0" w:color="auto"/>
              <w:right w:val="single" w:sz="4" w:space="0" w:color="auto"/>
            </w:tcBorders>
            <w:shd w:val="clear" w:color="auto" w:fill="auto"/>
            <w:vAlign w:val="center"/>
            <w:hideMark/>
          </w:tcPr>
          <w:p w14:paraId="7DBC0F8B" w14:textId="7CB7DBFD"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£30</w:t>
            </w:r>
            <w:r w:rsidR="00413101">
              <w:rPr>
                <w:rFonts w:ascii="Arial" w:eastAsia="Times New Roman" w:hAnsi="Arial" w:cs="Arial"/>
                <w:color w:val="000000"/>
              </w:rPr>
              <w:t>.00</w:t>
            </w:r>
          </w:p>
        </w:tc>
      </w:tr>
      <w:tr w:rsidR="0001357C" w:rsidRPr="0001357C" w14:paraId="424514F5" w14:textId="77777777" w:rsidTr="0001357C">
        <w:trPr>
          <w:trHeight w:val="452"/>
        </w:trPr>
        <w:tc>
          <w:tcPr>
            <w:tcW w:w="3374" w:type="dxa"/>
            <w:tcBorders>
              <w:top w:val="nil"/>
              <w:left w:val="single" w:sz="4" w:space="0" w:color="auto"/>
              <w:bottom w:val="single" w:sz="4" w:space="0" w:color="auto"/>
              <w:right w:val="nil"/>
            </w:tcBorders>
            <w:shd w:val="clear" w:color="auto" w:fill="auto"/>
            <w:vAlign w:val="center"/>
            <w:hideMark/>
          </w:tcPr>
          <w:p w14:paraId="3E9B7938"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Junior Consultant / Accountant / Auditor</w:t>
            </w:r>
          </w:p>
        </w:tc>
        <w:tc>
          <w:tcPr>
            <w:tcW w:w="2013" w:type="dxa"/>
            <w:tcBorders>
              <w:top w:val="nil"/>
              <w:left w:val="single" w:sz="8" w:space="0" w:color="auto"/>
              <w:bottom w:val="single" w:sz="4" w:space="0" w:color="auto"/>
              <w:right w:val="single" w:sz="8" w:space="0" w:color="auto"/>
            </w:tcBorders>
            <w:shd w:val="clear" w:color="000000" w:fill="BDD7EE"/>
            <w:noWrap/>
            <w:vAlign w:val="center"/>
            <w:hideMark/>
          </w:tcPr>
          <w:p w14:paraId="6D862206" w14:textId="3E47FD22"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£100</w:t>
            </w:r>
            <w:r w:rsidR="00413101">
              <w:rPr>
                <w:rFonts w:ascii="Arial" w:eastAsia="Times New Roman" w:hAnsi="Arial" w:cs="Arial"/>
                <w:color w:val="000000"/>
              </w:rPr>
              <w:t>.00</w:t>
            </w:r>
          </w:p>
        </w:tc>
        <w:tc>
          <w:tcPr>
            <w:tcW w:w="2353" w:type="dxa"/>
            <w:tcBorders>
              <w:top w:val="nil"/>
              <w:left w:val="nil"/>
              <w:bottom w:val="single" w:sz="4" w:space="0" w:color="auto"/>
              <w:right w:val="single" w:sz="4" w:space="0" w:color="auto"/>
            </w:tcBorders>
            <w:shd w:val="clear" w:color="auto" w:fill="auto"/>
            <w:noWrap/>
            <w:vAlign w:val="center"/>
            <w:hideMark/>
          </w:tcPr>
          <w:p w14:paraId="4DD4215C"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69" w:type="dxa"/>
            <w:tcBorders>
              <w:top w:val="nil"/>
              <w:left w:val="nil"/>
              <w:bottom w:val="single" w:sz="4" w:space="0" w:color="auto"/>
              <w:right w:val="single" w:sz="4" w:space="0" w:color="auto"/>
            </w:tcBorders>
            <w:shd w:val="clear" w:color="auto" w:fill="auto"/>
            <w:vAlign w:val="center"/>
            <w:hideMark/>
          </w:tcPr>
          <w:p w14:paraId="5E10B6E3" w14:textId="347F76A4"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r w:rsidR="00413101">
              <w:rPr>
                <w:rFonts w:ascii="Arial" w:eastAsia="Times New Roman" w:hAnsi="Arial" w:cs="Arial"/>
                <w:color w:val="000000"/>
              </w:rPr>
              <w:t>.00</w:t>
            </w:r>
          </w:p>
        </w:tc>
      </w:tr>
      <w:tr w:rsidR="0001357C" w:rsidRPr="0001357C" w14:paraId="137FA138" w14:textId="77777777" w:rsidTr="0001357C">
        <w:trPr>
          <w:trHeight w:val="419"/>
        </w:trPr>
        <w:tc>
          <w:tcPr>
            <w:tcW w:w="3374" w:type="dxa"/>
            <w:tcBorders>
              <w:top w:val="nil"/>
              <w:left w:val="nil"/>
              <w:bottom w:val="nil"/>
              <w:right w:val="nil"/>
            </w:tcBorders>
            <w:shd w:val="clear" w:color="000000" w:fill="D9D9D9"/>
            <w:noWrap/>
            <w:vAlign w:val="bottom"/>
            <w:hideMark/>
          </w:tcPr>
          <w:p w14:paraId="6F41C375" w14:textId="77777777" w:rsidR="0001357C" w:rsidRPr="0001357C" w:rsidRDefault="0001357C" w:rsidP="0001357C">
            <w:pPr>
              <w:spacing w:after="0" w:line="240" w:lineRule="auto"/>
              <w:rPr>
                <w:rFonts w:ascii="Arial" w:eastAsia="Times New Roman" w:hAnsi="Arial" w:cs="Arial"/>
                <w:color w:val="000000"/>
              </w:rPr>
            </w:pPr>
            <w:r w:rsidRPr="0001357C">
              <w:rPr>
                <w:rFonts w:ascii="Arial" w:eastAsia="Times New Roman" w:hAnsi="Arial" w:cs="Arial"/>
                <w:color w:val="000000"/>
              </w:rPr>
              <w:t> </w:t>
            </w:r>
          </w:p>
        </w:tc>
        <w:tc>
          <w:tcPr>
            <w:tcW w:w="2013" w:type="dxa"/>
            <w:tcBorders>
              <w:top w:val="nil"/>
              <w:left w:val="nil"/>
              <w:bottom w:val="nil"/>
              <w:right w:val="nil"/>
            </w:tcBorders>
            <w:shd w:val="clear" w:color="000000" w:fill="D9D9D9"/>
            <w:vAlign w:val="center"/>
            <w:hideMark/>
          </w:tcPr>
          <w:p w14:paraId="48F45225" w14:textId="77777777" w:rsidR="0001357C" w:rsidRPr="0001357C" w:rsidRDefault="0001357C" w:rsidP="0001357C">
            <w:pPr>
              <w:spacing w:after="0" w:line="240" w:lineRule="auto"/>
              <w:jc w:val="center"/>
              <w:rPr>
                <w:rFonts w:ascii="Arial" w:eastAsia="Times New Roman" w:hAnsi="Arial" w:cs="Arial"/>
                <w:b/>
                <w:bCs/>
                <w:color w:val="000000"/>
              </w:rPr>
            </w:pPr>
            <w:r w:rsidRPr="0001357C">
              <w:rPr>
                <w:rFonts w:ascii="Arial" w:eastAsia="Times New Roman" w:hAnsi="Arial" w:cs="Arial"/>
                <w:b/>
                <w:bCs/>
                <w:color w:val="000000"/>
              </w:rPr>
              <w:t> </w:t>
            </w:r>
          </w:p>
        </w:tc>
        <w:tc>
          <w:tcPr>
            <w:tcW w:w="2353" w:type="dxa"/>
            <w:tcBorders>
              <w:top w:val="nil"/>
              <w:left w:val="nil"/>
              <w:bottom w:val="nil"/>
              <w:right w:val="nil"/>
            </w:tcBorders>
            <w:shd w:val="clear" w:color="000000" w:fill="D9D9D9"/>
            <w:vAlign w:val="center"/>
            <w:hideMark/>
          </w:tcPr>
          <w:p w14:paraId="60002BFB" w14:textId="77777777" w:rsidR="0001357C" w:rsidRPr="0001357C" w:rsidRDefault="0001357C" w:rsidP="0001357C">
            <w:pPr>
              <w:spacing w:after="0" w:line="240" w:lineRule="auto"/>
              <w:jc w:val="right"/>
              <w:rPr>
                <w:rFonts w:ascii="Arial" w:eastAsia="Times New Roman" w:hAnsi="Arial" w:cs="Arial"/>
                <w:color w:val="000000"/>
              </w:rPr>
            </w:pPr>
            <w:r w:rsidRPr="0001357C">
              <w:rPr>
                <w:rFonts w:ascii="Arial" w:eastAsia="Times New Roman" w:hAnsi="Arial" w:cs="Arial"/>
                <w:color w:val="000000"/>
              </w:rPr>
              <w:t>Total of Weighted Day Rates (sum of column C) = D</w:t>
            </w:r>
          </w:p>
        </w:tc>
        <w:tc>
          <w:tcPr>
            <w:tcW w:w="22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A43486" w14:textId="5EB9DBC5"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£335</w:t>
            </w:r>
            <w:r w:rsidR="00FB5E4D">
              <w:rPr>
                <w:rFonts w:ascii="Arial" w:eastAsia="Times New Roman" w:hAnsi="Arial" w:cs="Arial"/>
                <w:color w:val="000000"/>
              </w:rPr>
              <w:t>.00</w:t>
            </w:r>
          </w:p>
        </w:tc>
      </w:tr>
    </w:tbl>
    <w:p w14:paraId="079F9C57" w14:textId="22589F17" w:rsidR="0001357C" w:rsidRPr="00D85FB3" w:rsidRDefault="0001357C" w:rsidP="0001357C">
      <w:pPr>
        <w:pStyle w:val="ListParagraph"/>
        <w:rPr>
          <w:rFonts w:cs="Arial"/>
          <w:sz w:val="22"/>
          <w:szCs w:val="22"/>
        </w:rPr>
      </w:pPr>
      <w:r w:rsidRPr="00D85FB3">
        <w:rPr>
          <w:rFonts w:cs="Arial"/>
          <w:sz w:val="22"/>
          <w:szCs w:val="22"/>
        </w:rPr>
        <w:lastRenderedPageBreak/>
        <w:t xml:space="preserve"> </w:t>
      </w:r>
    </w:p>
    <w:p w14:paraId="61295175" w14:textId="77777777" w:rsidR="0001357C" w:rsidRPr="00D85FB3" w:rsidRDefault="0001357C" w:rsidP="00195815">
      <w:pPr>
        <w:spacing w:before="13" w:line="240" w:lineRule="exact"/>
        <w:rPr>
          <w:rFonts w:ascii="Arial" w:hAnsi="Arial" w:cs="Arial"/>
        </w:rPr>
      </w:pPr>
    </w:p>
    <w:p w14:paraId="6D5F3EFA" w14:textId="77656817" w:rsidR="0001357C" w:rsidRPr="00D85FB3" w:rsidRDefault="0001357C" w:rsidP="0001357C">
      <w:pPr>
        <w:pStyle w:val="ListParagraph"/>
        <w:numPr>
          <w:ilvl w:val="1"/>
          <w:numId w:val="5"/>
        </w:numPr>
        <w:rPr>
          <w:rFonts w:cs="Arial"/>
          <w:b/>
          <w:sz w:val="22"/>
          <w:szCs w:val="22"/>
        </w:rPr>
      </w:pPr>
      <w:r w:rsidRPr="00D85FB3">
        <w:rPr>
          <w:rFonts w:cs="Arial"/>
          <w:b/>
          <w:sz w:val="22"/>
          <w:szCs w:val="22"/>
        </w:rPr>
        <w:t>Pricing Matrix - example submitted by Potential Provider C</w:t>
      </w:r>
    </w:p>
    <w:tbl>
      <w:tblPr>
        <w:tblW w:w="10139" w:type="dxa"/>
        <w:tblLook w:val="04A0" w:firstRow="1" w:lastRow="0" w:firstColumn="1" w:lastColumn="0" w:noHBand="0" w:noVBand="1"/>
      </w:tblPr>
      <w:tblGrid>
        <w:gridCol w:w="3418"/>
        <w:gridCol w:w="2039"/>
        <w:gridCol w:w="2384"/>
        <w:gridCol w:w="2298"/>
      </w:tblGrid>
      <w:tr w:rsidR="0001357C" w:rsidRPr="0001357C" w14:paraId="740E0C03" w14:textId="77777777" w:rsidTr="0001357C">
        <w:trPr>
          <w:trHeight w:val="1054"/>
        </w:trPr>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EFE19"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Position / Role</w:t>
            </w:r>
          </w:p>
        </w:tc>
        <w:tc>
          <w:tcPr>
            <w:tcW w:w="2039" w:type="dxa"/>
            <w:tcBorders>
              <w:top w:val="single" w:sz="4" w:space="0" w:color="auto"/>
              <w:left w:val="nil"/>
              <w:bottom w:val="nil"/>
              <w:right w:val="single" w:sz="4" w:space="0" w:color="auto"/>
            </w:tcBorders>
            <w:shd w:val="clear" w:color="auto" w:fill="auto"/>
            <w:vAlign w:val="center"/>
            <w:hideMark/>
          </w:tcPr>
          <w:p w14:paraId="2126C96B"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Day Rate (£)   </w:t>
            </w:r>
            <w:r w:rsidRPr="0001357C">
              <w:rPr>
                <w:rFonts w:ascii="Arial" w:eastAsia="Times New Roman" w:hAnsi="Arial" w:cs="Arial"/>
                <w:color w:val="000000"/>
              </w:rPr>
              <w:br/>
              <w:t>(A)</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6809DA8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Weighting </w:t>
            </w:r>
            <w:r w:rsidRPr="0001357C">
              <w:rPr>
                <w:rFonts w:ascii="Arial" w:eastAsia="Times New Roman" w:hAnsi="Arial" w:cs="Arial"/>
                <w:color w:val="000000"/>
              </w:rPr>
              <w:br/>
              <w:t xml:space="preserve">(B)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D11198D"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Weighted</w:t>
            </w:r>
            <w:r w:rsidRPr="0001357C">
              <w:rPr>
                <w:rFonts w:ascii="Arial" w:eastAsia="Times New Roman" w:hAnsi="Arial" w:cs="Arial"/>
                <w:color w:val="000000"/>
              </w:rPr>
              <w:br/>
              <w:t>Day Rate</w:t>
            </w:r>
            <w:r w:rsidRPr="0001357C">
              <w:rPr>
                <w:rFonts w:ascii="Arial" w:eastAsia="Times New Roman" w:hAnsi="Arial" w:cs="Arial"/>
                <w:color w:val="000000"/>
              </w:rPr>
              <w:br/>
              <w:t xml:space="preserve">(£ </w:t>
            </w:r>
            <w:proofErr w:type="spellStart"/>
            <w:r w:rsidRPr="0001357C">
              <w:rPr>
                <w:rFonts w:ascii="Arial" w:eastAsia="Times New Roman" w:hAnsi="Arial" w:cs="Arial"/>
                <w:color w:val="000000"/>
              </w:rPr>
              <w:t>exc</w:t>
            </w:r>
            <w:proofErr w:type="spellEnd"/>
            <w:r w:rsidRPr="0001357C">
              <w:rPr>
                <w:rFonts w:ascii="Arial" w:eastAsia="Times New Roman" w:hAnsi="Arial" w:cs="Arial"/>
                <w:color w:val="000000"/>
              </w:rPr>
              <w:t xml:space="preserve"> VAT)  </w:t>
            </w:r>
            <w:r w:rsidRPr="0001357C">
              <w:rPr>
                <w:rFonts w:ascii="Arial" w:eastAsia="Times New Roman" w:hAnsi="Arial" w:cs="Arial"/>
                <w:color w:val="000000"/>
              </w:rPr>
              <w:br/>
              <w:t>(C)</w:t>
            </w:r>
            <w:r w:rsidRPr="0001357C">
              <w:rPr>
                <w:rFonts w:ascii="Arial" w:eastAsia="Times New Roman" w:hAnsi="Arial" w:cs="Arial"/>
                <w:color w:val="000000"/>
              </w:rPr>
              <w:br/>
              <w:t>(C = A x B)</w:t>
            </w:r>
          </w:p>
        </w:tc>
      </w:tr>
      <w:tr w:rsidR="0001357C" w:rsidRPr="0001357C" w14:paraId="577A76DE" w14:textId="77777777" w:rsidTr="00413101">
        <w:trPr>
          <w:trHeight w:val="459"/>
        </w:trPr>
        <w:tc>
          <w:tcPr>
            <w:tcW w:w="3418" w:type="dxa"/>
            <w:tcBorders>
              <w:top w:val="nil"/>
              <w:left w:val="single" w:sz="4" w:space="0" w:color="auto"/>
              <w:bottom w:val="single" w:sz="4" w:space="0" w:color="auto"/>
              <w:right w:val="nil"/>
            </w:tcBorders>
            <w:shd w:val="clear" w:color="auto" w:fill="auto"/>
            <w:vAlign w:val="center"/>
            <w:hideMark/>
          </w:tcPr>
          <w:p w14:paraId="59EFCE77"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Director / Partner </w:t>
            </w:r>
          </w:p>
        </w:tc>
        <w:tc>
          <w:tcPr>
            <w:tcW w:w="2039" w:type="dxa"/>
            <w:tcBorders>
              <w:top w:val="single" w:sz="8" w:space="0" w:color="auto"/>
              <w:left w:val="single" w:sz="8" w:space="0" w:color="auto"/>
              <w:bottom w:val="single" w:sz="4" w:space="0" w:color="auto"/>
              <w:right w:val="single" w:sz="8" w:space="0" w:color="auto"/>
            </w:tcBorders>
            <w:shd w:val="clear" w:color="000000" w:fill="BDD7EE"/>
            <w:vAlign w:val="center"/>
            <w:hideMark/>
          </w:tcPr>
          <w:p w14:paraId="5FD0A357" w14:textId="5C1DB79A" w:rsidR="0001357C" w:rsidRPr="0001357C" w:rsidRDefault="0001357C" w:rsidP="00413101">
            <w:pPr>
              <w:spacing w:after="0" w:line="240" w:lineRule="auto"/>
              <w:jc w:val="center"/>
              <w:rPr>
                <w:rFonts w:ascii="Arial" w:eastAsia="Times New Roman" w:hAnsi="Arial" w:cs="Arial"/>
                <w:color w:val="000000"/>
              </w:rPr>
            </w:pPr>
            <w:r w:rsidRPr="0001357C">
              <w:rPr>
                <w:rFonts w:ascii="Arial" w:eastAsia="Times New Roman" w:hAnsi="Arial" w:cs="Arial"/>
                <w:color w:val="000000"/>
              </w:rPr>
              <w:t>£1,</w:t>
            </w:r>
            <w:r w:rsidR="00413101">
              <w:rPr>
                <w:rFonts w:ascii="Arial" w:eastAsia="Times New Roman" w:hAnsi="Arial" w:cs="Arial"/>
                <w:color w:val="000000"/>
              </w:rPr>
              <w:t>250.50</w:t>
            </w:r>
          </w:p>
        </w:tc>
        <w:tc>
          <w:tcPr>
            <w:tcW w:w="2384" w:type="dxa"/>
            <w:tcBorders>
              <w:top w:val="nil"/>
              <w:left w:val="nil"/>
              <w:bottom w:val="single" w:sz="4" w:space="0" w:color="auto"/>
              <w:right w:val="single" w:sz="4" w:space="0" w:color="auto"/>
            </w:tcBorders>
            <w:shd w:val="clear" w:color="auto" w:fill="auto"/>
            <w:vAlign w:val="center"/>
            <w:hideMark/>
          </w:tcPr>
          <w:p w14:paraId="621720F6"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98" w:type="dxa"/>
            <w:tcBorders>
              <w:top w:val="nil"/>
              <w:left w:val="nil"/>
              <w:bottom w:val="single" w:sz="4" w:space="0" w:color="auto"/>
              <w:right w:val="single" w:sz="4" w:space="0" w:color="auto"/>
            </w:tcBorders>
            <w:shd w:val="clear" w:color="auto" w:fill="auto"/>
            <w:vAlign w:val="center"/>
          </w:tcPr>
          <w:p w14:paraId="2C586DD6" w14:textId="2250F2FA"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62.53</w:t>
            </w:r>
          </w:p>
        </w:tc>
      </w:tr>
      <w:tr w:rsidR="0001357C" w:rsidRPr="0001357C" w14:paraId="04552AF1" w14:textId="77777777" w:rsidTr="00413101">
        <w:trPr>
          <w:trHeight w:val="459"/>
        </w:trPr>
        <w:tc>
          <w:tcPr>
            <w:tcW w:w="3418" w:type="dxa"/>
            <w:tcBorders>
              <w:top w:val="nil"/>
              <w:left w:val="single" w:sz="4" w:space="0" w:color="auto"/>
              <w:bottom w:val="single" w:sz="4" w:space="0" w:color="auto"/>
              <w:right w:val="nil"/>
            </w:tcBorders>
            <w:shd w:val="clear" w:color="auto" w:fill="auto"/>
            <w:vAlign w:val="center"/>
            <w:hideMark/>
          </w:tcPr>
          <w:p w14:paraId="102F1178"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Managing Consultant / Accountant / Auditor </w:t>
            </w:r>
          </w:p>
        </w:tc>
        <w:tc>
          <w:tcPr>
            <w:tcW w:w="2039" w:type="dxa"/>
            <w:tcBorders>
              <w:top w:val="nil"/>
              <w:left w:val="single" w:sz="8" w:space="0" w:color="auto"/>
              <w:bottom w:val="single" w:sz="4" w:space="0" w:color="auto"/>
              <w:right w:val="single" w:sz="8" w:space="0" w:color="auto"/>
            </w:tcBorders>
            <w:shd w:val="clear" w:color="000000" w:fill="BDD7EE"/>
            <w:noWrap/>
            <w:vAlign w:val="center"/>
            <w:hideMark/>
          </w:tcPr>
          <w:p w14:paraId="78BDF4DE" w14:textId="19DE2CCC" w:rsidR="0001357C" w:rsidRPr="0001357C" w:rsidRDefault="00413101" w:rsidP="0001357C">
            <w:pPr>
              <w:spacing w:after="0" w:line="240" w:lineRule="auto"/>
              <w:jc w:val="center"/>
              <w:rPr>
                <w:rFonts w:ascii="Arial" w:eastAsia="Times New Roman" w:hAnsi="Arial" w:cs="Arial"/>
                <w:color w:val="000000"/>
              </w:rPr>
            </w:pPr>
            <w:r>
              <w:rPr>
                <w:rFonts w:ascii="Arial" w:eastAsia="Times New Roman" w:hAnsi="Arial" w:cs="Arial"/>
                <w:color w:val="000000"/>
              </w:rPr>
              <w:t>£840.60</w:t>
            </w:r>
          </w:p>
        </w:tc>
        <w:tc>
          <w:tcPr>
            <w:tcW w:w="2384" w:type="dxa"/>
            <w:tcBorders>
              <w:top w:val="nil"/>
              <w:left w:val="nil"/>
              <w:bottom w:val="single" w:sz="4" w:space="0" w:color="auto"/>
              <w:right w:val="single" w:sz="4" w:space="0" w:color="auto"/>
            </w:tcBorders>
            <w:shd w:val="clear" w:color="auto" w:fill="auto"/>
            <w:noWrap/>
            <w:vAlign w:val="center"/>
            <w:hideMark/>
          </w:tcPr>
          <w:p w14:paraId="2A67E568"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98" w:type="dxa"/>
            <w:tcBorders>
              <w:top w:val="nil"/>
              <w:left w:val="nil"/>
              <w:bottom w:val="single" w:sz="4" w:space="0" w:color="auto"/>
              <w:right w:val="single" w:sz="4" w:space="0" w:color="auto"/>
            </w:tcBorders>
            <w:shd w:val="clear" w:color="auto" w:fill="auto"/>
            <w:vAlign w:val="center"/>
          </w:tcPr>
          <w:p w14:paraId="6ED88AE3" w14:textId="16862DB3"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42.03</w:t>
            </w:r>
          </w:p>
        </w:tc>
      </w:tr>
      <w:tr w:rsidR="0001357C" w:rsidRPr="0001357C" w14:paraId="3A953AFB" w14:textId="77777777" w:rsidTr="00413101">
        <w:trPr>
          <w:trHeight w:val="459"/>
        </w:trPr>
        <w:tc>
          <w:tcPr>
            <w:tcW w:w="3418" w:type="dxa"/>
            <w:tcBorders>
              <w:top w:val="nil"/>
              <w:left w:val="single" w:sz="4" w:space="0" w:color="auto"/>
              <w:bottom w:val="single" w:sz="4" w:space="0" w:color="auto"/>
              <w:right w:val="nil"/>
            </w:tcBorders>
            <w:shd w:val="clear" w:color="auto" w:fill="auto"/>
            <w:vAlign w:val="center"/>
            <w:hideMark/>
          </w:tcPr>
          <w:p w14:paraId="525D186C"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 xml:space="preserve">Principal Consultant / Accountant / Auditor </w:t>
            </w:r>
          </w:p>
        </w:tc>
        <w:tc>
          <w:tcPr>
            <w:tcW w:w="2039" w:type="dxa"/>
            <w:tcBorders>
              <w:top w:val="nil"/>
              <w:left w:val="single" w:sz="8" w:space="0" w:color="auto"/>
              <w:bottom w:val="single" w:sz="4" w:space="0" w:color="auto"/>
              <w:right w:val="single" w:sz="8" w:space="0" w:color="auto"/>
            </w:tcBorders>
            <w:shd w:val="clear" w:color="000000" w:fill="BDD7EE"/>
            <w:noWrap/>
            <w:vAlign w:val="center"/>
            <w:hideMark/>
          </w:tcPr>
          <w:p w14:paraId="587EBBE7" w14:textId="10A6E1ED" w:rsidR="0001357C" w:rsidRPr="0001357C" w:rsidRDefault="00413101" w:rsidP="0001357C">
            <w:pPr>
              <w:spacing w:after="0" w:line="240" w:lineRule="auto"/>
              <w:jc w:val="center"/>
              <w:rPr>
                <w:rFonts w:ascii="Arial" w:eastAsia="Times New Roman" w:hAnsi="Arial" w:cs="Arial"/>
                <w:color w:val="000000"/>
              </w:rPr>
            </w:pPr>
            <w:r>
              <w:rPr>
                <w:rFonts w:ascii="Arial" w:eastAsia="Times New Roman" w:hAnsi="Arial" w:cs="Arial"/>
                <w:color w:val="000000"/>
              </w:rPr>
              <w:t>£675.50</w:t>
            </w:r>
          </w:p>
        </w:tc>
        <w:tc>
          <w:tcPr>
            <w:tcW w:w="2384" w:type="dxa"/>
            <w:tcBorders>
              <w:top w:val="nil"/>
              <w:left w:val="nil"/>
              <w:bottom w:val="single" w:sz="4" w:space="0" w:color="auto"/>
              <w:right w:val="single" w:sz="4" w:space="0" w:color="auto"/>
            </w:tcBorders>
            <w:shd w:val="clear" w:color="auto" w:fill="auto"/>
            <w:noWrap/>
            <w:vAlign w:val="center"/>
            <w:hideMark/>
          </w:tcPr>
          <w:p w14:paraId="10FB7080"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20%</w:t>
            </w:r>
          </w:p>
        </w:tc>
        <w:tc>
          <w:tcPr>
            <w:tcW w:w="2298" w:type="dxa"/>
            <w:tcBorders>
              <w:top w:val="nil"/>
              <w:left w:val="nil"/>
              <w:bottom w:val="single" w:sz="4" w:space="0" w:color="auto"/>
              <w:right w:val="single" w:sz="4" w:space="0" w:color="auto"/>
            </w:tcBorders>
            <w:shd w:val="clear" w:color="auto" w:fill="auto"/>
            <w:vAlign w:val="center"/>
          </w:tcPr>
          <w:p w14:paraId="1917A157" w14:textId="3493ED71"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135.1</w:t>
            </w:r>
            <w:r>
              <w:rPr>
                <w:rFonts w:ascii="Arial" w:eastAsia="Times New Roman" w:hAnsi="Arial" w:cs="Arial"/>
                <w:color w:val="000000"/>
              </w:rPr>
              <w:t>0</w:t>
            </w:r>
          </w:p>
        </w:tc>
      </w:tr>
      <w:tr w:rsidR="0001357C" w:rsidRPr="0001357C" w14:paraId="643B4952" w14:textId="77777777" w:rsidTr="00413101">
        <w:trPr>
          <w:trHeight w:val="459"/>
        </w:trPr>
        <w:tc>
          <w:tcPr>
            <w:tcW w:w="3418" w:type="dxa"/>
            <w:tcBorders>
              <w:top w:val="nil"/>
              <w:left w:val="single" w:sz="4" w:space="0" w:color="auto"/>
              <w:bottom w:val="single" w:sz="4" w:space="0" w:color="auto"/>
              <w:right w:val="nil"/>
            </w:tcBorders>
            <w:shd w:val="clear" w:color="auto" w:fill="auto"/>
            <w:vAlign w:val="center"/>
            <w:hideMark/>
          </w:tcPr>
          <w:p w14:paraId="0A0487C1"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Senior Consultant / Accountant / Auditor</w:t>
            </w:r>
          </w:p>
        </w:tc>
        <w:tc>
          <w:tcPr>
            <w:tcW w:w="2039" w:type="dxa"/>
            <w:tcBorders>
              <w:top w:val="nil"/>
              <w:left w:val="single" w:sz="8" w:space="0" w:color="auto"/>
              <w:bottom w:val="single" w:sz="4" w:space="0" w:color="auto"/>
              <w:right w:val="single" w:sz="8" w:space="0" w:color="auto"/>
            </w:tcBorders>
            <w:shd w:val="clear" w:color="000000" w:fill="BDD7EE"/>
            <w:noWrap/>
            <w:vAlign w:val="center"/>
            <w:hideMark/>
          </w:tcPr>
          <w:p w14:paraId="6AD89F0C" w14:textId="6D35F3AC"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£400</w:t>
            </w:r>
            <w:r w:rsidR="00413101">
              <w:rPr>
                <w:rFonts w:ascii="Arial" w:eastAsia="Times New Roman" w:hAnsi="Arial" w:cs="Arial"/>
                <w:color w:val="000000"/>
              </w:rPr>
              <w:t>.00</w:t>
            </w:r>
          </w:p>
        </w:tc>
        <w:tc>
          <w:tcPr>
            <w:tcW w:w="2384" w:type="dxa"/>
            <w:tcBorders>
              <w:top w:val="nil"/>
              <w:left w:val="nil"/>
              <w:bottom w:val="single" w:sz="4" w:space="0" w:color="auto"/>
              <w:right w:val="single" w:sz="4" w:space="0" w:color="auto"/>
            </w:tcBorders>
            <w:shd w:val="clear" w:color="auto" w:fill="auto"/>
            <w:noWrap/>
            <w:vAlign w:val="center"/>
            <w:hideMark/>
          </w:tcPr>
          <w:p w14:paraId="135A8872"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50%</w:t>
            </w:r>
          </w:p>
        </w:tc>
        <w:tc>
          <w:tcPr>
            <w:tcW w:w="2298" w:type="dxa"/>
            <w:tcBorders>
              <w:top w:val="nil"/>
              <w:left w:val="nil"/>
              <w:bottom w:val="single" w:sz="4" w:space="0" w:color="auto"/>
              <w:right w:val="single" w:sz="4" w:space="0" w:color="auto"/>
            </w:tcBorders>
            <w:shd w:val="clear" w:color="auto" w:fill="auto"/>
            <w:vAlign w:val="center"/>
          </w:tcPr>
          <w:p w14:paraId="13314546" w14:textId="2A08D17B"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200.00</w:t>
            </w:r>
          </w:p>
        </w:tc>
      </w:tr>
      <w:tr w:rsidR="0001357C" w:rsidRPr="0001357C" w14:paraId="5FDA3886" w14:textId="77777777" w:rsidTr="00413101">
        <w:trPr>
          <w:trHeight w:val="459"/>
        </w:trPr>
        <w:tc>
          <w:tcPr>
            <w:tcW w:w="3418" w:type="dxa"/>
            <w:tcBorders>
              <w:top w:val="nil"/>
              <w:left w:val="single" w:sz="4" w:space="0" w:color="auto"/>
              <w:bottom w:val="single" w:sz="4" w:space="0" w:color="auto"/>
              <w:right w:val="nil"/>
            </w:tcBorders>
            <w:shd w:val="clear" w:color="auto" w:fill="auto"/>
            <w:vAlign w:val="center"/>
            <w:hideMark/>
          </w:tcPr>
          <w:p w14:paraId="5178C626"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Consultant / Accountant / Auditor</w:t>
            </w:r>
          </w:p>
        </w:tc>
        <w:tc>
          <w:tcPr>
            <w:tcW w:w="2039" w:type="dxa"/>
            <w:tcBorders>
              <w:top w:val="nil"/>
              <w:left w:val="single" w:sz="8" w:space="0" w:color="auto"/>
              <w:bottom w:val="single" w:sz="4" w:space="0" w:color="auto"/>
              <w:right w:val="single" w:sz="8" w:space="0" w:color="auto"/>
            </w:tcBorders>
            <w:shd w:val="clear" w:color="000000" w:fill="BDD7EE"/>
            <w:noWrap/>
            <w:vAlign w:val="center"/>
            <w:hideMark/>
          </w:tcPr>
          <w:p w14:paraId="21568735" w14:textId="182224C2" w:rsidR="0001357C" w:rsidRPr="0001357C" w:rsidRDefault="00413101" w:rsidP="0001357C">
            <w:pPr>
              <w:spacing w:after="0" w:line="240" w:lineRule="auto"/>
              <w:jc w:val="center"/>
              <w:rPr>
                <w:rFonts w:ascii="Arial" w:eastAsia="Times New Roman" w:hAnsi="Arial" w:cs="Arial"/>
                <w:color w:val="000000"/>
              </w:rPr>
            </w:pPr>
            <w:r>
              <w:rPr>
                <w:rFonts w:ascii="Arial" w:eastAsia="Times New Roman" w:hAnsi="Arial" w:cs="Arial"/>
                <w:color w:val="000000"/>
              </w:rPr>
              <w:t>£220.50</w:t>
            </w:r>
          </w:p>
        </w:tc>
        <w:tc>
          <w:tcPr>
            <w:tcW w:w="2384" w:type="dxa"/>
            <w:tcBorders>
              <w:top w:val="nil"/>
              <w:left w:val="nil"/>
              <w:bottom w:val="single" w:sz="4" w:space="0" w:color="auto"/>
              <w:right w:val="single" w:sz="4" w:space="0" w:color="auto"/>
            </w:tcBorders>
            <w:shd w:val="clear" w:color="auto" w:fill="auto"/>
            <w:noWrap/>
            <w:vAlign w:val="center"/>
            <w:hideMark/>
          </w:tcPr>
          <w:p w14:paraId="0F8DC935"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15%</w:t>
            </w:r>
          </w:p>
        </w:tc>
        <w:tc>
          <w:tcPr>
            <w:tcW w:w="2298" w:type="dxa"/>
            <w:tcBorders>
              <w:top w:val="nil"/>
              <w:left w:val="nil"/>
              <w:bottom w:val="single" w:sz="4" w:space="0" w:color="auto"/>
              <w:right w:val="single" w:sz="4" w:space="0" w:color="auto"/>
            </w:tcBorders>
            <w:shd w:val="clear" w:color="auto" w:fill="auto"/>
            <w:vAlign w:val="center"/>
          </w:tcPr>
          <w:p w14:paraId="4D6CBEA2" w14:textId="2F5935D3"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£33.08</w:t>
            </w:r>
          </w:p>
        </w:tc>
      </w:tr>
      <w:tr w:rsidR="0001357C" w:rsidRPr="0001357C" w14:paraId="5B21B657" w14:textId="77777777" w:rsidTr="00413101">
        <w:trPr>
          <w:trHeight w:val="459"/>
        </w:trPr>
        <w:tc>
          <w:tcPr>
            <w:tcW w:w="3418" w:type="dxa"/>
            <w:tcBorders>
              <w:top w:val="nil"/>
              <w:left w:val="single" w:sz="4" w:space="0" w:color="auto"/>
              <w:bottom w:val="single" w:sz="4" w:space="0" w:color="auto"/>
              <w:right w:val="nil"/>
            </w:tcBorders>
            <w:shd w:val="clear" w:color="auto" w:fill="auto"/>
            <w:vAlign w:val="center"/>
            <w:hideMark/>
          </w:tcPr>
          <w:p w14:paraId="51B74731"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Junior Consultant / Accountant / Auditor</w:t>
            </w:r>
          </w:p>
        </w:tc>
        <w:tc>
          <w:tcPr>
            <w:tcW w:w="2039" w:type="dxa"/>
            <w:tcBorders>
              <w:top w:val="nil"/>
              <w:left w:val="single" w:sz="8" w:space="0" w:color="auto"/>
              <w:bottom w:val="single" w:sz="4" w:space="0" w:color="auto"/>
              <w:right w:val="single" w:sz="8" w:space="0" w:color="auto"/>
            </w:tcBorders>
            <w:shd w:val="clear" w:color="000000" w:fill="BDD7EE"/>
            <w:noWrap/>
            <w:vAlign w:val="center"/>
            <w:hideMark/>
          </w:tcPr>
          <w:p w14:paraId="7F330CD2" w14:textId="2FAADB10" w:rsidR="0001357C" w:rsidRPr="0001357C" w:rsidRDefault="00413101" w:rsidP="0001357C">
            <w:pPr>
              <w:spacing w:after="0" w:line="240" w:lineRule="auto"/>
              <w:jc w:val="center"/>
              <w:rPr>
                <w:rFonts w:ascii="Arial" w:eastAsia="Times New Roman" w:hAnsi="Arial" w:cs="Arial"/>
                <w:color w:val="000000"/>
              </w:rPr>
            </w:pPr>
            <w:r>
              <w:rPr>
                <w:rFonts w:ascii="Arial" w:eastAsia="Times New Roman" w:hAnsi="Arial" w:cs="Arial"/>
                <w:color w:val="000000"/>
              </w:rPr>
              <w:t>£105.30</w:t>
            </w:r>
          </w:p>
        </w:tc>
        <w:tc>
          <w:tcPr>
            <w:tcW w:w="2384" w:type="dxa"/>
            <w:tcBorders>
              <w:top w:val="nil"/>
              <w:left w:val="nil"/>
              <w:bottom w:val="single" w:sz="4" w:space="0" w:color="auto"/>
              <w:right w:val="single" w:sz="4" w:space="0" w:color="auto"/>
            </w:tcBorders>
            <w:shd w:val="clear" w:color="auto" w:fill="auto"/>
            <w:noWrap/>
            <w:vAlign w:val="center"/>
            <w:hideMark/>
          </w:tcPr>
          <w:p w14:paraId="647FD550" w14:textId="77777777" w:rsidR="0001357C" w:rsidRPr="0001357C" w:rsidRDefault="0001357C" w:rsidP="0001357C">
            <w:pPr>
              <w:spacing w:after="0" w:line="240" w:lineRule="auto"/>
              <w:jc w:val="center"/>
              <w:rPr>
                <w:rFonts w:ascii="Arial" w:eastAsia="Times New Roman" w:hAnsi="Arial" w:cs="Arial"/>
                <w:color w:val="000000"/>
              </w:rPr>
            </w:pPr>
            <w:r w:rsidRPr="0001357C">
              <w:rPr>
                <w:rFonts w:ascii="Arial" w:eastAsia="Times New Roman" w:hAnsi="Arial" w:cs="Arial"/>
                <w:color w:val="000000"/>
              </w:rPr>
              <w:t>5%</w:t>
            </w:r>
          </w:p>
        </w:tc>
        <w:tc>
          <w:tcPr>
            <w:tcW w:w="2298" w:type="dxa"/>
            <w:tcBorders>
              <w:top w:val="nil"/>
              <w:left w:val="nil"/>
              <w:bottom w:val="single" w:sz="4" w:space="0" w:color="auto"/>
              <w:right w:val="single" w:sz="4" w:space="0" w:color="auto"/>
            </w:tcBorders>
            <w:shd w:val="clear" w:color="auto" w:fill="auto"/>
            <w:vAlign w:val="center"/>
          </w:tcPr>
          <w:p w14:paraId="1727562D" w14:textId="257728A6"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w:t>
            </w:r>
            <w:r w:rsidR="00413101">
              <w:rPr>
                <w:rFonts w:ascii="Arial" w:eastAsia="Times New Roman" w:hAnsi="Arial" w:cs="Arial"/>
                <w:color w:val="000000"/>
              </w:rPr>
              <w:t>5.27</w:t>
            </w:r>
          </w:p>
        </w:tc>
      </w:tr>
      <w:tr w:rsidR="0001357C" w:rsidRPr="0001357C" w14:paraId="27D56C35" w14:textId="77777777" w:rsidTr="00413101">
        <w:trPr>
          <w:trHeight w:val="426"/>
        </w:trPr>
        <w:tc>
          <w:tcPr>
            <w:tcW w:w="3418" w:type="dxa"/>
            <w:tcBorders>
              <w:top w:val="nil"/>
              <w:left w:val="nil"/>
              <w:bottom w:val="nil"/>
              <w:right w:val="nil"/>
            </w:tcBorders>
            <w:shd w:val="clear" w:color="000000" w:fill="D9D9D9"/>
            <w:noWrap/>
            <w:vAlign w:val="bottom"/>
            <w:hideMark/>
          </w:tcPr>
          <w:p w14:paraId="375D1813" w14:textId="77777777" w:rsidR="0001357C" w:rsidRPr="0001357C" w:rsidRDefault="0001357C" w:rsidP="0001357C">
            <w:pPr>
              <w:spacing w:after="0" w:line="240" w:lineRule="auto"/>
              <w:rPr>
                <w:rFonts w:ascii="Arial" w:eastAsia="Times New Roman" w:hAnsi="Arial" w:cs="Arial"/>
                <w:color w:val="000000"/>
              </w:rPr>
            </w:pPr>
            <w:r w:rsidRPr="0001357C">
              <w:rPr>
                <w:rFonts w:ascii="Arial" w:eastAsia="Times New Roman" w:hAnsi="Arial" w:cs="Arial"/>
                <w:color w:val="000000"/>
              </w:rPr>
              <w:t> </w:t>
            </w:r>
          </w:p>
        </w:tc>
        <w:tc>
          <w:tcPr>
            <w:tcW w:w="2039" w:type="dxa"/>
            <w:tcBorders>
              <w:top w:val="nil"/>
              <w:left w:val="nil"/>
              <w:bottom w:val="nil"/>
              <w:right w:val="nil"/>
            </w:tcBorders>
            <w:shd w:val="clear" w:color="000000" w:fill="D9D9D9"/>
            <w:vAlign w:val="center"/>
            <w:hideMark/>
          </w:tcPr>
          <w:p w14:paraId="09715D08" w14:textId="77777777" w:rsidR="0001357C" w:rsidRPr="0001357C" w:rsidRDefault="0001357C" w:rsidP="0001357C">
            <w:pPr>
              <w:spacing w:after="0" w:line="240" w:lineRule="auto"/>
              <w:jc w:val="center"/>
              <w:rPr>
                <w:rFonts w:ascii="Arial" w:eastAsia="Times New Roman" w:hAnsi="Arial" w:cs="Arial"/>
                <w:b/>
                <w:bCs/>
                <w:color w:val="000000"/>
              </w:rPr>
            </w:pPr>
            <w:r w:rsidRPr="0001357C">
              <w:rPr>
                <w:rFonts w:ascii="Arial" w:eastAsia="Times New Roman" w:hAnsi="Arial" w:cs="Arial"/>
                <w:b/>
                <w:bCs/>
                <w:color w:val="000000"/>
              </w:rPr>
              <w:t> </w:t>
            </w:r>
          </w:p>
        </w:tc>
        <w:tc>
          <w:tcPr>
            <w:tcW w:w="2384" w:type="dxa"/>
            <w:tcBorders>
              <w:top w:val="nil"/>
              <w:left w:val="nil"/>
              <w:bottom w:val="nil"/>
              <w:right w:val="nil"/>
            </w:tcBorders>
            <w:shd w:val="clear" w:color="000000" w:fill="D9D9D9"/>
            <w:vAlign w:val="center"/>
            <w:hideMark/>
          </w:tcPr>
          <w:p w14:paraId="5D0AC45C" w14:textId="77777777" w:rsidR="0001357C" w:rsidRPr="0001357C" w:rsidRDefault="0001357C" w:rsidP="0001357C">
            <w:pPr>
              <w:spacing w:after="0" w:line="240" w:lineRule="auto"/>
              <w:jc w:val="right"/>
              <w:rPr>
                <w:rFonts w:ascii="Arial" w:eastAsia="Times New Roman" w:hAnsi="Arial" w:cs="Arial"/>
                <w:color w:val="000000"/>
              </w:rPr>
            </w:pPr>
            <w:r w:rsidRPr="0001357C">
              <w:rPr>
                <w:rFonts w:ascii="Arial" w:eastAsia="Times New Roman" w:hAnsi="Arial" w:cs="Arial"/>
                <w:color w:val="000000"/>
              </w:rPr>
              <w:t>Total of Weighted Day Rates (sum of column C) = D</w:t>
            </w:r>
          </w:p>
        </w:tc>
        <w:tc>
          <w:tcPr>
            <w:tcW w:w="2298" w:type="dxa"/>
            <w:tcBorders>
              <w:top w:val="single" w:sz="8" w:space="0" w:color="auto"/>
              <w:left w:val="single" w:sz="8" w:space="0" w:color="auto"/>
              <w:bottom w:val="single" w:sz="8" w:space="0" w:color="auto"/>
              <w:right w:val="single" w:sz="8" w:space="0" w:color="auto"/>
            </w:tcBorders>
            <w:shd w:val="clear" w:color="auto" w:fill="auto"/>
            <w:vAlign w:val="center"/>
          </w:tcPr>
          <w:p w14:paraId="011BF011" w14:textId="2465D4D3" w:rsidR="0001357C" w:rsidRPr="0001357C" w:rsidRDefault="00FB5E4D" w:rsidP="0001357C">
            <w:pPr>
              <w:spacing w:after="0" w:line="240" w:lineRule="auto"/>
              <w:jc w:val="center"/>
              <w:rPr>
                <w:rFonts w:ascii="Arial" w:eastAsia="Times New Roman" w:hAnsi="Arial" w:cs="Arial"/>
                <w:color w:val="000000"/>
              </w:rPr>
            </w:pPr>
            <w:r>
              <w:rPr>
                <w:rFonts w:ascii="Arial" w:eastAsia="Times New Roman" w:hAnsi="Arial" w:cs="Arial"/>
                <w:color w:val="000000"/>
              </w:rPr>
              <w:t>£478.01</w:t>
            </w:r>
          </w:p>
        </w:tc>
      </w:tr>
    </w:tbl>
    <w:p w14:paraId="232E07E1" w14:textId="77777777" w:rsidR="0001357C" w:rsidRPr="00A048D0" w:rsidRDefault="0001357C" w:rsidP="00A048D0">
      <w:pPr>
        <w:rPr>
          <w:rFonts w:cs="Arial"/>
        </w:rPr>
      </w:pPr>
    </w:p>
    <w:p w14:paraId="79FFE903" w14:textId="787AE008" w:rsidR="0001357C" w:rsidRPr="00D85FB3" w:rsidRDefault="0001357C" w:rsidP="0001357C">
      <w:pPr>
        <w:pStyle w:val="ListParagraph"/>
        <w:numPr>
          <w:ilvl w:val="1"/>
          <w:numId w:val="5"/>
        </w:numPr>
        <w:rPr>
          <w:rFonts w:cs="Arial"/>
          <w:sz w:val="22"/>
          <w:szCs w:val="22"/>
        </w:rPr>
      </w:pPr>
      <w:r w:rsidRPr="00D85FB3">
        <w:rPr>
          <w:rFonts w:cs="Arial"/>
          <w:sz w:val="22"/>
          <w:szCs w:val="22"/>
        </w:rPr>
        <w:t xml:space="preserve"> The ‘Total of Weighted Day Rates’ for each Potential Provider are as followed:</w:t>
      </w:r>
    </w:p>
    <w:p w14:paraId="638ECDD2" w14:textId="3F0FB6E9" w:rsidR="0001357C" w:rsidRPr="00D85FB3" w:rsidRDefault="00D85FB3" w:rsidP="00D85FB3">
      <w:pPr>
        <w:pStyle w:val="ListParagraph"/>
        <w:numPr>
          <w:ilvl w:val="0"/>
          <w:numId w:val="33"/>
        </w:numPr>
        <w:rPr>
          <w:rFonts w:cs="Arial"/>
          <w:sz w:val="22"/>
          <w:szCs w:val="22"/>
        </w:rPr>
      </w:pPr>
      <w:r w:rsidRPr="00D85FB3">
        <w:rPr>
          <w:rFonts w:cs="Arial"/>
          <w:sz w:val="22"/>
          <w:szCs w:val="22"/>
        </w:rPr>
        <w:t>Potential Provider A:</w:t>
      </w:r>
      <w:r w:rsidR="0001357C" w:rsidRPr="00D85FB3">
        <w:rPr>
          <w:rFonts w:cs="Arial"/>
          <w:sz w:val="22"/>
          <w:szCs w:val="22"/>
        </w:rPr>
        <w:t xml:space="preserve"> £410</w:t>
      </w:r>
      <w:r w:rsidR="00413101">
        <w:rPr>
          <w:rFonts w:cs="Arial"/>
          <w:sz w:val="22"/>
          <w:szCs w:val="22"/>
        </w:rPr>
        <w:t>.18</w:t>
      </w:r>
    </w:p>
    <w:p w14:paraId="7791CE5A" w14:textId="167B8A74" w:rsidR="0001357C" w:rsidRPr="00D85FB3" w:rsidRDefault="001253D6" w:rsidP="00D85FB3">
      <w:pPr>
        <w:pStyle w:val="ListParagraph"/>
        <w:numPr>
          <w:ilvl w:val="0"/>
          <w:numId w:val="33"/>
        </w:numPr>
        <w:rPr>
          <w:rFonts w:cs="Arial"/>
          <w:sz w:val="22"/>
          <w:szCs w:val="22"/>
        </w:rPr>
      </w:pPr>
      <w:r w:rsidRPr="00D85FB3">
        <w:rPr>
          <w:rFonts w:cs="Arial"/>
          <w:sz w:val="22"/>
          <w:szCs w:val="22"/>
        </w:rPr>
        <w:t>Potential</w:t>
      </w:r>
      <w:r w:rsidR="0001357C" w:rsidRPr="00D85FB3">
        <w:rPr>
          <w:rFonts w:cs="Arial"/>
          <w:sz w:val="22"/>
          <w:szCs w:val="22"/>
        </w:rPr>
        <w:t xml:space="preserve"> Provider B</w:t>
      </w:r>
      <w:r w:rsidR="00D85FB3" w:rsidRPr="00D85FB3">
        <w:rPr>
          <w:rFonts w:cs="Arial"/>
          <w:sz w:val="22"/>
          <w:szCs w:val="22"/>
        </w:rPr>
        <w:t>:</w:t>
      </w:r>
      <w:r w:rsidR="0001357C" w:rsidRPr="00D85FB3">
        <w:rPr>
          <w:rFonts w:cs="Arial"/>
          <w:sz w:val="22"/>
          <w:szCs w:val="22"/>
        </w:rPr>
        <w:t xml:space="preserve"> £335</w:t>
      </w:r>
      <w:r w:rsidR="00413101">
        <w:rPr>
          <w:rFonts w:cs="Arial"/>
          <w:sz w:val="22"/>
          <w:szCs w:val="22"/>
        </w:rPr>
        <w:t>.00</w:t>
      </w:r>
      <w:r w:rsidR="00D85FB3" w:rsidRPr="00D85FB3">
        <w:rPr>
          <w:rFonts w:cs="Arial"/>
          <w:sz w:val="22"/>
          <w:szCs w:val="22"/>
        </w:rPr>
        <w:t xml:space="preserve"> (Lowest ‘Total of Weighted Day Rates)</w:t>
      </w:r>
    </w:p>
    <w:p w14:paraId="706379A7" w14:textId="7E55C48F" w:rsidR="0001357C" w:rsidRPr="00D85FB3" w:rsidRDefault="0001357C" w:rsidP="00D85FB3">
      <w:pPr>
        <w:pStyle w:val="ListParagraph"/>
        <w:numPr>
          <w:ilvl w:val="0"/>
          <w:numId w:val="33"/>
        </w:numPr>
        <w:rPr>
          <w:rFonts w:cs="Arial"/>
          <w:sz w:val="22"/>
          <w:szCs w:val="22"/>
        </w:rPr>
      </w:pPr>
      <w:r w:rsidRPr="00D85FB3">
        <w:rPr>
          <w:rFonts w:cs="Arial"/>
          <w:sz w:val="22"/>
          <w:szCs w:val="22"/>
        </w:rPr>
        <w:t>Potential Provider C</w:t>
      </w:r>
      <w:r w:rsidR="00D85FB3" w:rsidRPr="00D85FB3">
        <w:rPr>
          <w:rFonts w:cs="Arial"/>
          <w:sz w:val="22"/>
          <w:szCs w:val="22"/>
        </w:rPr>
        <w:t>:</w:t>
      </w:r>
      <w:r w:rsidRPr="00D85FB3">
        <w:rPr>
          <w:rFonts w:cs="Arial"/>
          <w:sz w:val="22"/>
          <w:szCs w:val="22"/>
        </w:rPr>
        <w:t xml:space="preserve"> </w:t>
      </w:r>
      <w:r w:rsidR="00FB5E4D">
        <w:rPr>
          <w:rFonts w:cs="Arial"/>
          <w:sz w:val="22"/>
          <w:szCs w:val="22"/>
        </w:rPr>
        <w:t>£478.01</w:t>
      </w:r>
    </w:p>
    <w:p w14:paraId="1E79FE74" w14:textId="77777777" w:rsidR="00D85FB3" w:rsidRPr="00D85FB3" w:rsidRDefault="00D85FB3" w:rsidP="0001357C">
      <w:pPr>
        <w:pStyle w:val="ListParagraph"/>
        <w:rPr>
          <w:rFonts w:cs="Arial"/>
          <w:sz w:val="22"/>
          <w:szCs w:val="22"/>
        </w:rPr>
      </w:pPr>
    </w:p>
    <w:p w14:paraId="3752674D" w14:textId="7D10C8C0" w:rsidR="00D85FB3" w:rsidRPr="00A048D0" w:rsidRDefault="00D85FB3" w:rsidP="00D85FB3">
      <w:pPr>
        <w:pStyle w:val="ListParagraph"/>
        <w:numPr>
          <w:ilvl w:val="1"/>
          <w:numId w:val="5"/>
        </w:numPr>
        <w:rPr>
          <w:rFonts w:cs="Arial"/>
          <w:sz w:val="22"/>
          <w:szCs w:val="22"/>
        </w:rPr>
      </w:pPr>
      <w:r w:rsidRPr="00D85FB3">
        <w:rPr>
          <w:rFonts w:cs="Arial"/>
          <w:sz w:val="22"/>
          <w:szCs w:val="22"/>
        </w:rPr>
        <w:t>As detailed in par</w:t>
      </w:r>
      <w:r w:rsidR="00777AD8">
        <w:rPr>
          <w:rFonts w:cs="Arial"/>
          <w:sz w:val="22"/>
          <w:szCs w:val="22"/>
        </w:rPr>
        <w:t>agraph 11.7.7</w:t>
      </w:r>
      <w:r w:rsidRPr="00D85FB3">
        <w:rPr>
          <w:rFonts w:cs="Arial"/>
          <w:sz w:val="22"/>
          <w:szCs w:val="22"/>
        </w:rPr>
        <w:t xml:space="preserve"> Price Evaluation the following formula will be used to calculate the </w:t>
      </w:r>
      <w:r w:rsidR="00A048D0">
        <w:rPr>
          <w:rFonts w:cs="Arial"/>
          <w:sz w:val="22"/>
          <w:szCs w:val="22"/>
        </w:rPr>
        <w:t xml:space="preserve">Maximum Score </w:t>
      </w:r>
      <w:r w:rsidR="001253D6">
        <w:rPr>
          <w:rFonts w:cs="Arial"/>
          <w:sz w:val="22"/>
          <w:szCs w:val="22"/>
        </w:rPr>
        <w:t>Available</w:t>
      </w:r>
      <w:r w:rsidR="00A048D0">
        <w:rPr>
          <w:rFonts w:cs="Arial"/>
          <w:sz w:val="22"/>
          <w:szCs w:val="22"/>
        </w:rPr>
        <w:t xml:space="preserve"> for </w:t>
      </w:r>
      <w:r w:rsidRPr="00D85FB3">
        <w:rPr>
          <w:rFonts w:cs="Arial"/>
          <w:sz w:val="22"/>
          <w:szCs w:val="22"/>
        </w:rPr>
        <w:t>Price:</w:t>
      </w:r>
    </w:p>
    <w:p w14:paraId="0233B9A6" w14:textId="77777777" w:rsidR="00D85FB3" w:rsidRPr="00D85FB3" w:rsidRDefault="00D85FB3" w:rsidP="00D85FB3">
      <w:pPr>
        <w:pStyle w:val="ListParagraph"/>
        <w:rPr>
          <w:rFonts w:cs="Arial"/>
          <w:sz w:val="22"/>
          <w:szCs w:val="22"/>
        </w:rPr>
      </w:pPr>
    </w:p>
    <w:tbl>
      <w:tblPr>
        <w:tblpPr w:leftFromText="180" w:rightFromText="180" w:vertAnchor="text" w:horzAnchor="page" w:tblpX="1701" w:tblpY="37"/>
        <w:tblW w:w="7953" w:type="dxa"/>
        <w:tblLook w:val="04A0" w:firstRow="1" w:lastRow="0" w:firstColumn="1" w:lastColumn="0" w:noHBand="0" w:noVBand="1"/>
      </w:tblPr>
      <w:tblGrid>
        <w:gridCol w:w="2119"/>
        <w:gridCol w:w="3580"/>
        <w:gridCol w:w="2254"/>
      </w:tblGrid>
      <w:tr w:rsidR="00D85FB3" w:rsidRPr="00D85FB3" w14:paraId="7EA0A8C4" w14:textId="77777777" w:rsidTr="00777AD8">
        <w:trPr>
          <w:trHeight w:val="423"/>
        </w:trPr>
        <w:tc>
          <w:tcPr>
            <w:tcW w:w="2119" w:type="dxa"/>
            <w:vMerge w:val="restart"/>
            <w:shd w:val="clear" w:color="auto" w:fill="auto"/>
            <w:noWrap/>
            <w:vAlign w:val="center"/>
            <w:hideMark/>
          </w:tcPr>
          <w:p w14:paraId="2F0920EA" w14:textId="77777777" w:rsidR="00D85FB3" w:rsidRPr="00D85FB3" w:rsidRDefault="00D85FB3" w:rsidP="00777AD8">
            <w:pPr>
              <w:spacing w:after="0" w:line="240" w:lineRule="auto"/>
              <w:ind w:left="680"/>
              <w:jc w:val="center"/>
              <w:rPr>
                <w:rFonts w:ascii="Arial" w:eastAsia="Times New Roman" w:hAnsi="Arial" w:cs="Arial"/>
                <w:color w:val="000000"/>
              </w:rPr>
            </w:pPr>
            <w:r w:rsidRPr="00D85FB3">
              <w:rPr>
                <w:rFonts w:ascii="Arial" w:eastAsia="Times New Roman" w:hAnsi="Arial" w:cs="Arial"/>
                <w:color w:val="000000"/>
              </w:rPr>
              <w:t>Score =</w:t>
            </w:r>
          </w:p>
        </w:tc>
        <w:tc>
          <w:tcPr>
            <w:tcW w:w="3580" w:type="dxa"/>
            <w:shd w:val="clear" w:color="auto" w:fill="auto"/>
            <w:noWrap/>
            <w:vAlign w:val="center"/>
            <w:hideMark/>
          </w:tcPr>
          <w:p w14:paraId="0C4078B8" w14:textId="35CFC05F" w:rsidR="00D85FB3" w:rsidRPr="00D85FB3" w:rsidRDefault="00D85FB3" w:rsidP="00777AD8">
            <w:pPr>
              <w:spacing w:after="0" w:line="240" w:lineRule="auto"/>
              <w:ind w:left="680"/>
              <w:jc w:val="center"/>
              <w:rPr>
                <w:rFonts w:ascii="Arial" w:eastAsia="Times New Roman" w:hAnsi="Arial" w:cs="Arial"/>
                <w:color w:val="000000"/>
              </w:rPr>
            </w:pPr>
            <w:r w:rsidRPr="00D85FB3">
              <w:rPr>
                <w:rFonts w:ascii="Arial" w:eastAsia="Times New Roman" w:hAnsi="Arial" w:cs="Arial"/>
                <w:color w:val="000000"/>
              </w:rPr>
              <w:t>Lowest ‘Total of Weighted Day Rates’ Tendered Price</w:t>
            </w:r>
          </w:p>
          <w:p w14:paraId="2063D7CE" w14:textId="77777777" w:rsidR="00D85FB3" w:rsidRPr="00D85FB3" w:rsidRDefault="00D85FB3" w:rsidP="00777AD8">
            <w:pPr>
              <w:spacing w:after="0" w:line="240" w:lineRule="auto"/>
              <w:ind w:left="680"/>
              <w:jc w:val="center"/>
              <w:rPr>
                <w:rFonts w:ascii="Arial" w:eastAsia="Times New Roman" w:hAnsi="Arial" w:cs="Arial"/>
                <w:color w:val="000000"/>
                <w:u w:val="single"/>
              </w:rPr>
            </w:pPr>
            <w:r w:rsidRPr="00D85FB3">
              <w:rPr>
                <w:rFonts w:ascii="Arial" w:eastAsia="Times New Roman" w:hAnsi="Arial" w:cs="Arial"/>
                <w:noProof/>
                <w:color w:val="000000"/>
              </w:rPr>
              <mc:AlternateContent>
                <mc:Choice Requires="wps">
                  <w:drawing>
                    <wp:anchor distT="0" distB="0" distL="114300" distR="114300" simplePos="0" relativeHeight="251661312" behindDoc="0" locked="0" layoutInCell="1" allowOverlap="1" wp14:anchorId="54AD45F4" wp14:editId="16618F6A">
                      <wp:simplePos x="0" y="0"/>
                      <wp:positionH relativeFrom="column">
                        <wp:posOffset>-20320</wp:posOffset>
                      </wp:positionH>
                      <wp:positionV relativeFrom="paragraph">
                        <wp:posOffset>46355</wp:posOffset>
                      </wp:positionV>
                      <wp:extent cx="2489200" cy="0"/>
                      <wp:effectExtent l="8255" t="8255" r="7620" b="1079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A3C16" id="AutoShape 12" o:spid="_x0000_s1026" type="#_x0000_t32" style="position:absolute;margin-left:-1.6pt;margin-top:3.65pt;width:1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SJHgIAADwEAAAOAAAAZHJzL2Uyb0RvYy54bWysU9uO2jAQfa/Uf7D8Drk0bCEirFYJ9GXb&#10;Iu32A4ztJFYd27INAVX9947NRWz7UlXlwYwzM2cu53j5eBwkOnDrhFYVzqYpRlxRzYTqKvztdTOZ&#10;Y+Q8UYxIrXiFT9zhx9X7d8vRlDzXvZaMWwQgypWjqXDvvSmTxNGeD8RNteEKnK22A/FwtV3CLBkB&#10;fZBJnqYPyagtM1ZT7hx8bc5OvIr4bcup/9q2jnskKwy9+XjaeO7CmayWpOwsMb2glzbIP3QxEKGg&#10;6A2qIZ6gvRV/QA2CWu1066dUD4luW0F5nAGmydLfpnnpieFxFliOM7c1uf8HS78cthYJBtxhpMgA&#10;FD3tvY6VUZaH/YzGlRBWq60NE9KjejHPmn53SOm6J6rjMfr1ZCA5CxnJm5RwcQaq7MbPmkEMgQJx&#10;WcfWDgES1oCOkZPTjRN+9IjCx7yYL4BojOjVl5Dymmis85+4HlAwKuy8JaLrfa2VAua1zWIZcnh2&#10;PrRFymtCqKr0RkgZBSAVGiu8mOWzmOC0FCw4Q5iz3a6WFh1IkFD8xRnBcx9m9V6xCNZzwtYX2xMh&#10;zzYUlyrgwWDQzsU6a+THIl2s5+t5MSnyh/WkSJtm8rSpi8nDJvs4az40dd1kP0NrWVH2gjGuQndX&#10;vWbF3+nh8nLOSrsp9raG5C163Bc0e/2PTUdmA5lnWew0O23tlXGQaAy+PKfwBu7vYN8/+tUvAAAA&#10;//8DAFBLAwQUAAYACAAAACEA0PW1SdsAAAAGAQAADwAAAGRycy9kb3ducmV2LnhtbEyPQU/CQBSE&#10;7yb+h80j8WJgSxu11G4JMfHgUSDxunQfbaX7tuluaeXX++Cix8lMZr7J15NtxRl73zhSsFxEIJBK&#10;ZxqqFOx37/MUhA+ajG4doYIf9LAu7u9ynRk30ieet6ESXEI+0wrqELpMSl/WaLVfuA6JvaPrrQ4s&#10;+0qaXo9cblsZR9GztLohXqh1h281lqftYBWgH56W0WZlq/3HZXz8ii/fY7dT6mE2bV5BBJzCXxiu&#10;+IwOBTMd3EDGi1bBPIk5qeAlAcF2kqb85HDTssjlf/ziFwAA//8DAFBLAQItABQABgAIAAAAIQC2&#10;gziS/gAAAOEBAAATAAAAAAAAAAAAAAAAAAAAAABbQ29udGVudF9UeXBlc10ueG1sUEsBAi0AFAAG&#10;AAgAAAAhADj9If/WAAAAlAEAAAsAAAAAAAAAAAAAAAAALwEAAF9yZWxzLy5yZWxzUEsBAi0AFAAG&#10;AAgAAAAhAMqkhIkeAgAAPAQAAA4AAAAAAAAAAAAAAAAALgIAAGRycy9lMm9Eb2MueG1sUEsBAi0A&#10;FAAGAAgAAAAhAND1tUnbAAAABgEAAA8AAAAAAAAAAAAAAAAAeAQAAGRycy9kb3ducmV2LnhtbFBL&#10;BQYAAAAABAAEAPMAAACABQAAAAA=&#10;"/>
                  </w:pict>
                </mc:Fallback>
              </mc:AlternateContent>
            </w:r>
          </w:p>
        </w:tc>
        <w:tc>
          <w:tcPr>
            <w:tcW w:w="2254" w:type="dxa"/>
            <w:vMerge w:val="restart"/>
            <w:shd w:val="clear" w:color="auto" w:fill="auto"/>
            <w:noWrap/>
            <w:vAlign w:val="center"/>
            <w:hideMark/>
          </w:tcPr>
          <w:p w14:paraId="315AACB7" w14:textId="77777777" w:rsidR="00D85FB3" w:rsidRPr="00D85FB3" w:rsidRDefault="00D85FB3" w:rsidP="00777AD8">
            <w:pPr>
              <w:spacing w:after="0" w:line="240" w:lineRule="auto"/>
              <w:ind w:left="680"/>
              <w:jc w:val="center"/>
              <w:rPr>
                <w:rFonts w:ascii="Arial" w:eastAsia="Times New Roman" w:hAnsi="Arial" w:cs="Arial"/>
                <w:color w:val="000000"/>
              </w:rPr>
            </w:pPr>
            <w:r w:rsidRPr="00D85FB3">
              <w:rPr>
                <w:rFonts w:ascii="Arial" w:eastAsia="Times New Roman" w:hAnsi="Arial" w:cs="Arial"/>
                <w:color w:val="000000"/>
              </w:rPr>
              <w:t>x  100  Maximum Score      Available</w:t>
            </w:r>
          </w:p>
        </w:tc>
      </w:tr>
      <w:tr w:rsidR="00D85FB3" w:rsidRPr="00D85FB3" w14:paraId="6D0C5A93" w14:textId="77777777" w:rsidTr="00777AD8">
        <w:trPr>
          <w:trHeight w:val="547"/>
        </w:trPr>
        <w:tc>
          <w:tcPr>
            <w:tcW w:w="2119" w:type="dxa"/>
            <w:vMerge/>
            <w:vAlign w:val="center"/>
            <w:hideMark/>
          </w:tcPr>
          <w:p w14:paraId="7477618F" w14:textId="77777777" w:rsidR="00D85FB3" w:rsidRPr="00D85FB3" w:rsidRDefault="00D85FB3" w:rsidP="00777AD8">
            <w:pPr>
              <w:spacing w:after="0" w:line="240" w:lineRule="auto"/>
              <w:ind w:left="680"/>
              <w:rPr>
                <w:rFonts w:ascii="Arial" w:eastAsia="Times New Roman" w:hAnsi="Arial" w:cs="Arial"/>
                <w:color w:val="000000"/>
              </w:rPr>
            </w:pPr>
          </w:p>
        </w:tc>
        <w:tc>
          <w:tcPr>
            <w:tcW w:w="3580" w:type="dxa"/>
            <w:shd w:val="clear" w:color="auto" w:fill="auto"/>
            <w:noWrap/>
            <w:vAlign w:val="center"/>
            <w:hideMark/>
          </w:tcPr>
          <w:p w14:paraId="22E69C9E" w14:textId="592756F8" w:rsidR="00D85FB3" w:rsidRPr="00D85FB3" w:rsidRDefault="00D85FB3" w:rsidP="00777AD8">
            <w:pPr>
              <w:pStyle w:val="BodyText"/>
              <w:spacing w:line="197" w:lineRule="exact"/>
              <w:ind w:left="720"/>
              <w:jc w:val="center"/>
              <w:rPr>
                <w:rFonts w:cs="Arial"/>
                <w:color w:val="000000"/>
                <w:sz w:val="22"/>
                <w:szCs w:val="22"/>
              </w:rPr>
            </w:pPr>
            <w:r w:rsidRPr="00D85FB3">
              <w:rPr>
                <w:rFonts w:cs="Arial"/>
                <w:spacing w:val="1"/>
                <w:sz w:val="22"/>
                <w:szCs w:val="22"/>
              </w:rPr>
              <w:t xml:space="preserve">Potential Providers </w:t>
            </w:r>
            <w:r w:rsidRPr="00D85FB3">
              <w:rPr>
                <w:rFonts w:cs="Arial"/>
                <w:color w:val="000000"/>
                <w:sz w:val="22"/>
                <w:szCs w:val="22"/>
              </w:rPr>
              <w:t>‘Total of Weighted Day Rates’</w:t>
            </w:r>
            <w:r w:rsidRPr="00D85FB3">
              <w:rPr>
                <w:rFonts w:cs="Arial"/>
                <w:spacing w:val="1"/>
                <w:sz w:val="22"/>
                <w:szCs w:val="22"/>
              </w:rPr>
              <w:t xml:space="preserve"> Tendered Price  </w:t>
            </w:r>
          </w:p>
        </w:tc>
        <w:tc>
          <w:tcPr>
            <w:tcW w:w="2254" w:type="dxa"/>
            <w:vMerge/>
            <w:vAlign w:val="center"/>
            <w:hideMark/>
          </w:tcPr>
          <w:p w14:paraId="04132202" w14:textId="77777777" w:rsidR="00D85FB3" w:rsidRPr="00D85FB3" w:rsidRDefault="00D85FB3" w:rsidP="00777AD8">
            <w:pPr>
              <w:spacing w:after="0" w:line="240" w:lineRule="auto"/>
              <w:ind w:left="680"/>
              <w:rPr>
                <w:rFonts w:ascii="Arial" w:eastAsia="Times New Roman" w:hAnsi="Arial" w:cs="Arial"/>
                <w:color w:val="000000"/>
              </w:rPr>
            </w:pPr>
          </w:p>
        </w:tc>
      </w:tr>
      <w:tr w:rsidR="00D85FB3" w:rsidRPr="00D85FB3" w14:paraId="6F9F7DE2" w14:textId="77777777" w:rsidTr="00777AD8">
        <w:trPr>
          <w:trHeight w:val="547"/>
        </w:trPr>
        <w:tc>
          <w:tcPr>
            <w:tcW w:w="2119" w:type="dxa"/>
            <w:vAlign w:val="center"/>
          </w:tcPr>
          <w:p w14:paraId="0DFBADEB" w14:textId="77777777" w:rsidR="00D85FB3" w:rsidRPr="00D85FB3" w:rsidRDefault="00D85FB3" w:rsidP="00777AD8">
            <w:pPr>
              <w:spacing w:after="0" w:line="240" w:lineRule="auto"/>
              <w:rPr>
                <w:rFonts w:ascii="Arial" w:eastAsia="Times New Roman" w:hAnsi="Arial" w:cs="Arial"/>
                <w:color w:val="000000"/>
              </w:rPr>
            </w:pPr>
          </w:p>
        </w:tc>
        <w:tc>
          <w:tcPr>
            <w:tcW w:w="3580" w:type="dxa"/>
            <w:shd w:val="clear" w:color="auto" w:fill="auto"/>
            <w:noWrap/>
            <w:vAlign w:val="center"/>
          </w:tcPr>
          <w:p w14:paraId="0B4BD53C" w14:textId="77777777" w:rsidR="00D85FB3" w:rsidRPr="00D85FB3" w:rsidRDefault="00D85FB3" w:rsidP="00777AD8">
            <w:pPr>
              <w:pStyle w:val="BodyText"/>
              <w:spacing w:line="197" w:lineRule="exact"/>
              <w:ind w:left="720"/>
              <w:jc w:val="center"/>
              <w:rPr>
                <w:rFonts w:cs="Arial"/>
                <w:spacing w:val="1"/>
                <w:sz w:val="22"/>
                <w:szCs w:val="22"/>
              </w:rPr>
            </w:pPr>
          </w:p>
        </w:tc>
        <w:tc>
          <w:tcPr>
            <w:tcW w:w="2254" w:type="dxa"/>
            <w:vAlign w:val="center"/>
          </w:tcPr>
          <w:p w14:paraId="77400F7F" w14:textId="77777777" w:rsidR="00D85FB3" w:rsidRPr="00D85FB3" w:rsidRDefault="00D85FB3" w:rsidP="00777AD8">
            <w:pPr>
              <w:spacing w:after="0" w:line="240" w:lineRule="auto"/>
              <w:ind w:left="680"/>
              <w:rPr>
                <w:rFonts w:ascii="Arial" w:eastAsia="Times New Roman" w:hAnsi="Arial" w:cs="Arial"/>
                <w:color w:val="000000"/>
              </w:rPr>
            </w:pPr>
          </w:p>
        </w:tc>
      </w:tr>
    </w:tbl>
    <w:p w14:paraId="099AE5D9" w14:textId="77777777" w:rsidR="0001357C" w:rsidRPr="00D85FB3" w:rsidRDefault="0001357C" w:rsidP="0001357C">
      <w:pPr>
        <w:rPr>
          <w:rFonts w:ascii="Arial" w:hAnsi="Arial" w:cs="Arial"/>
        </w:rPr>
      </w:pPr>
    </w:p>
    <w:p w14:paraId="37C78CF5" w14:textId="77777777" w:rsidR="00D85FB3" w:rsidRPr="00D85FB3" w:rsidRDefault="00D85FB3" w:rsidP="0001357C">
      <w:pPr>
        <w:rPr>
          <w:rFonts w:ascii="Arial" w:hAnsi="Arial" w:cs="Arial"/>
        </w:rPr>
      </w:pPr>
    </w:p>
    <w:p w14:paraId="7D77565C" w14:textId="77777777" w:rsidR="00D85FB3" w:rsidRPr="00D85FB3" w:rsidRDefault="00D85FB3" w:rsidP="0001357C">
      <w:pPr>
        <w:rPr>
          <w:rFonts w:ascii="Arial" w:hAnsi="Arial" w:cs="Arial"/>
        </w:rPr>
      </w:pPr>
    </w:p>
    <w:p w14:paraId="663912F0" w14:textId="77777777" w:rsidR="00D85FB3" w:rsidRPr="00D85FB3" w:rsidRDefault="00D85FB3" w:rsidP="0001357C">
      <w:pPr>
        <w:rPr>
          <w:rFonts w:ascii="Arial" w:hAnsi="Arial" w:cs="Arial"/>
        </w:rPr>
      </w:pPr>
    </w:p>
    <w:p w14:paraId="3698636B" w14:textId="6E616287" w:rsidR="00D85FB3" w:rsidRPr="00D85FB3" w:rsidRDefault="00D85FB3" w:rsidP="00D85FB3">
      <w:pPr>
        <w:pStyle w:val="ListParagraph"/>
        <w:numPr>
          <w:ilvl w:val="1"/>
          <w:numId w:val="5"/>
        </w:numPr>
        <w:rPr>
          <w:rFonts w:cs="Arial"/>
          <w:sz w:val="22"/>
          <w:szCs w:val="22"/>
        </w:rPr>
      </w:pPr>
      <w:r w:rsidRPr="00D85FB3">
        <w:rPr>
          <w:rFonts w:cs="Arial"/>
          <w:sz w:val="22"/>
          <w:szCs w:val="22"/>
        </w:rPr>
        <w:t xml:space="preserve">Using the ‘Total of Weighted Day Rates’ detailed in paragraph 1.4 of this annex and the formula in 1.5 of this annex the following </w:t>
      </w:r>
      <w:r w:rsidR="001253D6" w:rsidRPr="00D85FB3">
        <w:rPr>
          <w:rFonts w:cs="Arial"/>
          <w:sz w:val="22"/>
          <w:szCs w:val="22"/>
        </w:rPr>
        <w:t>calculations</w:t>
      </w:r>
      <w:r w:rsidRPr="00D85FB3">
        <w:rPr>
          <w:rFonts w:cs="Arial"/>
          <w:sz w:val="22"/>
          <w:szCs w:val="22"/>
        </w:rPr>
        <w:t xml:space="preserve"> will be carried out by the Agent for each Potential Provider as part of the Price Evaluation Process:</w:t>
      </w:r>
    </w:p>
    <w:p w14:paraId="583E2282" w14:textId="77777777" w:rsidR="00D85FB3" w:rsidRPr="00D85FB3" w:rsidRDefault="00D85FB3" w:rsidP="00D85FB3">
      <w:pPr>
        <w:pStyle w:val="ListParagraph"/>
        <w:rPr>
          <w:rFonts w:cs="Arial"/>
          <w:sz w:val="22"/>
          <w:szCs w:val="22"/>
        </w:rPr>
      </w:pPr>
    </w:p>
    <w:p w14:paraId="4C6261E7" w14:textId="5D05BBB1" w:rsidR="00D85FB3" w:rsidRPr="00D85FB3" w:rsidRDefault="00D85FB3" w:rsidP="00D85FB3">
      <w:pPr>
        <w:pStyle w:val="ListParagraph"/>
        <w:rPr>
          <w:rFonts w:cs="Arial"/>
          <w:color w:val="000000"/>
          <w:sz w:val="22"/>
          <w:szCs w:val="22"/>
        </w:rPr>
      </w:pPr>
      <w:r w:rsidRPr="00D85FB3">
        <w:rPr>
          <w:rFonts w:cs="Arial"/>
          <w:sz w:val="22"/>
          <w:szCs w:val="22"/>
        </w:rPr>
        <w:t>Potential Provider A: £335</w:t>
      </w:r>
      <w:r w:rsidR="00413101">
        <w:rPr>
          <w:rFonts w:cs="Arial"/>
          <w:sz w:val="22"/>
          <w:szCs w:val="22"/>
        </w:rPr>
        <w:t>.00</w:t>
      </w:r>
      <w:r w:rsidRPr="00D85FB3">
        <w:rPr>
          <w:rFonts w:cs="Arial"/>
          <w:sz w:val="22"/>
          <w:szCs w:val="22"/>
        </w:rPr>
        <w:t xml:space="preserve"> (</w:t>
      </w:r>
      <w:r w:rsidRPr="00D85FB3">
        <w:rPr>
          <w:rFonts w:cs="Arial"/>
          <w:color w:val="000000"/>
          <w:sz w:val="22"/>
          <w:szCs w:val="22"/>
        </w:rPr>
        <w:t>Lowest ‘Total of Weighted Day Rates’ Tendered Price) / £410</w:t>
      </w:r>
      <w:r w:rsidR="00413101">
        <w:rPr>
          <w:rFonts w:cs="Arial"/>
          <w:color w:val="000000"/>
          <w:sz w:val="22"/>
          <w:szCs w:val="22"/>
        </w:rPr>
        <w:t>.18</w:t>
      </w:r>
      <w:r w:rsidRPr="00D85FB3">
        <w:rPr>
          <w:rFonts w:cs="Arial"/>
          <w:color w:val="000000"/>
          <w:sz w:val="22"/>
          <w:szCs w:val="22"/>
        </w:rPr>
        <w:t xml:space="preserve"> (Potential Provider A’s ‘Total of Weighted Day Rate</w:t>
      </w:r>
      <w:r w:rsidR="00413101">
        <w:rPr>
          <w:rFonts w:cs="Arial"/>
          <w:color w:val="000000"/>
          <w:sz w:val="22"/>
          <w:szCs w:val="22"/>
        </w:rPr>
        <w:t>s’ Tendered Price) * 100 = 81.67</w:t>
      </w:r>
    </w:p>
    <w:p w14:paraId="5703EC19" w14:textId="5F766A6B" w:rsidR="00D85FB3" w:rsidRPr="00D85FB3" w:rsidRDefault="00D85FB3" w:rsidP="00D85FB3">
      <w:pPr>
        <w:ind w:left="709"/>
        <w:rPr>
          <w:rFonts w:ascii="Arial" w:hAnsi="Arial" w:cs="Arial"/>
          <w:color w:val="000000"/>
        </w:rPr>
      </w:pPr>
      <w:r w:rsidRPr="00D85FB3">
        <w:rPr>
          <w:rFonts w:ascii="Arial" w:hAnsi="Arial" w:cs="Arial"/>
        </w:rPr>
        <w:lastRenderedPageBreak/>
        <w:t>Potential Provider B: £335</w:t>
      </w:r>
      <w:r w:rsidR="00413101">
        <w:rPr>
          <w:rFonts w:ascii="Arial" w:hAnsi="Arial" w:cs="Arial"/>
        </w:rPr>
        <w:t>.00</w:t>
      </w:r>
      <w:r w:rsidRPr="00D85FB3">
        <w:rPr>
          <w:rFonts w:ascii="Arial" w:hAnsi="Arial" w:cs="Arial"/>
        </w:rPr>
        <w:t xml:space="preserve"> (</w:t>
      </w:r>
      <w:r w:rsidRPr="00D85FB3">
        <w:rPr>
          <w:rFonts w:ascii="Arial" w:eastAsia="Times New Roman" w:hAnsi="Arial" w:cs="Arial"/>
          <w:color w:val="000000"/>
        </w:rPr>
        <w:t>Lowest ‘Total of Weighted Day Rates’ Tendered Price</w:t>
      </w:r>
      <w:r w:rsidRPr="00D85FB3">
        <w:rPr>
          <w:rFonts w:ascii="Arial" w:hAnsi="Arial" w:cs="Arial"/>
          <w:color w:val="000000"/>
        </w:rPr>
        <w:t>) / £335</w:t>
      </w:r>
      <w:r w:rsidR="00413101">
        <w:rPr>
          <w:rFonts w:ascii="Arial" w:hAnsi="Arial" w:cs="Arial"/>
          <w:color w:val="000000"/>
        </w:rPr>
        <w:t>.00</w:t>
      </w:r>
      <w:r w:rsidRPr="00D85FB3">
        <w:rPr>
          <w:rFonts w:ascii="Arial" w:hAnsi="Arial" w:cs="Arial"/>
          <w:color w:val="000000"/>
        </w:rPr>
        <w:t xml:space="preserve"> (Potential Provider B’s </w:t>
      </w:r>
      <w:r w:rsidRPr="00D85FB3">
        <w:rPr>
          <w:rFonts w:ascii="Arial" w:eastAsia="Times New Roman" w:hAnsi="Arial" w:cs="Arial"/>
          <w:color w:val="000000"/>
        </w:rPr>
        <w:t>‘Total of Weighted Day Rates’ Tendered Price</w:t>
      </w:r>
      <w:r w:rsidRPr="00D85FB3">
        <w:rPr>
          <w:rFonts w:ascii="Arial" w:hAnsi="Arial" w:cs="Arial"/>
          <w:color w:val="000000"/>
        </w:rPr>
        <w:t>) * 100 = 100.00</w:t>
      </w:r>
    </w:p>
    <w:p w14:paraId="7B3F0D69" w14:textId="70C32CC3" w:rsidR="00D85FB3" w:rsidRDefault="00D85FB3" w:rsidP="00D85FB3">
      <w:pPr>
        <w:pStyle w:val="ListParagraph"/>
        <w:rPr>
          <w:rFonts w:cs="Arial"/>
          <w:color w:val="000000"/>
          <w:sz w:val="22"/>
          <w:szCs w:val="22"/>
        </w:rPr>
      </w:pPr>
      <w:r w:rsidRPr="00D85FB3">
        <w:rPr>
          <w:rFonts w:cs="Arial"/>
          <w:sz w:val="22"/>
          <w:szCs w:val="22"/>
        </w:rPr>
        <w:t>Potential Provider C: £335</w:t>
      </w:r>
      <w:r w:rsidR="00413101">
        <w:rPr>
          <w:rFonts w:cs="Arial"/>
          <w:sz w:val="22"/>
          <w:szCs w:val="22"/>
        </w:rPr>
        <w:t>.00</w:t>
      </w:r>
      <w:r w:rsidRPr="00D85FB3">
        <w:rPr>
          <w:rFonts w:cs="Arial"/>
          <w:sz w:val="22"/>
          <w:szCs w:val="22"/>
        </w:rPr>
        <w:t xml:space="preserve"> (</w:t>
      </w:r>
      <w:r w:rsidRPr="00D85FB3">
        <w:rPr>
          <w:rFonts w:cs="Arial"/>
          <w:color w:val="000000"/>
          <w:sz w:val="22"/>
          <w:szCs w:val="22"/>
        </w:rPr>
        <w:t>Lowest ‘Total of Weighted D</w:t>
      </w:r>
      <w:r w:rsidR="00413101">
        <w:rPr>
          <w:rFonts w:cs="Arial"/>
          <w:color w:val="000000"/>
          <w:sz w:val="22"/>
          <w:szCs w:val="22"/>
        </w:rPr>
        <w:t xml:space="preserve">ay </w:t>
      </w:r>
      <w:r w:rsidR="00FB5E4D">
        <w:rPr>
          <w:rFonts w:cs="Arial"/>
          <w:color w:val="000000"/>
          <w:sz w:val="22"/>
          <w:szCs w:val="22"/>
        </w:rPr>
        <w:t>Rates’ Tendered Price) / £478.01</w:t>
      </w:r>
      <w:r w:rsidRPr="00D85FB3">
        <w:rPr>
          <w:rFonts w:cs="Arial"/>
          <w:color w:val="000000"/>
          <w:sz w:val="22"/>
          <w:szCs w:val="22"/>
        </w:rPr>
        <w:t xml:space="preserve"> (Potential Provider A’s ‘Total of Weighted Day Rate</w:t>
      </w:r>
      <w:r w:rsidR="00FB5E4D">
        <w:rPr>
          <w:rFonts w:cs="Arial"/>
          <w:color w:val="000000"/>
          <w:sz w:val="22"/>
          <w:szCs w:val="22"/>
        </w:rPr>
        <w:t>s’ Tendered Price) * 100 = 70.08</w:t>
      </w:r>
    </w:p>
    <w:p w14:paraId="667C2084" w14:textId="77777777" w:rsidR="00A048D0" w:rsidRDefault="00A048D0" w:rsidP="00D85FB3">
      <w:pPr>
        <w:pStyle w:val="ListParagraph"/>
        <w:rPr>
          <w:rFonts w:cs="Arial"/>
          <w:color w:val="000000"/>
          <w:sz w:val="22"/>
          <w:szCs w:val="22"/>
        </w:rPr>
      </w:pPr>
    </w:p>
    <w:p w14:paraId="42F85367" w14:textId="6DC58223" w:rsidR="00A048D0" w:rsidRDefault="00A048D0" w:rsidP="00A048D0">
      <w:pPr>
        <w:pStyle w:val="ListParagraph"/>
        <w:numPr>
          <w:ilvl w:val="1"/>
          <w:numId w:val="5"/>
        </w:numPr>
        <w:rPr>
          <w:rFonts w:cs="Arial"/>
          <w:color w:val="000000"/>
          <w:sz w:val="22"/>
          <w:szCs w:val="22"/>
        </w:rPr>
      </w:pPr>
      <w:r>
        <w:rPr>
          <w:rFonts w:cs="Arial"/>
          <w:color w:val="000000"/>
          <w:sz w:val="22"/>
          <w:szCs w:val="22"/>
        </w:rPr>
        <w:t xml:space="preserve">The Price Score will then be calculated by applying the Price </w:t>
      </w:r>
      <w:r w:rsidR="00C12583">
        <w:rPr>
          <w:rFonts w:cs="Arial"/>
          <w:color w:val="000000"/>
          <w:sz w:val="22"/>
          <w:szCs w:val="22"/>
        </w:rPr>
        <w:t>Evaluation weighting</w:t>
      </w:r>
      <w:r>
        <w:rPr>
          <w:rFonts w:cs="Arial"/>
          <w:color w:val="000000"/>
          <w:sz w:val="22"/>
          <w:szCs w:val="22"/>
        </w:rPr>
        <w:t xml:space="preserve"> of 30%</w:t>
      </w:r>
      <w:r w:rsidR="00C12583">
        <w:rPr>
          <w:rFonts w:cs="Arial"/>
          <w:color w:val="000000"/>
          <w:sz w:val="22"/>
          <w:szCs w:val="22"/>
        </w:rPr>
        <w:t>.</w:t>
      </w:r>
    </w:p>
    <w:p w14:paraId="39BE0969" w14:textId="77777777" w:rsidR="00D85FB3" w:rsidRDefault="00D85FB3" w:rsidP="00D85FB3">
      <w:pPr>
        <w:pStyle w:val="ListParagraph"/>
        <w:rPr>
          <w:rFonts w:cs="Arial"/>
          <w:color w:val="000000"/>
          <w:sz w:val="22"/>
          <w:szCs w:val="22"/>
        </w:rPr>
      </w:pPr>
    </w:p>
    <w:p w14:paraId="3269E8A8" w14:textId="59467CAC" w:rsidR="00A048D0" w:rsidRDefault="00413101" w:rsidP="00D85FB3">
      <w:pPr>
        <w:pStyle w:val="ListParagraph"/>
        <w:rPr>
          <w:rFonts w:cs="Arial"/>
          <w:color w:val="000000"/>
          <w:sz w:val="22"/>
          <w:szCs w:val="22"/>
        </w:rPr>
      </w:pPr>
      <w:r>
        <w:rPr>
          <w:rFonts w:cs="Arial"/>
          <w:color w:val="000000"/>
          <w:sz w:val="22"/>
          <w:szCs w:val="22"/>
        </w:rPr>
        <w:t>Potential Provider A: 81.67</w:t>
      </w:r>
      <w:r w:rsidR="000864B8">
        <w:rPr>
          <w:rFonts w:cs="Arial"/>
          <w:color w:val="000000"/>
          <w:sz w:val="22"/>
          <w:szCs w:val="22"/>
        </w:rPr>
        <w:t xml:space="preserve"> * 30% = 24.50</w:t>
      </w:r>
      <w:r w:rsidR="00A048D0">
        <w:rPr>
          <w:rFonts w:cs="Arial"/>
          <w:color w:val="000000"/>
          <w:sz w:val="22"/>
          <w:szCs w:val="22"/>
        </w:rPr>
        <w:t>%</w:t>
      </w:r>
    </w:p>
    <w:p w14:paraId="240F3732" w14:textId="40F1E42C" w:rsidR="00A048D0" w:rsidRDefault="00A048D0" w:rsidP="00D85FB3">
      <w:pPr>
        <w:pStyle w:val="ListParagraph"/>
        <w:rPr>
          <w:rFonts w:cs="Arial"/>
          <w:color w:val="000000"/>
          <w:sz w:val="22"/>
          <w:szCs w:val="22"/>
        </w:rPr>
      </w:pPr>
      <w:r>
        <w:rPr>
          <w:rFonts w:cs="Arial"/>
          <w:color w:val="000000"/>
          <w:sz w:val="22"/>
          <w:szCs w:val="22"/>
        </w:rPr>
        <w:t>Potential Pr</w:t>
      </w:r>
      <w:r w:rsidR="005A6F5B">
        <w:rPr>
          <w:rFonts w:cs="Arial"/>
          <w:color w:val="000000"/>
          <w:sz w:val="22"/>
          <w:szCs w:val="22"/>
        </w:rPr>
        <w:t>ovider B: 100.00 * 30% = 30.00%</w:t>
      </w:r>
    </w:p>
    <w:p w14:paraId="078A6785" w14:textId="302D946B" w:rsidR="00A048D0" w:rsidRDefault="00413101" w:rsidP="00D85FB3">
      <w:pPr>
        <w:pStyle w:val="ListParagraph"/>
        <w:rPr>
          <w:rFonts w:cs="Arial"/>
          <w:color w:val="000000"/>
          <w:sz w:val="22"/>
          <w:szCs w:val="22"/>
        </w:rPr>
      </w:pPr>
      <w:r>
        <w:rPr>
          <w:rFonts w:cs="Arial"/>
          <w:color w:val="000000"/>
          <w:sz w:val="22"/>
          <w:szCs w:val="22"/>
        </w:rPr>
        <w:t>Potential Provider C: 70.09</w:t>
      </w:r>
      <w:r w:rsidR="00FB5E4D">
        <w:rPr>
          <w:rFonts w:cs="Arial"/>
          <w:color w:val="000000"/>
          <w:sz w:val="22"/>
          <w:szCs w:val="22"/>
        </w:rPr>
        <w:t xml:space="preserve"> * 30% = 21.02</w:t>
      </w:r>
      <w:r w:rsidR="00A048D0">
        <w:rPr>
          <w:rFonts w:cs="Arial"/>
          <w:color w:val="000000"/>
          <w:sz w:val="22"/>
          <w:szCs w:val="22"/>
        </w:rPr>
        <w:t>%</w:t>
      </w:r>
    </w:p>
    <w:p w14:paraId="671EE38F" w14:textId="77777777" w:rsidR="00C12583" w:rsidRDefault="00C12583" w:rsidP="00D85FB3">
      <w:pPr>
        <w:pStyle w:val="ListParagraph"/>
        <w:rPr>
          <w:rFonts w:cs="Arial"/>
          <w:color w:val="000000"/>
          <w:sz w:val="22"/>
          <w:szCs w:val="22"/>
        </w:rPr>
      </w:pPr>
    </w:p>
    <w:p w14:paraId="513F19F2" w14:textId="597BB01D" w:rsidR="00C12583" w:rsidRPr="00C12583" w:rsidRDefault="00C12583" w:rsidP="00C12583">
      <w:pPr>
        <w:pStyle w:val="ListParagraph"/>
        <w:numPr>
          <w:ilvl w:val="1"/>
          <w:numId w:val="5"/>
        </w:numPr>
        <w:rPr>
          <w:rFonts w:cs="Arial"/>
          <w:sz w:val="22"/>
          <w:szCs w:val="22"/>
        </w:rPr>
      </w:pPr>
      <w:r>
        <w:rPr>
          <w:rFonts w:cs="Arial"/>
          <w:sz w:val="22"/>
          <w:szCs w:val="22"/>
        </w:rPr>
        <w:t>Poten</w:t>
      </w:r>
      <w:r w:rsidR="00777AD8">
        <w:rPr>
          <w:rFonts w:cs="Arial"/>
          <w:sz w:val="22"/>
          <w:szCs w:val="22"/>
        </w:rPr>
        <w:t>tial Provider B</w:t>
      </w:r>
      <w:r>
        <w:rPr>
          <w:rFonts w:cs="Arial"/>
          <w:sz w:val="22"/>
          <w:szCs w:val="22"/>
        </w:rPr>
        <w:t xml:space="preserve"> </w:t>
      </w:r>
      <w:r w:rsidRPr="00C12583">
        <w:rPr>
          <w:rFonts w:cs="Arial"/>
          <w:sz w:val="22"/>
          <w:szCs w:val="22"/>
        </w:rPr>
        <w:t>achieve</w:t>
      </w:r>
      <w:r>
        <w:rPr>
          <w:rFonts w:cs="Arial"/>
          <w:sz w:val="22"/>
          <w:szCs w:val="22"/>
        </w:rPr>
        <w:t>d</w:t>
      </w:r>
      <w:r w:rsidRPr="00C12583">
        <w:rPr>
          <w:rFonts w:cs="Arial"/>
          <w:sz w:val="22"/>
          <w:szCs w:val="22"/>
        </w:rPr>
        <w:t xml:space="preserve"> a maximum Price Score of 30.</w:t>
      </w:r>
    </w:p>
    <w:p w14:paraId="60BED6B2" w14:textId="77777777" w:rsidR="00DE5B98" w:rsidRDefault="00DE5B98" w:rsidP="00DE5B98">
      <w:pPr>
        <w:spacing w:after="0" w:line="240" w:lineRule="auto"/>
        <w:rPr>
          <w:rFonts w:ascii="Arial" w:hAnsi="Arial" w:cs="Arial"/>
          <w:sz w:val="20"/>
        </w:rPr>
      </w:pPr>
    </w:p>
    <w:sectPr w:rsidR="00DE5B98" w:rsidSect="00A048D0">
      <w:footerReference w:type="default" r:id="rId2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D65A7" w14:textId="77777777" w:rsidR="009E5D58" w:rsidRPr="00AE4296" w:rsidRDefault="009E5D58" w:rsidP="00AE4296">
      <w:pPr>
        <w:spacing w:after="0" w:line="240" w:lineRule="auto"/>
      </w:pPr>
      <w:r>
        <w:separator/>
      </w:r>
    </w:p>
  </w:endnote>
  <w:endnote w:type="continuationSeparator" w:id="0">
    <w:p w14:paraId="5C5513E0" w14:textId="77777777" w:rsidR="009E5D58" w:rsidRPr="00AE4296" w:rsidRDefault="009E5D58"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56FB1" w14:textId="77777777" w:rsidR="00D6129C" w:rsidRDefault="00D6129C" w:rsidP="00AE4296">
    <w:pPr>
      <w:pStyle w:val="Footer"/>
      <w:pBdr>
        <w:top w:val="single" w:sz="6" w:space="1" w:color="auto"/>
      </w:pBdr>
      <w:tabs>
        <w:tab w:val="right" w:pos="8647"/>
      </w:tabs>
      <w:rPr>
        <w:rFonts w:ascii="Arial" w:hAnsi="Arial" w:cs="Arial"/>
        <w:sz w:val="16"/>
        <w:szCs w:val="16"/>
        <w:highlight w:val="yellow"/>
      </w:rPr>
    </w:pPr>
  </w:p>
  <w:p w14:paraId="2691F09E" w14:textId="7D35A6FB" w:rsidR="00D6129C" w:rsidRDefault="00D6129C" w:rsidP="00D5531E">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Attachment 1 – Invitation to Tender </w:t>
    </w:r>
  </w:p>
  <w:p w14:paraId="5BFD751A" w14:textId="2582600E" w:rsidR="00F245A9" w:rsidRDefault="00F245A9" w:rsidP="00D5531E">
    <w:pPr>
      <w:pStyle w:val="Footer"/>
      <w:pBdr>
        <w:top w:val="single" w:sz="6" w:space="1" w:color="auto"/>
      </w:pBdr>
      <w:tabs>
        <w:tab w:val="right" w:pos="8647"/>
      </w:tabs>
      <w:rPr>
        <w:rFonts w:ascii="Arial" w:hAnsi="Arial" w:cs="Arial"/>
        <w:sz w:val="16"/>
        <w:szCs w:val="16"/>
      </w:rPr>
    </w:pPr>
    <w:r>
      <w:rPr>
        <w:rFonts w:ascii="Arial" w:hAnsi="Arial" w:cs="Arial"/>
        <w:sz w:val="16"/>
        <w:szCs w:val="16"/>
      </w:rPr>
      <w:t>RM4681</w:t>
    </w:r>
  </w:p>
  <w:p w14:paraId="3A4AB996" w14:textId="278CDDC0" w:rsidR="00D6129C" w:rsidRDefault="00D6129C" w:rsidP="00D5531E">
    <w:pPr>
      <w:pStyle w:val="Footer"/>
      <w:pBdr>
        <w:top w:val="single" w:sz="6" w:space="1" w:color="auto"/>
      </w:pBdr>
      <w:tabs>
        <w:tab w:val="right" w:pos="8647"/>
      </w:tabs>
      <w:rPr>
        <w:rFonts w:ascii="Arial" w:hAnsi="Arial" w:cs="Arial"/>
        <w:sz w:val="16"/>
        <w:szCs w:val="16"/>
      </w:rPr>
    </w:pPr>
    <w:r>
      <w:rPr>
        <w:rFonts w:ascii="Arial" w:hAnsi="Arial" w:cs="Arial"/>
        <w:sz w:val="16"/>
        <w:szCs w:val="16"/>
      </w:rPr>
      <w:t>Service Provision for Financial Mana</w:t>
    </w:r>
    <w:r w:rsidR="00F245A9">
      <w:rPr>
        <w:rFonts w:ascii="Arial" w:hAnsi="Arial" w:cs="Arial"/>
        <w:sz w:val="16"/>
        <w:szCs w:val="16"/>
      </w:rPr>
      <w:t>gement Reform Costing Programme</w:t>
    </w:r>
  </w:p>
  <w:p w14:paraId="276E386C" w14:textId="4A775070" w:rsidR="00D6129C" w:rsidRPr="00D5531E" w:rsidRDefault="00D6129C" w:rsidP="00D5531E">
    <w:pPr>
      <w:pStyle w:val="Footer"/>
      <w:pBdr>
        <w:top w:val="single" w:sz="6" w:space="1" w:color="auto"/>
      </w:pBdr>
      <w:tabs>
        <w:tab w:val="right" w:pos="8647"/>
      </w:tabs>
      <w:rPr>
        <w:rFonts w:ascii="Arial" w:hAnsi="Arial" w:cs="Arial"/>
        <w:sz w:val="16"/>
        <w:szCs w:val="16"/>
      </w:rPr>
    </w:pPr>
    <w:r>
      <w:rPr>
        <w:rFonts w:ascii="Arial" w:hAnsi="Arial" w:cs="Arial"/>
        <w:sz w:val="16"/>
        <w:szCs w:val="16"/>
      </w:rPr>
      <w:t>Version 1</w:t>
    </w:r>
  </w:p>
  <w:p w14:paraId="6C46145D" w14:textId="1B57F811" w:rsidR="00D6129C" w:rsidRDefault="00D6129C" w:rsidP="00B31377">
    <w:pPr>
      <w:pStyle w:val="Footer"/>
      <w:pBdr>
        <w:top w:val="single" w:sz="6" w:space="1" w:color="auto"/>
      </w:pBdr>
      <w:tabs>
        <w:tab w:val="right" w:pos="8647"/>
      </w:tabs>
      <w:jc w:val="center"/>
      <w:rPr>
        <w:rFonts w:ascii="Arial" w:hAnsi="Arial" w:cs="Arial"/>
        <w:sz w:val="16"/>
        <w:szCs w:val="16"/>
      </w:rPr>
    </w:pPr>
    <w:r w:rsidRPr="004E3013">
      <w:rPr>
        <w:rFonts w:ascii="Arial" w:hAnsi="Arial" w:cs="Arial"/>
        <w:sz w:val="16"/>
        <w:szCs w:val="16"/>
      </w:rPr>
      <w:fldChar w:fldCharType="begin"/>
    </w:r>
    <w:r w:rsidRPr="004E3013">
      <w:rPr>
        <w:rFonts w:ascii="Arial" w:hAnsi="Arial" w:cs="Arial"/>
        <w:sz w:val="16"/>
        <w:szCs w:val="16"/>
      </w:rPr>
      <w:instrText xml:space="preserve"> PAGE   \* MERGEFORMAT </w:instrText>
    </w:r>
    <w:r w:rsidRPr="004E3013">
      <w:rPr>
        <w:rFonts w:ascii="Arial" w:hAnsi="Arial" w:cs="Arial"/>
        <w:sz w:val="16"/>
        <w:szCs w:val="16"/>
      </w:rPr>
      <w:fldChar w:fldCharType="separate"/>
    </w:r>
    <w:r w:rsidR="00E32574">
      <w:rPr>
        <w:rFonts w:ascii="Arial" w:hAnsi="Arial" w:cs="Arial"/>
        <w:noProof/>
        <w:sz w:val="16"/>
        <w:szCs w:val="16"/>
      </w:rPr>
      <w:t>33</w:t>
    </w:r>
    <w:r w:rsidRPr="004E3013">
      <w:rPr>
        <w:rFonts w:ascii="Arial" w:hAnsi="Arial" w:cs="Arial"/>
        <w:noProof/>
        <w:sz w:val="16"/>
        <w:szCs w:val="16"/>
      </w:rPr>
      <w:fldChar w:fldCharType="end"/>
    </w:r>
  </w:p>
  <w:p w14:paraId="28405ABD" w14:textId="5E55C448" w:rsidR="00D6129C" w:rsidRPr="00AE4296" w:rsidRDefault="00D6129C" w:rsidP="00AE4296">
    <w:pPr>
      <w:pStyle w:val="Footer"/>
      <w:pBdr>
        <w:top w:val="single" w:sz="6" w:space="1" w:color="auto"/>
      </w:pBdr>
      <w:tabs>
        <w:tab w:val="right" w:pos="8647"/>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F3329" w14:textId="77777777" w:rsidR="009E5D58" w:rsidRPr="00AE4296" w:rsidRDefault="009E5D58" w:rsidP="00AE4296">
      <w:pPr>
        <w:spacing w:after="0" w:line="240" w:lineRule="auto"/>
      </w:pPr>
      <w:r>
        <w:separator/>
      </w:r>
    </w:p>
  </w:footnote>
  <w:footnote w:type="continuationSeparator" w:id="0">
    <w:p w14:paraId="4857066F" w14:textId="77777777" w:rsidR="009E5D58" w:rsidRPr="00AE4296" w:rsidRDefault="009E5D58" w:rsidP="00AE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nsid w:val="048805D2"/>
    <w:multiLevelType w:val="multilevel"/>
    <w:tmpl w:val="D2BC35F6"/>
    <w:lvl w:ilvl="0">
      <w:start w:val="1"/>
      <w:numFmt w:val="decimal"/>
      <w:lvlRestart w:val="0"/>
      <w:lvlText w:val="%1."/>
      <w:lvlJc w:val="left"/>
      <w:pPr>
        <w:tabs>
          <w:tab w:val="num" w:pos="1304"/>
        </w:tabs>
        <w:ind w:left="1304" w:hanging="737"/>
      </w:pPr>
      <w:rPr>
        <w:rFonts w:cs="Times New Roman" w:hint="default"/>
        <w:caps w:val="0"/>
        <w:effect w:val="none"/>
      </w:rPr>
    </w:lvl>
    <w:lvl w:ilvl="1">
      <w:start w:val="1"/>
      <w:numFmt w:val="bullet"/>
      <w:lvlText w:val=""/>
      <w:lvlJc w:val="left"/>
      <w:pPr>
        <w:tabs>
          <w:tab w:val="num" w:pos="3289"/>
        </w:tabs>
        <w:ind w:left="3289" w:hanging="737"/>
      </w:pPr>
      <w:rPr>
        <w:rFonts w:ascii="Symbol" w:hAnsi="Symbol" w:hint="default"/>
        <w:b w:val="0"/>
        <w:caps w:val="0"/>
        <w:effect w:val="none"/>
      </w:rPr>
    </w:lvl>
    <w:lvl w:ilvl="2">
      <w:start w:val="1"/>
      <w:numFmt w:val="decimal"/>
      <w:lvlText w:val="%1.%2.%3"/>
      <w:lvlJc w:val="left"/>
      <w:pPr>
        <w:tabs>
          <w:tab w:val="num" w:pos="2438"/>
        </w:tabs>
        <w:ind w:left="2438" w:hanging="737"/>
      </w:pPr>
      <w:rPr>
        <w:rFonts w:cs="Times New Roman" w:hint="default"/>
        <w:b w:val="0"/>
        <w:caps w:val="0"/>
        <w:effect w:val="none"/>
      </w:rPr>
    </w:lvl>
    <w:lvl w:ilvl="3">
      <w:start w:val="1"/>
      <w:numFmt w:val="decimal"/>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nsid w:val="10E564D3"/>
    <w:multiLevelType w:val="multilevel"/>
    <w:tmpl w:val="E5300C28"/>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5981"/>
        </w:tabs>
        <w:ind w:left="5981" w:hanging="737"/>
      </w:pPr>
      <w:rPr>
        <w:rFonts w:ascii="Arial" w:hAnsi="Arial" w:cs="Times New Roman" w:hint="default"/>
        <w:b w:val="0"/>
        <w:caps w:val="0"/>
        <w:effect w:val="none"/>
      </w:rPr>
    </w:lvl>
    <w:lvl w:ilvl="2">
      <w:start w:val="1"/>
      <w:numFmt w:val="decimal"/>
      <w:pStyle w:val="Heading3"/>
      <w:lvlText w:val="%1.%2.%3"/>
      <w:lvlJc w:val="left"/>
      <w:pPr>
        <w:tabs>
          <w:tab w:val="num" w:pos="6266"/>
        </w:tabs>
        <w:ind w:left="6266" w:hanging="737"/>
      </w:pPr>
      <w:rPr>
        <w:rFonts w:ascii="Arial" w:hAnsi="Arial" w:cs="Arial" w:hint="default"/>
        <w:b w:val="0"/>
        <w:caps w:val="0"/>
        <w:color w:val="auto"/>
        <w:effect w:val="none"/>
      </w:rPr>
    </w:lvl>
    <w:lvl w:ilvl="3">
      <w:start w:val="1"/>
      <w:numFmt w:val="decimal"/>
      <w:pStyle w:val="Heading4"/>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nsid w:val="1AA54F55"/>
    <w:multiLevelType w:val="multilevel"/>
    <w:tmpl w:val="F9167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E30FEA"/>
    <w:multiLevelType w:val="hybridMultilevel"/>
    <w:tmpl w:val="5F466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6887168"/>
    <w:multiLevelType w:val="multilevel"/>
    <w:tmpl w:val="94F619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D65E83"/>
    <w:multiLevelType w:val="multilevel"/>
    <w:tmpl w:val="1332CCD4"/>
    <w:numStyleLink w:val="111111"/>
  </w:abstractNum>
  <w:abstractNum w:abstractNumId="8">
    <w:nsid w:val="312223BE"/>
    <w:multiLevelType w:val="hybridMultilevel"/>
    <w:tmpl w:val="85CA3E14"/>
    <w:lvl w:ilvl="0" w:tplc="A7F61532">
      <w:start w:val="1"/>
      <w:numFmt w:val="decimal"/>
      <w:lvlText w:val="5.8.2.%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A7F61532">
      <w:start w:val="1"/>
      <w:numFmt w:val="decimal"/>
      <w:lvlText w:val="5.8.2.%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323FFA"/>
    <w:multiLevelType w:val="hybridMultilevel"/>
    <w:tmpl w:val="562E99DC"/>
    <w:lvl w:ilvl="0" w:tplc="08090001">
      <w:start w:val="1"/>
      <w:numFmt w:val="bullet"/>
      <w:lvlText w:val=""/>
      <w:lvlJc w:val="left"/>
      <w:pPr>
        <w:ind w:left="2554" w:hanging="360"/>
      </w:pPr>
      <w:rPr>
        <w:rFonts w:ascii="Symbol" w:hAnsi="Symbol" w:hint="default"/>
      </w:rPr>
    </w:lvl>
    <w:lvl w:ilvl="1" w:tplc="08090003" w:tentative="1">
      <w:start w:val="1"/>
      <w:numFmt w:val="bullet"/>
      <w:lvlText w:val="o"/>
      <w:lvlJc w:val="left"/>
      <w:pPr>
        <w:ind w:left="3274" w:hanging="360"/>
      </w:pPr>
      <w:rPr>
        <w:rFonts w:ascii="Courier New" w:hAnsi="Courier New" w:cs="Courier New" w:hint="default"/>
      </w:rPr>
    </w:lvl>
    <w:lvl w:ilvl="2" w:tplc="08090005" w:tentative="1">
      <w:start w:val="1"/>
      <w:numFmt w:val="bullet"/>
      <w:lvlText w:val=""/>
      <w:lvlJc w:val="left"/>
      <w:pPr>
        <w:ind w:left="3994" w:hanging="360"/>
      </w:pPr>
      <w:rPr>
        <w:rFonts w:ascii="Wingdings" w:hAnsi="Wingdings" w:hint="default"/>
      </w:rPr>
    </w:lvl>
    <w:lvl w:ilvl="3" w:tplc="08090001" w:tentative="1">
      <w:start w:val="1"/>
      <w:numFmt w:val="bullet"/>
      <w:lvlText w:val=""/>
      <w:lvlJc w:val="left"/>
      <w:pPr>
        <w:ind w:left="4714" w:hanging="360"/>
      </w:pPr>
      <w:rPr>
        <w:rFonts w:ascii="Symbol" w:hAnsi="Symbol" w:hint="default"/>
      </w:rPr>
    </w:lvl>
    <w:lvl w:ilvl="4" w:tplc="08090003" w:tentative="1">
      <w:start w:val="1"/>
      <w:numFmt w:val="bullet"/>
      <w:lvlText w:val="o"/>
      <w:lvlJc w:val="left"/>
      <w:pPr>
        <w:ind w:left="5434" w:hanging="360"/>
      </w:pPr>
      <w:rPr>
        <w:rFonts w:ascii="Courier New" w:hAnsi="Courier New" w:cs="Courier New" w:hint="default"/>
      </w:rPr>
    </w:lvl>
    <w:lvl w:ilvl="5" w:tplc="08090005" w:tentative="1">
      <w:start w:val="1"/>
      <w:numFmt w:val="bullet"/>
      <w:lvlText w:val=""/>
      <w:lvlJc w:val="left"/>
      <w:pPr>
        <w:ind w:left="6154" w:hanging="360"/>
      </w:pPr>
      <w:rPr>
        <w:rFonts w:ascii="Wingdings" w:hAnsi="Wingdings" w:hint="default"/>
      </w:rPr>
    </w:lvl>
    <w:lvl w:ilvl="6" w:tplc="08090001" w:tentative="1">
      <w:start w:val="1"/>
      <w:numFmt w:val="bullet"/>
      <w:lvlText w:val=""/>
      <w:lvlJc w:val="left"/>
      <w:pPr>
        <w:ind w:left="6874" w:hanging="360"/>
      </w:pPr>
      <w:rPr>
        <w:rFonts w:ascii="Symbol" w:hAnsi="Symbol" w:hint="default"/>
      </w:rPr>
    </w:lvl>
    <w:lvl w:ilvl="7" w:tplc="08090003" w:tentative="1">
      <w:start w:val="1"/>
      <w:numFmt w:val="bullet"/>
      <w:lvlText w:val="o"/>
      <w:lvlJc w:val="left"/>
      <w:pPr>
        <w:ind w:left="7594" w:hanging="360"/>
      </w:pPr>
      <w:rPr>
        <w:rFonts w:ascii="Courier New" w:hAnsi="Courier New" w:cs="Courier New" w:hint="default"/>
      </w:rPr>
    </w:lvl>
    <w:lvl w:ilvl="8" w:tplc="08090005" w:tentative="1">
      <w:start w:val="1"/>
      <w:numFmt w:val="bullet"/>
      <w:lvlText w:val=""/>
      <w:lvlJc w:val="left"/>
      <w:pPr>
        <w:ind w:left="8314" w:hanging="360"/>
      </w:pPr>
      <w:rPr>
        <w:rFonts w:ascii="Wingdings" w:hAnsi="Wingdings" w:hint="default"/>
      </w:rPr>
    </w:lvl>
  </w:abstractNum>
  <w:abstractNum w:abstractNumId="10">
    <w:nsid w:val="3A7E4225"/>
    <w:multiLevelType w:val="multilevel"/>
    <w:tmpl w:val="AE3012E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lowerLetter"/>
      <w:lvlText w:val="%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nsid w:val="3B242580"/>
    <w:multiLevelType w:val="hybridMultilevel"/>
    <w:tmpl w:val="40709730"/>
    <w:lvl w:ilvl="0" w:tplc="08090001">
      <w:start w:val="1"/>
      <w:numFmt w:val="bullet"/>
      <w:lvlText w:val=""/>
      <w:lvlJc w:val="left"/>
      <w:pPr>
        <w:ind w:left="2089" w:hanging="360"/>
      </w:pPr>
      <w:rPr>
        <w:rFonts w:ascii="Symbol" w:hAnsi="Symbol" w:hint="default"/>
      </w:rPr>
    </w:lvl>
    <w:lvl w:ilvl="1" w:tplc="08090003">
      <w:start w:val="1"/>
      <w:numFmt w:val="bullet"/>
      <w:lvlText w:val="o"/>
      <w:lvlJc w:val="left"/>
      <w:pPr>
        <w:ind w:left="2809" w:hanging="360"/>
      </w:pPr>
      <w:rPr>
        <w:rFonts w:ascii="Courier New" w:hAnsi="Courier New" w:cs="Courier New" w:hint="default"/>
      </w:rPr>
    </w:lvl>
    <w:lvl w:ilvl="2" w:tplc="08090005">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12">
    <w:nsid w:val="58307D5C"/>
    <w:multiLevelType w:val="hybridMultilevel"/>
    <w:tmpl w:val="1F94C2BE"/>
    <w:lvl w:ilvl="0" w:tplc="08090017">
      <w:start w:val="1"/>
      <w:numFmt w:val="lowerLetter"/>
      <w:lvlText w:val="%1)"/>
      <w:lvlJc w:val="left"/>
      <w:pPr>
        <w:ind w:left="3139" w:hanging="360"/>
      </w:pPr>
    </w:lvl>
    <w:lvl w:ilvl="1" w:tplc="08090019" w:tentative="1">
      <w:start w:val="1"/>
      <w:numFmt w:val="lowerLetter"/>
      <w:lvlText w:val="%2."/>
      <w:lvlJc w:val="left"/>
      <w:pPr>
        <w:ind w:left="3859" w:hanging="360"/>
      </w:pPr>
    </w:lvl>
    <w:lvl w:ilvl="2" w:tplc="0809001B" w:tentative="1">
      <w:start w:val="1"/>
      <w:numFmt w:val="lowerRoman"/>
      <w:lvlText w:val="%3."/>
      <w:lvlJc w:val="right"/>
      <w:pPr>
        <w:ind w:left="4579" w:hanging="180"/>
      </w:pPr>
    </w:lvl>
    <w:lvl w:ilvl="3" w:tplc="0809000F" w:tentative="1">
      <w:start w:val="1"/>
      <w:numFmt w:val="decimal"/>
      <w:lvlText w:val="%4."/>
      <w:lvlJc w:val="left"/>
      <w:pPr>
        <w:ind w:left="5299" w:hanging="360"/>
      </w:pPr>
    </w:lvl>
    <w:lvl w:ilvl="4" w:tplc="08090019" w:tentative="1">
      <w:start w:val="1"/>
      <w:numFmt w:val="lowerLetter"/>
      <w:lvlText w:val="%5."/>
      <w:lvlJc w:val="left"/>
      <w:pPr>
        <w:ind w:left="6019" w:hanging="360"/>
      </w:pPr>
    </w:lvl>
    <w:lvl w:ilvl="5" w:tplc="0809001B" w:tentative="1">
      <w:start w:val="1"/>
      <w:numFmt w:val="lowerRoman"/>
      <w:lvlText w:val="%6."/>
      <w:lvlJc w:val="right"/>
      <w:pPr>
        <w:ind w:left="6739" w:hanging="180"/>
      </w:pPr>
    </w:lvl>
    <w:lvl w:ilvl="6" w:tplc="0809000F" w:tentative="1">
      <w:start w:val="1"/>
      <w:numFmt w:val="decimal"/>
      <w:lvlText w:val="%7."/>
      <w:lvlJc w:val="left"/>
      <w:pPr>
        <w:ind w:left="7459" w:hanging="360"/>
      </w:pPr>
    </w:lvl>
    <w:lvl w:ilvl="7" w:tplc="08090019" w:tentative="1">
      <w:start w:val="1"/>
      <w:numFmt w:val="lowerLetter"/>
      <w:lvlText w:val="%8."/>
      <w:lvlJc w:val="left"/>
      <w:pPr>
        <w:ind w:left="8179" w:hanging="360"/>
      </w:pPr>
    </w:lvl>
    <w:lvl w:ilvl="8" w:tplc="0809001B" w:tentative="1">
      <w:start w:val="1"/>
      <w:numFmt w:val="lowerRoman"/>
      <w:lvlText w:val="%9."/>
      <w:lvlJc w:val="right"/>
      <w:pPr>
        <w:ind w:left="8899" w:hanging="180"/>
      </w:pPr>
    </w:lvl>
  </w:abstractNum>
  <w:abstractNum w:abstractNumId="13">
    <w:nsid w:val="678476F5"/>
    <w:multiLevelType w:val="hybridMultilevel"/>
    <w:tmpl w:val="A4746BBE"/>
    <w:lvl w:ilvl="0" w:tplc="08090017">
      <w:start w:val="1"/>
      <w:numFmt w:val="lowerLetter"/>
      <w:lvlText w:val="%1)"/>
      <w:lvlJc w:val="left"/>
      <w:pPr>
        <w:ind w:left="2950" w:hanging="360"/>
      </w:pPr>
    </w:lvl>
    <w:lvl w:ilvl="1" w:tplc="08090019" w:tentative="1">
      <w:start w:val="1"/>
      <w:numFmt w:val="lowerLetter"/>
      <w:lvlText w:val="%2."/>
      <w:lvlJc w:val="left"/>
      <w:pPr>
        <w:ind w:left="3670" w:hanging="360"/>
      </w:pPr>
    </w:lvl>
    <w:lvl w:ilvl="2" w:tplc="0809001B">
      <w:start w:val="1"/>
      <w:numFmt w:val="lowerRoman"/>
      <w:lvlText w:val="%3."/>
      <w:lvlJc w:val="right"/>
      <w:pPr>
        <w:ind w:left="4390" w:hanging="180"/>
      </w:pPr>
    </w:lvl>
    <w:lvl w:ilvl="3" w:tplc="0809000F" w:tentative="1">
      <w:start w:val="1"/>
      <w:numFmt w:val="decimal"/>
      <w:lvlText w:val="%4."/>
      <w:lvlJc w:val="left"/>
      <w:pPr>
        <w:ind w:left="5110" w:hanging="360"/>
      </w:pPr>
    </w:lvl>
    <w:lvl w:ilvl="4" w:tplc="08090019" w:tentative="1">
      <w:start w:val="1"/>
      <w:numFmt w:val="lowerLetter"/>
      <w:lvlText w:val="%5."/>
      <w:lvlJc w:val="left"/>
      <w:pPr>
        <w:ind w:left="5830" w:hanging="360"/>
      </w:pPr>
    </w:lvl>
    <w:lvl w:ilvl="5" w:tplc="0809001B" w:tentative="1">
      <w:start w:val="1"/>
      <w:numFmt w:val="lowerRoman"/>
      <w:lvlText w:val="%6."/>
      <w:lvlJc w:val="right"/>
      <w:pPr>
        <w:ind w:left="6550" w:hanging="180"/>
      </w:pPr>
    </w:lvl>
    <w:lvl w:ilvl="6" w:tplc="0809000F" w:tentative="1">
      <w:start w:val="1"/>
      <w:numFmt w:val="decimal"/>
      <w:lvlText w:val="%7."/>
      <w:lvlJc w:val="left"/>
      <w:pPr>
        <w:ind w:left="7270" w:hanging="360"/>
      </w:pPr>
    </w:lvl>
    <w:lvl w:ilvl="7" w:tplc="08090019" w:tentative="1">
      <w:start w:val="1"/>
      <w:numFmt w:val="lowerLetter"/>
      <w:lvlText w:val="%8."/>
      <w:lvlJc w:val="left"/>
      <w:pPr>
        <w:ind w:left="7990" w:hanging="360"/>
      </w:pPr>
    </w:lvl>
    <w:lvl w:ilvl="8" w:tplc="0809001B" w:tentative="1">
      <w:start w:val="1"/>
      <w:numFmt w:val="lowerRoman"/>
      <w:lvlText w:val="%9."/>
      <w:lvlJc w:val="right"/>
      <w:pPr>
        <w:ind w:left="8710" w:hanging="180"/>
      </w:pPr>
    </w:lvl>
  </w:abstractNum>
  <w:abstractNum w:abstractNumId="14">
    <w:nsid w:val="70634DEB"/>
    <w:multiLevelType w:val="multilevel"/>
    <w:tmpl w:val="F9167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72936E4"/>
    <w:multiLevelType w:val="multilevel"/>
    <w:tmpl w:val="1020DC9E"/>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212" w:hanging="360"/>
      </w:pPr>
      <w:rPr>
        <w:rFonts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C5F1CD8"/>
    <w:multiLevelType w:val="hybridMultilevel"/>
    <w:tmpl w:val="69EAB2E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6"/>
  </w:num>
  <w:num w:numId="6">
    <w:abstractNumId w:val="15"/>
  </w:num>
  <w:num w:numId="7">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9"/>
  </w:num>
  <w:num w:numId="9">
    <w:abstractNumId w:val="16"/>
  </w:num>
  <w:num w:numId="10">
    <w:abstractNumId w:val="4"/>
  </w:num>
  <w:num w:numId="11">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2">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3">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7"/>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3">
    <w:abstractNumId w:val="12"/>
  </w:num>
  <w:num w:numId="24">
    <w:abstractNumId w:val="13"/>
  </w:num>
  <w:num w:numId="25">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5"/>
  </w:num>
  <w:num w:numId="34">
    <w:abstractNumId w:val="14"/>
  </w:num>
  <w:num w:numId="35">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10"/>
  </w:num>
  <w:num w:numId="37">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8">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9">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0">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3">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4">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6F80"/>
    <w:rsid w:val="00007FD8"/>
    <w:rsid w:val="0001357C"/>
    <w:rsid w:val="00015AE4"/>
    <w:rsid w:val="000241EE"/>
    <w:rsid w:val="00024909"/>
    <w:rsid w:val="00024C87"/>
    <w:rsid w:val="00025520"/>
    <w:rsid w:val="00026FB0"/>
    <w:rsid w:val="0003026B"/>
    <w:rsid w:val="00034AB4"/>
    <w:rsid w:val="00035395"/>
    <w:rsid w:val="000376DD"/>
    <w:rsid w:val="00040166"/>
    <w:rsid w:val="00043B85"/>
    <w:rsid w:val="00044B14"/>
    <w:rsid w:val="000465C7"/>
    <w:rsid w:val="000467A5"/>
    <w:rsid w:val="00046AD0"/>
    <w:rsid w:val="000500B2"/>
    <w:rsid w:val="0005574A"/>
    <w:rsid w:val="00057607"/>
    <w:rsid w:val="000630CF"/>
    <w:rsid w:val="00064719"/>
    <w:rsid w:val="000649BF"/>
    <w:rsid w:val="00065B25"/>
    <w:rsid w:val="000703D3"/>
    <w:rsid w:val="00072852"/>
    <w:rsid w:val="000736A4"/>
    <w:rsid w:val="00074060"/>
    <w:rsid w:val="000740CC"/>
    <w:rsid w:val="00074876"/>
    <w:rsid w:val="00077AAA"/>
    <w:rsid w:val="00081378"/>
    <w:rsid w:val="00082A30"/>
    <w:rsid w:val="00083300"/>
    <w:rsid w:val="000864B8"/>
    <w:rsid w:val="0009004F"/>
    <w:rsid w:val="0009178C"/>
    <w:rsid w:val="0009254C"/>
    <w:rsid w:val="00093A3E"/>
    <w:rsid w:val="00097AE7"/>
    <w:rsid w:val="00097DBE"/>
    <w:rsid w:val="000A7A0A"/>
    <w:rsid w:val="000B0C0A"/>
    <w:rsid w:val="000B1DA6"/>
    <w:rsid w:val="000B29F9"/>
    <w:rsid w:val="000B3874"/>
    <w:rsid w:val="000B4F02"/>
    <w:rsid w:val="000B67F6"/>
    <w:rsid w:val="000B71AF"/>
    <w:rsid w:val="000C0BBE"/>
    <w:rsid w:val="000C2933"/>
    <w:rsid w:val="000C3CC8"/>
    <w:rsid w:val="000C724F"/>
    <w:rsid w:val="000D55DC"/>
    <w:rsid w:val="000D59F9"/>
    <w:rsid w:val="000D6319"/>
    <w:rsid w:val="000E076D"/>
    <w:rsid w:val="000E0FF3"/>
    <w:rsid w:val="000E5C42"/>
    <w:rsid w:val="000E6997"/>
    <w:rsid w:val="000E69A7"/>
    <w:rsid w:val="000F03DC"/>
    <w:rsid w:val="000F04CE"/>
    <w:rsid w:val="000F1A58"/>
    <w:rsid w:val="000F3512"/>
    <w:rsid w:val="000F5D2C"/>
    <w:rsid w:val="000F7208"/>
    <w:rsid w:val="000F7E5C"/>
    <w:rsid w:val="000F7FA8"/>
    <w:rsid w:val="00103714"/>
    <w:rsid w:val="00103B7B"/>
    <w:rsid w:val="001046E8"/>
    <w:rsid w:val="0010516D"/>
    <w:rsid w:val="00105F49"/>
    <w:rsid w:val="00111D65"/>
    <w:rsid w:val="00117B75"/>
    <w:rsid w:val="00120659"/>
    <w:rsid w:val="0012192F"/>
    <w:rsid w:val="00121F41"/>
    <w:rsid w:val="00122A99"/>
    <w:rsid w:val="00123266"/>
    <w:rsid w:val="00123E0C"/>
    <w:rsid w:val="001253D6"/>
    <w:rsid w:val="00130DBB"/>
    <w:rsid w:val="00133BAA"/>
    <w:rsid w:val="00135FC9"/>
    <w:rsid w:val="001408ED"/>
    <w:rsid w:val="00144222"/>
    <w:rsid w:val="00144CB3"/>
    <w:rsid w:val="00151912"/>
    <w:rsid w:val="00151F49"/>
    <w:rsid w:val="00155B09"/>
    <w:rsid w:val="00156185"/>
    <w:rsid w:val="00157084"/>
    <w:rsid w:val="00157DBA"/>
    <w:rsid w:val="00157EEC"/>
    <w:rsid w:val="001612F0"/>
    <w:rsid w:val="00162255"/>
    <w:rsid w:val="00164FA2"/>
    <w:rsid w:val="001678DA"/>
    <w:rsid w:val="00172837"/>
    <w:rsid w:val="0017311D"/>
    <w:rsid w:val="00174058"/>
    <w:rsid w:val="00175901"/>
    <w:rsid w:val="001766D7"/>
    <w:rsid w:val="00177E1D"/>
    <w:rsid w:val="0018188C"/>
    <w:rsid w:val="001824DF"/>
    <w:rsid w:val="00182E8B"/>
    <w:rsid w:val="00184911"/>
    <w:rsid w:val="00187832"/>
    <w:rsid w:val="0019137B"/>
    <w:rsid w:val="00191EBC"/>
    <w:rsid w:val="001923E9"/>
    <w:rsid w:val="001943E1"/>
    <w:rsid w:val="00194CFF"/>
    <w:rsid w:val="00195815"/>
    <w:rsid w:val="00196735"/>
    <w:rsid w:val="00196C6F"/>
    <w:rsid w:val="001973BE"/>
    <w:rsid w:val="001A0DB5"/>
    <w:rsid w:val="001B0C8A"/>
    <w:rsid w:val="001B1E5F"/>
    <w:rsid w:val="001B4D9A"/>
    <w:rsid w:val="001B6F94"/>
    <w:rsid w:val="001C0835"/>
    <w:rsid w:val="001C2583"/>
    <w:rsid w:val="001C43F5"/>
    <w:rsid w:val="001C6940"/>
    <w:rsid w:val="001D02FB"/>
    <w:rsid w:val="001D1216"/>
    <w:rsid w:val="001D131A"/>
    <w:rsid w:val="001D3981"/>
    <w:rsid w:val="001D6004"/>
    <w:rsid w:val="001D71DB"/>
    <w:rsid w:val="001E0550"/>
    <w:rsid w:val="001E437D"/>
    <w:rsid w:val="001E464E"/>
    <w:rsid w:val="001E4FD6"/>
    <w:rsid w:val="001F2EF7"/>
    <w:rsid w:val="001F47DF"/>
    <w:rsid w:val="001F6470"/>
    <w:rsid w:val="001F6F60"/>
    <w:rsid w:val="0020090C"/>
    <w:rsid w:val="0020120E"/>
    <w:rsid w:val="0020219D"/>
    <w:rsid w:val="00202B70"/>
    <w:rsid w:val="0020351F"/>
    <w:rsid w:val="00210190"/>
    <w:rsid w:val="0021360A"/>
    <w:rsid w:val="002138FB"/>
    <w:rsid w:val="00214032"/>
    <w:rsid w:val="0021440A"/>
    <w:rsid w:val="00217D3A"/>
    <w:rsid w:val="00221353"/>
    <w:rsid w:val="00221645"/>
    <w:rsid w:val="002237FC"/>
    <w:rsid w:val="00224034"/>
    <w:rsid w:val="00224691"/>
    <w:rsid w:val="00224736"/>
    <w:rsid w:val="00226474"/>
    <w:rsid w:val="00226EA9"/>
    <w:rsid w:val="00230905"/>
    <w:rsid w:val="00231149"/>
    <w:rsid w:val="002374A9"/>
    <w:rsid w:val="00241716"/>
    <w:rsid w:val="0024203E"/>
    <w:rsid w:val="00242736"/>
    <w:rsid w:val="00244313"/>
    <w:rsid w:val="00244CD6"/>
    <w:rsid w:val="00247FD2"/>
    <w:rsid w:val="00251AE6"/>
    <w:rsid w:val="002529E3"/>
    <w:rsid w:val="00252FEE"/>
    <w:rsid w:val="00254B74"/>
    <w:rsid w:val="0025638E"/>
    <w:rsid w:val="00256577"/>
    <w:rsid w:val="00257076"/>
    <w:rsid w:val="002571B0"/>
    <w:rsid w:val="00257383"/>
    <w:rsid w:val="002577C8"/>
    <w:rsid w:val="00261304"/>
    <w:rsid w:val="002664EF"/>
    <w:rsid w:val="0026784B"/>
    <w:rsid w:val="00267CE2"/>
    <w:rsid w:val="0027299C"/>
    <w:rsid w:val="00273361"/>
    <w:rsid w:val="00280228"/>
    <w:rsid w:val="0028092A"/>
    <w:rsid w:val="00280D0A"/>
    <w:rsid w:val="002814FA"/>
    <w:rsid w:val="00281B96"/>
    <w:rsid w:val="00283695"/>
    <w:rsid w:val="0028377D"/>
    <w:rsid w:val="002840B3"/>
    <w:rsid w:val="00286737"/>
    <w:rsid w:val="00290807"/>
    <w:rsid w:val="00291097"/>
    <w:rsid w:val="00292209"/>
    <w:rsid w:val="00293083"/>
    <w:rsid w:val="00293498"/>
    <w:rsid w:val="00297418"/>
    <w:rsid w:val="002978FF"/>
    <w:rsid w:val="002A09AB"/>
    <w:rsid w:val="002A1944"/>
    <w:rsid w:val="002A2319"/>
    <w:rsid w:val="002A3178"/>
    <w:rsid w:val="002A399A"/>
    <w:rsid w:val="002A6C07"/>
    <w:rsid w:val="002B1661"/>
    <w:rsid w:val="002B274E"/>
    <w:rsid w:val="002B3FA9"/>
    <w:rsid w:val="002B6228"/>
    <w:rsid w:val="002C037A"/>
    <w:rsid w:val="002C038B"/>
    <w:rsid w:val="002C2C27"/>
    <w:rsid w:val="002C2DA2"/>
    <w:rsid w:val="002C36F2"/>
    <w:rsid w:val="002C5F5C"/>
    <w:rsid w:val="002C6622"/>
    <w:rsid w:val="002C68C5"/>
    <w:rsid w:val="002C6C7C"/>
    <w:rsid w:val="002C75D0"/>
    <w:rsid w:val="002C7BEF"/>
    <w:rsid w:val="002D0C28"/>
    <w:rsid w:val="002D0D52"/>
    <w:rsid w:val="002D347B"/>
    <w:rsid w:val="002D50EC"/>
    <w:rsid w:val="002E1337"/>
    <w:rsid w:val="002E55A9"/>
    <w:rsid w:val="002F348F"/>
    <w:rsid w:val="002F64B2"/>
    <w:rsid w:val="003009E2"/>
    <w:rsid w:val="00300E74"/>
    <w:rsid w:val="00301C4C"/>
    <w:rsid w:val="00302B05"/>
    <w:rsid w:val="00303471"/>
    <w:rsid w:val="00303CC6"/>
    <w:rsid w:val="00306811"/>
    <w:rsid w:val="003068ED"/>
    <w:rsid w:val="00306FFB"/>
    <w:rsid w:val="003123D6"/>
    <w:rsid w:val="003152DF"/>
    <w:rsid w:val="00315D40"/>
    <w:rsid w:val="003168E0"/>
    <w:rsid w:val="00320281"/>
    <w:rsid w:val="00321A22"/>
    <w:rsid w:val="00326870"/>
    <w:rsid w:val="003300A0"/>
    <w:rsid w:val="00331310"/>
    <w:rsid w:val="003344C7"/>
    <w:rsid w:val="003348B0"/>
    <w:rsid w:val="00336CA4"/>
    <w:rsid w:val="00340A7C"/>
    <w:rsid w:val="003414C1"/>
    <w:rsid w:val="00343880"/>
    <w:rsid w:val="00343BA7"/>
    <w:rsid w:val="00344FF6"/>
    <w:rsid w:val="0035030C"/>
    <w:rsid w:val="003574CE"/>
    <w:rsid w:val="00361946"/>
    <w:rsid w:val="00362F1C"/>
    <w:rsid w:val="00365ED9"/>
    <w:rsid w:val="00365FB5"/>
    <w:rsid w:val="003666A2"/>
    <w:rsid w:val="00366A94"/>
    <w:rsid w:val="00371999"/>
    <w:rsid w:val="003754A0"/>
    <w:rsid w:val="00380237"/>
    <w:rsid w:val="00380BBC"/>
    <w:rsid w:val="003821F4"/>
    <w:rsid w:val="00383BBA"/>
    <w:rsid w:val="00385C63"/>
    <w:rsid w:val="00386867"/>
    <w:rsid w:val="003947C3"/>
    <w:rsid w:val="003979E5"/>
    <w:rsid w:val="003A11CC"/>
    <w:rsid w:val="003A308F"/>
    <w:rsid w:val="003A3EC6"/>
    <w:rsid w:val="003A443D"/>
    <w:rsid w:val="003A502A"/>
    <w:rsid w:val="003A61DF"/>
    <w:rsid w:val="003B1F0A"/>
    <w:rsid w:val="003B3FD1"/>
    <w:rsid w:val="003C1123"/>
    <w:rsid w:val="003C3B58"/>
    <w:rsid w:val="003C497D"/>
    <w:rsid w:val="003C612B"/>
    <w:rsid w:val="003C756D"/>
    <w:rsid w:val="003D4052"/>
    <w:rsid w:val="003D53DA"/>
    <w:rsid w:val="003E2020"/>
    <w:rsid w:val="003E2A1A"/>
    <w:rsid w:val="003E35F8"/>
    <w:rsid w:val="003F0F3E"/>
    <w:rsid w:val="003F153A"/>
    <w:rsid w:val="003F15A4"/>
    <w:rsid w:val="003F1B39"/>
    <w:rsid w:val="003F3CB3"/>
    <w:rsid w:val="003F4BA4"/>
    <w:rsid w:val="003F4FCA"/>
    <w:rsid w:val="004010D9"/>
    <w:rsid w:val="004011AB"/>
    <w:rsid w:val="00404131"/>
    <w:rsid w:val="004050D0"/>
    <w:rsid w:val="00405EFE"/>
    <w:rsid w:val="00407896"/>
    <w:rsid w:val="004111F1"/>
    <w:rsid w:val="004127FF"/>
    <w:rsid w:val="00412BB2"/>
    <w:rsid w:val="00413101"/>
    <w:rsid w:val="004173D9"/>
    <w:rsid w:val="0042002E"/>
    <w:rsid w:val="00422782"/>
    <w:rsid w:val="004230B0"/>
    <w:rsid w:val="004241DE"/>
    <w:rsid w:val="00425CE5"/>
    <w:rsid w:val="00426E51"/>
    <w:rsid w:val="00426F73"/>
    <w:rsid w:val="00427981"/>
    <w:rsid w:val="00427F63"/>
    <w:rsid w:val="0043091F"/>
    <w:rsid w:val="00435665"/>
    <w:rsid w:val="0043777D"/>
    <w:rsid w:val="00437F0A"/>
    <w:rsid w:val="0044061A"/>
    <w:rsid w:val="00444842"/>
    <w:rsid w:val="0044617C"/>
    <w:rsid w:val="00446C6C"/>
    <w:rsid w:val="00446E88"/>
    <w:rsid w:val="0045014B"/>
    <w:rsid w:val="00450585"/>
    <w:rsid w:val="00452C0E"/>
    <w:rsid w:val="004547B7"/>
    <w:rsid w:val="00455F42"/>
    <w:rsid w:val="0045658B"/>
    <w:rsid w:val="00460B9D"/>
    <w:rsid w:val="00461495"/>
    <w:rsid w:val="0046298C"/>
    <w:rsid w:val="004647BA"/>
    <w:rsid w:val="00464D71"/>
    <w:rsid w:val="004716BE"/>
    <w:rsid w:val="00471A69"/>
    <w:rsid w:val="00476697"/>
    <w:rsid w:val="00476BB8"/>
    <w:rsid w:val="004774BF"/>
    <w:rsid w:val="004805D7"/>
    <w:rsid w:val="00491C61"/>
    <w:rsid w:val="004951C0"/>
    <w:rsid w:val="00495A3E"/>
    <w:rsid w:val="00495F1B"/>
    <w:rsid w:val="004965D0"/>
    <w:rsid w:val="00497731"/>
    <w:rsid w:val="004A20E3"/>
    <w:rsid w:val="004A57B8"/>
    <w:rsid w:val="004A6ACA"/>
    <w:rsid w:val="004B3298"/>
    <w:rsid w:val="004B4044"/>
    <w:rsid w:val="004B7D66"/>
    <w:rsid w:val="004C022E"/>
    <w:rsid w:val="004C0A6A"/>
    <w:rsid w:val="004C3A0A"/>
    <w:rsid w:val="004C6073"/>
    <w:rsid w:val="004C729C"/>
    <w:rsid w:val="004C7FB0"/>
    <w:rsid w:val="004D1CF7"/>
    <w:rsid w:val="004D1EBB"/>
    <w:rsid w:val="004D25CF"/>
    <w:rsid w:val="004D3051"/>
    <w:rsid w:val="004D33B8"/>
    <w:rsid w:val="004D36E4"/>
    <w:rsid w:val="004D4137"/>
    <w:rsid w:val="004D5181"/>
    <w:rsid w:val="004D57B6"/>
    <w:rsid w:val="004D6E4F"/>
    <w:rsid w:val="004D6F4A"/>
    <w:rsid w:val="004E1986"/>
    <w:rsid w:val="004E3013"/>
    <w:rsid w:val="004F0CF3"/>
    <w:rsid w:val="004F0D25"/>
    <w:rsid w:val="004F4FD6"/>
    <w:rsid w:val="004F6B4D"/>
    <w:rsid w:val="004F7E11"/>
    <w:rsid w:val="005005D8"/>
    <w:rsid w:val="0050488E"/>
    <w:rsid w:val="00507654"/>
    <w:rsid w:val="00510182"/>
    <w:rsid w:val="00511854"/>
    <w:rsid w:val="00511E50"/>
    <w:rsid w:val="00513F7C"/>
    <w:rsid w:val="005163B1"/>
    <w:rsid w:val="005209B8"/>
    <w:rsid w:val="005236AC"/>
    <w:rsid w:val="00523B5B"/>
    <w:rsid w:val="005265F0"/>
    <w:rsid w:val="005269EA"/>
    <w:rsid w:val="00532740"/>
    <w:rsid w:val="00532837"/>
    <w:rsid w:val="00535A81"/>
    <w:rsid w:val="005366BC"/>
    <w:rsid w:val="00537786"/>
    <w:rsid w:val="0054116A"/>
    <w:rsid w:val="005419B9"/>
    <w:rsid w:val="00545A8E"/>
    <w:rsid w:val="00546C65"/>
    <w:rsid w:val="00551C8B"/>
    <w:rsid w:val="00552856"/>
    <w:rsid w:val="00553706"/>
    <w:rsid w:val="00557815"/>
    <w:rsid w:val="0056299F"/>
    <w:rsid w:val="00562D97"/>
    <w:rsid w:val="00563452"/>
    <w:rsid w:val="0056416B"/>
    <w:rsid w:val="00565B3B"/>
    <w:rsid w:val="00566C83"/>
    <w:rsid w:val="0056723E"/>
    <w:rsid w:val="00567302"/>
    <w:rsid w:val="00570A97"/>
    <w:rsid w:val="00572248"/>
    <w:rsid w:val="00572C99"/>
    <w:rsid w:val="00572CA9"/>
    <w:rsid w:val="00573704"/>
    <w:rsid w:val="0057379C"/>
    <w:rsid w:val="00576C62"/>
    <w:rsid w:val="005777E7"/>
    <w:rsid w:val="00582143"/>
    <w:rsid w:val="005827CA"/>
    <w:rsid w:val="005851ED"/>
    <w:rsid w:val="00586FFE"/>
    <w:rsid w:val="0058734C"/>
    <w:rsid w:val="005939DB"/>
    <w:rsid w:val="0059591B"/>
    <w:rsid w:val="005960B4"/>
    <w:rsid w:val="005A6AF9"/>
    <w:rsid w:val="005A6F5B"/>
    <w:rsid w:val="005B0C2B"/>
    <w:rsid w:val="005B1001"/>
    <w:rsid w:val="005B1A98"/>
    <w:rsid w:val="005B2F36"/>
    <w:rsid w:val="005B545B"/>
    <w:rsid w:val="005B620B"/>
    <w:rsid w:val="005C32AF"/>
    <w:rsid w:val="005C50CD"/>
    <w:rsid w:val="005C599F"/>
    <w:rsid w:val="005C612F"/>
    <w:rsid w:val="005C72F7"/>
    <w:rsid w:val="005C7762"/>
    <w:rsid w:val="005D097F"/>
    <w:rsid w:val="005D0EC3"/>
    <w:rsid w:val="005D1A78"/>
    <w:rsid w:val="005D1BB5"/>
    <w:rsid w:val="005D2308"/>
    <w:rsid w:val="005D25BB"/>
    <w:rsid w:val="005D2846"/>
    <w:rsid w:val="005D2BFF"/>
    <w:rsid w:val="005D5F7E"/>
    <w:rsid w:val="005D5FD9"/>
    <w:rsid w:val="005D6B57"/>
    <w:rsid w:val="005D752D"/>
    <w:rsid w:val="005D78C9"/>
    <w:rsid w:val="005E21DC"/>
    <w:rsid w:val="005E56A7"/>
    <w:rsid w:val="005E7C53"/>
    <w:rsid w:val="005F0F52"/>
    <w:rsid w:val="005F1771"/>
    <w:rsid w:val="005F449B"/>
    <w:rsid w:val="005F7F7F"/>
    <w:rsid w:val="00600FA1"/>
    <w:rsid w:val="0060134C"/>
    <w:rsid w:val="006020C8"/>
    <w:rsid w:val="00604AE4"/>
    <w:rsid w:val="00605242"/>
    <w:rsid w:val="006071EE"/>
    <w:rsid w:val="00607A6B"/>
    <w:rsid w:val="0062148B"/>
    <w:rsid w:val="00624B0F"/>
    <w:rsid w:val="00624CA1"/>
    <w:rsid w:val="006261CF"/>
    <w:rsid w:val="006268A9"/>
    <w:rsid w:val="006312DD"/>
    <w:rsid w:val="00633D3A"/>
    <w:rsid w:val="0063668F"/>
    <w:rsid w:val="00637D5D"/>
    <w:rsid w:val="00643B3B"/>
    <w:rsid w:val="0064538E"/>
    <w:rsid w:val="006461C3"/>
    <w:rsid w:val="00647D11"/>
    <w:rsid w:val="00650D45"/>
    <w:rsid w:val="00653B85"/>
    <w:rsid w:val="006570B7"/>
    <w:rsid w:val="006607CA"/>
    <w:rsid w:val="00662445"/>
    <w:rsid w:val="00664D40"/>
    <w:rsid w:val="00665098"/>
    <w:rsid w:val="00671C99"/>
    <w:rsid w:val="00672C8A"/>
    <w:rsid w:val="00673389"/>
    <w:rsid w:val="00676532"/>
    <w:rsid w:val="006815CF"/>
    <w:rsid w:val="00682AEC"/>
    <w:rsid w:val="00682F3F"/>
    <w:rsid w:val="00684D5A"/>
    <w:rsid w:val="006859B2"/>
    <w:rsid w:val="00690A86"/>
    <w:rsid w:val="00691A63"/>
    <w:rsid w:val="00691B80"/>
    <w:rsid w:val="00693BDE"/>
    <w:rsid w:val="00694D1E"/>
    <w:rsid w:val="006957B4"/>
    <w:rsid w:val="006A1F15"/>
    <w:rsid w:val="006A4829"/>
    <w:rsid w:val="006A6EBC"/>
    <w:rsid w:val="006A72AC"/>
    <w:rsid w:val="006A77BD"/>
    <w:rsid w:val="006B2848"/>
    <w:rsid w:val="006B3582"/>
    <w:rsid w:val="006B46B0"/>
    <w:rsid w:val="006B4A4A"/>
    <w:rsid w:val="006C0C71"/>
    <w:rsid w:val="006C294B"/>
    <w:rsid w:val="006D0184"/>
    <w:rsid w:val="006D13C4"/>
    <w:rsid w:val="006D2E09"/>
    <w:rsid w:val="006D2F81"/>
    <w:rsid w:val="006D35A5"/>
    <w:rsid w:val="006D43F6"/>
    <w:rsid w:val="006D5BAC"/>
    <w:rsid w:val="006E36BA"/>
    <w:rsid w:val="006E40C6"/>
    <w:rsid w:val="006E70AE"/>
    <w:rsid w:val="006E74D2"/>
    <w:rsid w:val="006F1877"/>
    <w:rsid w:val="006F18B9"/>
    <w:rsid w:val="006F269E"/>
    <w:rsid w:val="006F4585"/>
    <w:rsid w:val="006F4D36"/>
    <w:rsid w:val="006F7FF4"/>
    <w:rsid w:val="007038B8"/>
    <w:rsid w:val="00704166"/>
    <w:rsid w:val="00704466"/>
    <w:rsid w:val="007048BD"/>
    <w:rsid w:val="00705C55"/>
    <w:rsid w:val="0070666E"/>
    <w:rsid w:val="00706CC1"/>
    <w:rsid w:val="007155DB"/>
    <w:rsid w:val="00715E3E"/>
    <w:rsid w:val="00717E6E"/>
    <w:rsid w:val="00721914"/>
    <w:rsid w:val="00722054"/>
    <w:rsid w:val="007237F7"/>
    <w:rsid w:val="0072679C"/>
    <w:rsid w:val="00726D3A"/>
    <w:rsid w:val="00727137"/>
    <w:rsid w:val="00731B06"/>
    <w:rsid w:val="00734BF1"/>
    <w:rsid w:val="00735740"/>
    <w:rsid w:val="00735B24"/>
    <w:rsid w:val="00741EB4"/>
    <w:rsid w:val="00742A87"/>
    <w:rsid w:val="00742D60"/>
    <w:rsid w:val="00745EFB"/>
    <w:rsid w:val="0074685E"/>
    <w:rsid w:val="00747AD0"/>
    <w:rsid w:val="00750D13"/>
    <w:rsid w:val="007519C6"/>
    <w:rsid w:val="00753069"/>
    <w:rsid w:val="007539D7"/>
    <w:rsid w:val="0075661D"/>
    <w:rsid w:val="00757311"/>
    <w:rsid w:val="00760427"/>
    <w:rsid w:val="007629C8"/>
    <w:rsid w:val="00763ACC"/>
    <w:rsid w:val="00770BC3"/>
    <w:rsid w:val="00773273"/>
    <w:rsid w:val="00773E4E"/>
    <w:rsid w:val="007748DF"/>
    <w:rsid w:val="0077604B"/>
    <w:rsid w:val="007766A8"/>
    <w:rsid w:val="00776ADC"/>
    <w:rsid w:val="00777AD8"/>
    <w:rsid w:val="00780199"/>
    <w:rsid w:val="00780634"/>
    <w:rsid w:val="007826EB"/>
    <w:rsid w:val="007845E4"/>
    <w:rsid w:val="00785465"/>
    <w:rsid w:val="007862AA"/>
    <w:rsid w:val="007875B8"/>
    <w:rsid w:val="00787A02"/>
    <w:rsid w:val="00787F59"/>
    <w:rsid w:val="00790C75"/>
    <w:rsid w:val="0079166A"/>
    <w:rsid w:val="00791998"/>
    <w:rsid w:val="00792F13"/>
    <w:rsid w:val="007944D4"/>
    <w:rsid w:val="00796E74"/>
    <w:rsid w:val="007A2955"/>
    <w:rsid w:val="007A4409"/>
    <w:rsid w:val="007A5BBB"/>
    <w:rsid w:val="007A6596"/>
    <w:rsid w:val="007A6618"/>
    <w:rsid w:val="007A737C"/>
    <w:rsid w:val="007B3287"/>
    <w:rsid w:val="007B375E"/>
    <w:rsid w:val="007C19E7"/>
    <w:rsid w:val="007C1EBA"/>
    <w:rsid w:val="007C296C"/>
    <w:rsid w:val="007C30E4"/>
    <w:rsid w:val="007C3F94"/>
    <w:rsid w:val="007C4EC4"/>
    <w:rsid w:val="007C548F"/>
    <w:rsid w:val="007C5F3A"/>
    <w:rsid w:val="007D152E"/>
    <w:rsid w:val="007D6A4F"/>
    <w:rsid w:val="007D73B6"/>
    <w:rsid w:val="007D7836"/>
    <w:rsid w:val="007F29C2"/>
    <w:rsid w:val="007F36AC"/>
    <w:rsid w:val="007F5929"/>
    <w:rsid w:val="00804C05"/>
    <w:rsid w:val="00804C49"/>
    <w:rsid w:val="00806718"/>
    <w:rsid w:val="00806DCB"/>
    <w:rsid w:val="00806E38"/>
    <w:rsid w:val="00807181"/>
    <w:rsid w:val="00811FEF"/>
    <w:rsid w:val="00814DC6"/>
    <w:rsid w:val="00815BBF"/>
    <w:rsid w:val="00820691"/>
    <w:rsid w:val="00822613"/>
    <w:rsid w:val="00822B47"/>
    <w:rsid w:val="00824DF9"/>
    <w:rsid w:val="00825FEE"/>
    <w:rsid w:val="00826A03"/>
    <w:rsid w:val="00833153"/>
    <w:rsid w:val="00833A6A"/>
    <w:rsid w:val="00833D2E"/>
    <w:rsid w:val="00834AF0"/>
    <w:rsid w:val="00836868"/>
    <w:rsid w:val="0083744C"/>
    <w:rsid w:val="008405F4"/>
    <w:rsid w:val="00840883"/>
    <w:rsid w:val="00841242"/>
    <w:rsid w:val="008418E8"/>
    <w:rsid w:val="008436A9"/>
    <w:rsid w:val="0084419F"/>
    <w:rsid w:val="00850B40"/>
    <w:rsid w:val="00852854"/>
    <w:rsid w:val="00855CF3"/>
    <w:rsid w:val="00856006"/>
    <w:rsid w:val="00862D5E"/>
    <w:rsid w:val="00865095"/>
    <w:rsid w:val="008657D3"/>
    <w:rsid w:val="00870EBD"/>
    <w:rsid w:val="008736CF"/>
    <w:rsid w:val="008777D7"/>
    <w:rsid w:val="00877A14"/>
    <w:rsid w:val="00883FE4"/>
    <w:rsid w:val="00887EC6"/>
    <w:rsid w:val="008946DE"/>
    <w:rsid w:val="00897B9C"/>
    <w:rsid w:val="008A13F9"/>
    <w:rsid w:val="008A1F3F"/>
    <w:rsid w:val="008A23DC"/>
    <w:rsid w:val="008A36FC"/>
    <w:rsid w:val="008A57EF"/>
    <w:rsid w:val="008A757F"/>
    <w:rsid w:val="008B00D0"/>
    <w:rsid w:val="008B0587"/>
    <w:rsid w:val="008B22A2"/>
    <w:rsid w:val="008C1766"/>
    <w:rsid w:val="008C27F8"/>
    <w:rsid w:val="008C4418"/>
    <w:rsid w:val="008C4A21"/>
    <w:rsid w:val="008C678F"/>
    <w:rsid w:val="008D1C18"/>
    <w:rsid w:val="008D3C33"/>
    <w:rsid w:val="008D48B7"/>
    <w:rsid w:val="008D5293"/>
    <w:rsid w:val="008D56ED"/>
    <w:rsid w:val="008D58E8"/>
    <w:rsid w:val="008D6941"/>
    <w:rsid w:val="008D6E54"/>
    <w:rsid w:val="008E0FF6"/>
    <w:rsid w:val="008E117D"/>
    <w:rsid w:val="008E239E"/>
    <w:rsid w:val="008E276A"/>
    <w:rsid w:val="008E3D1A"/>
    <w:rsid w:val="008E4C84"/>
    <w:rsid w:val="008E782B"/>
    <w:rsid w:val="008F4950"/>
    <w:rsid w:val="008F540E"/>
    <w:rsid w:val="00901C1F"/>
    <w:rsid w:val="00901DF4"/>
    <w:rsid w:val="00901F90"/>
    <w:rsid w:val="00902C2F"/>
    <w:rsid w:val="00904E7F"/>
    <w:rsid w:val="009063BD"/>
    <w:rsid w:val="009113BD"/>
    <w:rsid w:val="0091350D"/>
    <w:rsid w:val="009150FB"/>
    <w:rsid w:val="0091771E"/>
    <w:rsid w:val="0091781F"/>
    <w:rsid w:val="009201CC"/>
    <w:rsid w:val="00922B08"/>
    <w:rsid w:val="00925C15"/>
    <w:rsid w:val="00926026"/>
    <w:rsid w:val="00930578"/>
    <w:rsid w:val="009322CD"/>
    <w:rsid w:val="00933220"/>
    <w:rsid w:val="0093744A"/>
    <w:rsid w:val="00940007"/>
    <w:rsid w:val="00942538"/>
    <w:rsid w:val="00943F88"/>
    <w:rsid w:val="0094700E"/>
    <w:rsid w:val="00951701"/>
    <w:rsid w:val="009527D3"/>
    <w:rsid w:val="00954FAF"/>
    <w:rsid w:val="00955445"/>
    <w:rsid w:val="0095746C"/>
    <w:rsid w:val="00957790"/>
    <w:rsid w:val="009603F4"/>
    <w:rsid w:val="00961E0C"/>
    <w:rsid w:val="0096229D"/>
    <w:rsid w:val="009622BF"/>
    <w:rsid w:val="009637D0"/>
    <w:rsid w:val="00964608"/>
    <w:rsid w:val="0096710F"/>
    <w:rsid w:val="009678DA"/>
    <w:rsid w:val="00967C1E"/>
    <w:rsid w:val="009825FB"/>
    <w:rsid w:val="0098284A"/>
    <w:rsid w:val="00982A0C"/>
    <w:rsid w:val="00983040"/>
    <w:rsid w:val="00983AEE"/>
    <w:rsid w:val="00984DFE"/>
    <w:rsid w:val="009879A7"/>
    <w:rsid w:val="009879A9"/>
    <w:rsid w:val="0099106C"/>
    <w:rsid w:val="00994637"/>
    <w:rsid w:val="00995B18"/>
    <w:rsid w:val="00995CEF"/>
    <w:rsid w:val="009A0ED9"/>
    <w:rsid w:val="009A1C1A"/>
    <w:rsid w:val="009A2F90"/>
    <w:rsid w:val="009A323C"/>
    <w:rsid w:val="009A3D09"/>
    <w:rsid w:val="009A4812"/>
    <w:rsid w:val="009A58CD"/>
    <w:rsid w:val="009A6808"/>
    <w:rsid w:val="009B6701"/>
    <w:rsid w:val="009B76BF"/>
    <w:rsid w:val="009C0A33"/>
    <w:rsid w:val="009C0ABE"/>
    <w:rsid w:val="009C20A1"/>
    <w:rsid w:val="009C4BCA"/>
    <w:rsid w:val="009C4F1D"/>
    <w:rsid w:val="009C5F9D"/>
    <w:rsid w:val="009C78A4"/>
    <w:rsid w:val="009C78D9"/>
    <w:rsid w:val="009C7984"/>
    <w:rsid w:val="009C7BF2"/>
    <w:rsid w:val="009D30E5"/>
    <w:rsid w:val="009D3B50"/>
    <w:rsid w:val="009D588D"/>
    <w:rsid w:val="009D7694"/>
    <w:rsid w:val="009E232B"/>
    <w:rsid w:val="009E3E70"/>
    <w:rsid w:val="009E5D58"/>
    <w:rsid w:val="009E6709"/>
    <w:rsid w:val="009F1599"/>
    <w:rsid w:val="009F192D"/>
    <w:rsid w:val="009F210C"/>
    <w:rsid w:val="009F4914"/>
    <w:rsid w:val="009F5A08"/>
    <w:rsid w:val="009F5FF7"/>
    <w:rsid w:val="009F7D3A"/>
    <w:rsid w:val="00A00088"/>
    <w:rsid w:val="00A005CF"/>
    <w:rsid w:val="00A025A0"/>
    <w:rsid w:val="00A048D0"/>
    <w:rsid w:val="00A06448"/>
    <w:rsid w:val="00A0768C"/>
    <w:rsid w:val="00A10C3A"/>
    <w:rsid w:val="00A11EB0"/>
    <w:rsid w:val="00A11FD9"/>
    <w:rsid w:val="00A138C8"/>
    <w:rsid w:val="00A14B8A"/>
    <w:rsid w:val="00A15DF8"/>
    <w:rsid w:val="00A16022"/>
    <w:rsid w:val="00A17AAE"/>
    <w:rsid w:val="00A200C1"/>
    <w:rsid w:val="00A2048D"/>
    <w:rsid w:val="00A21F87"/>
    <w:rsid w:val="00A22D37"/>
    <w:rsid w:val="00A237C9"/>
    <w:rsid w:val="00A24C18"/>
    <w:rsid w:val="00A24C1A"/>
    <w:rsid w:val="00A24FD1"/>
    <w:rsid w:val="00A25EB1"/>
    <w:rsid w:val="00A27650"/>
    <w:rsid w:val="00A309F0"/>
    <w:rsid w:val="00A30AC8"/>
    <w:rsid w:val="00A326A6"/>
    <w:rsid w:val="00A33A16"/>
    <w:rsid w:val="00A3596D"/>
    <w:rsid w:val="00A35B54"/>
    <w:rsid w:val="00A3635D"/>
    <w:rsid w:val="00A3701F"/>
    <w:rsid w:val="00A371B5"/>
    <w:rsid w:val="00A37697"/>
    <w:rsid w:val="00A3785F"/>
    <w:rsid w:val="00A40D85"/>
    <w:rsid w:val="00A445C4"/>
    <w:rsid w:val="00A447D1"/>
    <w:rsid w:val="00A45FFF"/>
    <w:rsid w:val="00A5045A"/>
    <w:rsid w:val="00A51857"/>
    <w:rsid w:val="00A5270B"/>
    <w:rsid w:val="00A52CF1"/>
    <w:rsid w:val="00A52E1B"/>
    <w:rsid w:val="00A53715"/>
    <w:rsid w:val="00A545EB"/>
    <w:rsid w:val="00A571BC"/>
    <w:rsid w:val="00A62CFF"/>
    <w:rsid w:val="00A64E16"/>
    <w:rsid w:val="00A65C32"/>
    <w:rsid w:val="00A66BBE"/>
    <w:rsid w:val="00A70DCB"/>
    <w:rsid w:val="00A73248"/>
    <w:rsid w:val="00A7361D"/>
    <w:rsid w:val="00A76E45"/>
    <w:rsid w:val="00A7775B"/>
    <w:rsid w:val="00A80FEE"/>
    <w:rsid w:val="00A83D3C"/>
    <w:rsid w:val="00A84BA7"/>
    <w:rsid w:val="00A857DA"/>
    <w:rsid w:val="00A873C5"/>
    <w:rsid w:val="00A93A1E"/>
    <w:rsid w:val="00A94867"/>
    <w:rsid w:val="00A96066"/>
    <w:rsid w:val="00AA26F8"/>
    <w:rsid w:val="00AA3FB4"/>
    <w:rsid w:val="00AA410A"/>
    <w:rsid w:val="00AA6DA7"/>
    <w:rsid w:val="00AA6E5B"/>
    <w:rsid w:val="00AA74D6"/>
    <w:rsid w:val="00AB0230"/>
    <w:rsid w:val="00AB141F"/>
    <w:rsid w:val="00AB18AB"/>
    <w:rsid w:val="00AB6352"/>
    <w:rsid w:val="00AC262D"/>
    <w:rsid w:val="00AC29FD"/>
    <w:rsid w:val="00AC3709"/>
    <w:rsid w:val="00AD0569"/>
    <w:rsid w:val="00AD2D38"/>
    <w:rsid w:val="00AD7BC9"/>
    <w:rsid w:val="00AE0E02"/>
    <w:rsid w:val="00AE1EBB"/>
    <w:rsid w:val="00AE3330"/>
    <w:rsid w:val="00AE4296"/>
    <w:rsid w:val="00AE5109"/>
    <w:rsid w:val="00AE641F"/>
    <w:rsid w:val="00AE7805"/>
    <w:rsid w:val="00AF0006"/>
    <w:rsid w:val="00AF0447"/>
    <w:rsid w:val="00AF0C4A"/>
    <w:rsid w:val="00AF1602"/>
    <w:rsid w:val="00AF1821"/>
    <w:rsid w:val="00AF2BC0"/>
    <w:rsid w:val="00AF3320"/>
    <w:rsid w:val="00AF3AD4"/>
    <w:rsid w:val="00AF3B1C"/>
    <w:rsid w:val="00AF5A25"/>
    <w:rsid w:val="00AF667F"/>
    <w:rsid w:val="00AF768B"/>
    <w:rsid w:val="00B01075"/>
    <w:rsid w:val="00B01588"/>
    <w:rsid w:val="00B02F00"/>
    <w:rsid w:val="00B0484F"/>
    <w:rsid w:val="00B0489C"/>
    <w:rsid w:val="00B074ED"/>
    <w:rsid w:val="00B076A3"/>
    <w:rsid w:val="00B0774B"/>
    <w:rsid w:val="00B15B5C"/>
    <w:rsid w:val="00B20799"/>
    <w:rsid w:val="00B232AE"/>
    <w:rsid w:val="00B2353A"/>
    <w:rsid w:val="00B2583B"/>
    <w:rsid w:val="00B27CC4"/>
    <w:rsid w:val="00B30744"/>
    <w:rsid w:val="00B31377"/>
    <w:rsid w:val="00B3341B"/>
    <w:rsid w:val="00B33AA5"/>
    <w:rsid w:val="00B35B94"/>
    <w:rsid w:val="00B365C8"/>
    <w:rsid w:val="00B37FC9"/>
    <w:rsid w:val="00B41AF0"/>
    <w:rsid w:val="00B508A9"/>
    <w:rsid w:val="00B5090C"/>
    <w:rsid w:val="00B50E78"/>
    <w:rsid w:val="00B539D3"/>
    <w:rsid w:val="00B54730"/>
    <w:rsid w:val="00B55BE0"/>
    <w:rsid w:val="00B573E3"/>
    <w:rsid w:val="00B611F0"/>
    <w:rsid w:val="00B619BC"/>
    <w:rsid w:val="00B62DE7"/>
    <w:rsid w:val="00B63957"/>
    <w:rsid w:val="00B64CE3"/>
    <w:rsid w:val="00B64E58"/>
    <w:rsid w:val="00B66C29"/>
    <w:rsid w:val="00B70F45"/>
    <w:rsid w:val="00B71515"/>
    <w:rsid w:val="00B74B64"/>
    <w:rsid w:val="00B76013"/>
    <w:rsid w:val="00B76FE1"/>
    <w:rsid w:val="00B82464"/>
    <w:rsid w:val="00B83C83"/>
    <w:rsid w:val="00B84775"/>
    <w:rsid w:val="00B85692"/>
    <w:rsid w:val="00B860FA"/>
    <w:rsid w:val="00B923B9"/>
    <w:rsid w:val="00B9276A"/>
    <w:rsid w:val="00B92E3D"/>
    <w:rsid w:val="00B95D9B"/>
    <w:rsid w:val="00BA0559"/>
    <w:rsid w:val="00BA0C42"/>
    <w:rsid w:val="00BA19B8"/>
    <w:rsid w:val="00BA458E"/>
    <w:rsid w:val="00BA498C"/>
    <w:rsid w:val="00BB060C"/>
    <w:rsid w:val="00BB334E"/>
    <w:rsid w:val="00BB4EB3"/>
    <w:rsid w:val="00BB7972"/>
    <w:rsid w:val="00BC2204"/>
    <w:rsid w:val="00BC24D1"/>
    <w:rsid w:val="00BC61C9"/>
    <w:rsid w:val="00BD22D2"/>
    <w:rsid w:val="00BD42CF"/>
    <w:rsid w:val="00BD70E4"/>
    <w:rsid w:val="00BD7C8C"/>
    <w:rsid w:val="00BE0A6D"/>
    <w:rsid w:val="00BE3CFB"/>
    <w:rsid w:val="00BE4AFC"/>
    <w:rsid w:val="00BE4D8D"/>
    <w:rsid w:val="00BE7A7A"/>
    <w:rsid w:val="00BE7BED"/>
    <w:rsid w:val="00BF1BE9"/>
    <w:rsid w:val="00BF2CFB"/>
    <w:rsid w:val="00BF31A6"/>
    <w:rsid w:val="00BF3BF9"/>
    <w:rsid w:val="00BF5C71"/>
    <w:rsid w:val="00BF5FF3"/>
    <w:rsid w:val="00BF637F"/>
    <w:rsid w:val="00BF7318"/>
    <w:rsid w:val="00C02AAE"/>
    <w:rsid w:val="00C062B7"/>
    <w:rsid w:val="00C067B8"/>
    <w:rsid w:val="00C07F80"/>
    <w:rsid w:val="00C12583"/>
    <w:rsid w:val="00C13C0C"/>
    <w:rsid w:val="00C17779"/>
    <w:rsid w:val="00C17984"/>
    <w:rsid w:val="00C25402"/>
    <w:rsid w:val="00C300AE"/>
    <w:rsid w:val="00C3145D"/>
    <w:rsid w:val="00C31560"/>
    <w:rsid w:val="00C3302A"/>
    <w:rsid w:val="00C351E2"/>
    <w:rsid w:val="00C36187"/>
    <w:rsid w:val="00C36814"/>
    <w:rsid w:val="00C41084"/>
    <w:rsid w:val="00C433C6"/>
    <w:rsid w:val="00C46A20"/>
    <w:rsid w:val="00C50851"/>
    <w:rsid w:val="00C559CC"/>
    <w:rsid w:val="00C5689D"/>
    <w:rsid w:val="00C57281"/>
    <w:rsid w:val="00C57BA6"/>
    <w:rsid w:val="00C631CA"/>
    <w:rsid w:val="00C65A4C"/>
    <w:rsid w:val="00C65CA1"/>
    <w:rsid w:val="00C67EDD"/>
    <w:rsid w:val="00C760DD"/>
    <w:rsid w:val="00C760FF"/>
    <w:rsid w:val="00C76D3B"/>
    <w:rsid w:val="00C81675"/>
    <w:rsid w:val="00C844FC"/>
    <w:rsid w:val="00C849D0"/>
    <w:rsid w:val="00C8621F"/>
    <w:rsid w:val="00C873D5"/>
    <w:rsid w:val="00C90024"/>
    <w:rsid w:val="00C9090B"/>
    <w:rsid w:val="00C91FC0"/>
    <w:rsid w:val="00C925F4"/>
    <w:rsid w:val="00C93486"/>
    <w:rsid w:val="00CA1160"/>
    <w:rsid w:val="00CA156D"/>
    <w:rsid w:val="00CA476A"/>
    <w:rsid w:val="00CA4EEA"/>
    <w:rsid w:val="00CB0F91"/>
    <w:rsid w:val="00CB2E5D"/>
    <w:rsid w:val="00CB4183"/>
    <w:rsid w:val="00CB502F"/>
    <w:rsid w:val="00CB5037"/>
    <w:rsid w:val="00CC248A"/>
    <w:rsid w:val="00CC2543"/>
    <w:rsid w:val="00CC3661"/>
    <w:rsid w:val="00CC4496"/>
    <w:rsid w:val="00CC5262"/>
    <w:rsid w:val="00CC5940"/>
    <w:rsid w:val="00CD01F3"/>
    <w:rsid w:val="00CD14A5"/>
    <w:rsid w:val="00CD2392"/>
    <w:rsid w:val="00CD24EB"/>
    <w:rsid w:val="00CD2D44"/>
    <w:rsid w:val="00CD4B52"/>
    <w:rsid w:val="00CD5585"/>
    <w:rsid w:val="00CD6A58"/>
    <w:rsid w:val="00CE1329"/>
    <w:rsid w:val="00CE3326"/>
    <w:rsid w:val="00CE35A1"/>
    <w:rsid w:val="00CE4B84"/>
    <w:rsid w:val="00CE4E92"/>
    <w:rsid w:val="00CE5639"/>
    <w:rsid w:val="00CF3112"/>
    <w:rsid w:val="00CF77C0"/>
    <w:rsid w:val="00CF7BEF"/>
    <w:rsid w:val="00D00F82"/>
    <w:rsid w:val="00D025DC"/>
    <w:rsid w:val="00D02F19"/>
    <w:rsid w:val="00D05200"/>
    <w:rsid w:val="00D053F3"/>
    <w:rsid w:val="00D05978"/>
    <w:rsid w:val="00D0631D"/>
    <w:rsid w:val="00D064C0"/>
    <w:rsid w:val="00D129DB"/>
    <w:rsid w:val="00D14005"/>
    <w:rsid w:val="00D15C78"/>
    <w:rsid w:val="00D176B8"/>
    <w:rsid w:val="00D22EF6"/>
    <w:rsid w:val="00D2386E"/>
    <w:rsid w:val="00D26966"/>
    <w:rsid w:val="00D26FD6"/>
    <w:rsid w:val="00D32890"/>
    <w:rsid w:val="00D403FE"/>
    <w:rsid w:val="00D410F3"/>
    <w:rsid w:val="00D41BE7"/>
    <w:rsid w:val="00D45B61"/>
    <w:rsid w:val="00D50619"/>
    <w:rsid w:val="00D527B5"/>
    <w:rsid w:val="00D534A9"/>
    <w:rsid w:val="00D54960"/>
    <w:rsid w:val="00D5531E"/>
    <w:rsid w:val="00D609E6"/>
    <w:rsid w:val="00D6129C"/>
    <w:rsid w:val="00D62F53"/>
    <w:rsid w:val="00D641E5"/>
    <w:rsid w:val="00D65253"/>
    <w:rsid w:val="00D66239"/>
    <w:rsid w:val="00D66F5D"/>
    <w:rsid w:val="00D67EB8"/>
    <w:rsid w:val="00D70557"/>
    <w:rsid w:val="00D72EB3"/>
    <w:rsid w:val="00D74559"/>
    <w:rsid w:val="00D76C40"/>
    <w:rsid w:val="00D8204E"/>
    <w:rsid w:val="00D82205"/>
    <w:rsid w:val="00D831B0"/>
    <w:rsid w:val="00D843EC"/>
    <w:rsid w:val="00D85FB3"/>
    <w:rsid w:val="00D910FF"/>
    <w:rsid w:val="00D9161C"/>
    <w:rsid w:val="00D92A0C"/>
    <w:rsid w:val="00D937EB"/>
    <w:rsid w:val="00D93F69"/>
    <w:rsid w:val="00D95FAB"/>
    <w:rsid w:val="00D97E5B"/>
    <w:rsid w:val="00DA05DC"/>
    <w:rsid w:val="00DA1080"/>
    <w:rsid w:val="00DA28B2"/>
    <w:rsid w:val="00DA2AF5"/>
    <w:rsid w:val="00DA50FF"/>
    <w:rsid w:val="00DA5F9E"/>
    <w:rsid w:val="00DA7A09"/>
    <w:rsid w:val="00DB0528"/>
    <w:rsid w:val="00DB1662"/>
    <w:rsid w:val="00DB1A4B"/>
    <w:rsid w:val="00DB34BE"/>
    <w:rsid w:val="00DB463B"/>
    <w:rsid w:val="00DB5A80"/>
    <w:rsid w:val="00DB5ABE"/>
    <w:rsid w:val="00DB669B"/>
    <w:rsid w:val="00DB6A9D"/>
    <w:rsid w:val="00DB6EAF"/>
    <w:rsid w:val="00DC1104"/>
    <w:rsid w:val="00DC2764"/>
    <w:rsid w:val="00DC3590"/>
    <w:rsid w:val="00DC631D"/>
    <w:rsid w:val="00DC72DD"/>
    <w:rsid w:val="00DD0E38"/>
    <w:rsid w:val="00DD45EC"/>
    <w:rsid w:val="00DD79E9"/>
    <w:rsid w:val="00DE07D1"/>
    <w:rsid w:val="00DE49C1"/>
    <w:rsid w:val="00DE5B98"/>
    <w:rsid w:val="00DE663C"/>
    <w:rsid w:val="00DE6A59"/>
    <w:rsid w:val="00DF0E6C"/>
    <w:rsid w:val="00DF1AB1"/>
    <w:rsid w:val="00DF23A1"/>
    <w:rsid w:val="00DF5397"/>
    <w:rsid w:val="00E01232"/>
    <w:rsid w:val="00E013F0"/>
    <w:rsid w:val="00E0407C"/>
    <w:rsid w:val="00E05A0A"/>
    <w:rsid w:val="00E11D0B"/>
    <w:rsid w:val="00E12836"/>
    <w:rsid w:val="00E12962"/>
    <w:rsid w:val="00E13995"/>
    <w:rsid w:val="00E13E8B"/>
    <w:rsid w:val="00E14CD7"/>
    <w:rsid w:val="00E16BAD"/>
    <w:rsid w:val="00E221B6"/>
    <w:rsid w:val="00E22D56"/>
    <w:rsid w:val="00E235B4"/>
    <w:rsid w:val="00E2493D"/>
    <w:rsid w:val="00E258B3"/>
    <w:rsid w:val="00E26C18"/>
    <w:rsid w:val="00E26D3A"/>
    <w:rsid w:val="00E30411"/>
    <w:rsid w:val="00E30489"/>
    <w:rsid w:val="00E32574"/>
    <w:rsid w:val="00E33F81"/>
    <w:rsid w:val="00E34475"/>
    <w:rsid w:val="00E36040"/>
    <w:rsid w:val="00E3612F"/>
    <w:rsid w:val="00E37B9A"/>
    <w:rsid w:val="00E413F3"/>
    <w:rsid w:val="00E43EFD"/>
    <w:rsid w:val="00E44017"/>
    <w:rsid w:val="00E44D7C"/>
    <w:rsid w:val="00E47878"/>
    <w:rsid w:val="00E50241"/>
    <w:rsid w:val="00E54F5F"/>
    <w:rsid w:val="00E558FB"/>
    <w:rsid w:val="00E57B81"/>
    <w:rsid w:val="00E60169"/>
    <w:rsid w:val="00E62209"/>
    <w:rsid w:val="00E628C7"/>
    <w:rsid w:val="00E62C5F"/>
    <w:rsid w:val="00E62D7C"/>
    <w:rsid w:val="00E641C5"/>
    <w:rsid w:val="00E64B13"/>
    <w:rsid w:val="00E66BDD"/>
    <w:rsid w:val="00E718D6"/>
    <w:rsid w:val="00E74BE0"/>
    <w:rsid w:val="00E75769"/>
    <w:rsid w:val="00E77ADD"/>
    <w:rsid w:val="00E80120"/>
    <w:rsid w:val="00E804D4"/>
    <w:rsid w:val="00E85D1B"/>
    <w:rsid w:val="00E90543"/>
    <w:rsid w:val="00E907EE"/>
    <w:rsid w:val="00E91B4C"/>
    <w:rsid w:val="00E91BC4"/>
    <w:rsid w:val="00E96E26"/>
    <w:rsid w:val="00E978A0"/>
    <w:rsid w:val="00E97F05"/>
    <w:rsid w:val="00EA3502"/>
    <w:rsid w:val="00EA779B"/>
    <w:rsid w:val="00EB45FC"/>
    <w:rsid w:val="00EB5817"/>
    <w:rsid w:val="00EB79E1"/>
    <w:rsid w:val="00EC05EC"/>
    <w:rsid w:val="00EC238C"/>
    <w:rsid w:val="00EC2C4C"/>
    <w:rsid w:val="00EC2EC3"/>
    <w:rsid w:val="00EC3DFE"/>
    <w:rsid w:val="00EC3E78"/>
    <w:rsid w:val="00EC431F"/>
    <w:rsid w:val="00EC4D79"/>
    <w:rsid w:val="00EC607B"/>
    <w:rsid w:val="00EC6707"/>
    <w:rsid w:val="00EC7D7F"/>
    <w:rsid w:val="00ED1100"/>
    <w:rsid w:val="00ED380A"/>
    <w:rsid w:val="00ED4D5D"/>
    <w:rsid w:val="00ED6A91"/>
    <w:rsid w:val="00ED7DCA"/>
    <w:rsid w:val="00EE368D"/>
    <w:rsid w:val="00EE3DEA"/>
    <w:rsid w:val="00EE5AFC"/>
    <w:rsid w:val="00EE61FE"/>
    <w:rsid w:val="00EE6F21"/>
    <w:rsid w:val="00EF3C1E"/>
    <w:rsid w:val="00EF4C6E"/>
    <w:rsid w:val="00EF57DF"/>
    <w:rsid w:val="00EF5C13"/>
    <w:rsid w:val="00EF6860"/>
    <w:rsid w:val="00EF713F"/>
    <w:rsid w:val="00F02A14"/>
    <w:rsid w:val="00F05A58"/>
    <w:rsid w:val="00F06003"/>
    <w:rsid w:val="00F06CEF"/>
    <w:rsid w:val="00F074A5"/>
    <w:rsid w:val="00F10067"/>
    <w:rsid w:val="00F1043C"/>
    <w:rsid w:val="00F11923"/>
    <w:rsid w:val="00F13000"/>
    <w:rsid w:val="00F13328"/>
    <w:rsid w:val="00F17BDA"/>
    <w:rsid w:val="00F20CC9"/>
    <w:rsid w:val="00F22517"/>
    <w:rsid w:val="00F245A9"/>
    <w:rsid w:val="00F25BFF"/>
    <w:rsid w:val="00F30B43"/>
    <w:rsid w:val="00F34BB8"/>
    <w:rsid w:val="00F34F19"/>
    <w:rsid w:val="00F367C4"/>
    <w:rsid w:val="00F37D88"/>
    <w:rsid w:val="00F400D6"/>
    <w:rsid w:val="00F40764"/>
    <w:rsid w:val="00F40817"/>
    <w:rsid w:val="00F415A0"/>
    <w:rsid w:val="00F447D7"/>
    <w:rsid w:val="00F449EB"/>
    <w:rsid w:val="00F514AA"/>
    <w:rsid w:val="00F52A10"/>
    <w:rsid w:val="00F52F6E"/>
    <w:rsid w:val="00F54549"/>
    <w:rsid w:val="00F64D6E"/>
    <w:rsid w:val="00F65CFB"/>
    <w:rsid w:val="00F671A3"/>
    <w:rsid w:val="00F67B1E"/>
    <w:rsid w:val="00F70C42"/>
    <w:rsid w:val="00F71BD8"/>
    <w:rsid w:val="00F75D6B"/>
    <w:rsid w:val="00F77723"/>
    <w:rsid w:val="00F80283"/>
    <w:rsid w:val="00F832FE"/>
    <w:rsid w:val="00F85CEC"/>
    <w:rsid w:val="00F928DE"/>
    <w:rsid w:val="00F92A99"/>
    <w:rsid w:val="00F966EF"/>
    <w:rsid w:val="00F97BCE"/>
    <w:rsid w:val="00FA072D"/>
    <w:rsid w:val="00FA2206"/>
    <w:rsid w:val="00FA222F"/>
    <w:rsid w:val="00FA2CB6"/>
    <w:rsid w:val="00FA3701"/>
    <w:rsid w:val="00FA5D43"/>
    <w:rsid w:val="00FA7E24"/>
    <w:rsid w:val="00FB0547"/>
    <w:rsid w:val="00FB09A1"/>
    <w:rsid w:val="00FB115D"/>
    <w:rsid w:val="00FB1839"/>
    <w:rsid w:val="00FB312E"/>
    <w:rsid w:val="00FB3E09"/>
    <w:rsid w:val="00FB48A7"/>
    <w:rsid w:val="00FB5C85"/>
    <w:rsid w:val="00FB5E4D"/>
    <w:rsid w:val="00FB680D"/>
    <w:rsid w:val="00FC0E99"/>
    <w:rsid w:val="00FC1476"/>
    <w:rsid w:val="00FC3039"/>
    <w:rsid w:val="00FC7949"/>
    <w:rsid w:val="00FD0B7E"/>
    <w:rsid w:val="00FD1216"/>
    <w:rsid w:val="00FD6837"/>
    <w:rsid w:val="00FD7E38"/>
    <w:rsid w:val="00FE049E"/>
    <w:rsid w:val="00FE070B"/>
    <w:rsid w:val="00FE3FA1"/>
    <w:rsid w:val="00FE5642"/>
    <w:rsid w:val="00FE7CE7"/>
    <w:rsid w:val="00FF4401"/>
    <w:rsid w:val="00FF5703"/>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CC771"/>
  <w15:docId w15:val="{6C4B73AE-C03B-4BD8-B09A-369978B7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1F"/>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D347B"/>
    <w:pPr>
      <w:keepNext/>
      <w:numPr>
        <w:numId w:val="1"/>
      </w:numPr>
      <w:tabs>
        <w:tab w:val="left" w:pos="851"/>
      </w:tabs>
      <w:adjustRightInd w:val="0"/>
      <w:spacing w:after="120" w:line="240" w:lineRule="auto"/>
      <w:ind w:left="283"/>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D347B"/>
    <w:pPr>
      <w:numPr>
        <w:ilvl w:val="2"/>
        <w:numId w:val="1"/>
      </w:numPr>
      <w:tabs>
        <w:tab w:val="left" w:pos="1418"/>
      </w:tabs>
      <w:adjustRightInd w:val="0"/>
      <w:spacing w:after="120" w:line="240" w:lineRule="auto"/>
      <w:ind w:left="2438"/>
      <w:jc w:val="both"/>
      <w:outlineLvl w:val="2"/>
    </w:pPr>
    <w:rPr>
      <w:rFonts w:ascii="Arial" w:eastAsia="STZhongsong"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0D6319"/>
    <w:pPr>
      <w:numPr>
        <w:ilvl w:val="3"/>
        <w:numId w:val="1"/>
      </w:numPr>
      <w:adjustRightInd w:val="0"/>
      <w:spacing w:before="120" w:after="120" w:line="240" w:lineRule="auto"/>
      <w:jc w:val="both"/>
      <w:outlineLvl w:val="3"/>
    </w:pPr>
    <w:rPr>
      <w:rFonts w:ascii="Arial" w:eastAsia="STZhongsong" w:hAnsi="Arial" w:cs="Times New Roman"/>
      <w:sz w:val="20"/>
      <w:szCs w:val="20"/>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2D347B"/>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2D347B"/>
    <w:rPr>
      <w:rFonts w:ascii="Arial" w:eastAsia="STZhongsong"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D6319"/>
    <w:rPr>
      <w:rFonts w:ascii="Arial" w:eastAsia="STZhongsong" w:hAnsi="Arial" w:cs="Times New Roman"/>
      <w:sz w:val="20"/>
      <w:szCs w:val="20"/>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3"/>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135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444842"/>
    <w:pPr>
      <w:spacing w:before="240"/>
    </w:pPr>
  </w:style>
  <w:style w:type="paragraph" w:customStyle="1" w:styleId="Style2">
    <w:name w:val="Style2"/>
    <w:basedOn w:val="Heading3"/>
    <w:link w:val="Style2Char"/>
    <w:qFormat/>
    <w:rsid w:val="000D6319"/>
    <w:pPr>
      <w:spacing w:before="120"/>
      <w:ind w:left="1872" w:hanging="851"/>
    </w:pPr>
  </w:style>
  <w:style w:type="character" w:customStyle="1" w:styleId="Style1Char">
    <w:name w:val="Style1 Char"/>
    <w:basedOn w:val="Heading2Char"/>
    <w:link w:val="Style1"/>
    <w:rsid w:val="00444842"/>
    <w:rPr>
      <w:rFonts w:ascii="Arial" w:eastAsia="STZhongsong" w:hAnsi="Arial" w:cs="Times New Roman"/>
      <w:sz w:val="20"/>
      <w:szCs w:val="20"/>
      <w:lang w:eastAsia="zh-CN"/>
    </w:rPr>
  </w:style>
  <w:style w:type="character" w:customStyle="1" w:styleId="Style2Char">
    <w:name w:val="Style2 Char"/>
    <w:basedOn w:val="Heading3Char"/>
    <w:link w:val="Style2"/>
    <w:rsid w:val="000D6319"/>
    <w:rPr>
      <w:rFonts w:ascii="Arial" w:eastAsia="STZhongsong" w:hAnsi="Arial" w:cs="Times New Roman"/>
      <w:sz w:val="20"/>
      <w:szCs w:val="20"/>
      <w:lang w:eastAsia="zh-CN"/>
    </w:rPr>
  </w:style>
  <w:style w:type="paragraph" w:customStyle="1" w:styleId="smStyle3">
    <w:name w:val="smStyle3"/>
    <w:basedOn w:val="Heading2"/>
    <w:link w:val="smStyle3Char"/>
    <w:qFormat/>
    <w:rsid w:val="00156185"/>
    <w:pPr>
      <w:spacing w:before="240"/>
    </w:pPr>
    <w:rPr>
      <w:rFonts w:cs="Arial"/>
    </w:rPr>
  </w:style>
  <w:style w:type="character" w:customStyle="1" w:styleId="smStyle3Char">
    <w:name w:val="smStyle3 Char"/>
    <w:basedOn w:val="Heading2Char"/>
    <w:link w:val="smStyle3"/>
    <w:rsid w:val="00156185"/>
    <w:rPr>
      <w:rFonts w:ascii="Arial" w:eastAsia="STZhongsong" w:hAnsi="Arial" w:cs="Arial"/>
      <w:sz w:val="20"/>
      <w:szCs w:val="20"/>
      <w:lang w:eastAsia="zh-CN"/>
    </w:rPr>
  </w:style>
  <w:style w:type="paragraph" w:styleId="TOCHeading">
    <w:name w:val="TOC Heading"/>
    <w:basedOn w:val="Heading1"/>
    <w:next w:val="Normal"/>
    <w:uiPriority w:val="39"/>
    <w:unhideWhenUsed/>
    <w:qFormat/>
    <w:rsid w:val="003E2020"/>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en-US"/>
    </w:rPr>
  </w:style>
  <w:style w:type="paragraph" w:styleId="TOC3">
    <w:name w:val="toc 3"/>
    <w:basedOn w:val="Normal"/>
    <w:next w:val="Normal"/>
    <w:autoRedefine/>
    <w:uiPriority w:val="39"/>
    <w:unhideWhenUsed/>
    <w:rsid w:val="003E2020"/>
    <w:pPr>
      <w:spacing w:after="100"/>
      <w:ind w:left="440"/>
    </w:pPr>
  </w:style>
  <w:style w:type="paragraph" w:styleId="TOC4">
    <w:name w:val="toc 4"/>
    <w:basedOn w:val="Normal"/>
    <w:next w:val="Normal"/>
    <w:autoRedefine/>
    <w:uiPriority w:val="39"/>
    <w:unhideWhenUsed/>
    <w:rsid w:val="003E2020"/>
    <w:pPr>
      <w:spacing w:after="100"/>
      <w:ind w:left="660"/>
    </w:pPr>
  </w:style>
  <w:style w:type="paragraph" w:styleId="TOC5">
    <w:name w:val="toc 5"/>
    <w:basedOn w:val="Normal"/>
    <w:next w:val="Normal"/>
    <w:autoRedefine/>
    <w:uiPriority w:val="39"/>
    <w:unhideWhenUsed/>
    <w:rsid w:val="003E2020"/>
    <w:pPr>
      <w:spacing w:after="100"/>
      <w:ind w:left="880"/>
    </w:pPr>
  </w:style>
  <w:style w:type="paragraph" w:styleId="TOC6">
    <w:name w:val="toc 6"/>
    <w:basedOn w:val="Normal"/>
    <w:next w:val="Normal"/>
    <w:autoRedefine/>
    <w:uiPriority w:val="39"/>
    <w:unhideWhenUsed/>
    <w:rsid w:val="003E2020"/>
    <w:pPr>
      <w:spacing w:after="100"/>
      <w:ind w:left="1100"/>
    </w:pPr>
  </w:style>
  <w:style w:type="paragraph" w:styleId="TOC7">
    <w:name w:val="toc 7"/>
    <w:basedOn w:val="Normal"/>
    <w:next w:val="Normal"/>
    <w:autoRedefine/>
    <w:uiPriority w:val="39"/>
    <w:unhideWhenUsed/>
    <w:rsid w:val="003E2020"/>
    <w:pPr>
      <w:spacing w:after="100"/>
      <w:ind w:left="1320"/>
    </w:pPr>
  </w:style>
  <w:style w:type="paragraph" w:styleId="TOC8">
    <w:name w:val="toc 8"/>
    <w:basedOn w:val="Normal"/>
    <w:next w:val="Normal"/>
    <w:autoRedefine/>
    <w:uiPriority w:val="39"/>
    <w:unhideWhenUsed/>
    <w:rsid w:val="003E2020"/>
    <w:pPr>
      <w:spacing w:after="100"/>
      <w:ind w:left="1540"/>
    </w:pPr>
  </w:style>
  <w:style w:type="paragraph" w:styleId="TOC9">
    <w:name w:val="toc 9"/>
    <w:basedOn w:val="Normal"/>
    <w:next w:val="Normal"/>
    <w:autoRedefine/>
    <w:uiPriority w:val="39"/>
    <w:unhideWhenUsed/>
    <w:rsid w:val="003E2020"/>
    <w:pPr>
      <w:spacing w:after="100"/>
      <w:ind w:left="1760"/>
    </w:pPr>
  </w:style>
  <w:style w:type="paragraph" w:customStyle="1" w:styleId="Style3">
    <w:name w:val="Style3"/>
    <w:basedOn w:val="Style1"/>
    <w:link w:val="Style3Char"/>
    <w:qFormat/>
    <w:rsid w:val="00565B3B"/>
  </w:style>
  <w:style w:type="character" w:customStyle="1" w:styleId="Style3Char">
    <w:name w:val="Style3 Char"/>
    <w:basedOn w:val="Style1Char"/>
    <w:link w:val="Style3"/>
    <w:rsid w:val="00565B3B"/>
    <w:rPr>
      <w:rFonts w:ascii="Arial" w:eastAsia="STZhongsong" w:hAnsi="Arial" w:cs="Times New Roman"/>
      <w:sz w:val="20"/>
      <w:szCs w:val="20"/>
      <w:lang w:eastAsia="zh-CN"/>
    </w:rPr>
  </w:style>
  <w:style w:type="paragraph" w:customStyle="1" w:styleId="TableParagraph">
    <w:name w:val="Table Paragraph"/>
    <w:basedOn w:val="Normal"/>
    <w:uiPriority w:val="1"/>
    <w:qFormat/>
    <w:rsid w:val="00776ADC"/>
    <w:pPr>
      <w:widowControl w:val="0"/>
      <w:spacing w:after="0" w:line="240" w:lineRule="auto"/>
    </w:pPr>
    <w:rPr>
      <w:rFonts w:eastAsiaTheme="minorHAnsi"/>
      <w:lang w:val="en-US" w:eastAsia="en-US"/>
    </w:rPr>
  </w:style>
  <w:style w:type="paragraph" w:customStyle="1" w:styleId="default0">
    <w:name w:val="default"/>
    <w:basedOn w:val="Normal"/>
    <w:rsid w:val="009879A7"/>
    <w:pPr>
      <w:autoSpaceDE w:val="0"/>
      <w:autoSpaceDN w:val="0"/>
      <w:spacing w:after="0" w:line="240" w:lineRule="auto"/>
    </w:pPr>
    <w:rPr>
      <w:rFonts w:ascii="Arial" w:eastAsiaTheme="minorHAnsi" w:hAnsi="Arial" w:cs="Arial"/>
      <w:color w:val="000000"/>
      <w:sz w:val="24"/>
      <w:szCs w:val="24"/>
    </w:rPr>
  </w:style>
  <w:style w:type="paragraph" w:customStyle="1" w:styleId="Style4">
    <w:name w:val="Style4"/>
    <w:basedOn w:val="smStyle3"/>
    <w:link w:val="Style4Char"/>
    <w:qFormat/>
    <w:rsid w:val="00C17779"/>
    <w:pPr>
      <w:spacing w:before="120"/>
      <w:ind w:left="851" w:hanging="567"/>
    </w:pPr>
  </w:style>
  <w:style w:type="paragraph" w:customStyle="1" w:styleId="Style5">
    <w:name w:val="Style5"/>
    <w:basedOn w:val="Style2"/>
    <w:link w:val="Style5Char"/>
    <w:qFormat/>
    <w:rsid w:val="00E66BDD"/>
  </w:style>
  <w:style w:type="character" w:customStyle="1" w:styleId="Style4Char">
    <w:name w:val="Style4 Char"/>
    <w:basedOn w:val="smStyle3Char"/>
    <w:link w:val="Style4"/>
    <w:rsid w:val="00C17779"/>
    <w:rPr>
      <w:rFonts w:ascii="Arial" w:eastAsia="STZhongsong" w:hAnsi="Arial" w:cs="Arial"/>
      <w:sz w:val="20"/>
      <w:szCs w:val="20"/>
      <w:lang w:eastAsia="zh-CN"/>
    </w:rPr>
  </w:style>
  <w:style w:type="character" w:customStyle="1" w:styleId="Style5Char">
    <w:name w:val="Style5 Char"/>
    <w:basedOn w:val="Style2Char"/>
    <w:link w:val="Style5"/>
    <w:rsid w:val="00E66BDD"/>
    <w:rPr>
      <w:rFonts w:ascii="Arial" w:eastAsia="STZhongsong" w:hAnsi="Arial" w:cs="Times New Roman"/>
      <w:sz w:val="20"/>
      <w:szCs w:val="20"/>
      <w:lang w:eastAsia="zh-CN"/>
    </w:rPr>
  </w:style>
  <w:style w:type="paragraph" w:customStyle="1" w:styleId="Style6">
    <w:name w:val="Style6"/>
    <w:basedOn w:val="Heading3"/>
    <w:link w:val="Style6Char"/>
    <w:qFormat/>
    <w:rsid w:val="00DD0E38"/>
    <w:pPr>
      <w:ind w:left="1417"/>
    </w:pPr>
  </w:style>
  <w:style w:type="character" w:customStyle="1" w:styleId="Style6Char">
    <w:name w:val="Style6 Char"/>
    <w:basedOn w:val="Heading3Char"/>
    <w:link w:val="Style6"/>
    <w:rsid w:val="00DD0E38"/>
    <w:rPr>
      <w:rFonts w:ascii="Arial" w:eastAsia="STZhongsong" w:hAnsi="Arial" w:cs="Times New Roman"/>
      <w:sz w:val="20"/>
      <w:szCs w:val="20"/>
      <w:lang w:eastAsia="zh-CN"/>
    </w:rPr>
  </w:style>
  <w:style w:type="paragraph" w:customStyle="1" w:styleId="SM11">
    <w:name w:val="SM1.1"/>
    <w:basedOn w:val="Style2"/>
    <w:link w:val="SM11Char"/>
    <w:qFormat/>
    <w:rsid w:val="000D6319"/>
    <w:pPr>
      <w:ind w:left="1702"/>
    </w:pPr>
  </w:style>
  <w:style w:type="character" w:customStyle="1" w:styleId="SM11Char">
    <w:name w:val="SM1.1 Char"/>
    <w:basedOn w:val="Style2Char"/>
    <w:link w:val="SM11"/>
    <w:rsid w:val="000D6319"/>
    <w:rPr>
      <w:rFonts w:ascii="Arial" w:eastAsia="STZhongsong" w:hAnsi="Arial" w:cs="Times New Roman"/>
      <w:sz w:val="20"/>
      <w:szCs w:val="20"/>
      <w:lang w:eastAsia="zh-CN"/>
    </w:rPr>
  </w:style>
  <w:style w:type="paragraph" w:customStyle="1" w:styleId="GPSL1CLAUSEHEADING">
    <w:name w:val="GPS L1 CLAUSE HEADING"/>
    <w:basedOn w:val="Normal"/>
    <w:next w:val="Normal"/>
    <w:qFormat/>
    <w:rsid w:val="0057379C"/>
    <w:pPr>
      <w:numPr>
        <w:numId w:val="6"/>
      </w:numPr>
      <w:tabs>
        <w:tab w:val="left" w:pos="567"/>
      </w:tabs>
      <w:adjustRightInd w:val="0"/>
      <w:spacing w:before="120" w:after="240" w:line="240" w:lineRule="auto"/>
      <w:jc w:val="both"/>
      <w:outlineLvl w:val="1"/>
    </w:pPr>
    <w:rPr>
      <w:rFonts w:ascii="Arial Bold" w:eastAsia="STZhongsong" w:hAnsi="Arial Bold" w:cs="Arial"/>
      <w:b/>
      <w:caps/>
      <w:sz w:val="20"/>
      <w:lang w:eastAsia="zh-CN"/>
    </w:rPr>
  </w:style>
  <w:style w:type="paragraph" w:customStyle="1" w:styleId="GPSL3numberedclause">
    <w:name w:val="GPS L3 numbered clause"/>
    <w:basedOn w:val="Normal"/>
    <w:qFormat/>
    <w:rsid w:val="0057379C"/>
    <w:pPr>
      <w:numPr>
        <w:ilvl w:val="2"/>
        <w:numId w:val="6"/>
      </w:numPr>
      <w:tabs>
        <w:tab w:val="left" w:pos="2127"/>
      </w:tabs>
      <w:adjustRightInd w:val="0"/>
      <w:spacing w:before="120" w:after="120" w:line="240" w:lineRule="auto"/>
      <w:ind w:left="2705"/>
      <w:jc w:val="both"/>
    </w:pPr>
    <w:rPr>
      <w:rFonts w:ascii="Arial" w:eastAsia="Times New Roman" w:hAnsi="Arial" w:cs="Arial"/>
      <w:sz w:val="20"/>
      <w:lang w:eastAsia="zh-CN"/>
    </w:rPr>
  </w:style>
  <w:style w:type="paragraph" w:customStyle="1" w:styleId="GPSL4numberedclause">
    <w:name w:val="GPS L4 numbered clause"/>
    <w:basedOn w:val="GPSL3numberedclause"/>
    <w:qFormat/>
    <w:rsid w:val="0057379C"/>
    <w:pPr>
      <w:numPr>
        <w:ilvl w:val="3"/>
      </w:numPr>
      <w:tabs>
        <w:tab w:val="clear" w:pos="2127"/>
        <w:tab w:val="left" w:pos="2694"/>
      </w:tabs>
    </w:pPr>
  </w:style>
  <w:style w:type="paragraph" w:customStyle="1" w:styleId="GPSL5numberedclause">
    <w:name w:val="GPS L5 numbered clause"/>
    <w:basedOn w:val="GPSL4numberedclause"/>
    <w:qFormat/>
    <w:rsid w:val="0057379C"/>
    <w:pPr>
      <w:numPr>
        <w:ilvl w:val="4"/>
      </w:numPr>
      <w:tabs>
        <w:tab w:val="clear" w:pos="2694"/>
        <w:tab w:val="left" w:pos="3119"/>
      </w:tabs>
      <w:ind w:left="3119" w:hanging="425"/>
    </w:pPr>
  </w:style>
  <w:style w:type="paragraph" w:customStyle="1" w:styleId="GPSL2NumberedBoldHeading">
    <w:name w:val="GPS L2 Numbered Bold Heading"/>
    <w:basedOn w:val="Normal"/>
    <w:qFormat/>
    <w:rsid w:val="0057379C"/>
    <w:pPr>
      <w:numPr>
        <w:ilvl w:val="1"/>
        <w:numId w:val="6"/>
      </w:numPr>
      <w:tabs>
        <w:tab w:val="left" w:pos="1134"/>
      </w:tabs>
      <w:adjustRightInd w:val="0"/>
      <w:spacing w:before="120" w:after="120" w:line="240" w:lineRule="auto"/>
      <w:jc w:val="both"/>
    </w:pPr>
    <w:rPr>
      <w:rFonts w:ascii="Arial" w:eastAsia="Times New Roman" w:hAnsi="Arial" w:cs="Arial"/>
      <w:b/>
      <w:lang w:eastAsia="zh-CN"/>
    </w:rPr>
  </w:style>
  <w:style w:type="paragraph" w:customStyle="1" w:styleId="GPSL6numbered">
    <w:name w:val="GPS L6 numbered"/>
    <w:basedOn w:val="GPSL5numberedclause"/>
    <w:qFormat/>
    <w:rsid w:val="0057379C"/>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57379C"/>
    <w:pPr>
      <w:tabs>
        <w:tab w:val="center" w:pos="1134"/>
        <w:tab w:val="left" w:leader="dot" w:pos="1418"/>
      </w:tabs>
      <w:ind w:left="1135" w:hanging="284"/>
    </w:pPr>
    <w:rPr>
      <w:b w:val="0"/>
      <w:sz w:val="20"/>
    </w:rPr>
  </w:style>
  <w:style w:type="character" w:customStyle="1" w:styleId="GPSL2NumberedChar">
    <w:name w:val="GPS L2 Numbered Char"/>
    <w:link w:val="GPSL2Numbered"/>
    <w:rsid w:val="0057379C"/>
    <w:rPr>
      <w:rFonts w:ascii="Arial" w:eastAsia="Times New Roman" w:hAnsi="Arial" w:cs="Arial"/>
      <w:sz w:val="20"/>
      <w:lang w:eastAsia="zh-CN"/>
    </w:rPr>
  </w:style>
  <w:style w:type="paragraph" w:customStyle="1" w:styleId="Style7">
    <w:name w:val="Style7"/>
    <w:basedOn w:val="Heading1"/>
    <w:next w:val="Style8"/>
    <w:link w:val="Style7Char"/>
    <w:qFormat/>
    <w:rsid w:val="00AE5109"/>
    <w:pPr>
      <w:numPr>
        <w:numId w:val="7"/>
      </w:numPr>
      <w:spacing w:before="240"/>
      <w:ind w:left="1004"/>
    </w:pPr>
    <w:rPr>
      <w:rFonts w:cs="Arial"/>
      <w:sz w:val="22"/>
      <w:szCs w:val="22"/>
    </w:rPr>
  </w:style>
  <w:style w:type="paragraph" w:customStyle="1" w:styleId="Style8">
    <w:name w:val="Style8"/>
    <w:basedOn w:val="ListParagraph"/>
    <w:next w:val="Style9"/>
    <w:link w:val="Style8Char"/>
    <w:qFormat/>
    <w:rsid w:val="0046298C"/>
    <w:pPr>
      <w:numPr>
        <w:ilvl w:val="1"/>
        <w:numId w:val="7"/>
      </w:numPr>
    </w:pPr>
    <w:rPr>
      <w:rFonts w:cs="Arial"/>
      <w:sz w:val="22"/>
      <w:szCs w:val="22"/>
    </w:rPr>
  </w:style>
  <w:style w:type="character" w:customStyle="1" w:styleId="ListParagraphChar">
    <w:name w:val="List Paragraph Char"/>
    <w:basedOn w:val="DefaultParagraphFont"/>
    <w:link w:val="ListParagraph"/>
    <w:uiPriority w:val="34"/>
    <w:rsid w:val="002C6C7C"/>
    <w:rPr>
      <w:rFonts w:ascii="Arial" w:eastAsia="Times New Roman" w:hAnsi="Arial" w:cs="Times New Roman"/>
      <w:sz w:val="20"/>
      <w:szCs w:val="24"/>
    </w:rPr>
  </w:style>
  <w:style w:type="character" w:customStyle="1" w:styleId="Style7Char">
    <w:name w:val="Style7 Char"/>
    <w:basedOn w:val="ListParagraphChar"/>
    <w:link w:val="Style7"/>
    <w:rsid w:val="00AE5109"/>
    <w:rPr>
      <w:rFonts w:ascii="Arial" w:eastAsia="STZhongsong" w:hAnsi="Arial" w:cs="Arial"/>
      <w:b/>
      <w:caps/>
      <w:sz w:val="20"/>
      <w:szCs w:val="24"/>
      <w:lang w:eastAsia="zh-CN"/>
    </w:rPr>
  </w:style>
  <w:style w:type="paragraph" w:customStyle="1" w:styleId="Style9">
    <w:name w:val="Style9"/>
    <w:basedOn w:val="ListParagraph"/>
    <w:next w:val="Style10"/>
    <w:link w:val="Style9Char"/>
    <w:qFormat/>
    <w:rsid w:val="00E0407C"/>
    <w:pPr>
      <w:numPr>
        <w:ilvl w:val="2"/>
        <w:numId w:val="7"/>
      </w:numPr>
    </w:pPr>
    <w:rPr>
      <w:rFonts w:cs="Arial"/>
      <w:sz w:val="22"/>
      <w:szCs w:val="22"/>
    </w:rPr>
  </w:style>
  <w:style w:type="character" w:customStyle="1" w:styleId="Style8Char">
    <w:name w:val="Style8 Char"/>
    <w:basedOn w:val="ListParagraphChar"/>
    <w:link w:val="Style8"/>
    <w:rsid w:val="0046298C"/>
    <w:rPr>
      <w:rFonts w:ascii="Arial" w:eastAsia="Times New Roman" w:hAnsi="Arial" w:cs="Arial"/>
      <w:sz w:val="20"/>
      <w:szCs w:val="24"/>
    </w:rPr>
  </w:style>
  <w:style w:type="paragraph" w:customStyle="1" w:styleId="Style10">
    <w:name w:val="Style10"/>
    <w:basedOn w:val="ListParagraph"/>
    <w:link w:val="Style10Char"/>
    <w:qFormat/>
    <w:rsid w:val="00E0407C"/>
    <w:pPr>
      <w:numPr>
        <w:ilvl w:val="3"/>
        <w:numId w:val="7"/>
      </w:numPr>
    </w:pPr>
    <w:rPr>
      <w:rFonts w:cs="Arial"/>
      <w:sz w:val="22"/>
      <w:szCs w:val="22"/>
    </w:rPr>
  </w:style>
  <w:style w:type="character" w:customStyle="1" w:styleId="Style9Char">
    <w:name w:val="Style9 Char"/>
    <w:basedOn w:val="ListParagraphChar"/>
    <w:link w:val="Style9"/>
    <w:rsid w:val="00E0407C"/>
    <w:rPr>
      <w:rFonts w:ascii="Arial" w:eastAsia="Times New Roman" w:hAnsi="Arial" w:cs="Arial"/>
      <w:sz w:val="20"/>
      <w:szCs w:val="24"/>
    </w:rPr>
  </w:style>
  <w:style w:type="character" w:customStyle="1" w:styleId="Style10Char">
    <w:name w:val="Style10 Char"/>
    <w:basedOn w:val="ListParagraphChar"/>
    <w:link w:val="Style10"/>
    <w:rsid w:val="00E0407C"/>
    <w:rPr>
      <w:rFonts w:ascii="Arial" w:eastAsia="Times New Roman" w:hAnsi="Arial" w:cs="Arial"/>
      <w:sz w:val="20"/>
      <w:szCs w:val="24"/>
    </w:rPr>
  </w:style>
  <w:style w:type="table" w:customStyle="1" w:styleId="TableGrid2">
    <w:name w:val="Table Grid2"/>
    <w:basedOn w:val="TableNormal"/>
    <w:next w:val="TableGrid"/>
    <w:uiPriority w:val="39"/>
    <w:rsid w:val="00586F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914">
      <w:bodyDiv w:val="1"/>
      <w:marLeft w:val="0"/>
      <w:marRight w:val="0"/>
      <w:marTop w:val="0"/>
      <w:marBottom w:val="0"/>
      <w:divBdr>
        <w:top w:val="none" w:sz="0" w:space="0" w:color="auto"/>
        <w:left w:val="none" w:sz="0" w:space="0" w:color="auto"/>
        <w:bottom w:val="none" w:sz="0" w:space="0" w:color="auto"/>
        <w:right w:val="none" w:sz="0" w:space="0" w:color="auto"/>
      </w:divBdr>
    </w:div>
    <w:div w:id="222572296">
      <w:bodyDiv w:val="1"/>
      <w:marLeft w:val="0"/>
      <w:marRight w:val="0"/>
      <w:marTop w:val="0"/>
      <w:marBottom w:val="0"/>
      <w:divBdr>
        <w:top w:val="none" w:sz="0" w:space="0" w:color="auto"/>
        <w:left w:val="none" w:sz="0" w:space="0" w:color="auto"/>
        <w:bottom w:val="none" w:sz="0" w:space="0" w:color="auto"/>
        <w:right w:val="none" w:sz="0" w:space="0" w:color="auto"/>
      </w:divBdr>
    </w:div>
    <w:div w:id="270357826">
      <w:bodyDiv w:val="1"/>
      <w:marLeft w:val="0"/>
      <w:marRight w:val="0"/>
      <w:marTop w:val="0"/>
      <w:marBottom w:val="0"/>
      <w:divBdr>
        <w:top w:val="none" w:sz="0" w:space="0" w:color="auto"/>
        <w:left w:val="none" w:sz="0" w:space="0" w:color="auto"/>
        <w:bottom w:val="none" w:sz="0" w:space="0" w:color="auto"/>
        <w:right w:val="none" w:sz="0" w:space="0" w:color="auto"/>
      </w:divBdr>
    </w:div>
    <w:div w:id="307442848">
      <w:bodyDiv w:val="1"/>
      <w:marLeft w:val="0"/>
      <w:marRight w:val="0"/>
      <w:marTop w:val="0"/>
      <w:marBottom w:val="0"/>
      <w:divBdr>
        <w:top w:val="none" w:sz="0" w:space="0" w:color="auto"/>
        <w:left w:val="none" w:sz="0" w:space="0" w:color="auto"/>
        <w:bottom w:val="none" w:sz="0" w:space="0" w:color="auto"/>
        <w:right w:val="none" w:sz="0" w:space="0" w:color="auto"/>
      </w:divBdr>
    </w:div>
    <w:div w:id="328607887">
      <w:bodyDiv w:val="1"/>
      <w:marLeft w:val="0"/>
      <w:marRight w:val="0"/>
      <w:marTop w:val="0"/>
      <w:marBottom w:val="0"/>
      <w:divBdr>
        <w:top w:val="none" w:sz="0" w:space="0" w:color="auto"/>
        <w:left w:val="none" w:sz="0" w:space="0" w:color="auto"/>
        <w:bottom w:val="none" w:sz="0" w:space="0" w:color="auto"/>
        <w:right w:val="none" w:sz="0" w:space="0" w:color="auto"/>
      </w:divBdr>
    </w:div>
    <w:div w:id="379091326">
      <w:bodyDiv w:val="1"/>
      <w:marLeft w:val="0"/>
      <w:marRight w:val="0"/>
      <w:marTop w:val="0"/>
      <w:marBottom w:val="0"/>
      <w:divBdr>
        <w:top w:val="none" w:sz="0" w:space="0" w:color="auto"/>
        <w:left w:val="none" w:sz="0" w:space="0" w:color="auto"/>
        <w:bottom w:val="none" w:sz="0" w:space="0" w:color="auto"/>
        <w:right w:val="none" w:sz="0" w:space="0" w:color="auto"/>
      </w:divBdr>
    </w:div>
    <w:div w:id="384565835">
      <w:bodyDiv w:val="1"/>
      <w:marLeft w:val="0"/>
      <w:marRight w:val="0"/>
      <w:marTop w:val="0"/>
      <w:marBottom w:val="0"/>
      <w:divBdr>
        <w:top w:val="none" w:sz="0" w:space="0" w:color="auto"/>
        <w:left w:val="none" w:sz="0" w:space="0" w:color="auto"/>
        <w:bottom w:val="none" w:sz="0" w:space="0" w:color="auto"/>
        <w:right w:val="none" w:sz="0" w:space="0" w:color="auto"/>
      </w:divBdr>
    </w:div>
    <w:div w:id="453257322">
      <w:bodyDiv w:val="1"/>
      <w:marLeft w:val="0"/>
      <w:marRight w:val="0"/>
      <w:marTop w:val="0"/>
      <w:marBottom w:val="0"/>
      <w:divBdr>
        <w:top w:val="none" w:sz="0" w:space="0" w:color="auto"/>
        <w:left w:val="none" w:sz="0" w:space="0" w:color="auto"/>
        <w:bottom w:val="none" w:sz="0" w:space="0" w:color="auto"/>
        <w:right w:val="none" w:sz="0" w:space="0" w:color="auto"/>
      </w:divBdr>
    </w:div>
    <w:div w:id="572199129">
      <w:bodyDiv w:val="1"/>
      <w:marLeft w:val="0"/>
      <w:marRight w:val="0"/>
      <w:marTop w:val="0"/>
      <w:marBottom w:val="0"/>
      <w:divBdr>
        <w:top w:val="none" w:sz="0" w:space="0" w:color="auto"/>
        <w:left w:val="none" w:sz="0" w:space="0" w:color="auto"/>
        <w:bottom w:val="none" w:sz="0" w:space="0" w:color="auto"/>
        <w:right w:val="none" w:sz="0" w:space="0" w:color="auto"/>
      </w:divBdr>
    </w:div>
    <w:div w:id="626736427">
      <w:bodyDiv w:val="1"/>
      <w:marLeft w:val="0"/>
      <w:marRight w:val="0"/>
      <w:marTop w:val="0"/>
      <w:marBottom w:val="0"/>
      <w:divBdr>
        <w:top w:val="none" w:sz="0" w:space="0" w:color="auto"/>
        <w:left w:val="none" w:sz="0" w:space="0" w:color="auto"/>
        <w:bottom w:val="none" w:sz="0" w:space="0" w:color="auto"/>
        <w:right w:val="none" w:sz="0" w:space="0" w:color="auto"/>
      </w:divBdr>
    </w:div>
    <w:div w:id="668093114">
      <w:bodyDiv w:val="1"/>
      <w:marLeft w:val="0"/>
      <w:marRight w:val="0"/>
      <w:marTop w:val="0"/>
      <w:marBottom w:val="0"/>
      <w:divBdr>
        <w:top w:val="none" w:sz="0" w:space="0" w:color="auto"/>
        <w:left w:val="none" w:sz="0" w:space="0" w:color="auto"/>
        <w:bottom w:val="none" w:sz="0" w:space="0" w:color="auto"/>
        <w:right w:val="none" w:sz="0" w:space="0" w:color="auto"/>
      </w:divBdr>
    </w:div>
    <w:div w:id="672148072">
      <w:bodyDiv w:val="1"/>
      <w:marLeft w:val="0"/>
      <w:marRight w:val="0"/>
      <w:marTop w:val="0"/>
      <w:marBottom w:val="0"/>
      <w:divBdr>
        <w:top w:val="none" w:sz="0" w:space="0" w:color="auto"/>
        <w:left w:val="none" w:sz="0" w:space="0" w:color="auto"/>
        <w:bottom w:val="none" w:sz="0" w:space="0" w:color="auto"/>
        <w:right w:val="none" w:sz="0" w:space="0" w:color="auto"/>
      </w:divBdr>
    </w:div>
    <w:div w:id="684401317">
      <w:bodyDiv w:val="1"/>
      <w:marLeft w:val="0"/>
      <w:marRight w:val="0"/>
      <w:marTop w:val="0"/>
      <w:marBottom w:val="0"/>
      <w:divBdr>
        <w:top w:val="none" w:sz="0" w:space="0" w:color="auto"/>
        <w:left w:val="none" w:sz="0" w:space="0" w:color="auto"/>
        <w:bottom w:val="none" w:sz="0" w:space="0" w:color="auto"/>
        <w:right w:val="none" w:sz="0" w:space="0" w:color="auto"/>
      </w:divBdr>
    </w:div>
    <w:div w:id="693960720">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68643687">
      <w:bodyDiv w:val="1"/>
      <w:marLeft w:val="0"/>
      <w:marRight w:val="0"/>
      <w:marTop w:val="0"/>
      <w:marBottom w:val="0"/>
      <w:divBdr>
        <w:top w:val="none" w:sz="0" w:space="0" w:color="auto"/>
        <w:left w:val="none" w:sz="0" w:space="0" w:color="auto"/>
        <w:bottom w:val="none" w:sz="0" w:space="0" w:color="auto"/>
        <w:right w:val="none" w:sz="0" w:space="0" w:color="auto"/>
      </w:divBdr>
    </w:div>
    <w:div w:id="948664812">
      <w:bodyDiv w:val="1"/>
      <w:marLeft w:val="0"/>
      <w:marRight w:val="0"/>
      <w:marTop w:val="0"/>
      <w:marBottom w:val="0"/>
      <w:divBdr>
        <w:top w:val="none" w:sz="0" w:space="0" w:color="auto"/>
        <w:left w:val="none" w:sz="0" w:space="0" w:color="auto"/>
        <w:bottom w:val="none" w:sz="0" w:space="0" w:color="auto"/>
        <w:right w:val="none" w:sz="0" w:space="0" w:color="auto"/>
      </w:divBdr>
    </w:div>
    <w:div w:id="97441220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109280853">
      <w:bodyDiv w:val="1"/>
      <w:marLeft w:val="0"/>
      <w:marRight w:val="0"/>
      <w:marTop w:val="0"/>
      <w:marBottom w:val="0"/>
      <w:divBdr>
        <w:top w:val="none" w:sz="0" w:space="0" w:color="auto"/>
        <w:left w:val="none" w:sz="0" w:space="0" w:color="auto"/>
        <w:bottom w:val="none" w:sz="0" w:space="0" w:color="auto"/>
        <w:right w:val="none" w:sz="0" w:space="0" w:color="auto"/>
      </w:divBdr>
    </w:div>
    <w:div w:id="1175458486">
      <w:bodyDiv w:val="1"/>
      <w:marLeft w:val="0"/>
      <w:marRight w:val="0"/>
      <w:marTop w:val="0"/>
      <w:marBottom w:val="0"/>
      <w:divBdr>
        <w:top w:val="none" w:sz="0" w:space="0" w:color="auto"/>
        <w:left w:val="none" w:sz="0" w:space="0" w:color="auto"/>
        <w:bottom w:val="none" w:sz="0" w:space="0" w:color="auto"/>
        <w:right w:val="none" w:sz="0" w:space="0" w:color="auto"/>
      </w:divBdr>
    </w:div>
    <w:div w:id="1247885915">
      <w:bodyDiv w:val="1"/>
      <w:marLeft w:val="0"/>
      <w:marRight w:val="0"/>
      <w:marTop w:val="0"/>
      <w:marBottom w:val="0"/>
      <w:divBdr>
        <w:top w:val="none" w:sz="0" w:space="0" w:color="auto"/>
        <w:left w:val="none" w:sz="0" w:space="0" w:color="auto"/>
        <w:bottom w:val="none" w:sz="0" w:space="0" w:color="auto"/>
        <w:right w:val="none" w:sz="0" w:space="0" w:color="auto"/>
      </w:divBdr>
    </w:div>
    <w:div w:id="1371224278">
      <w:bodyDiv w:val="1"/>
      <w:marLeft w:val="0"/>
      <w:marRight w:val="0"/>
      <w:marTop w:val="0"/>
      <w:marBottom w:val="0"/>
      <w:divBdr>
        <w:top w:val="none" w:sz="0" w:space="0" w:color="auto"/>
        <w:left w:val="none" w:sz="0" w:space="0" w:color="auto"/>
        <w:bottom w:val="none" w:sz="0" w:space="0" w:color="auto"/>
        <w:right w:val="none" w:sz="0" w:space="0" w:color="auto"/>
      </w:divBdr>
    </w:div>
    <w:div w:id="1453283854">
      <w:bodyDiv w:val="1"/>
      <w:marLeft w:val="0"/>
      <w:marRight w:val="0"/>
      <w:marTop w:val="0"/>
      <w:marBottom w:val="0"/>
      <w:divBdr>
        <w:top w:val="none" w:sz="0" w:space="0" w:color="auto"/>
        <w:left w:val="none" w:sz="0" w:space="0" w:color="auto"/>
        <w:bottom w:val="none" w:sz="0" w:space="0" w:color="auto"/>
        <w:right w:val="none" w:sz="0" w:space="0" w:color="auto"/>
      </w:divBdr>
    </w:div>
    <w:div w:id="1480613638">
      <w:bodyDiv w:val="1"/>
      <w:marLeft w:val="0"/>
      <w:marRight w:val="0"/>
      <w:marTop w:val="0"/>
      <w:marBottom w:val="0"/>
      <w:divBdr>
        <w:top w:val="none" w:sz="0" w:space="0" w:color="auto"/>
        <w:left w:val="none" w:sz="0" w:space="0" w:color="auto"/>
        <w:bottom w:val="none" w:sz="0" w:space="0" w:color="auto"/>
        <w:right w:val="none" w:sz="0" w:space="0" w:color="auto"/>
      </w:divBdr>
    </w:div>
    <w:div w:id="1553271672">
      <w:bodyDiv w:val="1"/>
      <w:marLeft w:val="0"/>
      <w:marRight w:val="0"/>
      <w:marTop w:val="0"/>
      <w:marBottom w:val="0"/>
      <w:divBdr>
        <w:top w:val="none" w:sz="0" w:space="0" w:color="auto"/>
        <w:left w:val="none" w:sz="0" w:space="0" w:color="auto"/>
        <w:bottom w:val="none" w:sz="0" w:space="0" w:color="auto"/>
        <w:right w:val="none" w:sz="0" w:space="0" w:color="auto"/>
      </w:divBdr>
    </w:div>
    <w:div w:id="1558275199">
      <w:bodyDiv w:val="1"/>
      <w:marLeft w:val="0"/>
      <w:marRight w:val="0"/>
      <w:marTop w:val="0"/>
      <w:marBottom w:val="0"/>
      <w:divBdr>
        <w:top w:val="none" w:sz="0" w:space="0" w:color="auto"/>
        <w:left w:val="none" w:sz="0" w:space="0" w:color="auto"/>
        <w:bottom w:val="none" w:sz="0" w:space="0" w:color="auto"/>
        <w:right w:val="none" w:sz="0" w:space="0" w:color="auto"/>
      </w:divBdr>
    </w:div>
    <w:div w:id="1633560687">
      <w:bodyDiv w:val="1"/>
      <w:marLeft w:val="0"/>
      <w:marRight w:val="0"/>
      <w:marTop w:val="0"/>
      <w:marBottom w:val="0"/>
      <w:divBdr>
        <w:top w:val="none" w:sz="0" w:space="0" w:color="auto"/>
        <w:left w:val="none" w:sz="0" w:space="0" w:color="auto"/>
        <w:bottom w:val="none" w:sz="0" w:space="0" w:color="auto"/>
        <w:right w:val="none" w:sz="0" w:space="0" w:color="auto"/>
      </w:divBdr>
      <w:divsChild>
        <w:div w:id="244187654">
          <w:blockQuote w:val="1"/>
          <w:marLeft w:val="96"/>
          <w:marRight w:val="0"/>
          <w:marTop w:val="0"/>
          <w:marBottom w:val="0"/>
          <w:divBdr>
            <w:top w:val="none" w:sz="0" w:space="0" w:color="auto"/>
            <w:left w:val="single" w:sz="6" w:space="6" w:color="CCCCCC"/>
            <w:bottom w:val="none" w:sz="0" w:space="0" w:color="auto"/>
            <w:right w:val="none" w:sz="0" w:space="0" w:color="auto"/>
          </w:divBdr>
        </w:div>
        <w:div w:id="569274935">
          <w:blockQuote w:val="1"/>
          <w:marLeft w:val="96"/>
          <w:marRight w:val="0"/>
          <w:marTop w:val="0"/>
          <w:marBottom w:val="0"/>
          <w:divBdr>
            <w:top w:val="none" w:sz="0" w:space="0" w:color="auto"/>
            <w:left w:val="single" w:sz="6" w:space="6" w:color="CCCCCC"/>
            <w:bottom w:val="none" w:sz="0" w:space="0" w:color="auto"/>
            <w:right w:val="none" w:sz="0" w:space="0" w:color="auto"/>
          </w:divBdr>
        </w:div>
        <w:div w:id="600339697">
          <w:marLeft w:val="0"/>
          <w:marRight w:val="0"/>
          <w:marTop w:val="0"/>
          <w:marBottom w:val="0"/>
          <w:divBdr>
            <w:top w:val="none" w:sz="0" w:space="0" w:color="auto"/>
            <w:left w:val="none" w:sz="0" w:space="0" w:color="auto"/>
            <w:bottom w:val="none" w:sz="0" w:space="0" w:color="auto"/>
            <w:right w:val="none" w:sz="0" w:space="0" w:color="auto"/>
          </w:divBdr>
        </w:div>
      </w:divsChild>
    </w:div>
    <w:div w:id="1638485776">
      <w:bodyDiv w:val="1"/>
      <w:marLeft w:val="0"/>
      <w:marRight w:val="0"/>
      <w:marTop w:val="0"/>
      <w:marBottom w:val="0"/>
      <w:divBdr>
        <w:top w:val="none" w:sz="0" w:space="0" w:color="auto"/>
        <w:left w:val="none" w:sz="0" w:space="0" w:color="auto"/>
        <w:bottom w:val="none" w:sz="0" w:space="0" w:color="auto"/>
        <w:right w:val="none" w:sz="0" w:space="0" w:color="auto"/>
      </w:divBdr>
    </w:div>
    <w:div w:id="1663578285">
      <w:bodyDiv w:val="1"/>
      <w:marLeft w:val="0"/>
      <w:marRight w:val="0"/>
      <w:marTop w:val="0"/>
      <w:marBottom w:val="0"/>
      <w:divBdr>
        <w:top w:val="none" w:sz="0" w:space="0" w:color="auto"/>
        <w:left w:val="none" w:sz="0" w:space="0" w:color="auto"/>
        <w:bottom w:val="none" w:sz="0" w:space="0" w:color="auto"/>
        <w:right w:val="none" w:sz="0" w:space="0" w:color="auto"/>
      </w:divBdr>
    </w:div>
    <w:div w:id="1767580917">
      <w:bodyDiv w:val="1"/>
      <w:marLeft w:val="0"/>
      <w:marRight w:val="0"/>
      <w:marTop w:val="0"/>
      <w:marBottom w:val="0"/>
      <w:divBdr>
        <w:top w:val="none" w:sz="0" w:space="0" w:color="auto"/>
        <w:left w:val="none" w:sz="0" w:space="0" w:color="auto"/>
        <w:bottom w:val="none" w:sz="0" w:space="0" w:color="auto"/>
        <w:right w:val="none" w:sz="0" w:space="0" w:color="auto"/>
      </w:divBdr>
    </w:div>
    <w:div w:id="1819299691">
      <w:bodyDiv w:val="1"/>
      <w:marLeft w:val="0"/>
      <w:marRight w:val="0"/>
      <w:marTop w:val="0"/>
      <w:marBottom w:val="0"/>
      <w:divBdr>
        <w:top w:val="none" w:sz="0" w:space="0" w:color="auto"/>
        <w:left w:val="none" w:sz="0" w:space="0" w:color="auto"/>
        <w:bottom w:val="none" w:sz="0" w:space="0" w:color="auto"/>
        <w:right w:val="none" w:sz="0" w:space="0" w:color="auto"/>
      </w:divBdr>
    </w:div>
    <w:div w:id="1888300455">
      <w:bodyDiv w:val="1"/>
      <w:marLeft w:val="0"/>
      <w:marRight w:val="0"/>
      <w:marTop w:val="0"/>
      <w:marBottom w:val="0"/>
      <w:divBdr>
        <w:top w:val="none" w:sz="0" w:space="0" w:color="auto"/>
        <w:left w:val="none" w:sz="0" w:space="0" w:color="auto"/>
        <w:bottom w:val="none" w:sz="0" w:space="0" w:color="auto"/>
        <w:right w:val="none" w:sz="0" w:space="0" w:color="auto"/>
      </w:divBdr>
    </w:div>
    <w:div w:id="2040081051">
      <w:bodyDiv w:val="1"/>
      <w:marLeft w:val="0"/>
      <w:marRight w:val="0"/>
      <w:marTop w:val="0"/>
      <w:marBottom w:val="0"/>
      <w:divBdr>
        <w:top w:val="none" w:sz="0" w:space="0" w:color="auto"/>
        <w:left w:val="none" w:sz="0" w:space="0" w:color="auto"/>
        <w:bottom w:val="none" w:sz="0" w:space="0" w:color="auto"/>
        <w:right w:val="none" w:sz="0" w:space="0" w:color="auto"/>
      </w:divBdr>
    </w:div>
    <w:div w:id="2071926981">
      <w:bodyDiv w:val="1"/>
      <w:marLeft w:val="0"/>
      <w:marRight w:val="0"/>
      <w:marTop w:val="0"/>
      <w:marBottom w:val="0"/>
      <w:divBdr>
        <w:top w:val="none" w:sz="0" w:space="0" w:color="auto"/>
        <w:left w:val="none" w:sz="0" w:space="0" w:color="auto"/>
        <w:bottom w:val="none" w:sz="0" w:space="0" w:color="auto"/>
        <w:right w:val="none" w:sz="0" w:space="0" w:color="auto"/>
      </w:divBdr>
    </w:div>
    <w:div w:id="20804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hyperlink" Target="http://ec.europa.eu/enterprise/policies/sme/facts-figures-analysis/sme-defini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government-security-classifications" TargetMode="External"/><Relationship Id="rId2" Type="http://schemas.openxmlformats.org/officeDocument/2006/relationships/customXml" Target="../customXml/item2.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www.legislation.gov.uk/uksi/2015/102/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esourcing-tool-guidance-for-suppli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cyber-essentials-scheme-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cs-agreements.cabinetoffice.gov.uk/procurement-pipel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B9FF1283-F39C-44F0-AE60-673F07CA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33</Pages>
  <Words>10994</Words>
  <Characters>62672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73519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dc:creator>
  <cp:lastModifiedBy>Kerrie Moore</cp:lastModifiedBy>
  <cp:revision>56</cp:revision>
  <cp:lastPrinted>2015-10-26T11:21:00Z</cp:lastPrinted>
  <dcterms:created xsi:type="dcterms:W3CDTF">2015-10-16T11:02:00Z</dcterms:created>
  <dcterms:modified xsi:type="dcterms:W3CDTF">2015-10-28T15:31:00Z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