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9D2572"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149D2575" w14:textId="77777777" w:rsidTr="00061C01">
        <w:tc>
          <w:tcPr>
            <w:tcW w:w="4539" w:type="dxa"/>
          </w:tcPr>
          <w:p w14:paraId="149D2573"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149D2711" wp14:editId="149D2712">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149D2574"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149D2713" wp14:editId="149D2714">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149D2576" w14:textId="77777777" w:rsidR="00582B96" w:rsidRDefault="00582B96" w:rsidP="00582B96"/>
    <w:p w14:paraId="149D2577" w14:textId="77777777" w:rsidR="00582B96" w:rsidRPr="00D144D9" w:rsidRDefault="00582B96" w:rsidP="00582B96">
      <w:pPr>
        <w:rPr>
          <w:color w:val="FF0000"/>
        </w:rPr>
      </w:pPr>
    </w:p>
    <w:p w14:paraId="149D2578" w14:textId="77777777" w:rsidR="00582B96" w:rsidRDefault="00582B96" w:rsidP="00582B96"/>
    <w:p w14:paraId="149D2579" w14:textId="77777777" w:rsidR="00582B96" w:rsidRDefault="00582B96" w:rsidP="00582B96"/>
    <w:p w14:paraId="149D257A" w14:textId="77777777" w:rsidR="00582B96" w:rsidRDefault="00582B96" w:rsidP="00582B96"/>
    <w:p w14:paraId="149D257B" w14:textId="77777777" w:rsidR="00C5289B" w:rsidRDefault="00C5289B" w:rsidP="00582B96">
      <w:pPr>
        <w:rPr>
          <w:b/>
          <w:sz w:val="52"/>
          <w:szCs w:val="52"/>
        </w:rPr>
      </w:pPr>
    </w:p>
    <w:p w14:paraId="149D257C" w14:textId="77777777" w:rsidR="00582B96" w:rsidRPr="00360CDD" w:rsidRDefault="628497D1" w:rsidP="00582B96">
      <w:pPr>
        <w:rPr>
          <w:b/>
          <w:sz w:val="52"/>
          <w:szCs w:val="52"/>
        </w:rPr>
      </w:pPr>
      <w:r w:rsidRPr="628497D1">
        <w:rPr>
          <w:b/>
          <w:bCs/>
          <w:sz w:val="52"/>
          <w:szCs w:val="52"/>
        </w:rPr>
        <w:t xml:space="preserve">SPECIFICATION </w:t>
      </w:r>
    </w:p>
    <w:p w14:paraId="149D257D" w14:textId="77777777" w:rsidR="00582B96" w:rsidRDefault="00582B96" w:rsidP="00582B96">
      <w:pPr>
        <w:rPr>
          <w:b/>
          <w:sz w:val="48"/>
          <w:szCs w:val="48"/>
        </w:rPr>
      </w:pPr>
    </w:p>
    <w:p w14:paraId="149D257E" w14:textId="77777777" w:rsidR="00582B96" w:rsidRDefault="00582B96" w:rsidP="00582B96">
      <w:pPr>
        <w:rPr>
          <w:b/>
          <w:sz w:val="48"/>
          <w:szCs w:val="48"/>
        </w:rPr>
      </w:pPr>
    </w:p>
    <w:p w14:paraId="149D257F" w14:textId="77777777" w:rsidR="00582B96" w:rsidRDefault="00582B96" w:rsidP="00582B96">
      <w:pPr>
        <w:rPr>
          <w:b/>
          <w:sz w:val="48"/>
          <w:szCs w:val="48"/>
        </w:rPr>
      </w:pPr>
    </w:p>
    <w:p w14:paraId="149D2580" w14:textId="4EF97BA3" w:rsidR="00582B96" w:rsidRPr="00360CDD" w:rsidRDefault="764A5C14" w:rsidP="00582B96">
      <w:pPr>
        <w:rPr>
          <w:b/>
          <w:color w:val="FF0000"/>
          <w:sz w:val="36"/>
          <w:szCs w:val="36"/>
        </w:rPr>
      </w:pPr>
      <w:r w:rsidRPr="764A5C14">
        <w:rPr>
          <w:b/>
          <w:bCs/>
          <w:sz w:val="36"/>
          <w:szCs w:val="36"/>
        </w:rPr>
        <w:t>INVITATION TO TENDER – ITT 30038</w:t>
      </w:r>
      <w:r w:rsidRPr="764A5C14">
        <w:rPr>
          <w:b/>
          <w:bCs/>
          <w:color w:val="FF0000"/>
          <w:sz w:val="36"/>
          <w:szCs w:val="36"/>
        </w:rPr>
        <w:t xml:space="preserve"> </w:t>
      </w:r>
    </w:p>
    <w:p w14:paraId="149D2581" w14:textId="77777777" w:rsidR="00582B96" w:rsidRPr="00360CDD" w:rsidRDefault="00582B96" w:rsidP="00582B96">
      <w:pPr>
        <w:autoSpaceDE w:val="0"/>
        <w:autoSpaceDN w:val="0"/>
        <w:adjustRightInd w:val="0"/>
        <w:rPr>
          <w:rFonts w:cs="Arial"/>
          <w:b/>
          <w:bCs/>
          <w:sz w:val="48"/>
          <w:szCs w:val="48"/>
        </w:rPr>
      </w:pPr>
    </w:p>
    <w:p w14:paraId="149D2582" w14:textId="77777777" w:rsidR="00582B96" w:rsidRPr="00360CDD" w:rsidRDefault="00582B96" w:rsidP="00582B96">
      <w:pPr>
        <w:autoSpaceDE w:val="0"/>
        <w:autoSpaceDN w:val="0"/>
        <w:adjustRightInd w:val="0"/>
        <w:rPr>
          <w:rFonts w:cs="Arial"/>
          <w:b/>
          <w:bCs/>
          <w:sz w:val="48"/>
          <w:szCs w:val="48"/>
        </w:rPr>
      </w:pPr>
    </w:p>
    <w:p w14:paraId="149D2585" w14:textId="2DF0401A" w:rsidR="00582B96" w:rsidRPr="00565E49" w:rsidRDefault="006C6E55" w:rsidP="00582B96">
      <w:pPr>
        <w:rPr>
          <w:b/>
          <w:sz w:val="36"/>
          <w:szCs w:val="36"/>
        </w:rPr>
      </w:pPr>
      <w:r w:rsidRPr="00565E49">
        <w:rPr>
          <w:rFonts w:cs="Arial"/>
          <w:b/>
          <w:sz w:val="36"/>
          <w:szCs w:val="36"/>
        </w:rPr>
        <w:t>Employees Support in Skills – 31-001-P1P2</w:t>
      </w:r>
    </w:p>
    <w:p w14:paraId="149D2586" w14:textId="77777777" w:rsidR="00582B96" w:rsidRPr="00565E49" w:rsidRDefault="00582B96" w:rsidP="00582B96">
      <w:pPr>
        <w:rPr>
          <w:b/>
          <w:sz w:val="48"/>
          <w:szCs w:val="48"/>
        </w:rPr>
      </w:pPr>
    </w:p>
    <w:p w14:paraId="149D2587" w14:textId="77777777" w:rsidR="00582B96" w:rsidRPr="00565E49" w:rsidRDefault="628497D1" w:rsidP="00582B96">
      <w:pPr>
        <w:rPr>
          <w:b/>
          <w:sz w:val="36"/>
          <w:szCs w:val="36"/>
        </w:rPr>
      </w:pPr>
      <w:r w:rsidRPr="00565E49">
        <w:rPr>
          <w:b/>
          <w:bCs/>
          <w:sz w:val="36"/>
          <w:szCs w:val="36"/>
        </w:rPr>
        <w:t>South East Midlands</w:t>
      </w:r>
    </w:p>
    <w:p w14:paraId="149D2588" w14:textId="77777777" w:rsidR="00582B96" w:rsidRDefault="00582B96" w:rsidP="00582B96">
      <w:pPr>
        <w:rPr>
          <w:b/>
          <w:sz w:val="48"/>
          <w:szCs w:val="48"/>
        </w:rPr>
      </w:pPr>
    </w:p>
    <w:p w14:paraId="149D2589" w14:textId="77777777" w:rsidR="00582B96" w:rsidRDefault="00582B96" w:rsidP="00582B96">
      <w:pPr>
        <w:rPr>
          <w:b/>
          <w:sz w:val="48"/>
          <w:szCs w:val="48"/>
        </w:rPr>
      </w:pPr>
    </w:p>
    <w:p w14:paraId="149D258A" w14:textId="77777777" w:rsidR="00582B96" w:rsidRDefault="00582B96" w:rsidP="00582B96">
      <w:pPr>
        <w:rPr>
          <w:b/>
          <w:sz w:val="48"/>
          <w:szCs w:val="48"/>
        </w:rPr>
      </w:pPr>
    </w:p>
    <w:p w14:paraId="149D258B" w14:textId="393BB6D5" w:rsidR="00582B96" w:rsidRDefault="628497D1" w:rsidP="00582B96">
      <w:pPr>
        <w:rPr>
          <w:b/>
          <w:bCs/>
          <w:sz w:val="36"/>
          <w:szCs w:val="36"/>
        </w:rPr>
      </w:pPr>
      <w:r w:rsidRPr="628497D1">
        <w:rPr>
          <w:b/>
          <w:bCs/>
          <w:sz w:val="36"/>
          <w:szCs w:val="36"/>
        </w:rPr>
        <w:t xml:space="preserve">DATE: </w:t>
      </w:r>
      <w:r w:rsidR="00565E49">
        <w:rPr>
          <w:b/>
          <w:bCs/>
          <w:sz w:val="36"/>
          <w:szCs w:val="36"/>
        </w:rPr>
        <w:t>Ma</w:t>
      </w:r>
      <w:r w:rsidRPr="628497D1">
        <w:rPr>
          <w:b/>
          <w:bCs/>
          <w:sz w:val="36"/>
          <w:szCs w:val="36"/>
        </w:rPr>
        <w:t>y 2016</w:t>
      </w:r>
    </w:p>
    <w:p w14:paraId="42E1E35E" w14:textId="77777777" w:rsidR="00565E49" w:rsidRPr="00360CDD" w:rsidRDefault="00565E49" w:rsidP="00582B96">
      <w:pPr>
        <w:rPr>
          <w:b/>
          <w:sz w:val="36"/>
          <w:szCs w:val="36"/>
        </w:rPr>
      </w:pPr>
    </w:p>
    <w:p w14:paraId="149D258C" w14:textId="77777777" w:rsidR="00582B96" w:rsidRDefault="00582B96"/>
    <w:tbl>
      <w:tblPr>
        <w:tblW w:w="0" w:type="auto"/>
        <w:tblLook w:val="01E0" w:firstRow="1" w:lastRow="1" w:firstColumn="1" w:lastColumn="1" w:noHBand="0" w:noVBand="0"/>
      </w:tblPr>
      <w:tblGrid>
        <w:gridCol w:w="4421"/>
        <w:gridCol w:w="4366"/>
      </w:tblGrid>
      <w:tr w:rsidR="00ED67E0" w14:paraId="149D258F" w14:textId="77777777" w:rsidTr="00B24D65">
        <w:tc>
          <w:tcPr>
            <w:tcW w:w="4421" w:type="dxa"/>
          </w:tcPr>
          <w:p w14:paraId="149D258D" w14:textId="77777777" w:rsidR="00ED67E0" w:rsidRDefault="00ED67E0" w:rsidP="000419AD">
            <w:pPr>
              <w:pStyle w:val="Header"/>
              <w:tabs>
                <w:tab w:val="clear" w:pos="4153"/>
                <w:tab w:val="clear" w:pos="8306"/>
                <w:tab w:val="left" w:pos="1185"/>
              </w:tabs>
            </w:pPr>
            <w:r>
              <w:tab/>
            </w:r>
          </w:p>
        </w:tc>
        <w:tc>
          <w:tcPr>
            <w:tcW w:w="4366" w:type="dxa"/>
          </w:tcPr>
          <w:p w14:paraId="149D258E" w14:textId="77777777" w:rsidR="00ED67E0" w:rsidRDefault="00ED67E0" w:rsidP="000419AD">
            <w:pPr>
              <w:pStyle w:val="Header"/>
              <w:jc w:val="right"/>
            </w:pPr>
          </w:p>
        </w:tc>
      </w:tr>
      <w:tr w:rsidR="00ED67E0" w:rsidRPr="002465E9" w14:paraId="149D2592" w14:textId="77777777" w:rsidTr="00B24D65">
        <w:tc>
          <w:tcPr>
            <w:tcW w:w="4421" w:type="dxa"/>
          </w:tcPr>
          <w:p w14:paraId="149D2590" w14:textId="77777777" w:rsidR="00ED67E0" w:rsidRDefault="00ED67E0" w:rsidP="000419AD">
            <w:pPr>
              <w:pStyle w:val="Header"/>
            </w:pPr>
            <w:r>
              <w:rPr>
                <w:noProof/>
                <w:lang w:eastAsia="en-GB"/>
              </w:rPr>
              <w:lastRenderedPageBreak/>
              <w:drawing>
                <wp:inline distT="0" distB="0" distL="0" distR="0" wp14:anchorId="149D2715" wp14:editId="149D2716">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149D2591" w14:textId="77777777" w:rsidR="00ED67E0" w:rsidRDefault="000D51DE" w:rsidP="000419AD">
            <w:pPr>
              <w:pStyle w:val="Header"/>
              <w:jc w:val="right"/>
            </w:pPr>
            <w:r>
              <w:rPr>
                <w:noProof/>
                <w:lang w:eastAsia="en-GB"/>
              </w:rPr>
              <w:drawing>
                <wp:inline distT="0" distB="0" distL="0" distR="0" wp14:anchorId="149D2717" wp14:editId="149D2718">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149D2595" w14:textId="77777777" w:rsidTr="00B24D65">
        <w:tc>
          <w:tcPr>
            <w:tcW w:w="4421" w:type="dxa"/>
          </w:tcPr>
          <w:p w14:paraId="149D2593" w14:textId="77777777" w:rsidR="008441FE" w:rsidRDefault="008441FE" w:rsidP="000419AD">
            <w:pPr>
              <w:pStyle w:val="Header"/>
              <w:rPr>
                <w:noProof/>
                <w:lang w:eastAsia="en-GB"/>
              </w:rPr>
            </w:pPr>
          </w:p>
        </w:tc>
        <w:tc>
          <w:tcPr>
            <w:tcW w:w="4366" w:type="dxa"/>
          </w:tcPr>
          <w:p w14:paraId="149D2594" w14:textId="77777777" w:rsidR="008441FE" w:rsidRDefault="008441FE" w:rsidP="000419AD">
            <w:pPr>
              <w:pStyle w:val="Header"/>
              <w:jc w:val="right"/>
              <w:rPr>
                <w:noProof/>
                <w:lang w:eastAsia="en-GB"/>
              </w:rPr>
            </w:pPr>
          </w:p>
        </w:tc>
      </w:tr>
    </w:tbl>
    <w:p w14:paraId="149D2596" w14:textId="77777777" w:rsidR="0015011A" w:rsidRDefault="0015011A" w:rsidP="0015011A"/>
    <w:tbl>
      <w:tblPr>
        <w:tblStyle w:val="TableGrid"/>
        <w:tblW w:w="5177" w:type="pct"/>
        <w:tblLook w:val="04A0" w:firstRow="1" w:lastRow="0" w:firstColumn="1" w:lastColumn="0" w:noHBand="0" w:noVBand="1"/>
      </w:tblPr>
      <w:tblGrid>
        <w:gridCol w:w="9966"/>
      </w:tblGrid>
      <w:tr w:rsidR="00967429" w:rsidRPr="00EF4406" w14:paraId="149D259A" w14:textId="77777777" w:rsidTr="00D85AB5">
        <w:trPr>
          <w:trHeight w:val="597"/>
        </w:trPr>
        <w:tc>
          <w:tcPr>
            <w:tcW w:w="9088" w:type="dxa"/>
          </w:tcPr>
          <w:p w14:paraId="149D2598" w14:textId="6EDC6CC1" w:rsidR="007654E6" w:rsidRPr="00565E49" w:rsidRDefault="628497D1" w:rsidP="00A524B5">
            <w:pPr>
              <w:pStyle w:val="BodyText"/>
              <w:tabs>
                <w:tab w:val="num" w:pos="1134"/>
              </w:tabs>
              <w:spacing w:after="0"/>
              <w:jc w:val="both"/>
              <w:rPr>
                <w:rFonts w:ascii="Arial" w:hAnsi="Arial" w:cs="Arial"/>
                <w:b/>
              </w:rPr>
            </w:pPr>
            <w:bookmarkStart w:id="0" w:name="_GoBack"/>
            <w:bookmarkEnd w:id="0"/>
            <w:r w:rsidRPr="00565E49">
              <w:rPr>
                <w:rFonts w:ascii="Arial" w:eastAsia="Arial" w:hAnsi="Arial" w:cs="Arial"/>
                <w:b/>
                <w:bCs/>
              </w:rPr>
              <w:t>SPECIFICATION: Employees Support in Skills</w:t>
            </w:r>
          </w:p>
          <w:p w14:paraId="149D2599" w14:textId="77777777" w:rsidR="00967429" w:rsidRPr="00200BC6" w:rsidRDefault="00967429" w:rsidP="00A524B5">
            <w:pPr>
              <w:pStyle w:val="BodyText"/>
              <w:tabs>
                <w:tab w:val="num" w:pos="1134"/>
              </w:tabs>
              <w:spacing w:after="0"/>
              <w:jc w:val="both"/>
              <w:rPr>
                <w:rFonts w:ascii="Arial" w:hAnsi="Arial" w:cs="Arial"/>
                <w:b/>
                <w:color w:val="FF0000"/>
              </w:rPr>
            </w:pPr>
          </w:p>
        </w:tc>
      </w:tr>
      <w:tr w:rsidR="00967429" w14:paraId="149D259C" w14:textId="77777777" w:rsidTr="00D85AB5">
        <w:trPr>
          <w:trHeight w:val="567"/>
        </w:trPr>
        <w:tc>
          <w:tcPr>
            <w:tcW w:w="9088" w:type="dxa"/>
            <w:shd w:val="clear" w:color="auto" w:fill="D9D9D9" w:themeFill="background1" w:themeFillShade="D9"/>
            <w:vAlign w:val="center"/>
          </w:tcPr>
          <w:p w14:paraId="149D259B" w14:textId="77777777" w:rsidR="00967429" w:rsidRPr="00FD3B0A" w:rsidRDefault="628497D1" w:rsidP="00FD3B0A">
            <w:pPr>
              <w:pStyle w:val="SpecificationHeading"/>
            </w:pPr>
            <w:r>
              <w:t>BACKGROUND</w:t>
            </w:r>
          </w:p>
        </w:tc>
      </w:tr>
      <w:tr w:rsidR="00967429" w:rsidRPr="00EF4406" w14:paraId="149D25E4" w14:textId="77777777" w:rsidTr="00D85AB5">
        <w:tc>
          <w:tcPr>
            <w:tcW w:w="9088" w:type="dxa"/>
          </w:tcPr>
          <w:p w14:paraId="149D259D" w14:textId="77777777" w:rsidR="00B24D65" w:rsidRPr="00BE7976" w:rsidRDefault="00B24D65" w:rsidP="00A524B5">
            <w:pPr>
              <w:tabs>
                <w:tab w:val="num" w:pos="900"/>
              </w:tabs>
              <w:autoSpaceDE w:val="0"/>
              <w:autoSpaceDN w:val="0"/>
              <w:adjustRightInd w:val="0"/>
              <w:rPr>
                <w:rFonts w:cs="Arial"/>
                <w:b/>
              </w:rPr>
            </w:pPr>
          </w:p>
          <w:p w14:paraId="149D259E" w14:textId="77777777" w:rsidR="001F0385" w:rsidRPr="00BE7976" w:rsidRDefault="628497D1" w:rsidP="00A524B5">
            <w:pPr>
              <w:tabs>
                <w:tab w:val="num" w:pos="900"/>
              </w:tabs>
              <w:autoSpaceDE w:val="0"/>
              <w:autoSpaceDN w:val="0"/>
              <w:adjustRightInd w:val="0"/>
              <w:rPr>
                <w:rFonts w:cs="Arial"/>
                <w:b/>
              </w:rPr>
            </w:pPr>
            <w:r w:rsidRPr="628497D1">
              <w:rPr>
                <w:rFonts w:eastAsia="Arial" w:cs="Arial"/>
                <w:b/>
                <w:bCs/>
              </w:rPr>
              <w:t>General</w:t>
            </w:r>
          </w:p>
          <w:p w14:paraId="149D259F" w14:textId="77777777" w:rsidR="002833D9" w:rsidRPr="00BE7976" w:rsidRDefault="002833D9" w:rsidP="00A524B5">
            <w:pPr>
              <w:tabs>
                <w:tab w:val="num" w:pos="900"/>
              </w:tabs>
              <w:autoSpaceDE w:val="0"/>
              <w:autoSpaceDN w:val="0"/>
              <w:adjustRightInd w:val="0"/>
              <w:rPr>
                <w:rFonts w:cs="Arial"/>
                <w:b/>
              </w:rPr>
            </w:pPr>
          </w:p>
          <w:p w14:paraId="149D25A0" w14:textId="77777777" w:rsidR="00B24D65" w:rsidRPr="00BE7976" w:rsidRDefault="628497D1" w:rsidP="00A524B5">
            <w:pPr>
              <w:tabs>
                <w:tab w:val="num" w:pos="900"/>
              </w:tabs>
              <w:autoSpaceDE w:val="0"/>
              <w:autoSpaceDN w:val="0"/>
              <w:adjustRightInd w:val="0"/>
              <w:rPr>
                <w:rFonts w:cs="Arial"/>
              </w:rPr>
            </w:pPr>
            <w:r w:rsidRPr="628497D1">
              <w:rPr>
                <w:rFonts w:eastAsia="Arial"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149D25A1" w14:textId="77777777" w:rsidR="002833D9" w:rsidRPr="00BE7976" w:rsidRDefault="002833D9" w:rsidP="00A524B5">
            <w:pPr>
              <w:tabs>
                <w:tab w:val="num" w:pos="900"/>
              </w:tabs>
              <w:autoSpaceDE w:val="0"/>
              <w:autoSpaceDN w:val="0"/>
              <w:adjustRightInd w:val="0"/>
              <w:rPr>
                <w:rFonts w:cs="Arial"/>
              </w:rPr>
            </w:pPr>
          </w:p>
          <w:p w14:paraId="149D25A2" w14:textId="77777777" w:rsidR="002833D9" w:rsidRPr="00BE7976" w:rsidRDefault="628497D1" w:rsidP="00A524B5">
            <w:pPr>
              <w:rPr>
                <w:rFonts w:cs="Arial"/>
              </w:rPr>
            </w:pPr>
            <w:r w:rsidRPr="628497D1">
              <w:rPr>
                <w:rFonts w:eastAsia="Arial" w:cs="Arial"/>
              </w:rPr>
              <w:t xml:space="preserve">The SFA, acting as an Opt-In Organisation for the European Social Fund (ESF), is procuring education and training services to meet priorities identified by </w:t>
            </w:r>
            <w:r>
              <w:t xml:space="preserve">Local Enterprise Partnership (LEP) area European Structural and Investment Funds Sub–Committees. </w:t>
            </w:r>
            <w:r w:rsidRPr="628497D1">
              <w:rPr>
                <w:rFonts w:eastAsia="Arial" w:cs="Arial"/>
              </w:rPr>
              <w:t>As an Opt-In Organisation the SFA provides match funding at Priority Axis level utilising sources of public funding as match for ESF funded activity.</w:t>
            </w:r>
          </w:p>
          <w:p w14:paraId="149D25A3" w14:textId="77777777" w:rsidR="002833D9" w:rsidRPr="00BE7976" w:rsidRDefault="002833D9" w:rsidP="00A524B5">
            <w:pPr>
              <w:rPr>
                <w:rFonts w:cs="Arial"/>
              </w:rPr>
            </w:pPr>
          </w:p>
          <w:p w14:paraId="149D25A4" w14:textId="77777777" w:rsidR="00A63E89" w:rsidRPr="00BE7976" w:rsidRDefault="628497D1" w:rsidP="00A63E89">
            <w:r w:rsidRPr="628497D1">
              <w:rPr>
                <w:rFonts w:eastAsia="Arial" w:cs="Arial"/>
              </w:rPr>
              <w:t>This Invitation to Tender (ITT) is for Priority Axis 2 and for Investment Priority (IP) 2.1,</w:t>
            </w:r>
            <w:r>
              <w:t xml:space="preserve"> enhancing equal access to lifelong learning.</w:t>
            </w:r>
            <w:r w:rsidRPr="628497D1">
              <w:rPr>
                <w:rFonts w:eastAsia="Arial" w:cs="Arial"/>
              </w:rPr>
              <w:t xml:space="preserve"> </w:t>
            </w:r>
            <w:r>
              <w:t xml:space="preserve">Where the need has been identified both in the LEP area and European Structural and Investment Fund Strategies.  </w:t>
            </w:r>
          </w:p>
          <w:p w14:paraId="149D25A5" w14:textId="77777777" w:rsidR="00AD0B65" w:rsidRPr="00BE7976" w:rsidRDefault="00AD0B65" w:rsidP="00AD0B65">
            <w:pPr>
              <w:rPr>
                <w:rFonts w:cs="Arial"/>
              </w:rPr>
            </w:pPr>
          </w:p>
          <w:p w14:paraId="149D25A6" w14:textId="77777777" w:rsidR="004A2467" w:rsidRPr="00BE7976" w:rsidRDefault="628497D1" w:rsidP="00AD0B65">
            <w:r>
              <w:t xml:space="preserve">The IP 2.1 supports equal access to lifelong learning for all age groups in formal, non-formal and informal settings, upgrading knowledge, skills and competences of the workforce, and promoting flexible learning pathways including through career guidance and validation of acquired competences. Resources are being focused through this IP on people in the workforce who lack basic skills or qualifications needed for their career progression and for business growth and innovation in the knowledge economy. </w:t>
            </w:r>
          </w:p>
          <w:p w14:paraId="7B14DD51" w14:textId="77777777" w:rsidR="00BE7976" w:rsidRPr="00BE7976" w:rsidRDefault="00BE7976" w:rsidP="00AD0B65"/>
          <w:p w14:paraId="149D25A7" w14:textId="77777777" w:rsidR="004A2467" w:rsidRPr="00BE7976" w:rsidRDefault="628497D1" w:rsidP="00AD0B65">
            <w:r>
              <w:t>The strands in 2.1 are:</w:t>
            </w:r>
          </w:p>
          <w:p w14:paraId="08031720" w14:textId="77777777" w:rsidR="00BE7976" w:rsidRPr="00BE7976" w:rsidRDefault="00BE7976" w:rsidP="00AD0B65"/>
          <w:p w14:paraId="149D25A8" w14:textId="77777777" w:rsidR="00016FE1" w:rsidRPr="00BE7976" w:rsidRDefault="628497D1" w:rsidP="00651A1C">
            <w:pPr>
              <w:pStyle w:val="ListParagraph"/>
              <w:numPr>
                <w:ilvl w:val="0"/>
                <w:numId w:val="45"/>
              </w:numPr>
            </w:pPr>
            <w:r>
              <w:t xml:space="preserve">Apprenticeship Services </w:t>
            </w:r>
          </w:p>
          <w:p w14:paraId="149D25A9" w14:textId="77777777" w:rsidR="004A2467" w:rsidRPr="00BE7976" w:rsidRDefault="628497D1" w:rsidP="00651A1C">
            <w:pPr>
              <w:pStyle w:val="ListParagraph"/>
              <w:numPr>
                <w:ilvl w:val="0"/>
                <w:numId w:val="45"/>
              </w:numPr>
            </w:pPr>
            <w:r>
              <w:t>Skills Support for Redundancy</w:t>
            </w:r>
          </w:p>
          <w:p w14:paraId="149D25AA" w14:textId="77777777" w:rsidR="00B4713D" w:rsidRPr="00BE7976" w:rsidRDefault="628497D1" w:rsidP="00B4713D">
            <w:pPr>
              <w:pStyle w:val="ListParagraph"/>
              <w:numPr>
                <w:ilvl w:val="0"/>
                <w:numId w:val="45"/>
              </w:numPr>
            </w:pPr>
            <w:r>
              <w:t>Skills Support for the Workforce, Intermediate/Higher Skills Provision</w:t>
            </w:r>
          </w:p>
          <w:p w14:paraId="149D25AB" w14:textId="77777777" w:rsidR="004A2467" w:rsidRPr="00BE7976" w:rsidRDefault="628497D1" w:rsidP="00651A1C">
            <w:pPr>
              <w:pStyle w:val="ListParagraph"/>
              <w:numPr>
                <w:ilvl w:val="0"/>
                <w:numId w:val="45"/>
              </w:numPr>
            </w:pPr>
            <w:r>
              <w:t>Skills Support for the Workforce, Basic skills provision</w:t>
            </w:r>
          </w:p>
          <w:p w14:paraId="149D25AC" w14:textId="77777777" w:rsidR="00F17CE2" w:rsidRPr="00BE7976" w:rsidRDefault="00F17CE2" w:rsidP="00A524B5">
            <w:pPr>
              <w:tabs>
                <w:tab w:val="num" w:pos="900"/>
              </w:tabs>
              <w:autoSpaceDE w:val="0"/>
              <w:autoSpaceDN w:val="0"/>
              <w:adjustRightInd w:val="0"/>
              <w:rPr>
                <w:rFonts w:cs="Arial"/>
              </w:rPr>
            </w:pPr>
          </w:p>
          <w:p w14:paraId="149D25AD" w14:textId="77777777" w:rsidR="00A205A2" w:rsidRPr="00BE7976" w:rsidRDefault="628497D1" w:rsidP="00A524B5">
            <w:pPr>
              <w:rPr>
                <w:rFonts w:cs="Arial"/>
              </w:rPr>
            </w:pPr>
            <w:r w:rsidRPr="628497D1">
              <w:rPr>
                <w:rFonts w:eastAsia="Arial" w:cs="Arial"/>
              </w:rPr>
              <w:t>The SFA is looking to procure an organisation to deliver education and training</w:t>
            </w:r>
            <w:r w:rsidRPr="628497D1">
              <w:rPr>
                <w:lang w:eastAsia="en-GB"/>
              </w:rPr>
              <w:t xml:space="preserve"> that best support the needs of local employers and employees </w:t>
            </w:r>
            <w:r w:rsidRPr="628497D1">
              <w:rPr>
                <w:rFonts w:eastAsia="Arial" w:cs="Arial"/>
              </w:rPr>
              <w:t>in the LEP area set out below.</w:t>
            </w:r>
          </w:p>
          <w:p w14:paraId="149D25AE" w14:textId="77777777" w:rsidR="00B4713D" w:rsidRPr="00BE7976" w:rsidRDefault="00B4713D" w:rsidP="00A524B5">
            <w:pPr>
              <w:rPr>
                <w:rFonts w:cs="Arial"/>
                <w:b/>
              </w:rPr>
            </w:pPr>
          </w:p>
          <w:p w14:paraId="149D25AF" w14:textId="77777777" w:rsidR="002833D9" w:rsidRPr="00BE7976" w:rsidRDefault="628497D1" w:rsidP="00A524B5">
            <w:pPr>
              <w:rPr>
                <w:rFonts w:cs="Arial"/>
                <w:b/>
              </w:rPr>
            </w:pPr>
            <w:r w:rsidRPr="628497D1">
              <w:rPr>
                <w:rFonts w:eastAsia="Arial" w:cs="Arial"/>
                <w:b/>
                <w:bCs/>
              </w:rPr>
              <w:t>South East Midlands Local Enterprise Partnership Background</w:t>
            </w:r>
          </w:p>
          <w:p w14:paraId="149D25B0" w14:textId="77777777" w:rsidR="003764A5" w:rsidRPr="00BE7976" w:rsidRDefault="003764A5" w:rsidP="00A524B5">
            <w:pPr>
              <w:rPr>
                <w:rFonts w:cs="Arial"/>
                <w:b/>
              </w:rPr>
            </w:pPr>
          </w:p>
          <w:p w14:paraId="149D25B1" w14:textId="77777777" w:rsidR="00CF57F0" w:rsidRPr="00BE7976" w:rsidRDefault="628497D1" w:rsidP="00720C94">
            <w:pPr>
              <w:rPr>
                <w:rFonts w:cs="Arial"/>
                <w:lang w:eastAsia="en-GB"/>
              </w:rPr>
            </w:pPr>
            <w:r w:rsidRPr="628497D1">
              <w:rPr>
                <w:rFonts w:eastAsia="Arial" w:cs="Arial"/>
                <w:lang w:eastAsia="en-GB"/>
              </w:rPr>
              <w:lastRenderedPageBreak/>
              <w:t xml:space="preserve">The focus of SEMLEP strategic direction is on supporting business investment and private sector jobs growth to drive economic success, including through the acceleration of employment, raising productivity, supporting growth in existing and new markets, raise workforce skill levels and targeted infrastructure investment. </w:t>
            </w:r>
          </w:p>
          <w:p w14:paraId="149D25B2" w14:textId="77777777" w:rsidR="00CF57F0" w:rsidRPr="00BE7976" w:rsidRDefault="00CF57F0" w:rsidP="00720C94">
            <w:pPr>
              <w:rPr>
                <w:rFonts w:cs="Arial"/>
                <w:lang w:eastAsia="en-GB"/>
              </w:rPr>
            </w:pPr>
          </w:p>
          <w:p w14:paraId="149D25B3" w14:textId="77777777" w:rsidR="00720C94" w:rsidRPr="00BE7976" w:rsidRDefault="628497D1" w:rsidP="00720C94">
            <w:pPr>
              <w:rPr>
                <w:rFonts w:cs="Arial"/>
                <w:lang w:eastAsia="en-GB"/>
              </w:rPr>
            </w:pPr>
            <w:r w:rsidRPr="628497D1">
              <w:rPr>
                <w:rFonts w:eastAsia="Arial" w:cs="Arial"/>
                <w:lang w:eastAsia="en-GB"/>
              </w:rPr>
              <w:t xml:space="preserve">Taking into account the cross boundary LEP opportunities and UK national growth plan, the ESIF seeks to:  </w:t>
            </w:r>
          </w:p>
          <w:p w14:paraId="149D25B4" w14:textId="77777777" w:rsidR="00720C94" w:rsidRPr="00BE7976" w:rsidRDefault="00720C94" w:rsidP="00720C94">
            <w:pPr>
              <w:rPr>
                <w:rFonts w:cs="Arial"/>
                <w:lang w:eastAsia="en-GB"/>
              </w:rPr>
            </w:pPr>
          </w:p>
          <w:p w14:paraId="149D25B5" w14:textId="08CBE615" w:rsidR="00720C94" w:rsidRPr="00BE7976" w:rsidRDefault="628497D1" w:rsidP="628497D1">
            <w:pPr>
              <w:pStyle w:val="ListParagraph"/>
              <w:numPr>
                <w:ilvl w:val="0"/>
                <w:numId w:val="45"/>
              </w:numPr>
              <w:rPr>
                <w:rFonts w:eastAsia="Arial" w:cs="Arial"/>
                <w:lang w:eastAsia="en-GB"/>
              </w:rPr>
            </w:pPr>
            <w:proofErr w:type="gramStart"/>
            <w:r w:rsidRPr="628497D1">
              <w:rPr>
                <w:rFonts w:eastAsia="Arial" w:cs="Arial"/>
                <w:lang w:eastAsia="en-GB"/>
              </w:rPr>
              <w:t>deliver</w:t>
            </w:r>
            <w:proofErr w:type="gramEnd"/>
            <w:r w:rsidRPr="628497D1">
              <w:rPr>
                <w:rFonts w:eastAsia="Arial" w:cs="Arial"/>
                <w:lang w:eastAsia="en-GB"/>
              </w:rPr>
              <w:t xml:space="preserve"> a step change in economic growth across the SEM. The programme aims to support business investment and private sector jobs growth to drive economic success and create inclusive opportunities for all; </w:t>
            </w:r>
          </w:p>
          <w:p w14:paraId="149D25B6" w14:textId="77777777" w:rsidR="00720C94" w:rsidRPr="00BE7976" w:rsidRDefault="00720C94" w:rsidP="00720C94">
            <w:pPr>
              <w:rPr>
                <w:rFonts w:cs="Arial"/>
                <w:lang w:eastAsia="en-GB"/>
              </w:rPr>
            </w:pPr>
          </w:p>
          <w:p w14:paraId="149D25B7" w14:textId="78DFE35D" w:rsidR="00720C94" w:rsidRPr="00BE7976" w:rsidRDefault="628497D1" w:rsidP="628497D1">
            <w:pPr>
              <w:pStyle w:val="ListParagraph"/>
              <w:numPr>
                <w:ilvl w:val="0"/>
                <w:numId w:val="45"/>
              </w:numPr>
              <w:rPr>
                <w:rFonts w:eastAsia="Arial" w:cs="Arial"/>
                <w:lang w:eastAsia="en-GB"/>
              </w:rPr>
            </w:pPr>
            <w:r w:rsidRPr="628497D1">
              <w:rPr>
                <w:rFonts w:eastAsia="Arial" w:cs="Arial"/>
                <w:lang w:eastAsia="en-GB"/>
              </w:rPr>
              <w:t xml:space="preserve">realise the economic and employment role of all the centres by supporting businesses, attracting knowledge–based industries and stimulating entrepreneurship and innovation;  </w:t>
            </w:r>
          </w:p>
          <w:p w14:paraId="149D25B8" w14:textId="77777777" w:rsidR="00720C94" w:rsidRPr="00BE7976" w:rsidRDefault="00720C94" w:rsidP="00720C94">
            <w:pPr>
              <w:rPr>
                <w:rFonts w:cs="Arial"/>
                <w:lang w:eastAsia="en-GB"/>
              </w:rPr>
            </w:pPr>
          </w:p>
          <w:p w14:paraId="149D25B9" w14:textId="123EC7F5" w:rsidR="003764A5" w:rsidRPr="00BE7976" w:rsidRDefault="628497D1" w:rsidP="628497D1">
            <w:pPr>
              <w:pStyle w:val="ListParagraph"/>
              <w:numPr>
                <w:ilvl w:val="0"/>
                <w:numId w:val="45"/>
              </w:numPr>
              <w:rPr>
                <w:rFonts w:eastAsia="Arial" w:cs="Arial"/>
                <w:lang w:eastAsia="en-GB"/>
              </w:rPr>
            </w:pPr>
            <w:r w:rsidRPr="628497D1">
              <w:rPr>
                <w:rFonts w:eastAsia="Arial" w:cs="Arial"/>
                <w:lang w:eastAsia="en-GB"/>
              </w:rPr>
              <w:t>improve skills levels and educational attainments</w:t>
            </w:r>
          </w:p>
          <w:p w14:paraId="149D25BA" w14:textId="77777777" w:rsidR="005304D8" w:rsidRPr="00BE7976" w:rsidRDefault="005304D8" w:rsidP="00720C94">
            <w:pPr>
              <w:rPr>
                <w:rFonts w:cs="Arial"/>
                <w:lang w:eastAsia="en-GB"/>
              </w:rPr>
            </w:pPr>
          </w:p>
          <w:p w14:paraId="149D25BB" w14:textId="77777777" w:rsidR="004E64DA" w:rsidRPr="00BE7976" w:rsidRDefault="628497D1" w:rsidP="00720C94">
            <w:pPr>
              <w:rPr>
                <w:rFonts w:cs="Arial"/>
              </w:rPr>
            </w:pPr>
            <w:r w:rsidRPr="628497D1">
              <w:rPr>
                <w:rFonts w:eastAsia="Arial" w:cs="Arial"/>
              </w:rPr>
              <w:t xml:space="preserve">The development of skills in the workforce is vital to improve productivity, competitiveness and economic prosperity across the South East Midlands. </w:t>
            </w:r>
          </w:p>
          <w:p w14:paraId="149D25BC" w14:textId="77777777" w:rsidR="004E64DA" w:rsidRPr="00BE7976" w:rsidRDefault="004E64DA" w:rsidP="00720C94">
            <w:pPr>
              <w:rPr>
                <w:rFonts w:cs="Arial"/>
              </w:rPr>
            </w:pPr>
          </w:p>
          <w:p w14:paraId="149D25BD" w14:textId="77777777" w:rsidR="00DA1F05" w:rsidRPr="00BE7976" w:rsidRDefault="628497D1" w:rsidP="00720C94">
            <w:pPr>
              <w:rPr>
                <w:rFonts w:cs="Arial"/>
              </w:rPr>
            </w:pPr>
            <w:r w:rsidRPr="628497D1">
              <w:rPr>
                <w:rFonts w:eastAsia="Arial" w:cs="Arial"/>
              </w:rPr>
              <w:t xml:space="preserve">Upgrading the skills of the current workforce and increasing access to the workplace will maximise the value contributed by the working population and provide ways to build on the relatively strong skills base. In particular, there are well documented and persistent skills gaps and difficulties in recruiting which are barriers to growth. The strategic imperative is therefore to develop the skills of the workforce in the South East Midlands as this is critical to economic, business and community development. Businesses need a skilled workforce to improve productivity and contribute to innovation and competitiveness. The economy requires an available and skilled workforce to thrive and grow. Communities benefit from individuals who are confident and competent, gainfully employed and contributing to families and society overall.  </w:t>
            </w:r>
          </w:p>
          <w:p w14:paraId="149D25BE" w14:textId="77777777" w:rsidR="00DA1F05" w:rsidRPr="00BE7976" w:rsidRDefault="00DA1F05" w:rsidP="00720C94">
            <w:pPr>
              <w:rPr>
                <w:rFonts w:cs="Arial"/>
              </w:rPr>
            </w:pPr>
          </w:p>
          <w:p w14:paraId="149D25BF" w14:textId="77777777" w:rsidR="00DA1F05" w:rsidRPr="00BE7976" w:rsidRDefault="628497D1" w:rsidP="00720C94">
            <w:pPr>
              <w:rPr>
                <w:rFonts w:cs="Arial"/>
              </w:rPr>
            </w:pPr>
            <w:r w:rsidRPr="628497D1">
              <w:rPr>
                <w:rFonts w:eastAsia="Arial" w:cs="Arial"/>
              </w:rPr>
              <w:t xml:space="preserve">SEMLEP Priority 5 aims to deliver targeted interventions to develop a skilled and adaptable workforce by helping people improve their skills, secure good jobs and then progress within them. </w:t>
            </w:r>
          </w:p>
          <w:p w14:paraId="149D25C0" w14:textId="77777777" w:rsidR="00DA1F05" w:rsidRPr="00BE7976" w:rsidRDefault="00DA1F05" w:rsidP="00720C94">
            <w:pPr>
              <w:rPr>
                <w:rFonts w:cs="Arial"/>
              </w:rPr>
            </w:pPr>
          </w:p>
          <w:p w14:paraId="149D25C1" w14:textId="77777777" w:rsidR="00DA1F05" w:rsidRPr="00BE7976" w:rsidRDefault="628497D1" w:rsidP="00720C94">
            <w:pPr>
              <w:rPr>
                <w:rFonts w:cs="Arial"/>
                <w:b/>
              </w:rPr>
            </w:pPr>
            <w:r w:rsidRPr="628497D1">
              <w:rPr>
                <w:rFonts w:eastAsia="Arial" w:cs="Arial"/>
              </w:rPr>
              <w:t>By working closely with our businesses we aim to unlock the potential of the existing and future workforce of the South East Midlands through the provision of a demand-driven approach to skills and employment initiatives that will help address current and future labour market challenges and opportunities</w:t>
            </w:r>
            <w:r w:rsidRPr="628497D1">
              <w:rPr>
                <w:rFonts w:eastAsia="Arial" w:cs="Arial"/>
                <w:b/>
                <w:bCs/>
              </w:rPr>
              <w:t xml:space="preserve">.   </w:t>
            </w:r>
          </w:p>
          <w:p w14:paraId="149D25C3" w14:textId="77777777" w:rsidR="00F317A8" w:rsidRPr="00BE7976" w:rsidRDefault="00F317A8" w:rsidP="00FB7DC5">
            <w:pPr>
              <w:rPr>
                <w:rFonts w:cs="Arial"/>
                <w:lang w:eastAsia="en-GB"/>
              </w:rPr>
            </w:pPr>
          </w:p>
          <w:p w14:paraId="149D25C4" w14:textId="77777777" w:rsidR="005304D8" w:rsidRPr="00BE7976" w:rsidRDefault="628497D1" w:rsidP="005304D8">
            <w:pPr>
              <w:rPr>
                <w:rFonts w:cs="Arial"/>
                <w:lang w:eastAsia="en-GB"/>
              </w:rPr>
            </w:pPr>
            <w:r w:rsidRPr="628497D1">
              <w:rPr>
                <w:rFonts w:eastAsia="Arial" w:cs="Arial"/>
                <w:lang w:eastAsia="en-GB"/>
              </w:rPr>
              <w:t xml:space="preserve">Although over half of the working age population (both residents and workers) are employed in higher skilled occupations, some areas’ employment is strongly concentrated in lower skilled occupations. This, coupled with 33% of businesses reporting skill shortages within the workforce (2015 SEMLEP Business Survey) and businesses reporting difficulty recruiting (particularly to skilled trades and professional/technical professions), reinforces the need to up skill.. </w:t>
            </w:r>
          </w:p>
          <w:p w14:paraId="149D25C5" w14:textId="77777777" w:rsidR="005304D8" w:rsidRPr="00BE7976" w:rsidRDefault="005304D8" w:rsidP="005304D8">
            <w:pPr>
              <w:rPr>
                <w:rFonts w:cs="Arial"/>
                <w:lang w:eastAsia="en-GB"/>
              </w:rPr>
            </w:pPr>
          </w:p>
          <w:p w14:paraId="149D25C6" w14:textId="77777777" w:rsidR="00FB7DC5" w:rsidRPr="00BE7976" w:rsidRDefault="628497D1" w:rsidP="005304D8">
            <w:pPr>
              <w:rPr>
                <w:rFonts w:cs="Arial"/>
                <w:lang w:eastAsia="en-GB"/>
              </w:rPr>
            </w:pPr>
            <w:r w:rsidRPr="628497D1">
              <w:rPr>
                <w:rFonts w:eastAsia="Arial" w:cs="Arial"/>
                <w:lang w:eastAsia="en-GB"/>
              </w:rPr>
              <w:t xml:space="preserve">This will be key to meeting current and future skills demands of employers as these sectors grow and in order to attract businesses to locate in the South East Midlands as more of the </w:t>
            </w:r>
            <w:r w:rsidRPr="628497D1">
              <w:rPr>
                <w:rFonts w:eastAsia="Arial" w:cs="Arial"/>
                <w:lang w:eastAsia="en-GB"/>
              </w:rPr>
              <w:lastRenderedPageBreak/>
              <w:t>working age population gain the necessary skills to meet future demand. The area also faces high levels of out commuting across significant parts of the South East Midlands and will have an impact on jobs available (jobs density) for local residents.</w:t>
            </w:r>
          </w:p>
          <w:p w14:paraId="149D25C7" w14:textId="77777777" w:rsidR="00D564A8" w:rsidRPr="00BE7976" w:rsidRDefault="00D564A8" w:rsidP="005304D8">
            <w:pPr>
              <w:rPr>
                <w:rFonts w:cs="Arial"/>
                <w:lang w:eastAsia="en-GB"/>
              </w:rPr>
            </w:pPr>
          </w:p>
          <w:p w14:paraId="149D25C8" w14:textId="57A1DD19" w:rsidR="00F01502" w:rsidRPr="00BE7976" w:rsidRDefault="628497D1" w:rsidP="00D564A8">
            <w:pPr>
              <w:autoSpaceDE w:val="0"/>
              <w:autoSpaceDN w:val="0"/>
              <w:adjustRightInd w:val="0"/>
              <w:rPr>
                <w:b/>
                <w:szCs w:val="20"/>
                <w:lang w:eastAsia="x-none"/>
              </w:rPr>
            </w:pPr>
            <w:r w:rsidRPr="628497D1">
              <w:rPr>
                <w:b/>
                <w:bCs/>
              </w:rPr>
              <w:t>Apprenticeship Services</w:t>
            </w:r>
          </w:p>
          <w:p w14:paraId="149D25C9" w14:textId="77777777" w:rsidR="00F01502" w:rsidRPr="00BE7976" w:rsidRDefault="00F01502" w:rsidP="00D564A8">
            <w:pPr>
              <w:autoSpaceDE w:val="0"/>
              <w:autoSpaceDN w:val="0"/>
              <w:adjustRightInd w:val="0"/>
              <w:rPr>
                <w:szCs w:val="20"/>
                <w:lang w:eastAsia="x-none"/>
              </w:rPr>
            </w:pPr>
          </w:p>
          <w:p w14:paraId="149D25CA" w14:textId="77777777" w:rsidR="00D564A8" w:rsidRPr="00BE7976" w:rsidRDefault="628497D1" w:rsidP="00D564A8">
            <w:pPr>
              <w:autoSpaceDE w:val="0"/>
              <w:autoSpaceDN w:val="0"/>
              <w:adjustRightInd w:val="0"/>
              <w:rPr>
                <w:szCs w:val="20"/>
                <w:lang w:val="x-none" w:eastAsia="x-none"/>
              </w:rPr>
            </w:pPr>
            <w:r>
              <w:t xml:space="preserve">The development of skills in the workforce is vital to improve productivity, competitiveness and economic prosperity across the South East Midlands. Upgrading the skills of the current workforce and increasing access to the workplace will maximise the value contributed by the working population and provide ways to build on the relatively strong skills base. </w:t>
            </w:r>
          </w:p>
          <w:p w14:paraId="149D25CB" w14:textId="77777777" w:rsidR="00D564A8" w:rsidRPr="00BE7976" w:rsidRDefault="00D564A8" w:rsidP="00D564A8">
            <w:pPr>
              <w:autoSpaceDE w:val="0"/>
              <w:autoSpaceDN w:val="0"/>
              <w:adjustRightInd w:val="0"/>
              <w:rPr>
                <w:szCs w:val="20"/>
                <w:lang w:val="x-none" w:eastAsia="x-none"/>
              </w:rPr>
            </w:pPr>
          </w:p>
          <w:p w14:paraId="149D25CC" w14:textId="77777777" w:rsidR="00D564A8" w:rsidRPr="00BE7976" w:rsidRDefault="628497D1" w:rsidP="00D564A8">
            <w:pPr>
              <w:autoSpaceDE w:val="0"/>
              <w:autoSpaceDN w:val="0"/>
              <w:adjustRightInd w:val="0"/>
              <w:rPr>
                <w:szCs w:val="20"/>
              </w:rPr>
            </w:pPr>
            <w:r>
              <w:t xml:space="preserve">In particular, there are well documented and persistent skills gaps and difficulties in recruiting which are barriers to growth. The strategic imperative is therefore to develop the skills of the workforce in the South East Midlands as this is critical to economic, business and community development. Businesses need a skilled workforce to improve productivity and contribute to innovation and competitiveness. </w:t>
            </w:r>
          </w:p>
          <w:p w14:paraId="149D25CD" w14:textId="77777777" w:rsidR="00D564A8" w:rsidRPr="00BE7976" w:rsidRDefault="00D564A8" w:rsidP="00D564A8">
            <w:pPr>
              <w:autoSpaceDE w:val="0"/>
              <w:autoSpaceDN w:val="0"/>
              <w:adjustRightInd w:val="0"/>
              <w:rPr>
                <w:szCs w:val="20"/>
              </w:rPr>
            </w:pPr>
          </w:p>
          <w:p w14:paraId="149D25CE" w14:textId="77777777" w:rsidR="00F01502" w:rsidRPr="00BE7976" w:rsidRDefault="628497D1" w:rsidP="00344AF2">
            <w:pPr>
              <w:rPr>
                <w:rFonts w:cs="Arial"/>
                <w:b/>
                <w:lang w:eastAsia="en-GB"/>
              </w:rPr>
            </w:pPr>
            <w:r w:rsidRPr="628497D1">
              <w:rPr>
                <w:rFonts w:eastAsia="Arial" w:cs="Arial"/>
                <w:b/>
                <w:bCs/>
                <w:lang w:eastAsia="en-GB"/>
              </w:rPr>
              <w:t>Skills Support for the Workforce – Intermediate and Higher Level Skills</w:t>
            </w:r>
          </w:p>
          <w:p w14:paraId="149D25CF" w14:textId="77777777" w:rsidR="00F01502" w:rsidRPr="00BE7976" w:rsidRDefault="00F01502" w:rsidP="00344AF2">
            <w:pPr>
              <w:rPr>
                <w:rFonts w:cs="Arial"/>
                <w:lang w:eastAsia="en-GB"/>
              </w:rPr>
            </w:pPr>
          </w:p>
          <w:p w14:paraId="149D25D0" w14:textId="6AF9044F" w:rsidR="00F01502" w:rsidRPr="00BE7976" w:rsidRDefault="628497D1" w:rsidP="00F01502">
            <w:pPr>
              <w:ind w:right="113"/>
              <w:rPr>
                <w:rFonts w:cs="Arial"/>
                <w:color w:val="000000" w:themeColor="text1"/>
                <w:szCs w:val="22"/>
              </w:rPr>
            </w:pPr>
            <w:r w:rsidRPr="628497D1">
              <w:rPr>
                <w:rFonts w:eastAsia="Arial" w:cs="Arial"/>
                <w:color w:val="000000" w:themeColor="text1"/>
              </w:rPr>
              <w:t xml:space="preserve">The SEMLEP area has almost 75,000 businesses with nearly 97% of these employing fewer than 50 people; around 10% of the working age population is self-employed.  The population is the SEMLEP area is around 1,735,100 which is projected to increase by 13% between 2011 and 2021.This is significantly faster than the national projected rate of growth of 8.6%. </w:t>
            </w:r>
          </w:p>
          <w:p w14:paraId="149D25D1" w14:textId="77777777" w:rsidR="00F01502" w:rsidRPr="00BE7976" w:rsidRDefault="00F01502" w:rsidP="00F01502">
            <w:pPr>
              <w:pStyle w:val="ListParagraph"/>
              <w:ind w:right="113"/>
              <w:rPr>
                <w:rFonts w:cs="Arial"/>
                <w:color w:val="000000" w:themeColor="text1"/>
                <w:szCs w:val="22"/>
              </w:rPr>
            </w:pPr>
          </w:p>
          <w:p w14:paraId="149D25D2" w14:textId="77777777" w:rsidR="00F01502" w:rsidRPr="00BE7976" w:rsidRDefault="628497D1" w:rsidP="00F01502">
            <w:pPr>
              <w:pStyle w:val="ListParagraph"/>
              <w:ind w:left="0" w:right="113"/>
              <w:rPr>
                <w:rFonts w:cs="Arial"/>
                <w:color w:val="000000" w:themeColor="text1"/>
                <w:szCs w:val="22"/>
              </w:rPr>
            </w:pPr>
            <w:r w:rsidRPr="628497D1">
              <w:rPr>
                <w:rFonts w:eastAsia="Arial" w:cs="Arial"/>
                <w:color w:val="000000" w:themeColor="text1"/>
              </w:rPr>
              <w:t>In spite of the excellent progress of local universities and colleges, skills levels across the South East Midlands are lower than is needed to support an aspirant and growing knowledge economy.   Upgrading the skills of the current workforce and increasing access to the workplace offer the opportunity to maximise the value contributed by the working population and provide ways to build on the relatively strong skills base.</w:t>
            </w:r>
          </w:p>
          <w:p w14:paraId="149D25D3" w14:textId="77777777" w:rsidR="00F01502" w:rsidRPr="00BE7976" w:rsidRDefault="00F01502" w:rsidP="00F01502">
            <w:pPr>
              <w:pStyle w:val="ListParagraph"/>
              <w:ind w:left="0" w:right="113"/>
              <w:rPr>
                <w:rFonts w:cs="Arial"/>
                <w:color w:val="000000" w:themeColor="text1"/>
                <w:szCs w:val="22"/>
              </w:rPr>
            </w:pPr>
          </w:p>
          <w:p w14:paraId="149D25D4" w14:textId="77777777" w:rsidR="00F01502" w:rsidRPr="00BE7976" w:rsidRDefault="628497D1" w:rsidP="00F01502">
            <w:pPr>
              <w:rPr>
                <w:rFonts w:cs="Arial"/>
                <w:lang w:eastAsia="en-GB"/>
              </w:rPr>
            </w:pPr>
            <w:r w:rsidRPr="628497D1">
              <w:rPr>
                <w:rFonts w:eastAsia="Arial" w:cs="Arial"/>
                <w:color w:val="000000" w:themeColor="text1"/>
              </w:rPr>
              <w:t>Given the value our four Showcase Sectors offer to the South East Midlands economy in terms of Gross Value Added a key challenge is to ensure that the current skills shortages and gaps facing these sectors are addressed and future skills requirements are met. Sector based research and full Business Survey 2015 results, outlining specific skills gaps, can be found at http://www.semlep.com/.</w:t>
            </w:r>
          </w:p>
          <w:p w14:paraId="149D25D5" w14:textId="77777777" w:rsidR="00F01502" w:rsidRDefault="00F01502" w:rsidP="00344AF2">
            <w:pPr>
              <w:rPr>
                <w:rFonts w:cs="Arial"/>
                <w:lang w:eastAsia="en-GB"/>
              </w:rPr>
            </w:pPr>
          </w:p>
          <w:p w14:paraId="557B6FEF" w14:textId="5907BFA9" w:rsidR="00BE7976" w:rsidRDefault="00BE7976" w:rsidP="00344AF2">
            <w:pPr>
              <w:rPr>
                <w:rFonts w:cs="Arial"/>
                <w:lang w:eastAsia="en-GB"/>
              </w:rPr>
            </w:pPr>
          </w:p>
          <w:p w14:paraId="5B013980" w14:textId="77777777" w:rsidR="00BE7976" w:rsidRDefault="00BE7976" w:rsidP="00344AF2">
            <w:pPr>
              <w:rPr>
                <w:rFonts w:cs="Arial"/>
                <w:lang w:eastAsia="en-GB"/>
              </w:rPr>
            </w:pPr>
          </w:p>
          <w:p w14:paraId="38ADF82A" w14:textId="77777777" w:rsidR="00BE7976" w:rsidRPr="00BE7976" w:rsidRDefault="00BE7976" w:rsidP="00344AF2">
            <w:pPr>
              <w:rPr>
                <w:rFonts w:cs="Arial"/>
                <w:lang w:eastAsia="en-GB"/>
              </w:rPr>
            </w:pPr>
          </w:p>
          <w:p w14:paraId="149D25D6" w14:textId="77777777" w:rsidR="004E64DA" w:rsidRPr="00BE7976" w:rsidRDefault="628497D1" w:rsidP="0051279A">
            <w:pPr>
              <w:rPr>
                <w:rFonts w:cs="Arial"/>
                <w:b/>
                <w:lang w:eastAsia="en-GB"/>
              </w:rPr>
            </w:pPr>
            <w:r w:rsidRPr="628497D1">
              <w:rPr>
                <w:rFonts w:eastAsia="Arial" w:cs="Arial"/>
                <w:b/>
                <w:bCs/>
                <w:lang w:eastAsia="en-GB"/>
              </w:rPr>
              <w:t>Skills Support for the Workforce – Basic Skills</w:t>
            </w:r>
          </w:p>
          <w:p w14:paraId="149D25D7" w14:textId="77777777" w:rsidR="00F01502" w:rsidRPr="00BE7976" w:rsidRDefault="00F01502" w:rsidP="0051279A">
            <w:pPr>
              <w:rPr>
                <w:rFonts w:cs="Arial"/>
                <w:lang w:eastAsia="en-GB"/>
              </w:rPr>
            </w:pPr>
          </w:p>
          <w:p w14:paraId="149D25D8" w14:textId="77777777" w:rsidR="00F01502" w:rsidRPr="00BE7976" w:rsidRDefault="628497D1" w:rsidP="00F01502">
            <w:pPr>
              <w:autoSpaceDE w:val="0"/>
              <w:autoSpaceDN w:val="0"/>
              <w:adjustRightInd w:val="0"/>
              <w:rPr>
                <w:rFonts w:cs="Arial"/>
                <w:lang w:eastAsia="en-GB"/>
              </w:rPr>
            </w:pPr>
            <w:r w:rsidRPr="628497D1">
              <w:rPr>
                <w:rFonts w:eastAsia="Arial" w:cs="Arial"/>
                <w:lang w:eastAsia="en-GB"/>
              </w:rPr>
              <w:t xml:space="preserve">The SEMLEP 2015 Business Survey reported that a third of businesses have skill gaps within their existing workforce (33%; 38% in 2014). This increases to 39% within the district of Luton and is highest within manufacturing (43%) and the transport, information and communications sector (42%). </w:t>
            </w:r>
          </w:p>
          <w:p w14:paraId="149D25D9" w14:textId="77777777" w:rsidR="00F01502" w:rsidRPr="00BE7976" w:rsidRDefault="00F01502" w:rsidP="00F01502">
            <w:pPr>
              <w:autoSpaceDE w:val="0"/>
              <w:autoSpaceDN w:val="0"/>
              <w:adjustRightInd w:val="0"/>
              <w:rPr>
                <w:rFonts w:cs="Arial"/>
                <w:lang w:eastAsia="en-GB"/>
              </w:rPr>
            </w:pPr>
          </w:p>
          <w:p w14:paraId="149D25DA" w14:textId="77777777" w:rsidR="00F01502" w:rsidRPr="00BE7976" w:rsidRDefault="628497D1" w:rsidP="00F01502">
            <w:pPr>
              <w:ind w:right="113"/>
            </w:pPr>
            <w:r w:rsidRPr="628497D1">
              <w:rPr>
                <w:rFonts w:eastAsia="Arial" w:cs="Arial"/>
                <w:lang w:eastAsia="en-GB"/>
              </w:rPr>
              <w:lastRenderedPageBreak/>
              <w:t>Skills lacking within existing workforces are most likely to be advanced IT skills and sales and marketing skills (both cited by 11% of all businesses) and/or job-specific skills and technical or practical skills (both cited by 10% of all businesses).</w:t>
            </w:r>
          </w:p>
          <w:p w14:paraId="149D25DB" w14:textId="77777777" w:rsidR="00F01502" w:rsidRPr="00BE7976" w:rsidRDefault="00F01502" w:rsidP="00F01502">
            <w:pPr>
              <w:ind w:right="113"/>
              <w:rPr>
                <w:rFonts w:cs="Arial"/>
                <w:color w:val="000000" w:themeColor="text1"/>
                <w:szCs w:val="22"/>
              </w:rPr>
            </w:pPr>
          </w:p>
          <w:p w14:paraId="149D25DC" w14:textId="77777777" w:rsidR="00F01502" w:rsidRPr="00BE7976" w:rsidRDefault="628497D1" w:rsidP="00F01502">
            <w:pPr>
              <w:pStyle w:val="ListParagraph"/>
              <w:ind w:left="0" w:right="113"/>
              <w:rPr>
                <w:rFonts w:cs="Arial"/>
                <w:color w:val="000000" w:themeColor="text1"/>
                <w:szCs w:val="22"/>
              </w:rPr>
            </w:pPr>
            <w:r w:rsidRPr="628497D1">
              <w:rPr>
                <w:rFonts w:eastAsia="Arial" w:cs="Arial"/>
                <w:color w:val="000000" w:themeColor="text1"/>
              </w:rPr>
              <w:t>A survey of employers commissioned by the UK Commission for Employment and Skills (UKCES) in 2016, shows that skills shortages nationally overall have risen by 130% over the past four years.</w:t>
            </w:r>
          </w:p>
          <w:p w14:paraId="149D25DD" w14:textId="77777777" w:rsidR="00F01502" w:rsidRPr="00BE7976" w:rsidRDefault="00F01502" w:rsidP="00F01502">
            <w:pPr>
              <w:ind w:right="113"/>
              <w:rPr>
                <w:rFonts w:cs="Arial"/>
                <w:color w:val="000000" w:themeColor="text1"/>
                <w:szCs w:val="22"/>
              </w:rPr>
            </w:pPr>
          </w:p>
          <w:p w14:paraId="149D25DE" w14:textId="77777777" w:rsidR="00F01502" w:rsidRPr="00BE7976" w:rsidRDefault="628497D1" w:rsidP="00F01502">
            <w:pPr>
              <w:ind w:right="113"/>
              <w:rPr>
                <w:rFonts w:cs="Arial"/>
                <w:color w:val="000000" w:themeColor="text1"/>
                <w:szCs w:val="22"/>
              </w:rPr>
            </w:pPr>
            <w:r w:rsidRPr="628497D1">
              <w:rPr>
                <w:rFonts w:eastAsia="Arial" w:cs="Arial"/>
                <w:color w:val="000000" w:themeColor="text1"/>
              </w:rPr>
              <w:t xml:space="preserve">The need to up skill those, particularly working in lower skilled/unskilled jobs will be key to meeting current and future skills demands of employers as these sectors grow and in order to attract businesses to locate in the South East Midlands as more of the working age population gain the necessary skills to meet future demand., </w:t>
            </w:r>
          </w:p>
          <w:p w14:paraId="149D25DF" w14:textId="77777777" w:rsidR="00F01502" w:rsidRPr="00BE7976" w:rsidRDefault="00F01502" w:rsidP="00F01502">
            <w:pPr>
              <w:pStyle w:val="ListParagraph"/>
              <w:ind w:left="0" w:right="113"/>
              <w:rPr>
                <w:rFonts w:cs="Arial"/>
                <w:color w:val="000000" w:themeColor="text1"/>
                <w:szCs w:val="22"/>
              </w:rPr>
            </w:pPr>
          </w:p>
          <w:p w14:paraId="149D25E0" w14:textId="77777777" w:rsidR="00F01502" w:rsidRPr="00BE7976" w:rsidRDefault="628497D1" w:rsidP="00F01502">
            <w:pPr>
              <w:pStyle w:val="ListParagraph"/>
              <w:ind w:left="0" w:right="113"/>
              <w:rPr>
                <w:rFonts w:cs="Arial"/>
                <w:color w:val="000000" w:themeColor="text1"/>
                <w:szCs w:val="22"/>
              </w:rPr>
            </w:pPr>
            <w:r w:rsidRPr="628497D1">
              <w:rPr>
                <w:rFonts w:eastAsia="Arial" w:cs="Arial"/>
                <w:color w:val="000000" w:themeColor="text1"/>
              </w:rPr>
              <w:t xml:space="preserve">As a national comparison, the UK Commission for Employment and Skills Employer Skills Survey provides a breakdown by LEP area. For the South East Midlands it showed that the top skills shortages cited by local employers were: Job specific (78%), Problem solving skills (52%), Planning and organisational skills (51%), Technical and practical skills (52%), Customer (46%) and Communication Skills (45%).  </w:t>
            </w:r>
          </w:p>
          <w:p w14:paraId="149D25E1" w14:textId="77777777" w:rsidR="00F01502" w:rsidRPr="00BE7976" w:rsidRDefault="00F01502" w:rsidP="00F01502">
            <w:pPr>
              <w:pStyle w:val="ListParagraph"/>
              <w:ind w:left="0" w:right="113"/>
              <w:rPr>
                <w:rFonts w:cs="Arial"/>
                <w:color w:val="000000" w:themeColor="text1"/>
                <w:szCs w:val="22"/>
              </w:rPr>
            </w:pPr>
          </w:p>
          <w:p w14:paraId="149D25E2" w14:textId="77777777" w:rsidR="00F01502" w:rsidRPr="00BE7976" w:rsidRDefault="628497D1" w:rsidP="00F01502">
            <w:pPr>
              <w:pStyle w:val="ListParagraph"/>
              <w:ind w:left="0" w:right="113"/>
              <w:rPr>
                <w:rFonts w:cs="Arial"/>
                <w:color w:val="000000" w:themeColor="text1"/>
              </w:rPr>
            </w:pPr>
            <w:r w:rsidRPr="628497D1">
              <w:rPr>
                <w:rFonts w:eastAsia="Arial" w:cs="Arial"/>
                <w:lang w:eastAsia="en-GB"/>
              </w:rPr>
              <w:t xml:space="preserve">In regard to numeracy, within the SEMLEP area, it is estimated that between 72% and 81% of working age adults are functioning at a level of numeracy below Level 2 (A*-C GCSE equivalent) according to the most recent BIS-commissioned Skills for Life survey.  In addition, </w:t>
            </w:r>
            <w:r w:rsidRPr="628497D1">
              <w:rPr>
                <w:rFonts w:eastAsia="Arial" w:cs="Arial"/>
                <w:color w:val="000000" w:themeColor="text1"/>
              </w:rPr>
              <w:t xml:space="preserve">a recent report by the OECD (January 2016) reviewing skills suggests that England is ‘well below average’ for numeracy citing a national figure of 9 million people in England lacking basic maths skills needed for everyday life and work. </w:t>
            </w:r>
          </w:p>
          <w:p w14:paraId="149D25E3" w14:textId="77777777" w:rsidR="00F01502" w:rsidRPr="00BE7976" w:rsidRDefault="00F01502" w:rsidP="0051279A">
            <w:pPr>
              <w:rPr>
                <w:rFonts w:cs="Arial"/>
                <w:lang w:eastAsia="en-GB"/>
              </w:rPr>
            </w:pPr>
          </w:p>
        </w:tc>
      </w:tr>
      <w:tr w:rsidR="00967429" w14:paraId="149D25E6" w14:textId="77777777" w:rsidTr="00D85AB5">
        <w:trPr>
          <w:trHeight w:val="567"/>
        </w:trPr>
        <w:tc>
          <w:tcPr>
            <w:tcW w:w="9088" w:type="dxa"/>
            <w:shd w:val="clear" w:color="auto" w:fill="D9D9D9" w:themeFill="background1" w:themeFillShade="D9"/>
            <w:vAlign w:val="center"/>
          </w:tcPr>
          <w:p w14:paraId="149D25E5" w14:textId="77777777" w:rsidR="00967429" w:rsidRPr="00C107CE" w:rsidRDefault="628497D1" w:rsidP="00C107CE">
            <w:pPr>
              <w:tabs>
                <w:tab w:val="num" w:pos="900"/>
              </w:tabs>
              <w:autoSpaceDE w:val="0"/>
              <w:autoSpaceDN w:val="0"/>
              <w:adjustRightInd w:val="0"/>
              <w:rPr>
                <w:rFonts w:cs="Arial"/>
                <w:b/>
              </w:rPr>
            </w:pPr>
            <w:r w:rsidRPr="628497D1">
              <w:rPr>
                <w:rFonts w:eastAsia="Arial" w:cs="Arial"/>
                <w:b/>
                <w:bCs/>
              </w:rPr>
              <w:lastRenderedPageBreak/>
              <w:t>DEFINITION OF TERMS</w:t>
            </w:r>
          </w:p>
        </w:tc>
      </w:tr>
      <w:tr w:rsidR="00967429" w:rsidRPr="00EF4406" w14:paraId="149D2608" w14:textId="77777777" w:rsidTr="00D85AB5">
        <w:tc>
          <w:tcPr>
            <w:tcW w:w="9088" w:type="dxa"/>
          </w:tcPr>
          <w:p w14:paraId="149D25E7" w14:textId="77777777" w:rsidR="002E25F4" w:rsidRDefault="002E25F4" w:rsidP="00A524B5">
            <w:pPr>
              <w:rPr>
                <w:rFonts w:cs="Arial"/>
                <w:i/>
              </w:rPr>
            </w:pPr>
          </w:p>
          <w:p w14:paraId="149D25E8" w14:textId="77777777" w:rsidR="0004585A" w:rsidRDefault="628497D1" w:rsidP="000304B2">
            <w:pPr>
              <w:ind w:left="360" w:hanging="360"/>
              <w:rPr>
                <w:b/>
              </w:rPr>
            </w:pPr>
            <w:r w:rsidRPr="628497D1">
              <w:rPr>
                <w:b/>
                <w:bCs/>
              </w:rPr>
              <w:t xml:space="preserve">At risk of Redundancy: </w:t>
            </w:r>
            <w:r>
              <w:t>means Employees identified by the employer as at risk or redundancy and/or commenced formal consultation with staff representatives on the need to make redundancies</w:t>
            </w:r>
          </w:p>
          <w:p w14:paraId="149D25E9" w14:textId="77777777" w:rsidR="005C44C5" w:rsidRDefault="005C44C5" w:rsidP="000304B2">
            <w:pPr>
              <w:ind w:left="360" w:hanging="360"/>
              <w:rPr>
                <w:b/>
              </w:rPr>
            </w:pPr>
          </w:p>
          <w:p w14:paraId="149D25EA" w14:textId="77777777" w:rsidR="000304B2" w:rsidRPr="005A1D76" w:rsidRDefault="628497D1" w:rsidP="000304B2">
            <w:pPr>
              <w:ind w:left="360" w:hanging="360"/>
            </w:pPr>
            <w:r w:rsidRPr="628497D1">
              <w:rPr>
                <w:b/>
                <w:bCs/>
              </w:rPr>
              <w:t xml:space="preserve">Candidate: </w:t>
            </w:r>
            <w:r>
              <w:t>means an organisation who has been invited to take part in this restricted procurement procedure</w:t>
            </w:r>
          </w:p>
          <w:p w14:paraId="149D25EB" w14:textId="77777777" w:rsidR="000304B2" w:rsidRPr="005A1D76" w:rsidRDefault="000304B2" w:rsidP="000304B2">
            <w:pPr>
              <w:ind w:left="360" w:hanging="360"/>
              <w:rPr>
                <w:b/>
              </w:rPr>
            </w:pPr>
          </w:p>
          <w:p w14:paraId="149D25EC" w14:textId="77777777" w:rsidR="000304B2" w:rsidRPr="005A1D76" w:rsidRDefault="628497D1" w:rsidP="000304B2">
            <w:pPr>
              <w:ind w:left="360" w:hanging="360"/>
              <w:rPr>
                <w:b/>
              </w:rPr>
            </w:pPr>
            <w:r w:rsidRPr="628497D1">
              <w:rPr>
                <w:b/>
                <w:bCs/>
              </w:rPr>
              <w:t>Disability</w:t>
            </w:r>
            <w:r>
              <w:t xml:space="preserve">: A person </w:t>
            </w:r>
            <w:r w:rsidRPr="628497D1">
              <w:rPr>
                <w:lang w:val="en"/>
              </w:rPr>
              <w:t>who has a physical or mental impairment that has a substantial and long-term adverse effect on the ability to carry out normal day-to-day activities.</w:t>
            </w:r>
          </w:p>
          <w:p w14:paraId="149D25ED" w14:textId="77777777" w:rsidR="000304B2" w:rsidRPr="005A1D76" w:rsidRDefault="000304B2" w:rsidP="000304B2">
            <w:pPr>
              <w:ind w:left="360" w:hanging="360"/>
              <w:rPr>
                <w:b/>
              </w:rPr>
            </w:pPr>
          </w:p>
          <w:p w14:paraId="149D25EE" w14:textId="77777777" w:rsidR="000304B2" w:rsidRDefault="628497D1" w:rsidP="000304B2">
            <w:pPr>
              <w:ind w:left="360" w:hanging="360"/>
            </w:pPr>
            <w:r w:rsidRPr="628497D1">
              <w:rPr>
                <w:b/>
                <w:bCs/>
              </w:rPr>
              <w:t>Eligibility:</w:t>
            </w:r>
            <w:r>
              <w:t xml:space="preserve"> Only people who are eligible to work in UK are eligible for this EU programme.  </w:t>
            </w:r>
          </w:p>
          <w:p w14:paraId="149D25EF" w14:textId="77777777" w:rsidR="00B46D6D" w:rsidRDefault="00B46D6D" w:rsidP="000304B2">
            <w:pPr>
              <w:ind w:left="360" w:hanging="360"/>
            </w:pPr>
          </w:p>
          <w:p w14:paraId="149D25F0" w14:textId="77777777" w:rsidR="00B46D6D" w:rsidRDefault="628497D1" w:rsidP="000304B2">
            <w:pPr>
              <w:ind w:left="360" w:hanging="360"/>
            </w:pPr>
            <w:r w:rsidRPr="628497D1">
              <w:rPr>
                <w:b/>
                <w:bCs/>
              </w:rPr>
              <w:t>Employed</w:t>
            </w:r>
            <w:r>
              <w:t>: People are employees if they perform work for pay, profit or family gain. People are self-employed if they work in his/her own business for the purpose of earning a profit, even if they are not making a profit or are just setting up.</w:t>
            </w:r>
          </w:p>
          <w:p w14:paraId="149D25F1" w14:textId="77777777" w:rsidR="00BF0283" w:rsidRPr="005A1D76" w:rsidRDefault="00BF0283" w:rsidP="000304B2">
            <w:pPr>
              <w:ind w:left="360" w:hanging="360"/>
            </w:pPr>
          </w:p>
          <w:p w14:paraId="149D25F2" w14:textId="77777777" w:rsidR="00BF0283" w:rsidRDefault="628497D1" w:rsidP="00BF0283">
            <w:pPr>
              <w:autoSpaceDE w:val="0"/>
              <w:autoSpaceDN w:val="0"/>
              <w:adjustRightInd w:val="0"/>
              <w:ind w:left="360" w:hanging="360"/>
            </w:pPr>
            <w:r w:rsidRPr="628497D1">
              <w:rPr>
                <w:b/>
                <w:bCs/>
              </w:rPr>
              <w:t>Micro Businesses:</w:t>
            </w:r>
            <w:r>
              <w:t xml:space="preserve"> This relates to organisations employing less than 10 Employees </w:t>
            </w:r>
          </w:p>
          <w:p w14:paraId="149D25F3" w14:textId="77777777" w:rsidR="00AA0B4C" w:rsidRDefault="00AA0B4C" w:rsidP="00AA0B4C">
            <w:pPr>
              <w:autoSpaceDE w:val="0"/>
              <w:autoSpaceDN w:val="0"/>
              <w:adjustRightInd w:val="0"/>
              <w:ind w:left="360" w:hanging="360"/>
            </w:pPr>
          </w:p>
          <w:p w14:paraId="149D25F4" w14:textId="77777777" w:rsidR="000304B2" w:rsidRPr="005A1D76" w:rsidRDefault="628497D1" w:rsidP="000304B2">
            <w:pPr>
              <w:autoSpaceDE w:val="0"/>
              <w:autoSpaceDN w:val="0"/>
              <w:adjustRightInd w:val="0"/>
              <w:ind w:left="360" w:hanging="360"/>
            </w:pPr>
            <w:r w:rsidRPr="628497D1">
              <w:rPr>
                <w:b/>
                <w:bCs/>
              </w:rPr>
              <w:t xml:space="preserve">Qualifications: </w:t>
            </w:r>
            <w:r>
              <w:t xml:space="preserve">Qualification means a formal outcome assessment and validation process which is obtained when a competent body determines that an individual has achieved learning outcomes to given standards.  Regulated qualifications/aims are those listed in </w:t>
            </w:r>
            <w:r>
              <w:lastRenderedPageBreak/>
              <w:t xml:space="preserve">the Learning Aims Reference Service as being regulated.  Non-regulated aims are those listed in the Learning Aims Reference Service as being non-regulated.  </w:t>
            </w:r>
          </w:p>
          <w:p w14:paraId="149D25F5" w14:textId="77777777" w:rsidR="000304B2" w:rsidRPr="005A1D76" w:rsidRDefault="000304B2" w:rsidP="000304B2">
            <w:pPr>
              <w:autoSpaceDE w:val="0"/>
              <w:autoSpaceDN w:val="0"/>
              <w:adjustRightInd w:val="0"/>
              <w:ind w:left="360" w:hanging="360"/>
            </w:pPr>
          </w:p>
          <w:p w14:paraId="149D25F6" w14:textId="77777777" w:rsidR="000304B2" w:rsidRPr="005A1D76" w:rsidRDefault="628497D1" w:rsidP="00C107CE">
            <w:pPr>
              <w:autoSpaceDE w:val="0"/>
              <w:autoSpaceDN w:val="0"/>
              <w:adjustRightInd w:val="0"/>
              <w:ind w:left="360" w:hanging="360"/>
            </w:pPr>
            <w:r>
              <w:t xml:space="preserve">     Regulated and non-regulated aims must be planned to be delivered within budget.</w:t>
            </w:r>
          </w:p>
          <w:p w14:paraId="149D25F7" w14:textId="77777777" w:rsidR="000304B2" w:rsidRPr="005A1D76" w:rsidRDefault="000304B2" w:rsidP="00C107CE">
            <w:pPr>
              <w:autoSpaceDE w:val="0"/>
              <w:autoSpaceDN w:val="0"/>
              <w:adjustRightInd w:val="0"/>
              <w:ind w:left="360" w:hanging="360"/>
            </w:pPr>
          </w:p>
          <w:p w14:paraId="149D25F8" w14:textId="77777777" w:rsidR="000304B2" w:rsidRPr="005A1D76" w:rsidRDefault="628497D1" w:rsidP="00C107CE">
            <w:pPr>
              <w:autoSpaceDE w:val="0"/>
              <w:autoSpaceDN w:val="0"/>
              <w:adjustRightInd w:val="0"/>
              <w:ind w:left="360" w:hanging="360"/>
            </w:pPr>
            <w:r>
              <w:t xml:space="preserve">     Qualification rates are based on the published LARS rates at the start of the contract.</w:t>
            </w:r>
          </w:p>
          <w:p w14:paraId="149D25F9" w14:textId="77777777" w:rsidR="000304B2" w:rsidRPr="005A1D76" w:rsidRDefault="000304B2" w:rsidP="000304B2">
            <w:pPr>
              <w:autoSpaceDE w:val="0"/>
              <w:autoSpaceDN w:val="0"/>
              <w:adjustRightInd w:val="0"/>
              <w:ind w:left="360" w:hanging="360"/>
            </w:pPr>
          </w:p>
          <w:p w14:paraId="149D25FA" w14:textId="77777777" w:rsidR="000304B2" w:rsidRDefault="628497D1" w:rsidP="000304B2">
            <w:pPr>
              <w:autoSpaceDE w:val="0"/>
              <w:autoSpaceDN w:val="0"/>
              <w:adjustRightInd w:val="0"/>
              <w:ind w:left="360" w:hanging="360"/>
            </w:pPr>
            <w:r w:rsidRPr="628497D1">
              <w:rPr>
                <w:b/>
                <w:bCs/>
              </w:rPr>
              <w:t xml:space="preserve">Services:  </w:t>
            </w:r>
            <w:r>
              <w:t>The provision of education, training or support delivered to individuals.</w:t>
            </w:r>
          </w:p>
          <w:p w14:paraId="149D25FB" w14:textId="77777777" w:rsidR="00BF0283" w:rsidRPr="005A1D76" w:rsidRDefault="00BF0283" w:rsidP="000304B2">
            <w:pPr>
              <w:autoSpaceDE w:val="0"/>
              <w:autoSpaceDN w:val="0"/>
              <w:adjustRightInd w:val="0"/>
              <w:ind w:left="360" w:hanging="360"/>
            </w:pPr>
          </w:p>
          <w:p w14:paraId="149D25FC" w14:textId="77777777" w:rsidR="00BF0283" w:rsidRDefault="628497D1" w:rsidP="000304B2">
            <w:pPr>
              <w:autoSpaceDE w:val="0"/>
              <w:autoSpaceDN w:val="0"/>
              <w:adjustRightInd w:val="0"/>
              <w:ind w:left="360" w:hanging="360"/>
            </w:pPr>
            <w:r w:rsidRPr="628497D1">
              <w:rPr>
                <w:b/>
                <w:bCs/>
              </w:rPr>
              <w:t>Small and Medium sized Enterprises</w:t>
            </w:r>
            <w:r>
              <w:t>: This applies to organisations employing less than 250 employees.</w:t>
            </w:r>
          </w:p>
          <w:p w14:paraId="149D25FD" w14:textId="77777777" w:rsidR="000304B2" w:rsidRPr="005A1D76" w:rsidRDefault="00BF0283" w:rsidP="000304B2">
            <w:pPr>
              <w:autoSpaceDE w:val="0"/>
              <w:autoSpaceDN w:val="0"/>
              <w:adjustRightInd w:val="0"/>
              <w:ind w:left="360" w:hanging="360"/>
            </w:pPr>
            <w:r w:rsidRPr="00043303">
              <w:t xml:space="preserve">  </w:t>
            </w:r>
          </w:p>
          <w:p w14:paraId="149D25FE" w14:textId="77777777" w:rsidR="000304B2" w:rsidRPr="005A1D76" w:rsidRDefault="628497D1" w:rsidP="000304B2">
            <w:pPr>
              <w:autoSpaceDE w:val="0"/>
              <w:autoSpaceDN w:val="0"/>
              <w:adjustRightInd w:val="0"/>
              <w:ind w:left="360" w:hanging="360"/>
              <w:rPr>
                <w:color w:val="FF0000"/>
              </w:rPr>
            </w:pPr>
            <w:r w:rsidRPr="628497D1">
              <w:rPr>
                <w:b/>
                <w:bCs/>
              </w:rPr>
              <w:t>Start Date:</w:t>
            </w:r>
            <w:r>
              <w:t xml:space="preserve"> Employment status and age are determined on the date of starting on the Services.</w:t>
            </w:r>
            <w:r w:rsidRPr="628497D1">
              <w:rPr>
                <w:b/>
                <w:bCs/>
              </w:rPr>
              <w:t xml:space="preserve"> </w:t>
            </w:r>
          </w:p>
          <w:p w14:paraId="149D25FF" w14:textId="77777777" w:rsidR="000304B2" w:rsidRPr="005A1D76" w:rsidRDefault="000304B2" w:rsidP="000304B2">
            <w:pPr>
              <w:autoSpaceDE w:val="0"/>
              <w:autoSpaceDN w:val="0"/>
              <w:adjustRightInd w:val="0"/>
              <w:ind w:left="360" w:hanging="360"/>
              <w:rPr>
                <w:color w:val="FF0000"/>
              </w:rPr>
            </w:pPr>
          </w:p>
          <w:p w14:paraId="149D2600" w14:textId="77777777" w:rsidR="000304B2" w:rsidRDefault="628497D1" w:rsidP="000304B2">
            <w:pPr>
              <w:autoSpaceDE w:val="0"/>
              <w:autoSpaceDN w:val="0"/>
              <w:adjustRightInd w:val="0"/>
              <w:ind w:left="360" w:hanging="360"/>
            </w:pPr>
            <w:r w:rsidRPr="628497D1">
              <w:rPr>
                <w:b/>
                <w:bCs/>
              </w:rPr>
              <w:t>Survey</w:t>
            </w:r>
            <w:r>
              <w:t>: Where applicable, long term sustained outcomes over 6 months will be monitored separately.  Some ESF indicators will be collected by survey by the ESF Managing Authority directly from the participants.</w:t>
            </w:r>
          </w:p>
          <w:p w14:paraId="149D2601" w14:textId="77777777" w:rsidR="005A1D76" w:rsidRPr="005A1D76" w:rsidRDefault="005A1D76" w:rsidP="000304B2">
            <w:pPr>
              <w:autoSpaceDE w:val="0"/>
              <w:autoSpaceDN w:val="0"/>
              <w:adjustRightInd w:val="0"/>
              <w:ind w:left="360" w:hanging="360"/>
              <w:rPr>
                <w:color w:val="FF0000"/>
              </w:rPr>
            </w:pPr>
          </w:p>
          <w:p w14:paraId="149D2602" w14:textId="77777777" w:rsidR="005A1D76" w:rsidRDefault="628497D1" w:rsidP="005A1D76">
            <w:pPr>
              <w:autoSpaceDE w:val="0"/>
              <w:autoSpaceDN w:val="0"/>
              <w:adjustRightInd w:val="0"/>
              <w:ind w:left="360" w:hanging="360"/>
            </w:pPr>
            <w:r w:rsidRPr="628497D1">
              <w:rPr>
                <w:b/>
                <w:bCs/>
              </w:rPr>
              <w:t>Unemployed:</w:t>
            </w:r>
            <w:r>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149D2607" w14:textId="77777777" w:rsidR="00200BC6" w:rsidRPr="00590073" w:rsidRDefault="00200BC6" w:rsidP="005A1D76">
            <w:pPr>
              <w:autoSpaceDE w:val="0"/>
              <w:autoSpaceDN w:val="0"/>
              <w:adjustRightInd w:val="0"/>
              <w:ind w:left="360" w:hanging="360"/>
            </w:pPr>
          </w:p>
        </w:tc>
      </w:tr>
      <w:tr w:rsidR="00967429" w:rsidRPr="00544738" w14:paraId="149D260A" w14:textId="77777777" w:rsidTr="00D85AB5">
        <w:trPr>
          <w:trHeight w:val="567"/>
        </w:trPr>
        <w:tc>
          <w:tcPr>
            <w:tcW w:w="9088" w:type="dxa"/>
            <w:shd w:val="clear" w:color="auto" w:fill="D9D9D9" w:themeFill="background1" w:themeFillShade="D9"/>
            <w:vAlign w:val="center"/>
          </w:tcPr>
          <w:p w14:paraId="149D2609" w14:textId="77777777" w:rsidR="00967429" w:rsidRPr="00C107CE" w:rsidRDefault="628497D1" w:rsidP="00C107CE">
            <w:pPr>
              <w:autoSpaceDE w:val="0"/>
              <w:autoSpaceDN w:val="0"/>
              <w:adjustRightInd w:val="0"/>
              <w:rPr>
                <w:rFonts w:cs="Arial"/>
                <w:b/>
                <w:lang w:eastAsia="en-GB"/>
              </w:rPr>
            </w:pPr>
            <w:r w:rsidRPr="628497D1">
              <w:rPr>
                <w:rFonts w:eastAsia="Arial" w:cs="Arial"/>
                <w:b/>
                <w:bCs/>
                <w:lang w:eastAsia="en-GB"/>
              </w:rPr>
              <w:lastRenderedPageBreak/>
              <w:t>SERVICE REQUIREMENTS</w:t>
            </w:r>
          </w:p>
        </w:tc>
      </w:tr>
      <w:tr w:rsidR="00967429" w:rsidRPr="00544738" w14:paraId="149D26DC" w14:textId="77777777" w:rsidTr="00D85AB5">
        <w:tc>
          <w:tcPr>
            <w:tcW w:w="9088" w:type="dxa"/>
          </w:tcPr>
          <w:p w14:paraId="149D260B" w14:textId="77777777" w:rsidR="000D51DE" w:rsidRDefault="000D51DE" w:rsidP="00A524B5">
            <w:pPr>
              <w:rPr>
                <w:rFonts w:cs="Arial"/>
                <w:b/>
              </w:rPr>
            </w:pPr>
          </w:p>
          <w:p w14:paraId="149D260C" w14:textId="77777777" w:rsidR="002E25F4" w:rsidRDefault="628497D1" w:rsidP="00A524B5">
            <w:pPr>
              <w:rPr>
                <w:rFonts w:cs="Arial"/>
                <w:b/>
              </w:rPr>
            </w:pPr>
            <w:r w:rsidRPr="628497D1">
              <w:rPr>
                <w:rFonts w:eastAsia="Arial" w:cs="Arial"/>
                <w:b/>
                <w:bCs/>
              </w:rPr>
              <w:t>General Service Requirements</w:t>
            </w:r>
          </w:p>
          <w:p w14:paraId="149D260D" w14:textId="77777777" w:rsidR="00EA180F" w:rsidRPr="001A4B05" w:rsidRDefault="00EA180F" w:rsidP="00A524B5">
            <w:pPr>
              <w:rPr>
                <w:rFonts w:cs="Arial"/>
                <w:b/>
              </w:rPr>
            </w:pPr>
          </w:p>
          <w:p w14:paraId="149D260E" w14:textId="77777777" w:rsidR="002E25F4" w:rsidRPr="00D535E6" w:rsidRDefault="628497D1" w:rsidP="00A524B5">
            <w:pPr>
              <w:rPr>
                <w:rFonts w:cs="Arial"/>
              </w:rPr>
            </w:pPr>
            <w:r w:rsidRPr="628497D1">
              <w:rPr>
                <w:rFonts w:eastAsia="Arial" w:cs="Arial"/>
              </w:rPr>
              <w:t>All activities must complement and avoid duplication with other provision, thereby adding value to Department for Work and Pensions/Big Lottery, Education Funding Agency, Skills Funding Agency, local authority, National Careers Service and the new Careers Enterprise Company funded provision.  Successful candidates will be required to ensure that ESF provision will clearly add value and not duplicate any provision that can be arranged locally through existing mainstream institutions.</w:t>
            </w:r>
          </w:p>
          <w:p w14:paraId="149D260F" w14:textId="77777777" w:rsidR="00ED156A" w:rsidRDefault="00ED156A" w:rsidP="00A524B5">
            <w:pPr>
              <w:rPr>
                <w:rFonts w:cs="Arial"/>
              </w:rPr>
            </w:pPr>
          </w:p>
          <w:p w14:paraId="149D2610" w14:textId="77777777" w:rsidR="0031325C" w:rsidRPr="00D535E6" w:rsidRDefault="628497D1" w:rsidP="00A524B5">
            <w:pPr>
              <w:rPr>
                <w:rFonts w:cs="Arial"/>
                <w:b/>
                <w:i/>
              </w:rPr>
            </w:pPr>
            <w:r w:rsidRPr="628497D1">
              <w:rPr>
                <w:rFonts w:eastAsia="Arial" w:cs="Arial"/>
                <w:b/>
                <w:bCs/>
                <w:i/>
                <w:iCs/>
              </w:rPr>
              <w:t>Capacity and readiness to deliver</w:t>
            </w:r>
          </w:p>
          <w:p w14:paraId="149D2611" w14:textId="77777777" w:rsidR="00ED156A" w:rsidRDefault="628497D1" w:rsidP="00ED156A">
            <w:pPr>
              <w:autoSpaceDE w:val="0"/>
              <w:autoSpaceDN w:val="0"/>
              <w:adjustRightInd w:val="0"/>
              <w:rPr>
                <w:rFonts w:cs="Arial"/>
              </w:rPr>
            </w:pPr>
            <w:r w:rsidRPr="628497D1">
              <w:rPr>
                <w:rFonts w:eastAsia="Arial" w:cs="Arial"/>
              </w:rPr>
              <w:t>Candidates must have:</w:t>
            </w:r>
          </w:p>
          <w:p w14:paraId="41248958" w14:textId="77777777" w:rsidR="00BE7976" w:rsidRPr="00D535E6" w:rsidRDefault="00BE7976" w:rsidP="00ED156A">
            <w:pPr>
              <w:autoSpaceDE w:val="0"/>
              <w:autoSpaceDN w:val="0"/>
              <w:adjustRightInd w:val="0"/>
              <w:rPr>
                <w:rFonts w:cs="Arial"/>
              </w:rPr>
            </w:pPr>
          </w:p>
          <w:p w14:paraId="149D2612" w14:textId="77777777" w:rsidR="00ED156A" w:rsidRPr="00D535E6" w:rsidRDefault="628497D1" w:rsidP="628497D1">
            <w:pPr>
              <w:pStyle w:val="ListParagraph"/>
              <w:numPr>
                <w:ilvl w:val="0"/>
                <w:numId w:val="21"/>
              </w:numPr>
              <w:autoSpaceDE w:val="0"/>
              <w:autoSpaceDN w:val="0"/>
              <w:adjustRightInd w:val="0"/>
              <w:ind w:left="714" w:hanging="357"/>
              <w:rPr>
                <w:rFonts w:eastAsia="Arial" w:cs="Arial"/>
                <w:strike/>
              </w:rPr>
            </w:pPr>
            <w:r w:rsidRPr="628497D1">
              <w:rPr>
                <w:rFonts w:eastAsia="Arial" w:cs="Arial"/>
              </w:rPr>
              <w:t xml:space="preserve">The resources to offer locally tailored solutions and flexible delivery to meet the skills and Apprenticeship priorities of employers and employees in the defined geographical area of delivery. If the LEP area also has a ‘transitional’  area defined in addition to the ‘more developed’ area, delivery locations will have to be available </w:t>
            </w:r>
            <w:r w:rsidRPr="628497D1">
              <w:rPr>
                <w:rFonts w:eastAsia="Arial" w:cs="Arial"/>
                <w:i/>
                <w:iCs/>
              </w:rPr>
              <w:t>in each locality</w:t>
            </w:r>
          </w:p>
          <w:p w14:paraId="149D2613" w14:textId="77777777" w:rsidR="00ED156A" w:rsidRPr="00D535E6" w:rsidRDefault="628497D1" w:rsidP="628497D1">
            <w:pPr>
              <w:pStyle w:val="ListParagraph"/>
              <w:numPr>
                <w:ilvl w:val="0"/>
                <w:numId w:val="21"/>
              </w:numPr>
              <w:autoSpaceDE w:val="0"/>
              <w:autoSpaceDN w:val="0"/>
              <w:adjustRightInd w:val="0"/>
              <w:ind w:left="714" w:hanging="357"/>
              <w:rPr>
                <w:rFonts w:eastAsia="Arial" w:cs="Arial"/>
                <w:lang w:eastAsia="en-GB"/>
              </w:rPr>
            </w:pPr>
            <w:r w:rsidRPr="628497D1">
              <w:rPr>
                <w:rFonts w:eastAsia="Arial" w:cs="Arial"/>
                <w:lang w:eastAsia="en-GB"/>
              </w:rPr>
              <w:t>The capacity to deliver provision immediately upon commencement of the contract and that delivery should not be delayed in any way by any recruitment processes or other processes or relationships that need to be established.</w:t>
            </w:r>
          </w:p>
          <w:p w14:paraId="149D2614" w14:textId="77777777" w:rsidR="002F71DB" w:rsidRPr="005A1D76" w:rsidRDefault="628497D1" w:rsidP="628497D1">
            <w:pPr>
              <w:pStyle w:val="ListParagraph"/>
              <w:numPr>
                <w:ilvl w:val="0"/>
                <w:numId w:val="21"/>
              </w:numPr>
              <w:autoSpaceDE w:val="0"/>
              <w:autoSpaceDN w:val="0"/>
              <w:adjustRightInd w:val="0"/>
              <w:ind w:left="714" w:hanging="357"/>
              <w:rPr>
                <w:rFonts w:eastAsia="Arial" w:cs="Arial"/>
                <w:lang w:eastAsia="en-GB"/>
              </w:rPr>
            </w:pPr>
            <w:r w:rsidRPr="628497D1">
              <w:rPr>
                <w:rFonts w:eastAsia="Arial" w:cs="Arial"/>
                <w:lang w:eastAsia="en-GB"/>
              </w:rPr>
              <w:lastRenderedPageBreak/>
              <w:t>Candidates must be able to demonstrate the ability to undertake robust initial assessment of eligible individuals.  Vocational training delivered must be regulated units and qualifications on the Qualifications and Curriculum Framework and be able to support individuals into higher levels of training and workplace progression</w:t>
            </w:r>
          </w:p>
          <w:p w14:paraId="149D2615" w14:textId="77777777" w:rsidR="00ED156A" w:rsidRPr="002F4192" w:rsidRDefault="00ED156A" w:rsidP="00515602">
            <w:pPr>
              <w:rPr>
                <w:rFonts w:cs="Arial"/>
                <w:lang w:eastAsia="en-GB"/>
              </w:rPr>
            </w:pPr>
          </w:p>
          <w:p w14:paraId="149D2616" w14:textId="77777777" w:rsidR="00ED156A" w:rsidRPr="005A1D76" w:rsidRDefault="628497D1" w:rsidP="00515602">
            <w:pPr>
              <w:rPr>
                <w:rFonts w:cs="Arial"/>
                <w:b/>
                <w:i/>
                <w:lang w:eastAsia="en-GB"/>
              </w:rPr>
            </w:pPr>
            <w:r w:rsidRPr="628497D1">
              <w:rPr>
                <w:rFonts w:eastAsia="Arial" w:cs="Arial"/>
                <w:b/>
                <w:bCs/>
                <w:i/>
                <w:iCs/>
                <w:lang w:eastAsia="en-GB"/>
              </w:rPr>
              <w:t>Track record</w:t>
            </w:r>
          </w:p>
          <w:p w14:paraId="149D2617" w14:textId="77777777" w:rsidR="00ED156A" w:rsidRDefault="628497D1" w:rsidP="00515602">
            <w:pPr>
              <w:rPr>
                <w:rFonts w:cs="Arial"/>
                <w:szCs w:val="22"/>
              </w:rPr>
            </w:pPr>
            <w:r w:rsidRPr="628497D1">
              <w:rPr>
                <w:rFonts w:eastAsia="Arial" w:cs="Arial"/>
              </w:rPr>
              <w:t>The ability to deliver the required activity, based on a track record in the successful delivery and management of this type and size of programme</w:t>
            </w:r>
          </w:p>
          <w:p w14:paraId="149D2618" w14:textId="77777777" w:rsidR="00E43DDB" w:rsidRPr="005A1D76" w:rsidRDefault="00E43DDB" w:rsidP="00515602">
            <w:pPr>
              <w:rPr>
                <w:rFonts w:cs="Arial"/>
                <w:szCs w:val="22"/>
              </w:rPr>
            </w:pPr>
          </w:p>
          <w:p w14:paraId="149D2619" w14:textId="77777777" w:rsidR="00E43DDB" w:rsidRPr="00E43DDB" w:rsidRDefault="628497D1" w:rsidP="00E43DDB">
            <w:pPr>
              <w:rPr>
                <w:rFonts w:cs="Arial"/>
                <w:b/>
                <w:i/>
                <w:lang w:eastAsia="en-GB"/>
              </w:rPr>
            </w:pPr>
            <w:r w:rsidRPr="628497D1">
              <w:rPr>
                <w:rFonts w:eastAsia="Arial" w:cs="Arial"/>
                <w:b/>
                <w:bCs/>
                <w:i/>
                <w:iCs/>
                <w:lang w:eastAsia="en-GB"/>
              </w:rPr>
              <w:t>Information, Advice and Guidance</w:t>
            </w:r>
          </w:p>
          <w:p w14:paraId="149D261A" w14:textId="77777777" w:rsidR="00E43DDB" w:rsidRPr="00E43DDB" w:rsidRDefault="628497D1" w:rsidP="00E43DDB">
            <w:pPr>
              <w:rPr>
                <w:rFonts w:cs="Arial"/>
                <w:lang w:eastAsia="en-GB"/>
              </w:rPr>
            </w:pPr>
            <w:r w:rsidRPr="628497D1">
              <w:rPr>
                <w:rFonts w:eastAsia="Arial" w:cs="Arial"/>
                <w:lang w:eastAsia="en-GB"/>
              </w:rPr>
              <w:t>Where the activity requires effective Information, Advice and Guidance successful</w:t>
            </w:r>
          </w:p>
          <w:p w14:paraId="149D261B" w14:textId="77777777" w:rsidR="00E43DDB" w:rsidRPr="00E43DDB" w:rsidRDefault="628497D1" w:rsidP="00E43DDB">
            <w:pPr>
              <w:rPr>
                <w:rFonts w:cs="Arial"/>
                <w:lang w:eastAsia="en-GB"/>
              </w:rPr>
            </w:pPr>
            <w:proofErr w:type="gramStart"/>
            <w:r w:rsidRPr="628497D1">
              <w:rPr>
                <w:rFonts w:eastAsia="Arial" w:cs="Arial"/>
                <w:lang w:eastAsia="en-GB"/>
              </w:rPr>
              <w:t>applicants</w:t>
            </w:r>
            <w:proofErr w:type="gramEnd"/>
            <w:r w:rsidRPr="628497D1">
              <w:rPr>
                <w:rFonts w:eastAsia="Arial" w:cs="Arial"/>
                <w:lang w:eastAsia="en-GB"/>
              </w:rPr>
              <w:t xml:space="preserve"> and/or subcontractors delivering this element will either hold or be working towards the Matrix standard.</w:t>
            </w:r>
          </w:p>
          <w:p w14:paraId="149D261C" w14:textId="77777777" w:rsidR="00E43DDB" w:rsidRPr="00E43DDB" w:rsidRDefault="00E43DDB" w:rsidP="00E43DDB">
            <w:pPr>
              <w:rPr>
                <w:rFonts w:cs="Arial"/>
                <w:lang w:eastAsia="en-GB"/>
              </w:rPr>
            </w:pPr>
          </w:p>
          <w:p w14:paraId="149D261D" w14:textId="77777777" w:rsidR="00ED156A" w:rsidRPr="005A1D76" w:rsidRDefault="628497D1" w:rsidP="00A524B5">
            <w:pPr>
              <w:rPr>
                <w:rFonts w:cs="Arial"/>
              </w:rPr>
            </w:pPr>
            <w:r w:rsidRPr="628497D1">
              <w:rPr>
                <w:rFonts w:eastAsia="Arial" w:cs="Arial"/>
                <w:b/>
                <w:bCs/>
                <w:i/>
                <w:iCs/>
              </w:rPr>
              <w:t>Management and quality assurance</w:t>
            </w:r>
          </w:p>
          <w:p w14:paraId="149D261E" w14:textId="77777777" w:rsidR="002E25F4" w:rsidRPr="005A1D76" w:rsidRDefault="628497D1" w:rsidP="00A524B5">
            <w:pPr>
              <w:rPr>
                <w:rFonts w:cs="Arial"/>
              </w:rPr>
            </w:pPr>
            <w:r w:rsidRPr="628497D1">
              <w:rPr>
                <w:rFonts w:eastAsia="Arial" w:cs="Arial"/>
              </w:rPr>
              <w:t>Candidates will need to have effective management arrangements in place to ensure all of the requirements of this specification are fulfilled.  The Services must be delivered to a high quality and successful tenderers will need to have in place quality assurance and improvement processes.</w:t>
            </w:r>
          </w:p>
          <w:p w14:paraId="149D261F" w14:textId="77777777" w:rsidR="00B06A9F" w:rsidRPr="005A1D76" w:rsidRDefault="00B06A9F" w:rsidP="00A524B5">
            <w:pPr>
              <w:rPr>
                <w:rFonts w:cs="Arial"/>
              </w:rPr>
            </w:pPr>
          </w:p>
          <w:p w14:paraId="149D2620" w14:textId="77777777" w:rsidR="00B06A9F" w:rsidRPr="005A1D76" w:rsidRDefault="628497D1" w:rsidP="00515602">
            <w:pPr>
              <w:rPr>
                <w:rFonts w:cs="Arial"/>
              </w:rPr>
            </w:pPr>
            <w:r w:rsidRPr="628497D1">
              <w:rPr>
                <w:rFonts w:eastAsia="Arial"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149D2621" w14:textId="77777777" w:rsidR="001A4B05" w:rsidRPr="005A1D76" w:rsidRDefault="001A4B05" w:rsidP="00A524B5">
            <w:pPr>
              <w:rPr>
                <w:rFonts w:cs="Arial"/>
              </w:rPr>
            </w:pPr>
          </w:p>
          <w:p w14:paraId="149D2622" w14:textId="77777777" w:rsidR="002E25F4" w:rsidRPr="005A1D76" w:rsidRDefault="628497D1" w:rsidP="00A524B5">
            <w:pPr>
              <w:rPr>
                <w:rFonts w:cs="Arial"/>
              </w:rPr>
            </w:pPr>
            <w:r w:rsidRPr="628497D1">
              <w:rPr>
                <w:rFonts w:eastAsia="Arial" w:cs="Arial"/>
                <w:b/>
                <w:bCs/>
                <w:i/>
                <w:iCs/>
              </w:rPr>
              <w:t>Partnership working</w:t>
            </w:r>
          </w:p>
          <w:p w14:paraId="149D2623" w14:textId="77777777" w:rsidR="002E25F4" w:rsidRPr="005A1D76" w:rsidRDefault="628497D1" w:rsidP="00A524B5">
            <w:pPr>
              <w:rPr>
                <w:rFonts w:cs="Arial"/>
              </w:rPr>
            </w:pPr>
            <w:r w:rsidRPr="628497D1">
              <w:rPr>
                <w:rFonts w:eastAsia="Arial" w:cs="Arial"/>
              </w:rPr>
              <w:t>Candidates will be required to work in partnership with other organisations delivering education and training in the area to ensure the Service is complementary to and not in competition with other funded provision.</w:t>
            </w:r>
          </w:p>
          <w:p w14:paraId="149D2624" w14:textId="77777777" w:rsidR="002E25F4" w:rsidRPr="005A1D76" w:rsidRDefault="002E25F4" w:rsidP="00A524B5">
            <w:pPr>
              <w:rPr>
                <w:rFonts w:cs="Arial"/>
              </w:rPr>
            </w:pPr>
          </w:p>
          <w:p w14:paraId="149D2625" w14:textId="77777777" w:rsidR="002E25F4" w:rsidRPr="005A1D76" w:rsidRDefault="628497D1" w:rsidP="00A524B5">
            <w:pPr>
              <w:rPr>
                <w:rFonts w:cs="Arial"/>
              </w:rPr>
            </w:pPr>
            <w:r w:rsidRPr="628497D1">
              <w:rPr>
                <w:rFonts w:eastAsia="Arial" w:cs="Arial"/>
              </w:rPr>
              <w:t xml:space="preserve">The Service must be able to respond to changing local needs and opportunities, as well as policy changes. </w:t>
            </w:r>
          </w:p>
          <w:p w14:paraId="149D2626" w14:textId="77777777" w:rsidR="00ED156A" w:rsidRPr="006C64F5" w:rsidRDefault="00ED156A" w:rsidP="00A524B5">
            <w:pPr>
              <w:rPr>
                <w:rFonts w:cs="Arial"/>
                <w:highlight w:val="yellow"/>
              </w:rPr>
            </w:pPr>
          </w:p>
          <w:p w14:paraId="149D2627" w14:textId="77777777" w:rsidR="002E25F4" w:rsidRPr="00BC7F87" w:rsidRDefault="628497D1" w:rsidP="00C107CE">
            <w:pPr>
              <w:autoSpaceDE w:val="0"/>
              <w:autoSpaceDN w:val="0"/>
              <w:adjustRightInd w:val="0"/>
              <w:rPr>
                <w:rFonts w:cs="Arial"/>
              </w:rPr>
            </w:pPr>
            <w:r w:rsidRPr="628497D1">
              <w:rPr>
                <w:rFonts w:eastAsia="Arial" w:cs="Arial"/>
              </w:rPr>
              <w:t xml:space="preserve">Candidates will be required to establish linkages with and have an understanding of, local stakeholder needs and develop strong links with the key stakeholders. </w:t>
            </w:r>
          </w:p>
          <w:p w14:paraId="149D2628" w14:textId="77777777" w:rsidR="00C0243B" w:rsidRDefault="00C0243B" w:rsidP="00A524B5">
            <w:pPr>
              <w:rPr>
                <w:rFonts w:cs="Arial"/>
              </w:rPr>
            </w:pPr>
          </w:p>
          <w:p w14:paraId="149D2629" w14:textId="77777777" w:rsidR="00B46D6D" w:rsidRPr="00BC7F87" w:rsidRDefault="628497D1" w:rsidP="00B46D6D">
            <w:pPr>
              <w:autoSpaceDE w:val="0"/>
              <w:autoSpaceDN w:val="0"/>
              <w:adjustRightInd w:val="0"/>
              <w:rPr>
                <w:rFonts w:cs="Arial"/>
              </w:rPr>
            </w:pPr>
            <w:r w:rsidRPr="628497D1">
              <w:rPr>
                <w:rFonts w:eastAsia="Arial" w:cs="Arial"/>
              </w:rPr>
              <w:t xml:space="preserve">Candidates will be required to work with employers </w:t>
            </w:r>
            <w:r w:rsidRPr="628497D1">
              <w:rPr>
                <w:rFonts w:eastAsia="Arial" w:cs="Arial"/>
                <w:color w:val="000000" w:themeColor="text1"/>
              </w:rPr>
              <w:t>to identify the skills gaps and needs to drive employer growth.</w:t>
            </w:r>
            <w:r w:rsidRPr="628497D1">
              <w:rPr>
                <w:rFonts w:eastAsia="Arial" w:cs="Arial"/>
              </w:rPr>
              <w:t xml:space="preserve"> </w:t>
            </w:r>
          </w:p>
          <w:p w14:paraId="149D262A" w14:textId="77777777" w:rsidR="00B46D6D" w:rsidRDefault="00B46D6D" w:rsidP="00B46D6D">
            <w:pPr>
              <w:rPr>
                <w:rFonts w:cs="Arial"/>
              </w:rPr>
            </w:pPr>
          </w:p>
          <w:p w14:paraId="149D262B" w14:textId="77777777" w:rsidR="000E66D3" w:rsidRDefault="628497D1" w:rsidP="00A524B5">
            <w:pPr>
              <w:rPr>
                <w:rFonts w:cs="Arial"/>
              </w:rPr>
            </w:pPr>
            <w:r w:rsidRPr="628497D1">
              <w:rPr>
                <w:rFonts w:eastAsia="Arial" w:cs="Arial"/>
              </w:rPr>
              <w:t xml:space="preserve">Where the Service works with Jobcentre Plus clients the Candidates will be required to co-operate </w:t>
            </w:r>
            <w:r w:rsidRPr="628497D1">
              <w:rPr>
                <w:rFonts w:eastAsia="Arial" w:cs="Arial"/>
                <w:lang w:eastAsia="en-GB"/>
              </w:rPr>
              <w:t xml:space="preserve">effectively with Jobcentre Plus making them aware of candidates who fail to attend training and notifying them of any instances where individuals leave training due to starting work.  </w:t>
            </w:r>
            <w:r w:rsidRPr="628497D1">
              <w:rPr>
                <w:rFonts w:eastAsia="Arial" w:cs="Arial"/>
              </w:rPr>
              <w:t xml:space="preserve">Candidates will be required to establish links with </w:t>
            </w:r>
            <w:r w:rsidRPr="628497D1">
              <w:rPr>
                <w:rFonts w:eastAsia="Arial" w:cs="Arial"/>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149D262C" w14:textId="77777777" w:rsidR="000E66D3" w:rsidRDefault="000E66D3" w:rsidP="00A524B5">
            <w:pPr>
              <w:rPr>
                <w:rFonts w:cs="Arial"/>
              </w:rPr>
            </w:pPr>
          </w:p>
          <w:p w14:paraId="149D262D" w14:textId="77777777" w:rsidR="002E25F4" w:rsidRPr="00BC7F87" w:rsidRDefault="628497D1" w:rsidP="00A524B5">
            <w:pPr>
              <w:rPr>
                <w:rFonts w:cs="Arial"/>
              </w:rPr>
            </w:pPr>
            <w:r w:rsidRPr="628497D1">
              <w:rPr>
                <w:rFonts w:eastAsia="Arial" w:cs="Arial"/>
                <w:b/>
                <w:bCs/>
                <w:i/>
                <w:iCs/>
              </w:rPr>
              <w:t>Market intelligence and local knowledge</w:t>
            </w:r>
          </w:p>
          <w:p w14:paraId="149D262E" w14:textId="77777777" w:rsidR="002E25F4" w:rsidRPr="00BC7F87" w:rsidRDefault="628497D1" w:rsidP="00BC7F87">
            <w:pPr>
              <w:autoSpaceDE w:val="0"/>
              <w:autoSpaceDN w:val="0"/>
              <w:adjustRightInd w:val="0"/>
              <w:ind w:left="29"/>
              <w:rPr>
                <w:rFonts w:cs="Arial"/>
                <w:strike/>
                <w:szCs w:val="22"/>
                <w:highlight w:val="yellow"/>
              </w:rPr>
            </w:pPr>
            <w:r w:rsidRPr="628497D1">
              <w:rPr>
                <w:rFonts w:eastAsia="Arial" w:cs="Arial"/>
              </w:rPr>
              <w:lastRenderedPageBreak/>
              <w:t xml:space="preserve">The delivery of the Services must take into account the current and future social and economic indicators including labour market intelligence. Candidates must be able to demonstrate a comprehensive understanding of the current employment market and the current and future social and economic indicators including labour market intelligence for the geographical area being supported. Candidates must also have an understanding of local skills shortages and gaps and any existing skills support structures within the LEP area. </w:t>
            </w:r>
          </w:p>
          <w:p w14:paraId="149D262F" w14:textId="77777777" w:rsidR="00812EC6" w:rsidRPr="00BC7F87" w:rsidRDefault="00812EC6" w:rsidP="00A524B5">
            <w:pPr>
              <w:rPr>
                <w:rFonts w:cs="Arial"/>
              </w:rPr>
            </w:pPr>
          </w:p>
          <w:p w14:paraId="149D2630" w14:textId="77777777" w:rsidR="002E25F4" w:rsidRPr="00BC7F87" w:rsidRDefault="628497D1" w:rsidP="00A524B5">
            <w:pPr>
              <w:pStyle w:val="letteredlist"/>
              <w:numPr>
                <w:ilvl w:val="4"/>
                <w:numId w:val="0"/>
              </w:numPr>
              <w:spacing w:after="0"/>
              <w:ind w:left="29"/>
              <w:rPr>
                <w:b/>
                <w:i/>
              </w:rPr>
            </w:pPr>
            <w:r w:rsidRPr="628497D1">
              <w:rPr>
                <w:b/>
                <w:bCs/>
                <w:i/>
                <w:iCs/>
              </w:rPr>
              <w:t>Management information and reporting</w:t>
            </w:r>
          </w:p>
          <w:p w14:paraId="149D2631" w14:textId="77777777" w:rsidR="002E25F4" w:rsidRPr="00BC7F87" w:rsidRDefault="628497D1" w:rsidP="00A524B5">
            <w:pPr>
              <w:rPr>
                <w:rFonts w:cs="Arial"/>
              </w:rPr>
            </w:pPr>
            <w:r>
              <w:t xml:space="preserve">Candidates will develop management information systems to enable it to submit data to the Skills Funding Agency via the Individual Learner Record (ILR) and put in place robust arrangements for ensuring that the evidence required to support payments is collected and retained.  </w:t>
            </w:r>
          </w:p>
          <w:p w14:paraId="149D2632" w14:textId="77777777" w:rsidR="002E25F4" w:rsidRPr="00BC7F87" w:rsidRDefault="002E25F4" w:rsidP="00A524B5">
            <w:pPr>
              <w:rPr>
                <w:rFonts w:cs="Arial"/>
              </w:rPr>
            </w:pPr>
          </w:p>
          <w:p w14:paraId="149D2633" w14:textId="77777777" w:rsidR="002E25F4" w:rsidRPr="00BC7F87" w:rsidRDefault="628497D1" w:rsidP="00A524B5">
            <w:pPr>
              <w:rPr>
                <w:rFonts w:cs="Arial"/>
                <w:strike/>
              </w:rPr>
            </w:pPr>
            <w:r w:rsidRPr="628497D1">
              <w:rPr>
                <w:rFonts w:eastAsia="Arial" w:cs="Arial"/>
              </w:rPr>
              <w:t>Candidates will be required to share with LEPs and the Skills Funding Agency ongoing performance management data as well as additional intelligence to improve the effectiveness of Skills Support projects in the LEP area in the future.</w:t>
            </w:r>
            <w:r w:rsidRPr="628497D1">
              <w:rPr>
                <w:rFonts w:eastAsia="Arial" w:cs="Arial"/>
                <w:strike/>
              </w:rPr>
              <w:t xml:space="preserve"> </w:t>
            </w:r>
          </w:p>
          <w:p w14:paraId="149D2634" w14:textId="77777777" w:rsidR="00C0243B" w:rsidRDefault="00C0243B" w:rsidP="009E7A30">
            <w:pPr>
              <w:rPr>
                <w:rFonts w:cs="Arial"/>
              </w:rPr>
            </w:pPr>
          </w:p>
          <w:p w14:paraId="149D2635" w14:textId="77777777" w:rsidR="00B46D6D" w:rsidRDefault="628497D1" w:rsidP="00B46D6D">
            <w:pPr>
              <w:rPr>
                <w:rFonts w:cs="Arial"/>
                <w:b/>
              </w:rPr>
            </w:pPr>
            <w:r w:rsidRPr="628497D1">
              <w:rPr>
                <w:rFonts w:eastAsia="Arial" w:cs="Arial"/>
                <w:b/>
                <w:bCs/>
              </w:rPr>
              <w:t>Specific Service Requirements</w:t>
            </w:r>
          </w:p>
          <w:p w14:paraId="149D2636" w14:textId="77777777" w:rsidR="00B46D6D" w:rsidRPr="007121E9" w:rsidRDefault="00B46D6D" w:rsidP="00B46D6D">
            <w:pPr>
              <w:rPr>
                <w:rFonts w:cs="Arial"/>
                <w:b/>
              </w:rPr>
            </w:pPr>
          </w:p>
          <w:p w14:paraId="149D2637" w14:textId="10B1684A" w:rsidR="004267F1" w:rsidRDefault="628497D1" w:rsidP="004267F1">
            <w:pPr>
              <w:rPr>
                <w:rFonts w:cs="Arial"/>
                <w:b/>
              </w:rPr>
            </w:pPr>
            <w:r w:rsidRPr="628497D1">
              <w:rPr>
                <w:rFonts w:eastAsia="Arial" w:cs="Arial"/>
                <w:b/>
                <w:bCs/>
              </w:rPr>
              <w:t xml:space="preserve">Apprenticeship Services </w:t>
            </w:r>
            <w:r w:rsidR="00D45F33">
              <w:rPr>
                <w:rFonts w:eastAsia="Arial" w:cs="Arial"/>
                <w:b/>
                <w:bCs/>
              </w:rPr>
              <w:t>(Lot 1)</w:t>
            </w:r>
          </w:p>
          <w:p w14:paraId="149D2638" w14:textId="77777777" w:rsidR="004267F1" w:rsidRDefault="004267F1" w:rsidP="004267F1">
            <w:pPr>
              <w:rPr>
                <w:rFonts w:cs="Arial"/>
                <w:b/>
              </w:rPr>
            </w:pPr>
          </w:p>
          <w:p w14:paraId="149D2639" w14:textId="77777777" w:rsidR="004E64DA" w:rsidRDefault="628497D1" w:rsidP="003764A5">
            <w:pPr>
              <w:ind w:right="113"/>
              <w:rPr>
                <w:rFonts w:cs="Arial"/>
                <w:color w:val="000000" w:themeColor="text1"/>
              </w:rPr>
            </w:pPr>
            <w:r w:rsidRPr="628497D1">
              <w:rPr>
                <w:rFonts w:eastAsia="Arial" w:cs="Arial"/>
              </w:rPr>
              <w:t>The aim of the Services is to increase the number of people, both unemployed individuals requiring advanced and higher level skills and those in employment requiring significant new knowledge and skills, to enter apprenticeships at all levels across the SEMLEP area and increase employer participation in apprenticeships by raising awareness and providing support to employers.</w:t>
            </w:r>
            <w:r w:rsidRPr="628497D1">
              <w:rPr>
                <w:rFonts w:eastAsia="Arial" w:cs="Arial"/>
                <w:color w:val="000000" w:themeColor="text1"/>
              </w:rPr>
              <w:t xml:space="preserve"> </w:t>
            </w:r>
          </w:p>
          <w:p w14:paraId="149D263A" w14:textId="77777777" w:rsidR="00BF0283" w:rsidRDefault="00BF0283" w:rsidP="003764A5">
            <w:pPr>
              <w:ind w:right="113"/>
              <w:rPr>
                <w:rFonts w:cs="Arial"/>
                <w:color w:val="000000" w:themeColor="text1"/>
              </w:rPr>
            </w:pPr>
          </w:p>
          <w:p w14:paraId="149D263B" w14:textId="77777777" w:rsidR="00BF0283" w:rsidRDefault="628497D1" w:rsidP="00BF0283">
            <w:r>
              <w:t xml:space="preserve">The Services must respond to the needs analysis and proposed response as described in section 3.6 of the SEMLEP ESIF Strategy, in particular section 4.6.6. SEMLEP’s apprenticeships target is for additional starts to grow by 5% per annum. Implementing the SEMLEP apprenticeship plan, in particular increasing the availability of opportunities in priority sectors is critical. </w:t>
            </w:r>
          </w:p>
          <w:p w14:paraId="149D263C" w14:textId="77777777" w:rsidR="00F941C3" w:rsidRDefault="00F941C3" w:rsidP="00BF0283"/>
          <w:p w14:paraId="149D263D" w14:textId="7C366754" w:rsidR="00F941C3" w:rsidRDefault="628497D1" w:rsidP="00F941C3">
            <w:pPr>
              <w:pStyle w:val="ListParagraph"/>
              <w:ind w:left="0" w:right="113"/>
              <w:rPr>
                <w:rFonts w:cs="Arial"/>
                <w:color w:val="000000" w:themeColor="text1"/>
                <w:szCs w:val="22"/>
              </w:rPr>
            </w:pPr>
            <w:r w:rsidRPr="628497D1">
              <w:rPr>
                <w:rFonts w:eastAsia="Arial" w:cs="Arial"/>
                <w:color w:val="000000" w:themeColor="text1"/>
              </w:rPr>
              <w:t>The Services must be responsive to enable provision to be tailored to meet the needs as identified in the SEMLEP 2015 Business Survey and other local and national evidence. http://www.semlep.com/resource-hub/</w:t>
            </w:r>
          </w:p>
          <w:p w14:paraId="149D263F" w14:textId="77777777" w:rsidR="00BF0283" w:rsidRDefault="00BF0283" w:rsidP="00BF0283"/>
          <w:p w14:paraId="149D2640" w14:textId="77777777" w:rsidR="00BF0283" w:rsidRDefault="628497D1" w:rsidP="00BF0283">
            <w:pPr>
              <w:rPr>
                <w:rFonts w:cs="Helvetica 45"/>
                <w:color w:val="000000"/>
              </w:rPr>
            </w:pPr>
            <w:r>
              <w:t xml:space="preserve">The Services must aim </w:t>
            </w:r>
            <w:r w:rsidRPr="628497D1">
              <w:rPr>
                <w:rFonts w:ascii="Helvetica 45" w:eastAsia="Helvetica 45" w:hAnsi="Helvetica 45" w:cs="Helvetica 45"/>
                <w:color w:val="000000" w:themeColor="text1"/>
              </w:rPr>
              <w:t xml:space="preserve">to increase the volume of apprenticeships primarily within the showcase growth sectors working with small and medium sized businesses as a priority in order to address the gaps. </w:t>
            </w:r>
          </w:p>
          <w:p w14:paraId="149D2641" w14:textId="77777777" w:rsidR="00BF0283" w:rsidRDefault="00BF0283" w:rsidP="00BF0283">
            <w:pPr>
              <w:rPr>
                <w:rFonts w:cs="Helvetica 45"/>
                <w:color w:val="000000"/>
              </w:rPr>
            </w:pPr>
          </w:p>
          <w:p w14:paraId="149D2643" w14:textId="77777777" w:rsidR="00BF0283" w:rsidRDefault="628497D1" w:rsidP="00BF0283">
            <w:r>
              <w:t xml:space="preserve">SEMLEP showcase growth sectors include: </w:t>
            </w:r>
          </w:p>
          <w:p w14:paraId="7CEBCF94" w14:textId="77777777" w:rsidR="00BE7976" w:rsidRDefault="00BE7976" w:rsidP="00BF0283"/>
          <w:p w14:paraId="149D2644" w14:textId="77777777" w:rsidR="00BF0283" w:rsidRDefault="628497D1" w:rsidP="00BF0283">
            <w:pPr>
              <w:pStyle w:val="ListParagraph"/>
              <w:numPr>
                <w:ilvl w:val="0"/>
                <w:numId w:val="58"/>
              </w:numPr>
            </w:pPr>
            <w:r>
              <w:t>Manufacturing and Advanced Technology, including Food and Drink</w:t>
            </w:r>
          </w:p>
          <w:p w14:paraId="149D2645" w14:textId="77777777" w:rsidR="00BF0283" w:rsidRDefault="628497D1" w:rsidP="00BF0283">
            <w:pPr>
              <w:pStyle w:val="ListParagraph"/>
              <w:numPr>
                <w:ilvl w:val="0"/>
                <w:numId w:val="58"/>
              </w:numPr>
            </w:pPr>
            <w:r>
              <w:t>High performance technology, including Aerospace and Motorsport.</w:t>
            </w:r>
          </w:p>
          <w:p w14:paraId="149D2646" w14:textId="77777777" w:rsidR="00BF0283" w:rsidRDefault="628497D1" w:rsidP="00BF0283">
            <w:pPr>
              <w:pStyle w:val="ListParagraph"/>
              <w:numPr>
                <w:ilvl w:val="0"/>
                <w:numId w:val="58"/>
              </w:numPr>
            </w:pPr>
            <w:r>
              <w:t>Arts, Heritage, Sports, Visitor Economy, Cultural and Creative</w:t>
            </w:r>
          </w:p>
          <w:p w14:paraId="149D2647" w14:textId="77777777" w:rsidR="00BF0283" w:rsidRDefault="628497D1" w:rsidP="00BF0283">
            <w:pPr>
              <w:pStyle w:val="ListParagraph"/>
              <w:numPr>
                <w:ilvl w:val="0"/>
                <w:numId w:val="58"/>
              </w:numPr>
            </w:pPr>
            <w:r>
              <w:t>Logistics and its supply chain</w:t>
            </w:r>
          </w:p>
          <w:p w14:paraId="149D2648" w14:textId="77777777" w:rsidR="00BF0283" w:rsidRDefault="00BF0283" w:rsidP="00565987"/>
          <w:p w14:paraId="149D2649" w14:textId="45A9173B" w:rsidR="003764A5" w:rsidRDefault="628497D1" w:rsidP="003764A5">
            <w:pPr>
              <w:ind w:right="113"/>
              <w:rPr>
                <w:rFonts w:cs="Arial"/>
                <w:color w:val="000000" w:themeColor="text1"/>
              </w:rPr>
            </w:pPr>
            <w:r w:rsidRPr="628497D1">
              <w:rPr>
                <w:rFonts w:eastAsia="Arial" w:cs="Arial"/>
                <w:color w:val="000000" w:themeColor="text1"/>
              </w:rPr>
              <w:lastRenderedPageBreak/>
              <w:t>The Services must promote and support the take-up of apprenticeships at all levels, by individuals of all ages and particularly within SEMLEP’s Showcase Growth Sectors. The delivery of the Services should lead to an increase in apprenticeships at all levels, particularly focusing on those employers that have not offered apprenticeship previously.</w:t>
            </w:r>
          </w:p>
          <w:p w14:paraId="149D264A" w14:textId="77777777" w:rsidR="00F941C3" w:rsidRDefault="00F941C3" w:rsidP="003764A5">
            <w:pPr>
              <w:ind w:right="113"/>
              <w:rPr>
                <w:rFonts w:cs="Arial"/>
                <w:color w:val="000000" w:themeColor="text1"/>
              </w:rPr>
            </w:pPr>
          </w:p>
          <w:p w14:paraId="149D264B" w14:textId="77777777" w:rsidR="00F941C3" w:rsidRDefault="628497D1" w:rsidP="00F941C3">
            <w:pPr>
              <w:autoSpaceDE w:val="0"/>
              <w:autoSpaceDN w:val="0"/>
              <w:adjustRightInd w:val="0"/>
              <w:rPr>
                <w:szCs w:val="20"/>
              </w:rPr>
            </w:pPr>
            <w:r>
              <w:t xml:space="preserve">The Services must focus on two key activities: </w:t>
            </w:r>
          </w:p>
          <w:p w14:paraId="149D264C" w14:textId="77777777" w:rsidR="00F941C3" w:rsidRDefault="00F941C3" w:rsidP="00F941C3">
            <w:pPr>
              <w:autoSpaceDE w:val="0"/>
              <w:autoSpaceDN w:val="0"/>
              <w:adjustRightInd w:val="0"/>
              <w:rPr>
                <w:szCs w:val="20"/>
              </w:rPr>
            </w:pPr>
          </w:p>
          <w:p w14:paraId="149D264D" w14:textId="77777777" w:rsidR="00F941C3" w:rsidRPr="00565987" w:rsidRDefault="628497D1" w:rsidP="628497D1">
            <w:pPr>
              <w:pStyle w:val="ListParagraph"/>
              <w:numPr>
                <w:ilvl w:val="0"/>
                <w:numId w:val="62"/>
              </w:numPr>
              <w:autoSpaceDE w:val="0"/>
              <w:autoSpaceDN w:val="0"/>
              <w:adjustRightInd w:val="0"/>
            </w:pPr>
            <w:r>
              <w:t>Impartial Support for SMEs (including the voluntary sector) to increase apprenticeships at all levels. Support will include expanding the local capacity of providers and impartial support for employers to create additional opportunities, as well as coaching individuals to apply and successfully access an apprenticeship</w:t>
            </w:r>
          </w:p>
          <w:p w14:paraId="149D264E" w14:textId="77777777" w:rsidR="00F941C3" w:rsidRDefault="00F941C3" w:rsidP="00F941C3">
            <w:pPr>
              <w:pStyle w:val="ListParagraph"/>
              <w:autoSpaceDE w:val="0"/>
              <w:autoSpaceDN w:val="0"/>
              <w:adjustRightInd w:val="0"/>
              <w:rPr>
                <w:szCs w:val="20"/>
              </w:rPr>
            </w:pPr>
          </w:p>
          <w:p w14:paraId="149D264F" w14:textId="77777777" w:rsidR="00F941C3" w:rsidRPr="00565987" w:rsidRDefault="628497D1" w:rsidP="628497D1">
            <w:pPr>
              <w:pStyle w:val="ListParagraph"/>
              <w:numPr>
                <w:ilvl w:val="0"/>
                <w:numId w:val="62"/>
              </w:numPr>
              <w:ind w:right="113"/>
            </w:pPr>
            <w:r>
              <w:t>Higher Level Apprenticeships programme including the promotional activities to students and employers; employers’ engagement to facilitate higher level skills brokerage; increase  piloting new models of STEM activity and apprenticeships delivery for employers who wish to develop more bespoke programmes offering progression routes to degree-equivalent qualifications; supporting graduates and undergraduates placements and work tasters to gain high quality work experience with local organisations</w:t>
            </w:r>
          </w:p>
          <w:p w14:paraId="149D2650" w14:textId="77777777" w:rsidR="00F941C3" w:rsidRDefault="00F941C3" w:rsidP="00F941C3">
            <w:pPr>
              <w:ind w:right="113"/>
              <w:rPr>
                <w:szCs w:val="20"/>
              </w:rPr>
            </w:pPr>
          </w:p>
          <w:p w14:paraId="149D2651" w14:textId="77777777" w:rsidR="00F941C3" w:rsidRPr="00565987" w:rsidRDefault="628497D1" w:rsidP="00F941C3">
            <w:pPr>
              <w:ind w:right="113"/>
              <w:rPr>
                <w:rFonts w:cs="Arial"/>
                <w:color w:val="000000" w:themeColor="text1"/>
              </w:rPr>
            </w:pPr>
            <w:r w:rsidRPr="628497D1">
              <w:rPr>
                <w:rFonts w:ascii="Helvetica 45" w:eastAsia="Helvetica 45" w:hAnsi="Helvetica 45" w:cs="Helvetica 45"/>
                <w:color w:val="000000" w:themeColor="text1"/>
              </w:rPr>
              <w:t>The successful Candidate must work with other training providers to help expand the provision of higher level apprenticeships and source specialist provision where required.</w:t>
            </w:r>
          </w:p>
          <w:p w14:paraId="149D2652" w14:textId="77777777" w:rsidR="003764A5" w:rsidRPr="00565987" w:rsidRDefault="003764A5" w:rsidP="003764A5">
            <w:pPr>
              <w:rPr>
                <w:rFonts w:cs="Arial"/>
              </w:rPr>
            </w:pPr>
          </w:p>
          <w:p w14:paraId="149D2653" w14:textId="77777777" w:rsidR="00F941C3" w:rsidRPr="00852F8B" w:rsidRDefault="628497D1" w:rsidP="00F941C3">
            <w:pPr>
              <w:tabs>
                <w:tab w:val="left" w:pos="765"/>
              </w:tabs>
              <w:rPr>
                <w:rFonts w:cs="Arial"/>
                <w:color w:val="000000" w:themeColor="text1"/>
                <w:szCs w:val="22"/>
              </w:rPr>
            </w:pPr>
            <w:r w:rsidRPr="628497D1">
              <w:rPr>
                <w:rFonts w:eastAsia="Arial" w:cs="Arial"/>
              </w:rPr>
              <w:t xml:space="preserve">The Services must operate as part of the Velocity Growth Hub, offering employers a single point of contact providing impartial advice on apprenticeships including apprenticeship reforms and changes to funding.  </w:t>
            </w:r>
          </w:p>
          <w:p w14:paraId="149D2655" w14:textId="77777777" w:rsidR="003764A5" w:rsidRPr="00565987" w:rsidRDefault="003764A5" w:rsidP="003764A5">
            <w:pPr>
              <w:rPr>
                <w:rFonts w:cs="Arial"/>
              </w:rPr>
            </w:pPr>
          </w:p>
          <w:p w14:paraId="149D2656" w14:textId="77777777" w:rsidR="003764A5" w:rsidRPr="00565987" w:rsidRDefault="628497D1" w:rsidP="003764A5">
            <w:pPr>
              <w:rPr>
                <w:rFonts w:cs="Arial"/>
              </w:rPr>
            </w:pPr>
            <w:r w:rsidRPr="628497D1">
              <w:rPr>
                <w:rFonts w:eastAsia="Arial" w:cs="Arial"/>
              </w:rPr>
              <w:t xml:space="preserve">The Services must provide an enhanced impartial brokerage service to businesses to enable employers to simplify recruitment of apprentices.  </w:t>
            </w:r>
          </w:p>
          <w:p w14:paraId="149D2657" w14:textId="77777777" w:rsidR="003764A5" w:rsidRPr="00565987" w:rsidRDefault="003764A5" w:rsidP="003764A5">
            <w:pPr>
              <w:rPr>
                <w:rFonts w:cs="Arial"/>
              </w:rPr>
            </w:pPr>
          </w:p>
          <w:p w14:paraId="149D2658" w14:textId="77777777" w:rsidR="003764A5" w:rsidRPr="00565987" w:rsidRDefault="628497D1" w:rsidP="003764A5">
            <w:pPr>
              <w:rPr>
                <w:rFonts w:cs="Arial"/>
              </w:rPr>
            </w:pPr>
            <w:r w:rsidRPr="628497D1">
              <w:rPr>
                <w:rFonts w:eastAsia="Arial" w:cs="Arial"/>
              </w:rPr>
              <w:t>The Services must provide apprenticeship advisers to provide one-to-one support to employers and who will work with local apprenticeship ambassadors and the National Apprenticeship Service.</w:t>
            </w:r>
          </w:p>
          <w:p w14:paraId="149D2659" w14:textId="77777777" w:rsidR="003764A5" w:rsidRPr="00565987" w:rsidRDefault="003764A5" w:rsidP="003764A5">
            <w:pPr>
              <w:rPr>
                <w:rFonts w:cs="Arial"/>
              </w:rPr>
            </w:pPr>
          </w:p>
          <w:p w14:paraId="149D265A" w14:textId="77777777" w:rsidR="003764A5" w:rsidRPr="00565987" w:rsidRDefault="628497D1" w:rsidP="003764A5">
            <w:pPr>
              <w:rPr>
                <w:rFonts w:cs="Arial"/>
              </w:rPr>
            </w:pPr>
            <w:r w:rsidRPr="628497D1">
              <w:rPr>
                <w:rFonts w:eastAsia="Arial" w:cs="Arial"/>
              </w:rPr>
              <w:t>The Services must provide business engagement support which includes identifying employers who can offer apprenticeship vacancies and brokerage support to ensure a successful recruitment outcome for those unemployed individuals who require advanced or higher level skills.  This support may also extend to helping employers to progress existing apprentices/employees onto new Higher and Degree Apprenticeships.</w:t>
            </w:r>
          </w:p>
          <w:p w14:paraId="149D265B" w14:textId="77777777" w:rsidR="003764A5" w:rsidRPr="00565987" w:rsidRDefault="003764A5" w:rsidP="003764A5">
            <w:pPr>
              <w:rPr>
                <w:rFonts w:cs="Arial"/>
              </w:rPr>
            </w:pPr>
          </w:p>
          <w:p w14:paraId="149D265C" w14:textId="77777777" w:rsidR="003764A5" w:rsidRPr="00565987" w:rsidRDefault="628497D1" w:rsidP="003764A5">
            <w:pPr>
              <w:rPr>
                <w:rFonts w:cs="Arial"/>
              </w:rPr>
            </w:pPr>
            <w:r w:rsidRPr="628497D1">
              <w:rPr>
                <w:rFonts w:eastAsia="Arial" w:cs="Arial"/>
              </w:rPr>
              <w:t>The Services must offer a central co-ordinated training delivery matching service that will identify employer training needs and will match apprenticeship training opportunities to business needs.</w:t>
            </w:r>
          </w:p>
          <w:p w14:paraId="149D265D" w14:textId="77777777" w:rsidR="003764A5" w:rsidRPr="00565987" w:rsidRDefault="003764A5" w:rsidP="003764A5">
            <w:pPr>
              <w:rPr>
                <w:rFonts w:cs="Arial"/>
              </w:rPr>
            </w:pPr>
          </w:p>
          <w:p w14:paraId="149D265E" w14:textId="77777777" w:rsidR="003764A5" w:rsidRDefault="628497D1" w:rsidP="003764A5">
            <w:pPr>
              <w:rPr>
                <w:rFonts w:cs="Arial"/>
              </w:rPr>
            </w:pPr>
            <w:r w:rsidRPr="628497D1">
              <w:rPr>
                <w:rFonts w:eastAsia="Arial" w:cs="Arial"/>
              </w:rPr>
              <w:t>The Services must raise the profile of employer vacancies and provide employer recruitment support including application screening, short-listing and brokering the employer and training provider relationship.</w:t>
            </w:r>
          </w:p>
          <w:p w14:paraId="149D265F" w14:textId="77777777" w:rsidR="00F941C3" w:rsidRDefault="00F941C3" w:rsidP="003764A5">
            <w:pPr>
              <w:rPr>
                <w:rFonts w:cs="Arial"/>
              </w:rPr>
            </w:pPr>
          </w:p>
          <w:p w14:paraId="149D2660" w14:textId="77777777" w:rsidR="00F941C3" w:rsidRPr="00565987" w:rsidRDefault="628497D1" w:rsidP="003764A5">
            <w:pPr>
              <w:rPr>
                <w:rFonts w:cs="Arial"/>
              </w:rPr>
            </w:pPr>
            <w:r w:rsidRPr="628497D1">
              <w:rPr>
                <w:rFonts w:eastAsia="Arial" w:cs="Arial"/>
                <w:color w:val="000000" w:themeColor="text1"/>
              </w:rPr>
              <w:lastRenderedPageBreak/>
              <w:t>There  must be an individual learner assessment and make use of context-specific screener tools to ensure any individual barriers are identified and supported where possible, for example, in regard to literacy, numeracy and digital ICT skills</w:t>
            </w:r>
          </w:p>
          <w:p w14:paraId="149D2661" w14:textId="77777777" w:rsidR="003764A5" w:rsidRPr="00565987" w:rsidRDefault="003764A5" w:rsidP="003764A5">
            <w:pPr>
              <w:rPr>
                <w:rFonts w:cs="Arial"/>
              </w:rPr>
            </w:pPr>
          </w:p>
          <w:p w14:paraId="149D2662" w14:textId="77777777" w:rsidR="003764A5" w:rsidRPr="00565987" w:rsidRDefault="628497D1" w:rsidP="003764A5">
            <w:pPr>
              <w:rPr>
                <w:rFonts w:cs="Arial"/>
              </w:rPr>
            </w:pPr>
            <w:r w:rsidRPr="628497D1">
              <w:rPr>
                <w:rFonts w:eastAsia="Arial" w:cs="Arial"/>
              </w:rPr>
              <w:t>The Services must deliver additional training to complement existing Apprenticeship Frameworks and develop effective progression routes for Apprenticeships, in particular from Level 2 to Level 3.  The Services must support vocational progression routes to Higher Education and increase the numbers of Higher and Degree apprentices in the area, highlighting the career opportunities available including progression to Higher and Degree apprenticeships</w:t>
            </w:r>
          </w:p>
          <w:p w14:paraId="149D2663" w14:textId="77777777" w:rsidR="003764A5" w:rsidRPr="00565987" w:rsidRDefault="003764A5" w:rsidP="003764A5">
            <w:pPr>
              <w:rPr>
                <w:rFonts w:cs="Arial"/>
              </w:rPr>
            </w:pPr>
          </w:p>
          <w:p w14:paraId="149D2664" w14:textId="77777777" w:rsidR="003764A5" w:rsidRPr="00565987" w:rsidRDefault="628497D1" w:rsidP="003764A5">
            <w:pPr>
              <w:rPr>
                <w:rFonts w:cs="Arial"/>
              </w:rPr>
            </w:pPr>
            <w:r w:rsidRPr="628497D1">
              <w:rPr>
                <w:rFonts w:eastAsia="Arial" w:cs="Arial"/>
              </w:rPr>
              <w:t>The Services must provide intensive application support to individuals to increase the number of quality applications submitted to employers.  The Services must support individuals to complete high quality and robust applications for apprenticeship opportunities and provide interview and recruitment coaching as required.</w:t>
            </w:r>
          </w:p>
          <w:p w14:paraId="149D2665" w14:textId="77777777" w:rsidR="003764A5" w:rsidRPr="00565987" w:rsidRDefault="003764A5" w:rsidP="003764A5">
            <w:pPr>
              <w:rPr>
                <w:rFonts w:cs="Arial"/>
              </w:rPr>
            </w:pPr>
          </w:p>
          <w:p w14:paraId="149D2666" w14:textId="77777777" w:rsidR="003764A5" w:rsidRPr="00565987" w:rsidRDefault="628497D1" w:rsidP="003764A5">
            <w:pPr>
              <w:ind w:right="113"/>
              <w:rPr>
                <w:rFonts w:cs="Arial"/>
                <w:color w:val="000000" w:themeColor="text1"/>
              </w:rPr>
            </w:pPr>
            <w:r w:rsidRPr="628497D1">
              <w:rPr>
                <w:rFonts w:eastAsia="Arial" w:cs="Arial"/>
                <w:color w:val="000000" w:themeColor="text1"/>
              </w:rPr>
              <w:t xml:space="preserve">The Services must be delivered as part of the SEMLEP Velocity Growth Hub, in conjunction with employers and key education and training stakeholders to design and deliver innovative mechanisms and interventions that will lift barriers to individuals and employers participating in apprenticeships.  </w:t>
            </w:r>
          </w:p>
          <w:p w14:paraId="149D2667" w14:textId="77777777" w:rsidR="003764A5" w:rsidRPr="00565987" w:rsidRDefault="003764A5" w:rsidP="003764A5">
            <w:pPr>
              <w:pStyle w:val="ListParagraph"/>
              <w:ind w:left="0" w:right="113"/>
              <w:rPr>
                <w:rFonts w:cs="Arial"/>
                <w:color w:val="000000" w:themeColor="text1"/>
                <w:szCs w:val="22"/>
              </w:rPr>
            </w:pPr>
          </w:p>
          <w:p w14:paraId="149D2668" w14:textId="77777777" w:rsidR="004267F1" w:rsidRPr="00FB7DC5" w:rsidRDefault="628497D1" w:rsidP="003764A5">
            <w:pPr>
              <w:pStyle w:val="ListParagraph"/>
              <w:ind w:left="0" w:right="113"/>
              <w:rPr>
                <w:rFonts w:cs="Arial"/>
                <w:color w:val="000000" w:themeColor="text1"/>
                <w:szCs w:val="22"/>
              </w:rPr>
            </w:pPr>
            <w:r w:rsidRPr="628497D1">
              <w:rPr>
                <w:rFonts w:eastAsia="Arial" w:cs="Arial"/>
                <w:color w:val="000000" w:themeColor="text1"/>
              </w:rPr>
              <w:t>The successful Candidate must work with organisations undertaking similar and complementary support and delivery activities, including the National Apprenticeship Service within the Skills Funding Agency and National Careers Service providers to reduce duplication, share good practice, ensure added value and contribute to a seamless and integrated delivery infrastructure.</w:t>
            </w:r>
          </w:p>
          <w:p w14:paraId="149D2669" w14:textId="77777777" w:rsidR="00FB7DC5" w:rsidRDefault="00FB7DC5" w:rsidP="004267F1">
            <w:pPr>
              <w:rPr>
                <w:rFonts w:cs="Arial"/>
                <w:b/>
              </w:rPr>
            </w:pPr>
          </w:p>
          <w:p w14:paraId="38D226BC" w14:textId="414E3737" w:rsidR="00BE7976" w:rsidRDefault="00BE7976" w:rsidP="004267F1">
            <w:pPr>
              <w:rPr>
                <w:rFonts w:cs="Arial"/>
                <w:b/>
              </w:rPr>
            </w:pPr>
          </w:p>
          <w:p w14:paraId="18604BF2" w14:textId="77777777" w:rsidR="00BE7976" w:rsidRDefault="00BE7976" w:rsidP="004267F1">
            <w:pPr>
              <w:rPr>
                <w:rFonts w:cs="Arial"/>
                <w:b/>
              </w:rPr>
            </w:pPr>
          </w:p>
          <w:p w14:paraId="1A8DAF4F" w14:textId="77777777" w:rsidR="00D45F33" w:rsidRDefault="00D45F33" w:rsidP="00B46D6D">
            <w:pPr>
              <w:rPr>
                <w:rFonts w:eastAsia="Arial" w:cs="Arial"/>
                <w:b/>
                <w:bCs/>
              </w:rPr>
            </w:pPr>
          </w:p>
          <w:p w14:paraId="149D266A" w14:textId="26A5926B" w:rsidR="004267F1" w:rsidRPr="007121E9" w:rsidRDefault="628497D1" w:rsidP="00B46D6D">
            <w:pPr>
              <w:rPr>
                <w:rFonts w:cs="Arial"/>
                <w:b/>
              </w:rPr>
            </w:pPr>
            <w:r w:rsidRPr="628497D1">
              <w:rPr>
                <w:rFonts w:eastAsia="Arial" w:cs="Arial"/>
                <w:b/>
                <w:bCs/>
              </w:rPr>
              <w:t>Skills Support for Redundancy</w:t>
            </w:r>
            <w:r w:rsidR="00D45F33">
              <w:rPr>
                <w:rFonts w:eastAsia="Arial" w:cs="Arial"/>
                <w:b/>
                <w:bCs/>
              </w:rPr>
              <w:t xml:space="preserve"> (Lot 2)</w:t>
            </w:r>
          </w:p>
          <w:p w14:paraId="149D266B" w14:textId="77777777" w:rsidR="004267F1" w:rsidRPr="0044287C" w:rsidRDefault="004267F1" w:rsidP="004267F1">
            <w:pPr>
              <w:ind w:right="-82"/>
              <w:rPr>
                <w:rFonts w:cs="Arial"/>
              </w:rPr>
            </w:pPr>
          </w:p>
          <w:p w14:paraId="149D266C" w14:textId="77777777" w:rsidR="003764A5" w:rsidRDefault="628497D1" w:rsidP="003764A5">
            <w:pPr>
              <w:autoSpaceDE w:val="0"/>
              <w:autoSpaceDN w:val="0"/>
              <w:adjustRightInd w:val="0"/>
              <w:rPr>
                <w:rFonts w:cs="Arial"/>
                <w:bCs/>
                <w:lang w:eastAsia="en-GB"/>
              </w:rPr>
            </w:pPr>
            <w:r w:rsidRPr="628497D1">
              <w:rPr>
                <w:rFonts w:eastAsia="Arial" w:cs="Arial"/>
                <w:lang w:eastAsia="en-GB"/>
              </w:rPr>
              <w:t>The Service must provide bespoke support to businesses which are undergoing industrial restructuring by providing skills and employability support for their employees at risk of redundancy</w:t>
            </w:r>
          </w:p>
          <w:p w14:paraId="149D266D" w14:textId="77777777" w:rsidR="00F941C3" w:rsidRDefault="00F941C3" w:rsidP="003764A5">
            <w:pPr>
              <w:autoSpaceDE w:val="0"/>
              <w:autoSpaceDN w:val="0"/>
              <w:adjustRightInd w:val="0"/>
              <w:rPr>
                <w:rFonts w:cs="Arial"/>
                <w:bCs/>
                <w:lang w:eastAsia="en-GB"/>
              </w:rPr>
            </w:pPr>
          </w:p>
          <w:p w14:paraId="149D266E" w14:textId="77777777" w:rsidR="00F941C3" w:rsidRDefault="628497D1" w:rsidP="00F941C3">
            <w:pPr>
              <w:pStyle w:val="ListParagraph"/>
              <w:ind w:left="0" w:right="113"/>
              <w:rPr>
                <w:rFonts w:cs="Arial"/>
                <w:color w:val="000000" w:themeColor="text1"/>
                <w:szCs w:val="22"/>
              </w:rPr>
            </w:pPr>
            <w:r w:rsidRPr="628497D1">
              <w:rPr>
                <w:rFonts w:eastAsia="Arial" w:cs="Arial"/>
                <w:color w:val="000000" w:themeColor="text1"/>
              </w:rPr>
              <w:t>The Services must be responsive to enable provision to be tailored to meet the needs as identified in the SMELEP 2015 Business Survey and other local and national evidence. http://www.semlep.com/resource-hub/</w:t>
            </w:r>
          </w:p>
          <w:p w14:paraId="149D266F" w14:textId="77777777" w:rsidR="003764A5" w:rsidRPr="00565987" w:rsidRDefault="003764A5" w:rsidP="003764A5">
            <w:pPr>
              <w:autoSpaceDE w:val="0"/>
              <w:autoSpaceDN w:val="0"/>
              <w:adjustRightInd w:val="0"/>
              <w:rPr>
                <w:rFonts w:cs="Arial"/>
                <w:bCs/>
                <w:lang w:eastAsia="en-GB"/>
              </w:rPr>
            </w:pPr>
          </w:p>
          <w:p w14:paraId="149D2670" w14:textId="77777777" w:rsidR="003764A5" w:rsidRPr="00565987" w:rsidRDefault="628497D1" w:rsidP="003764A5">
            <w:pPr>
              <w:autoSpaceDE w:val="0"/>
              <w:autoSpaceDN w:val="0"/>
              <w:adjustRightInd w:val="0"/>
              <w:rPr>
                <w:rFonts w:cs="Arial"/>
                <w:bCs/>
                <w:lang w:eastAsia="en-GB"/>
              </w:rPr>
            </w:pPr>
            <w:r w:rsidRPr="628497D1">
              <w:rPr>
                <w:rFonts w:eastAsia="Arial" w:cs="Arial"/>
                <w:lang w:eastAsia="en-GB"/>
              </w:rPr>
              <w:t xml:space="preserve">The Services must support newly unemployed individuals where initial contact through previous employers has not been possible.  </w:t>
            </w:r>
          </w:p>
          <w:p w14:paraId="149D2671" w14:textId="77777777" w:rsidR="003764A5" w:rsidRPr="00565987" w:rsidRDefault="003764A5" w:rsidP="003764A5">
            <w:pPr>
              <w:autoSpaceDE w:val="0"/>
              <w:autoSpaceDN w:val="0"/>
              <w:adjustRightInd w:val="0"/>
              <w:rPr>
                <w:rFonts w:cs="Arial"/>
                <w:bCs/>
                <w:lang w:eastAsia="en-GB"/>
              </w:rPr>
            </w:pPr>
          </w:p>
          <w:p w14:paraId="149D2672" w14:textId="77777777" w:rsidR="003764A5" w:rsidRPr="00565987" w:rsidRDefault="628497D1" w:rsidP="003764A5">
            <w:pPr>
              <w:autoSpaceDE w:val="0"/>
              <w:autoSpaceDN w:val="0"/>
              <w:adjustRightInd w:val="0"/>
              <w:rPr>
                <w:rFonts w:cs="Arial"/>
                <w:bCs/>
                <w:lang w:eastAsia="en-GB"/>
              </w:rPr>
            </w:pPr>
            <w:r w:rsidRPr="628497D1">
              <w:rPr>
                <w:rFonts w:eastAsia="Arial" w:cs="Arial"/>
                <w:lang w:eastAsia="en-GB"/>
              </w:rPr>
              <w:t>The Services should support the retention and retraining of skills workers within the locality particularly within the SEMLEP’s priority sectors.</w:t>
            </w:r>
          </w:p>
          <w:p w14:paraId="149D2673" w14:textId="77777777" w:rsidR="003764A5" w:rsidRPr="00565987" w:rsidRDefault="003764A5" w:rsidP="003764A5">
            <w:pPr>
              <w:autoSpaceDE w:val="0"/>
              <w:autoSpaceDN w:val="0"/>
              <w:adjustRightInd w:val="0"/>
              <w:rPr>
                <w:rFonts w:cs="Arial"/>
                <w:bCs/>
                <w:lang w:eastAsia="en-GB"/>
              </w:rPr>
            </w:pPr>
          </w:p>
          <w:p w14:paraId="149D2674" w14:textId="77777777" w:rsidR="003764A5" w:rsidRDefault="628497D1" w:rsidP="003764A5">
            <w:pPr>
              <w:autoSpaceDE w:val="0"/>
              <w:autoSpaceDN w:val="0"/>
              <w:adjustRightInd w:val="0"/>
              <w:rPr>
                <w:rFonts w:cs="Arial"/>
                <w:bCs/>
                <w:lang w:eastAsia="en-GB"/>
              </w:rPr>
            </w:pPr>
            <w:r w:rsidRPr="628497D1">
              <w:rPr>
                <w:rFonts w:eastAsia="Arial" w:cs="Arial"/>
                <w:lang w:eastAsia="en-GB"/>
              </w:rPr>
              <w:t>The Services must support Employees facing redundancy to remain in the labour market by providing them with the enhanced skills to make them competitive.</w:t>
            </w:r>
          </w:p>
          <w:p w14:paraId="149D2675" w14:textId="77777777" w:rsidR="00F941C3" w:rsidRDefault="00F941C3" w:rsidP="003764A5">
            <w:pPr>
              <w:autoSpaceDE w:val="0"/>
              <w:autoSpaceDN w:val="0"/>
              <w:adjustRightInd w:val="0"/>
              <w:rPr>
                <w:rFonts w:cs="Arial"/>
                <w:bCs/>
                <w:lang w:eastAsia="en-GB"/>
              </w:rPr>
            </w:pPr>
          </w:p>
          <w:p w14:paraId="149D2676" w14:textId="77777777" w:rsidR="00F941C3" w:rsidRDefault="628497D1" w:rsidP="00F941C3">
            <w:pPr>
              <w:pStyle w:val="ListParagraph"/>
              <w:ind w:left="0" w:right="113"/>
              <w:rPr>
                <w:rFonts w:cs="Arial"/>
                <w:color w:val="000000" w:themeColor="text1"/>
                <w:szCs w:val="22"/>
              </w:rPr>
            </w:pPr>
            <w:r w:rsidRPr="628497D1">
              <w:rPr>
                <w:rFonts w:eastAsia="Arial" w:cs="Arial"/>
                <w:color w:val="000000" w:themeColor="text1"/>
              </w:rPr>
              <w:lastRenderedPageBreak/>
              <w:t>The Services must provide a flexible approach to those individuals at risk of redundancy or recently (0-3 months) made redundant.  It will focus on information, advice and guidance, employment and careers coaching, job-brokerage and targeted skills-based interventions.</w:t>
            </w:r>
          </w:p>
          <w:p w14:paraId="149D2677" w14:textId="77777777" w:rsidR="00F941C3" w:rsidRDefault="00F941C3" w:rsidP="00F941C3">
            <w:pPr>
              <w:pStyle w:val="ListParagraph"/>
              <w:ind w:left="0" w:right="113"/>
              <w:rPr>
                <w:rFonts w:cs="Arial"/>
                <w:color w:val="000000" w:themeColor="text1"/>
                <w:szCs w:val="22"/>
              </w:rPr>
            </w:pPr>
          </w:p>
          <w:p w14:paraId="149D2678" w14:textId="77777777" w:rsidR="00F941C3" w:rsidRDefault="628497D1" w:rsidP="00F941C3">
            <w:pPr>
              <w:autoSpaceDE w:val="0"/>
              <w:autoSpaceDN w:val="0"/>
              <w:adjustRightInd w:val="0"/>
              <w:rPr>
                <w:rFonts w:cs="Arial"/>
                <w:bCs/>
                <w:lang w:eastAsia="en-GB"/>
              </w:rPr>
            </w:pPr>
            <w:r w:rsidRPr="628497D1">
              <w:rPr>
                <w:rFonts w:eastAsia="Arial" w:cs="Arial"/>
                <w:lang w:eastAsia="en-GB"/>
              </w:rPr>
              <w:t>The Services must be able to respond quickly to announcements of redundancies.  The successful Candidate will be required to attend meetings, including any arranged by BIS Local, with the relevant employers and/or trade unions to respond to major redundancies.  Where required the Services will be expected to support a ‘task force’ to address the major redundancy and define and subsequently support those being made redundant.</w:t>
            </w:r>
          </w:p>
          <w:p w14:paraId="149D2679" w14:textId="77777777" w:rsidR="00F941C3" w:rsidRDefault="00F941C3" w:rsidP="00F941C3">
            <w:pPr>
              <w:autoSpaceDE w:val="0"/>
              <w:autoSpaceDN w:val="0"/>
              <w:adjustRightInd w:val="0"/>
              <w:rPr>
                <w:rFonts w:cs="Arial"/>
                <w:bCs/>
                <w:lang w:eastAsia="en-GB"/>
              </w:rPr>
            </w:pPr>
          </w:p>
          <w:p w14:paraId="149D267A" w14:textId="38EEC85F" w:rsidR="00F941C3" w:rsidRPr="00BA07AE" w:rsidRDefault="628497D1" w:rsidP="00F941C3">
            <w:pPr>
              <w:autoSpaceDE w:val="0"/>
              <w:autoSpaceDN w:val="0"/>
              <w:adjustRightInd w:val="0"/>
              <w:rPr>
                <w:rFonts w:cs="Arial"/>
                <w:bCs/>
                <w:lang w:eastAsia="en-GB"/>
              </w:rPr>
            </w:pPr>
            <w:r w:rsidRPr="628497D1">
              <w:rPr>
                <w:rFonts w:eastAsia="Arial" w:cs="Arial"/>
                <w:color w:val="000000" w:themeColor="text1"/>
              </w:rPr>
              <w:t>Redundancy support will be responsive, flexible and able to respond quickly to employers as and when required. This may include drawing on good practice examples of delivery models being implemented in other areas of the UK</w:t>
            </w:r>
          </w:p>
          <w:p w14:paraId="149D267B" w14:textId="77777777" w:rsidR="00F941C3" w:rsidRPr="00BA07AE" w:rsidRDefault="00F941C3" w:rsidP="00F941C3">
            <w:pPr>
              <w:autoSpaceDE w:val="0"/>
              <w:autoSpaceDN w:val="0"/>
              <w:adjustRightInd w:val="0"/>
              <w:rPr>
                <w:rFonts w:cs="Arial"/>
                <w:bCs/>
                <w:lang w:eastAsia="en-GB"/>
              </w:rPr>
            </w:pPr>
          </w:p>
          <w:p w14:paraId="149D267E" w14:textId="77777777" w:rsidR="003764A5" w:rsidRPr="00565987" w:rsidRDefault="628497D1" w:rsidP="003764A5">
            <w:pPr>
              <w:autoSpaceDE w:val="0"/>
              <w:autoSpaceDN w:val="0"/>
              <w:adjustRightInd w:val="0"/>
              <w:rPr>
                <w:rFonts w:cs="Arial"/>
                <w:bCs/>
                <w:lang w:eastAsia="en-GB"/>
              </w:rPr>
            </w:pPr>
            <w:r w:rsidRPr="628497D1">
              <w:rPr>
                <w:rFonts w:eastAsia="Arial" w:cs="Arial"/>
                <w:lang w:eastAsia="en-GB"/>
              </w:rPr>
              <w:t xml:space="preserve">There must be an assessment of the generic employability skills which Employees will require to successfully obtain alternative employment within the local labour market.  </w:t>
            </w:r>
          </w:p>
          <w:p w14:paraId="149D267F" w14:textId="77777777" w:rsidR="003764A5" w:rsidRPr="00565987" w:rsidRDefault="003764A5" w:rsidP="003764A5">
            <w:pPr>
              <w:autoSpaceDE w:val="0"/>
              <w:autoSpaceDN w:val="0"/>
              <w:adjustRightInd w:val="0"/>
              <w:rPr>
                <w:rFonts w:cs="Arial"/>
                <w:bCs/>
                <w:lang w:eastAsia="en-GB"/>
              </w:rPr>
            </w:pPr>
          </w:p>
          <w:p w14:paraId="149D2680" w14:textId="77777777" w:rsidR="00F941C3" w:rsidRDefault="628497D1" w:rsidP="003764A5">
            <w:pPr>
              <w:autoSpaceDE w:val="0"/>
              <w:autoSpaceDN w:val="0"/>
              <w:adjustRightInd w:val="0"/>
              <w:rPr>
                <w:rFonts w:cs="Arial"/>
                <w:bCs/>
                <w:lang w:eastAsia="en-GB"/>
              </w:rPr>
            </w:pPr>
            <w:r w:rsidRPr="628497D1">
              <w:rPr>
                <w:rFonts w:eastAsia="Arial" w:cs="Arial"/>
                <w:color w:val="000000" w:themeColor="text1"/>
              </w:rPr>
              <w:t>There must be an individual learner assessment and make use of context-specific screener tools to ensure any individual barriers are identified and supported where possible, for example, in regard to literacy, numeracy and digital ICT skills</w:t>
            </w:r>
          </w:p>
          <w:p w14:paraId="149D2681" w14:textId="77777777" w:rsidR="00F941C3" w:rsidRDefault="00F941C3" w:rsidP="003764A5">
            <w:pPr>
              <w:autoSpaceDE w:val="0"/>
              <w:autoSpaceDN w:val="0"/>
              <w:adjustRightInd w:val="0"/>
              <w:rPr>
                <w:rFonts w:cs="Arial"/>
                <w:bCs/>
                <w:lang w:eastAsia="en-GB"/>
              </w:rPr>
            </w:pPr>
          </w:p>
          <w:p w14:paraId="149D2682" w14:textId="77777777" w:rsidR="003764A5" w:rsidRPr="00565987" w:rsidRDefault="628497D1" w:rsidP="003764A5">
            <w:pPr>
              <w:autoSpaceDE w:val="0"/>
              <w:autoSpaceDN w:val="0"/>
              <w:adjustRightInd w:val="0"/>
              <w:rPr>
                <w:rFonts w:cs="Arial"/>
                <w:bCs/>
                <w:lang w:eastAsia="en-GB"/>
              </w:rPr>
            </w:pPr>
            <w:r w:rsidRPr="628497D1">
              <w:rPr>
                <w:rFonts w:eastAsia="Arial" w:cs="Arial"/>
                <w:lang w:eastAsia="en-GB"/>
              </w:rPr>
              <w:t>The Services must provide targeted information advice and guidance (IAG) to ensure that the training opportunities are targeted at up-skilling or re-skilling individuals to improve their employment opportunities.</w:t>
            </w:r>
          </w:p>
          <w:p w14:paraId="149D2683" w14:textId="77777777" w:rsidR="003764A5" w:rsidRPr="00565987" w:rsidRDefault="003764A5" w:rsidP="003764A5">
            <w:pPr>
              <w:autoSpaceDE w:val="0"/>
              <w:autoSpaceDN w:val="0"/>
              <w:adjustRightInd w:val="0"/>
              <w:rPr>
                <w:rFonts w:cs="Arial"/>
                <w:bCs/>
                <w:lang w:eastAsia="en-GB"/>
              </w:rPr>
            </w:pPr>
          </w:p>
          <w:p w14:paraId="149D2684" w14:textId="77777777" w:rsidR="003764A5" w:rsidRPr="00565987" w:rsidRDefault="628497D1" w:rsidP="003764A5">
            <w:pPr>
              <w:autoSpaceDE w:val="0"/>
              <w:autoSpaceDN w:val="0"/>
              <w:adjustRightInd w:val="0"/>
              <w:rPr>
                <w:rFonts w:cs="Arial"/>
                <w:bCs/>
                <w:lang w:eastAsia="en-GB"/>
              </w:rPr>
            </w:pPr>
            <w:r w:rsidRPr="628497D1">
              <w:rPr>
                <w:rFonts w:eastAsia="Arial" w:cs="Arial"/>
                <w:lang w:eastAsia="en-GB"/>
              </w:rPr>
              <w:t>The Services must provide employment and careers coaching, mentoring, job brokerage along with re-skilling and up-skilling training support.  The Services should also provide self-employment support that reflects the needs of the employees being supported.</w:t>
            </w:r>
          </w:p>
          <w:p w14:paraId="149D2685" w14:textId="77777777" w:rsidR="003764A5" w:rsidRPr="00565987" w:rsidRDefault="003764A5" w:rsidP="003764A5">
            <w:pPr>
              <w:autoSpaceDE w:val="0"/>
              <w:autoSpaceDN w:val="0"/>
              <w:adjustRightInd w:val="0"/>
              <w:rPr>
                <w:rFonts w:cs="Arial"/>
                <w:bCs/>
                <w:lang w:eastAsia="en-GB"/>
              </w:rPr>
            </w:pPr>
          </w:p>
          <w:p w14:paraId="149D2686" w14:textId="77777777" w:rsidR="003764A5" w:rsidRPr="00565987" w:rsidRDefault="628497D1" w:rsidP="003764A5">
            <w:pPr>
              <w:autoSpaceDE w:val="0"/>
              <w:autoSpaceDN w:val="0"/>
              <w:adjustRightInd w:val="0"/>
              <w:rPr>
                <w:rFonts w:cs="Arial"/>
                <w:bCs/>
                <w:lang w:eastAsia="en-GB"/>
              </w:rPr>
            </w:pPr>
            <w:r w:rsidRPr="628497D1">
              <w:rPr>
                <w:rFonts w:eastAsia="Arial" w:cs="Arial"/>
                <w:lang w:eastAsia="en-GB"/>
              </w:rPr>
              <w:t xml:space="preserve">The Services must provide high quality bespoke training opportunities and skills interventions to employees at risk of redundancy to meet the needs of employers offering recruitment opportunities. Training should be provided which updates skills needed for a specific employment sector, including pre-employment training to provide skills to enter a different occupation or sector where required. </w:t>
            </w:r>
          </w:p>
          <w:p w14:paraId="149D2687" w14:textId="77777777" w:rsidR="003764A5" w:rsidRPr="00565987" w:rsidRDefault="003764A5" w:rsidP="003764A5">
            <w:pPr>
              <w:autoSpaceDE w:val="0"/>
              <w:autoSpaceDN w:val="0"/>
              <w:adjustRightInd w:val="0"/>
              <w:rPr>
                <w:rFonts w:cs="Arial"/>
                <w:bCs/>
                <w:lang w:eastAsia="en-GB"/>
              </w:rPr>
            </w:pPr>
          </w:p>
          <w:p w14:paraId="149D2688" w14:textId="77777777" w:rsidR="003764A5" w:rsidRPr="00565987" w:rsidRDefault="628497D1" w:rsidP="003764A5">
            <w:pPr>
              <w:autoSpaceDE w:val="0"/>
              <w:autoSpaceDN w:val="0"/>
              <w:adjustRightInd w:val="0"/>
              <w:rPr>
                <w:rFonts w:cs="Arial"/>
                <w:bCs/>
                <w:lang w:eastAsia="en-GB"/>
              </w:rPr>
            </w:pPr>
            <w:r w:rsidRPr="628497D1">
              <w:rPr>
                <w:rFonts w:eastAsia="Arial" w:cs="Arial"/>
                <w:lang w:eastAsia="en-GB"/>
              </w:rPr>
              <w:t>The Services must be delivered in conjunction with Jobcentre Plus, employment agencies and other local partners, ensuring that activities are closely aligned with other public and private sector investment programmes to optimise growth opportunities wherever possible.</w:t>
            </w:r>
          </w:p>
          <w:p w14:paraId="149D2689" w14:textId="77777777" w:rsidR="003764A5" w:rsidRPr="00565987" w:rsidRDefault="003764A5" w:rsidP="003764A5">
            <w:pPr>
              <w:autoSpaceDE w:val="0"/>
              <w:autoSpaceDN w:val="0"/>
              <w:adjustRightInd w:val="0"/>
              <w:rPr>
                <w:rFonts w:cs="Arial"/>
                <w:bCs/>
                <w:lang w:eastAsia="en-GB"/>
              </w:rPr>
            </w:pPr>
          </w:p>
          <w:p w14:paraId="149D268A" w14:textId="77777777" w:rsidR="003764A5" w:rsidRPr="00565987" w:rsidRDefault="628497D1" w:rsidP="003764A5">
            <w:pPr>
              <w:autoSpaceDE w:val="0"/>
              <w:autoSpaceDN w:val="0"/>
              <w:adjustRightInd w:val="0"/>
              <w:rPr>
                <w:rFonts w:cs="Arial"/>
                <w:bCs/>
                <w:lang w:eastAsia="en-GB"/>
              </w:rPr>
            </w:pPr>
            <w:r w:rsidRPr="628497D1">
              <w:rPr>
                <w:rFonts w:eastAsia="Arial" w:cs="Arial"/>
                <w:lang w:eastAsia="en-GB"/>
              </w:rPr>
              <w:t xml:space="preserve">The Services must support the retention of skills within the SEMLEP area, particularly specialist and high level skills, by providing a skills and vacancy matching facility that matches the transferable skills of at risk workers to vacancies in other companies or industries within the locality.  The vacancy matching facility will assess and diagnose employees existing skills and skills gaps in relation to employer requirements and/or opportunities for self-employment.  Individuals supported by the Services must be encouraged to engage with the vacancy matching facility.  </w:t>
            </w:r>
          </w:p>
          <w:p w14:paraId="149D268B" w14:textId="77777777" w:rsidR="003764A5" w:rsidRPr="00565987" w:rsidRDefault="003764A5" w:rsidP="003764A5">
            <w:pPr>
              <w:autoSpaceDE w:val="0"/>
              <w:autoSpaceDN w:val="0"/>
              <w:adjustRightInd w:val="0"/>
              <w:rPr>
                <w:rFonts w:cs="Arial"/>
                <w:bCs/>
                <w:lang w:eastAsia="en-GB"/>
              </w:rPr>
            </w:pPr>
          </w:p>
          <w:p w14:paraId="149D268C" w14:textId="77777777" w:rsidR="003764A5" w:rsidRPr="00565987" w:rsidRDefault="628497D1" w:rsidP="003764A5">
            <w:pPr>
              <w:autoSpaceDE w:val="0"/>
              <w:autoSpaceDN w:val="0"/>
              <w:adjustRightInd w:val="0"/>
              <w:rPr>
                <w:rFonts w:cs="Arial"/>
                <w:bCs/>
                <w:lang w:eastAsia="en-GB"/>
              </w:rPr>
            </w:pPr>
            <w:r w:rsidRPr="628497D1">
              <w:rPr>
                <w:rFonts w:eastAsia="Arial" w:cs="Arial"/>
                <w:lang w:eastAsia="en-GB"/>
              </w:rPr>
              <w:t xml:space="preserve">The Services must be provided within the pre-redundancy or closure period, where the employer is willing to allow Employees at risk of redundancy to access to this support to help them re-enter employment quickly. </w:t>
            </w:r>
          </w:p>
          <w:p w14:paraId="149D268D" w14:textId="77777777" w:rsidR="003764A5" w:rsidRPr="00565987" w:rsidRDefault="003764A5" w:rsidP="003764A5">
            <w:pPr>
              <w:autoSpaceDE w:val="0"/>
              <w:autoSpaceDN w:val="0"/>
              <w:adjustRightInd w:val="0"/>
              <w:rPr>
                <w:rFonts w:cs="Arial"/>
                <w:bCs/>
                <w:lang w:eastAsia="en-GB"/>
              </w:rPr>
            </w:pPr>
          </w:p>
          <w:p w14:paraId="149D268E" w14:textId="77777777" w:rsidR="003764A5" w:rsidRPr="00565987" w:rsidRDefault="628497D1" w:rsidP="003764A5">
            <w:pPr>
              <w:autoSpaceDE w:val="0"/>
              <w:autoSpaceDN w:val="0"/>
              <w:adjustRightInd w:val="0"/>
              <w:rPr>
                <w:rFonts w:cs="Arial"/>
                <w:bCs/>
                <w:lang w:eastAsia="en-GB"/>
              </w:rPr>
            </w:pPr>
            <w:r w:rsidRPr="628497D1">
              <w:rPr>
                <w:rFonts w:eastAsia="Arial" w:cs="Arial"/>
                <w:lang w:eastAsia="en-GB"/>
              </w:rPr>
              <w:t xml:space="preserve">The Services must be provided flexibly to support individual employability and social mobility including roll on, roll off, year round responsive delivery which accommodates current benefit restrictions/rules where participants are also claimants.  </w:t>
            </w:r>
          </w:p>
          <w:p w14:paraId="149D268F" w14:textId="77777777" w:rsidR="003764A5" w:rsidRPr="00565987" w:rsidRDefault="003764A5" w:rsidP="003764A5">
            <w:pPr>
              <w:autoSpaceDE w:val="0"/>
              <w:autoSpaceDN w:val="0"/>
              <w:adjustRightInd w:val="0"/>
              <w:rPr>
                <w:rFonts w:cs="Arial"/>
                <w:bCs/>
                <w:lang w:eastAsia="en-GB"/>
              </w:rPr>
            </w:pPr>
          </w:p>
          <w:p w14:paraId="149D2690" w14:textId="77777777" w:rsidR="003764A5" w:rsidRPr="00565987" w:rsidRDefault="628497D1" w:rsidP="003764A5">
            <w:pPr>
              <w:autoSpaceDE w:val="0"/>
              <w:autoSpaceDN w:val="0"/>
              <w:adjustRightInd w:val="0"/>
              <w:rPr>
                <w:rFonts w:cs="Arial"/>
                <w:bCs/>
                <w:lang w:eastAsia="en-GB"/>
              </w:rPr>
            </w:pPr>
            <w:r w:rsidRPr="628497D1">
              <w:rPr>
                <w:rFonts w:eastAsia="Arial" w:cs="Arial"/>
                <w:lang w:eastAsia="en-GB"/>
              </w:rPr>
              <w:t>The Services must deliver support on employer’s sites at times which suit shift patterns as well as at central locations across the SEMLEP area and by phone / web.</w:t>
            </w:r>
          </w:p>
          <w:p w14:paraId="149D2691" w14:textId="77777777" w:rsidR="003764A5" w:rsidRPr="00565987" w:rsidRDefault="003764A5" w:rsidP="003764A5">
            <w:pPr>
              <w:autoSpaceDE w:val="0"/>
              <w:autoSpaceDN w:val="0"/>
              <w:adjustRightInd w:val="0"/>
              <w:rPr>
                <w:rFonts w:cs="Arial"/>
                <w:bCs/>
                <w:lang w:eastAsia="en-GB"/>
              </w:rPr>
            </w:pPr>
          </w:p>
          <w:p w14:paraId="149D2692" w14:textId="77777777" w:rsidR="003764A5" w:rsidRPr="00565987" w:rsidRDefault="628497D1" w:rsidP="003764A5">
            <w:pPr>
              <w:autoSpaceDE w:val="0"/>
              <w:autoSpaceDN w:val="0"/>
              <w:adjustRightInd w:val="0"/>
              <w:rPr>
                <w:rFonts w:cs="Arial"/>
                <w:bCs/>
                <w:lang w:eastAsia="en-GB"/>
              </w:rPr>
            </w:pPr>
            <w:r w:rsidRPr="628497D1">
              <w:rPr>
                <w:rFonts w:eastAsia="Arial" w:cs="Arial"/>
                <w:lang w:eastAsia="en-GB"/>
              </w:rPr>
              <w:t xml:space="preserve">The Services must be provided so as to ensure, wherever possible, that any support and training activity is successfully completed before employees at risk of redundancy leave employment.  Where this is not possible individuals must be supported to complete any outstanding activity after leaving employment where necessary.  Where an individual finds work part way through their training the Services should promote continued skills development to the new employer.  </w:t>
            </w:r>
          </w:p>
          <w:p w14:paraId="149D2693" w14:textId="77777777" w:rsidR="003764A5" w:rsidRPr="00565987" w:rsidRDefault="003764A5" w:rsidP="003764A5">
            <w:pPr>
              <w:autoSpaceDE w:val="0"/>
              <w:autoSpaceDN w:val="0"/>
              <w:adjustRightInd w:val="0"/>
              <w:rPr>
                <w:rFonts w:cs="Arial"/>
                <w:bCs/>
                <w:lang w:eastAsia="en-GB"/>
              </w:rPr>
            </w:pPr>
          </w:p>
          <w:p w14:paraId="149D2694" w14:textId="77777777" w:rsidR="004267F1" w:rsidRDefault="628497D1" w:rsidP="003764A5">
            <w:r w:rsidRPr="628497D1">
              <w:rPr>
                <w:rFonts w:eastAsia="Arial" w:cs="Arial"/>
                <w:color w:val="000000" w:themeColor="text1"/>
              </w:rPr>
              <w:t xml:space="preserve">The Services must deliver solutions to meet the identified skills gaps/needs, and will focus on the provision of basic skills to allow career progression, and to drive employer growth.  The Services must work with employers to develop opportunities for individuals to include a core set of employability skills, knowledge of how business works and acquire more vocationally specific work experience and qualifications alongside core qualifications.   </w:t>
            </w:r>
          </w:p>
          <w:p w14:paraId="149D2695" w14:textId="77777777" w:rsidR="00FB7DC5" w:rsidRDefault="00FB7DC5" w:rsidP="004267F1">
            <w:pPr>
              <w:rPr>
                <w:rFonts w:cs="Arial"/>
                <w:b/>
              </w:rPr>
            </w:pPr>
          </w:p>
          <w:p w14:paraId="149D2698" w14:textId="210E0F65" w:rsidR="004267F1" w:rsidRDefault="628497D1" w:rsidP="00B46D6D">
            <w:pPr>
              <w:rPr>
                <w:rFonts w:cs="Arial"/>
                <w:b/>
              </w:rPr>
            </w:pPr>
            <w:r w:rsidRPr="628497D1">
              <w:rPr>
                <w:rFonts w:eastAsia="Arial" w:cs="Arial"/>
                <w:b/>
                <w:bCs/>
              </w:rPr>
              <w:t>Skills Support for the Workforce - intermediate and higher level skills provision</w:t>
            </w:r>
            <w:r w:rsidR="00D45F33">
              <w:rPr>
                <w:rFonts w:eastAsia="Arial" w:cs="Arial"/>
                <w:b/>
                <w:bCs/>
              </w:rPr>
              <w:t xml:space="preserve"> (Lot 3)</w:t>
            </w:r>
          </w:p>
          <w:p w14:paraId="149D2699" w14:textId="77777777" w:rsidR="004267F1" w:rsidRDefault="004267F1" w:rsidP="004267F1">
            <w:pPr>
              <w:rPr>
                <w:rFonts w:cs="Arial"/>
              </w:rPr>
            </w:pPr>
          </w:p>
          <w:p w14:paraId="149D269A" w14:textId="77777777" w:rsidR="003764A5" w:rsidRDefault="628497D1" w:rsidP="003764A5">
            <w:pPr>
              <w:rPr>
                <w:rFonts w:cs="Arial"/>
              </w:rPr>
            </w:pPr>
            <w:r w:rsidRPr="628497D1">
              <w:rPr>
                <w:rFonts w:eastAsia="Arial" w:cs="Arial"/>
              </w:rPr>
              <w:t>The aim of the Services is to provide individuals with the opportunities to develop the skills that will enable them to progress in employment.  The Services will provide support to employers to develop individuals to fill intermediate, technical and higher level skills gaps and shortages and take on unemployed individuals who require advanced or higher level skills.</w:t>
            </w:r>
          </w:p>
          <w:p w14:paraId="149D269B" w14:textId="77777777" w:rsidR="00F941C3" w:rsidRDefault="00F941C3" w:rsidP="003764A5">
            <w:pPr>
              <w:rPr>
                <w:rFonts w:cs="Arial"/>
              </w:rPr>
            </w:pPr>
          </w:p>
          <w:p w14:paraId="149D269C" w14:textId="77777777" w:rsidR="00F941C3" w:rsidRDefault="628497D1" w:rsidP="003764A5">
            <w:pPr>
              <w:rPr>
                <w:rFonts w:cs="Arial"/>
                <w:color w:val="000000" w:themeColor="text1"/>
                <w:szCs w:val="22"/>
              </w:rPr>
            </w:pPr>
            <w:r w:rsidRPr="628497D1">
              <w:rPr>
                <w:rFonts w:eastAsia="Arial" w:cs="Arial"/>
                <w:color w:val="000000" w:themeColor="text1"/>
              </w:rPr>
              <w:t>The Services must focus on SMEs in order to address the current skills shortages and gaps and meeting future demands in the South East Midland’s key economic sectors. This will include targeted sector based skills initiatives; high level skills provision and apprenticeships; leadership and management development training; actions promoting careers opportunities; employment search support for professional and executives.</w:t>
            </w:r>
          </w:p>
          <w:p w14:paraId="149D269D" w14:textId="77777777" w:rsidR="00F941C3" w:rsidRDefault="00F941C3" w:rsidP="003764A5">
            <w:pPr>
              <w:rPr>
                <w:rFonts w:cs="Arial"/>
                <w:color w:val="000000" w:themeColor="text1"/>
                <w:szCs w:val="22"/>
              </w:rPr>
            </w:pPr>
          </w:p>
          <w:p w14:paraId="149D269E" w14:textId="77777777" w:rsidR="00F941C3" w:rsidRDefault="628497D1" w:rsidP="00F941C3">
            <w:pPr>
              <w:tabs>
                <w:tab w:val="left" w:pos="765"/>
              </w:tabs>
              <w:rPr>
                <w:rFonts w:cs="Arial"/>
                <w:color w:val="000000" w:themeColor="text1"/>
                <w:szCs w:val="22"/>
              </w:rPr>
            </w:pPr>
            <w:r w:rsidRPr="628497D1">
              <w:rPr>
                <w:rFonts w:eastAsia="Arial" w:cs="Arial"/>
                <w:color w:val="000000" w:themeColor="text1"/>
              </w:rPr>
              <w:t>The Services must develop high-level and intermediate technical skills to fulfil future needs of key sector SMEs and drive employment and productivity in these priority growth sectors. In supporting individuals to prepare for and take up Apprenticeship opportunities.</w:t>
            </w:r>
          </w:p>
          <w:p w14:paraId="149D269F" w14:textId="77777777" w:rsidR="00F941C3" w:rsidRDefault="00F941C3" w:rsidP="00F941C3">
            <w:pPr>
              <w:tabs>
                <w:tab w:val="left" w:pos="765"/>
              </w:tabs>
              <w:rPr>
                <w:rFonts w:cs="Arial"/>
                <w:color w:val="000000" w:themeColor="text1"/>
                <w:szCs w:val="22"/>
              </w:rPr>
            </w:pPr>
          </w:p>
          <w:p w14:paraId="149D26A0" w14:textId="77777777" w:rsidR="00F941C3" w:rsidRDefault="628497D1" w:rsidP="00F941C3">
            <w:pPr>
              <w:tabs>
                <w:tab w:val="left" w:pos="765"/>
              </w:tabs>
              <w:rPr>
                <w:rFonts w:cs="Arial"/>
                <w:color w:val="000000" w:themeColor="text1"/>
                <w:szCs w:val="22"/>
                <w:highlight w:val="yellow"/>
              </w:rPr>
            </w:pPr>
            <w:r w:rsidRPr="628497D1">
              <w:rPr>
                <w:rFonts w:eastAsia="Arial" w:cs="Arial"/>
                <w:color w:val="000000" w:themeColor="text1"/>
              </w:rPr>
              <w:t xml:space="preserve">There must be an individual learner assessment and make use of context-specific screener tools to ensure any individual barriers are identified and supported where possible, for example, in regard to literacy, numeracy and digital ICT skills. </w:t>
            </w:r>
          </w:p>
          <w:p w14:paraId="149D26A1" w14:textId="77777777" w:rsidR="00F941C3" w:rsidRDefault="00F941C3" w:rsidP="00F941C3">
            <w:pPr>
              <w:tabs>
                <w:tab w:val="left" w:pos="765"/>
              </w:tabs>
              <w:rPr>
                <w:rFonts w:cs="Arial"/>
                <w:color w:val="000000" w:themeColor="text1"/>
                <w:szCs w:val="22"/>
                <w:highlight w:val="yellow"/>
              </w:rPr>
            </w:pPr>
          </w:p>
          <w:p w14:paraId="149D26A2" w14:textId="77777777" w:rsidR="00F941C3" w:rsidRDefault="628497D1" w:rsidP="00F941C3">
            <w:pPr>
              <w:pStyle w:val="ListParagraph"/>
              <w:ind w:left="0" w:right="113"/>
              <w:rPr>
                <w:rFonts w:cs="Arial"/>
                <w:color w:val="000000" w:themeColor="text1"/>
                <w:szCs w:val="22"/>
              </w:rPr>
            </w:pPr>
            <w:r w:rsidRPr="628497D1">
              <w:rPr>
                <w:rFonts w:eastAsia="Arial" w:cs="Arial"/>
              </w:rPr>
              <w:t xml:space="preserve">The Services must deliver a responsive skills programme that is tailored to the needs of the SEMLEP area </w:t>
            </w:r>
            <w:r w:rsidRPr="628497D1">
              <w:rPr>
                <w:rFonts w:eastAsia="Arial" w:cs="Arial"/>
                <w:color w:val="000000" w:themeColor="text1"/>
              </w:rPr>
              <w:t>as identified in the SEMLEP 2015 Business Survey and other local and national evidence</w:t>
            </w:r>
            <w:r w:rsidRPr="628497D1">
              <w:rPr>
                <w:rFonts w:eastAsia="Arial" w:cs="Arial"/>
              </w:rPr>
              <w:t xml:space="preserve"> in order to stimulate a growth in the skills base for businesses that will give the best opportunity to grow the economy and create more and better jobs.  </w:t>
            </w:r>
          </w:p>
          <w:p w14:paraId="149D26A3" w14:textId="77777777" w:rsidR="003764A5" w:rsidRPr="00565987" w:rsidRDefault="003764A5" w:rsidP="003764A5">
            <w:pPr>
              <w:ind w:right="113"/>
              <w:rPr>
                <w:rFonts w:cs="Arial"/>
              </w:rPr>
            </w:pPr>
          </w:p>
          <w:p w14:paraId="149D26A4" w14:textId="77777777" w:rsidR="003764A5" w:rsidRPr="00565987" w:rsidRDefault="628497D1" w:rsidP="003764A5">
            <w:pPr>
              <w:rPr>
                <w:rFonts w:cs="Arial"/>
              </w:rPr>
            </w:pPr>
            <w:r w:rsidRPr="628497D1">
              <w:rPr>
                <w:rFonts w:eastAsia="Arial" w:cs="Arial"/>
              </w:rPr>
              <w:lastRenderedPageBreak/>
              <w:t>The Services must deliver highly responsive skills provision to meet business and industry needs.  Employers must be engaged to shape and direct the Services.</w:t>
            </w:r>
          </w:p>
          <w:p w14:paraId="149D26A5" w14:textId="77777777" w:rsidR="003764A5" w:rsidRPr="00565987" w:rsidRDefault="003764A5" w:rsidP="003764A5">
            <w:pPr>
              <w:rPr>
                <w:rFonts w:cs="Arial"/>
              </w:rPr>
            </w:pPr>
          </w:p>
          <w:p w14:paraId="149D26A6" w14:textId="77777777" w:rsidR="003764A5" w:rsidRPr="00565987" w:rsidRDefault="628497D1" w:rsidP="003764A5">
            <w:pPr>
              <w:rPr>
                <w:rFonts w:cs="Arial"/>
              </w:rPr>
            </w:pPr>
            <w:r w:rsidRPr="628497D1">
              <w:rPr>
                <w:rFonts w:eastAsia="Arial" w:cs="Arial"/>
              </w:rPr>
              <w:t>The Services must support individuals to start on higher level skills and apprenticeships by providing taster units of relevant vocational training; work-based access training and work shadowing opportunities related to higher skills/paid jobs.</w:t>
            </w:r>
          </w:p>
          <w:p w14:paraId="149D26A7" w14:textId="77777777" w:rsidR="003764A5" w:rsidRPr="00565987" w:rsidRDefault="003764A5" w:rsidP="003764A5">
            <w:pPr>
              <w:rPr>
                <w:rFonts w:cs="Arial"/>
              </w:rPr>
            </w:pPr>
          </w:p>
          <w:p w14:paraId="149D26A8" w14:textId="77777777" w:rsidR="003764A5" w:rsidRPr="00565987" w:rsidRDefault="628497D1" w:rsidP="003764A5">
            <w:pPr>
              <w:rPr>
                <w:rFonts w:cs="Arial"/>
              </w:rPr>
            </w:pPr>
            <w:r w:rsidRPr="628497D1">
              <w:rPr>
                <w:rFonts w:eastAsia="Arial" w:cs="Arial"/>
              </w:rPr>
              <w:t>The Services must drive up skills levels, focusing on the skills being sought by employers and supporting SEMLEP’s Showcase Growth sectors.  The Services must result in an increase the number of businesses who are actively planning to address skills issues as a part of their growth.  The Services must encourage employers and/or employees to participate in an apprenticeship.</w:t>
            </w:r>
          </w:p>
          <w:p w14:paraId="149D26A9" w14:textId="77777777" w:rsidR="003764A5" w:rsidRPr="00565987" w:rsidRDefault="003764A5" w:rsidP="003764A5">
            <w:pPr>
              <w:rPr>
                <w:rFonts w:cs="Arial"/>
              </w:rPr>
            </w:pPr>
          </w:p>
          <w:p w14:paraId="149D26AA" w14:textId="77777777" w:rsidR="003764A5" w:rsidRPr="00565987" w:rsidRDefault="628497D1" w:rsidP="003764A5">
            <w:pPr>
              <w:rPr>
                <w:rFonts w:cs="Arial"/>
              </w:rPr>
            </w:pPr>
            <w:r w:rsidRPr="628497D1">
              <w:rPr>
                <w:rFonts w:eastAsia="Arial" w:cs="Arial"/>
              </w:rPr>
              <w:t>There must be an assessment of the current skills profile of the individual and how it relates to the sector in which they are Employed and the employer’s needs and to develop the appropriate training option or provide access to it.</w:t>
            </w:r>
          </w:p>
          <w:p w14:paraId="149D26AB" w14:textId="77777777" w:rsidR="003764A5" w:rsidRPr="00565987" w:rsidRDefault="003764A5" w:rsidP="003764A5">
            <w:pPr>
              <w:rPr>
                <w:rFonts w:cs="Arial"/>
              </w:rPr>
            </w:pPr>
          </w:p>
          <w:p w14:paraId="149D26AC" w14:textId="77777777" w:rsidR="003764A5" w:rsidRPr="00565987" w:rsidRDefault="628497D1" w:rsidP="003764A5">
            <w:pPr>
              <w:rPr>
                <w:rFonts w:cs="Arial"/>
              </w:rPr>
            </w:pPr>
            <w:r w:rsidRPr="628497D1">
              <w:rPr>
                <w:rFonts w:eastAsia="Arial" w:cs="Arial"/>
              </w:rPr>
              <w:t xml:space="preserve">The Services must provide advice and guidance, personal development planning, skills development and learning and mentoring on an individual basis.  </w:t>
            </w:r>
          </w:p>
          <w:p w14:paraId="149D26AD" w14:textId="77777777" w:rsidR="003764A5" w:rsidRPr="00565987" w:rsidRDefault="003764A5" w:rsidP="003764A5">
            <w:pPr>
              <w:rPr>
                <w:rFonts w:cs="Arial"/>
              </w:rPr>
            </w:pPr>
          </w:p>
          <w:p w14:paraId="149D26AE" w14:textId="77777777" w:rsidR="003764A5" w:rsidRPr="00565987" w:rsidRDefault="628497D1" w:rsidP="003764A5">
            <w:pPr>
              <w:rPr>
                <w:rFonts w:cs="Arial"/>
              </w:rPr>
            </w:pPr>
            <w:r w:rsidRPr="628497D1">
              <w:rPr>
                <w:rFonts w:eastAsia="Arial" w:cs="Arial"/>
              </w:rPr>
              <w:t xml:space="preserve">The Services must deliver skills provision which offers both accredited and non-accredited skills training which is innovative, responsive to local skills needs and increases participation by employed adults in education or training (including Apprenticeships) Provision will normally be accredited but where suitable accredited provision does not exist, bespoke packages may be delivered. </w:t>
            </w:r>
          </w:p>
          <w:p w14:paraId="149D26AF" w14:textId="77777777" w:rsidR="003764A5" w:rsidRPr="00565987" w:rsidRDefault="003764A5" w:rsidP="003764A5">
            <w:pPr>
              <w:rPr>
                <w:rFonts w:cs="Arial"/>
              </w:rPr>
            </w:pPr>
          </w:p>
          <w:p w14:paraId="149D26B0" w14:textId="77777777" w:rsidR="003764A5" w:rsidRPr="00565987" w:rsidRDefault="628497D1" w:rsidP="003764A5">
            <w:pPr>
              <w:rPr>
                <w:rFonts w:cs="Arial"/>
              </w:rPr>
            </w:pPr>
            <w:r w:rsidRPr="628497D1">
              <w:rPr>
                <w:rFonts w:eastAsia="Arial" w:cs="Arial"/>
              </w:rPr>
              <w:t>The skills provision must reflect the needs of the business and should be tailored to fit working practices and demands. It must be delivered on business premises and other appropriate venues.</w:t>
            </w:r>
          </w:p>
          <w:p w14:paraId="149D26B1" w14:textId="77777777" w:rsidR="003764A5" w:rsidRPr="00565987" w:rsidRDefault="003764A5" w:rsidP="003764A5">
            <w:pPr>
              <w:rPr>
                <w:rFonts w:cs="Arial"/>
              </w:rPr>
            </w:pPr>
          </w:p>
          <w:p w14:paraId="149D26B2" w14:textId="77777777" w:rsidR="004267F1" w:rsidRPr="00565987" w:rsidRDefault="628497D1" w:rsidP="003764A5">
            <w:pPr>
              <w:rPr>
                <w:rFonts w:cs="Arial"/>
              </w:rPr>
            </w:pPr>
            <w:r w:rsidRPr="628497D1">
              <w:rPr>
                <w:rFonts w:eastAsia="Arial" w:cs="Arial"/>
              </w:rPr>
              <w:t>Where demand requires, the Services should develop and support the delivery of new advanced vocational provision where mainstream provision is not available (not including tuition fees) and where a gap can be demonstrated.</w:t>
            </w:r>
          </w:p>
          <w:p w14:paraId="149D26B3" w14:textId="77777777" w:rsidR="00FB7DC5" w:rsidRPr="00565987" w:rsidRDefault="00FB7DC5" w:rsidP="004267F1">
            <w:pPr>
              <w:rPr>
                <w:rFonts w:cs="Arial"/>
              </w:rPr>
            </w:pPr>
          </w:p>
          <w:p w14:paraId="149D26B4" w14:textId="77777777" w:rsidR="004267F1" w:rsidRPr="00565987" w:rsidRDefault="628497D1" w:rsidP="004267F1">
            <w:pPr>
              <w:rPr>
                <w:rFonts w:cs="Arial"/>
              </w:rPr>
            </w:pPr>
            <w:r w:rsidRPr="628497D1">
              <w:rPr>
                <w:rFonts w:eastAsia="Arial" w:cs="Arial"/>
              </w:rPr>
              <w:t>Accredited units of learning at Level 3 and above in subject areas may also be funded where these do not lead to a full qualification.  The Candidate must ensure that the activity does not duplicate or undermine national policy, including policy on grants and loans.</w:t>
            </w:r>
          </w:p>
          <w:p w14:paraId="149D26B5" w14:textId="77777777" w:rsidR="004267F1" w:rsidRPr="00565987" w:rsidRDefault="004267F1" w:rsidP="004267F1">
            <w:pPr>
              <w:rPr>
                <w:rFonts w:cs="Arial"/>
              </w:rPr>
            </w:pPr>
          </w:p>
          <w:p w14:paraId="149D26B6" w14:textId="77777777" w:rsidR="004267F1" w:rsidRPr="00B4713D" w:rsidRDefault="628497D1" w:rsidP="004267F1">
            <w:pPr>
              <w:rPr>
                <w:rFonts w:cs="Arial"/>
              </w:rPr>
            </w:pPr>
            <w:r w:rsidRPr="628497D1">
              <w:rPr>
                <w:rFonts w:eastAsia="Arial" w:cs="Arial"/>
              </w:rPr>
              <w:t>As well as intermediate, technical skills and higher level skills provision the Services should also support individuals to take up Apprenticeships in the key sectors listed below, including Higher Apprenticeships.</w:t>
            </w:r>
          </w:p>
          <w:p w14:paraId="149D26B7" w14:textId="77777777" w:rsidR="004267F1" w:rsidRPr="00344AF2" w:rsidRDefault="004267F1" w:rsidP="004267F1">
            <w:pPr>
              <w:rPr>
                <w:rFonts w:cs="Arial"/>
              </w:rPr>
            </w:pPr>
          </w:p>
          <w:p w14:paraId="149D26B8" w14:textId="77777777" w:rsidR="004267F1" w:rsidRPr="00565987" w:rsidRDefault="628497D1" w:rsidP="00B46D6D">
            <w:pPr>
              <w:ind w:left="29"/>
              <w:rPr>
                <w:rFonts w:cs="Arial"/>
              </w:rPr>
            </w:pPr>
            <w:r w:rsidRPr="628497D1">
              <w:rPr>
                <w:rFonts w:eastAsia="Arial" w:cs="Arial"/>
              </w:rPr>
              <w:t>The Services must develop and deliver bridging programmes to enable individuals to progress from Further or Higher Education to Higher Level Apprenticeships.</w:t>
            </w:r>
          </w:p>
          <w:p w14:paraId="149D26B9" w14:textId="77777777" w:rsidR="004267F1" w:rsidRPr="00565987" w:rsidRDefault="004267F1" w:rsidP="004267F1">
            <w:pPr>
              <w:rPr>
                <w:rFonts w:cs="Arial"/>
              </w:rPr>
            </w:pPr>
          </w:p>
          <w:p w14:paraId="149D26BA" w14:textId="77777777" w:rsidR="004267F1" w:rsidRDefault="628497D1" w:rsidP="004267F1">
            <w:pPr>
              <w:ind w:left="29"/>
              <w:rPr>
                <w:rFonts w:cs="Arial"/>
                <w:color w:val="000000" w:themeColor="text1"/>
              </w:rPr>
            </w:pPr>
            <w:r w:rsidRPr="628497D1">
              <w:rPr>
                <w:rFonts w:eastAsia="Arial" w:cs="Arial"/>
                <w:color w:val="000000" w:themeColor="text1"/>
              </w:rPr>
              <w:t xml:space="preserve">The successful Candidate must conduct exit interviews with employers to assess the impact of the activity.  </w:t>
            </w:r>
          </w:p>
          <w:p w14:paraId="149D26BC" w14:textId="77777777" w:rsidR="00344AF2" w:rsidRDefault="00344AF2" w:rsidP="00817BAF">
            <w:pPr>
              <w:tabs>
                <w:tab w:val="left" w:pos="765"/>
              </w:tabs>
              <w:rPr>
                <w:rFonts w:cs="Arial"/>
                <w:color w:val="000000" w:themeColor="text1"/>
                <w:szCs w:val="22"/>
              </w:rPr>
            </w:pPr>
          </w:p>
          <w:p w14:paraId="149D26BD" w14:textId="1C5B84EF" w:rsidR="004267F1" w:rsidRDefault="628497D1" w:rsidP="004267F1">
            <w:pPr>
              <w:ind w:left="360" w:hanging="331"/>
              <w:rPr>
                <w:rFonts w:cs="Arial"/>
                <w:b/>
              </w:rPr>
            </w:pPr>
            <w:r w:rsidRPr="628497D1">
              <w:rPr>
                <w:rFonts w:eastAsia="Arial" w:cs="Arial"/>
                <w:b/>
                <w:bCs/>
              </w:rPr>
              <w:t>Skills Support for Workforce - basic skills provision</w:t>
            </w:r>
            <w:r w:rsidR="00D45F33">
              <w:rPr>
                <w:rFonts w:eastAsia="Arial" w:cs="Arial"/>
                <w:b/>
                <w:bCs/>
              </w:rPr>
              <w:t xml:space="preserve"> (Lot 4)</w:t>
            </w:r>
          </w:p>
          <w:p w14:paraId="149D26BE" w14:textId="77777777" w:rsidR="004267F1" w:rsidRDefault="004267F1" w:rsidP="004267F1">
            <w:pPr>
              <w:ind w:left="360" w:hanging="331"/>
              <w:rPr>
                <w:rFonts w:cs="Arial"/>
                <w:b/>
              </w:rPr>
            </w:pPr>
          </w:p>
          <w:p w14:paraId="149D26BF" w14:textId="77777777" w:rsidR="00E450CF" w:rsidRDefault="628497D1" w:rsidP="00E450CF">
            <w:pPr>
              <w:pStyle w:val="ListParagraph"/>
              <w:ind w:left="0" w:right="113"/>
              <w:rPr>
                <w:rFonts w:cs="Arial"/>
                <w:color w:val="000000" w:themeColor="text1"/>
                <w:szCs w:val="22"/>
              </w:rPr>
            </w:pPr>
            <w:r w:rsidRPr="628497D1">
              <w:rPr>
                <w:rFonts w:eastAsia="Arial" w:cs="Arial"/>
              </w:rPr>
              <w:lastRenderedPageBreak/>
              <w:t>The aim of the Services is to support sustainable employment and promote the in-work progression of employed individuals through the delivery of work-related skills training focused on functional literacy, numeracy, digital skills and any other basic skill intervention required, tailored to the needs of the employee.</w:t>
            </w:r>
            <w:r w:rsidRPr="628497D1">
              <w:rPr>
                <w:rFonts w:eastAsia="Arial" w:cs="Arial"/>
                <w:color w:val="000000" w:themeColor="text1"/>
              </w:rPr>
              <w:t xml:space="preserve">, </w:t>
            </w:r>
          </w:p>
          <w:p w14:paraId="149D26C0" w14:textId="77777777" w:rsidR="00E450CF" w:rsidRDefault="00E450CF" w:rsidP="00E450CF">
            <w:pPr>
              <w:pStyle w:val="ListParagraph"/>
              <w:ind w:left="0" w:right="113"/>
              <w:rPr>
                <w:rFonts w:cs="Arial"/>
                <w:color w:val="000000" w:themeColor="text1"/>
                <w:szCs w:val="22"/>
              </w:rPr>
            </w:pPr>
          </w:p>
          <w:p w14:paraId="149D26C2" w14:textId="77777777" w:rsidR="003764A5" w:rsidRDefault="628497D1" w:rsidP="003764A5">
            <w:pPr>
              <w:autoSpaceDE w:val="0"/>
              <w:autoSpaceDN w:val="0"/>
              <w:adjustRightInd w:val="0"/>
              <w:rPr>
                <w:rFonts w:cs="Arial"/>
              </w:rPr>
            </w:pPr>
            <w:r w:rsidRPr="628497D1">
              <w:rPr>
                <w:rFonts w:eastAsia="Arial" w:cs="Arial"/>
              </w:rPr>
              <w:t>The Services should raise the level of attainment achieved by individuals, enabling them to improve their employment status and to move them on to undertake higher levels of training, removing any barriers potentially caused by skills gaps in the areas of literacy, numeracy and digital and ICT skills.</w:t>
            </w:r>
          </w:p>
          <w:p w14:paraId="149D26C3" w14:textId="77777777" w:rsidR="00E450CF" w:rsidRDefault="00E450CF" w:rsidP="00E450CF">
            <w:pPr>
              <w:pStyle w:val="ListParagraph"/>
              <w:ind w:left="0" w:right="113"/>
              <w:rPr>
                <w:rFonts w:cs="Arial"/>
                <w:color w:val="000000" w:themeColor="text1"/>
                <w:szCs w:val="22"/>
              </w:rPr>
            </w:pPr>
          </w:p>
          <w:p w14:paraId="149D26C4" w14:textId="77777777" w:rsidR="00E450CF" w:rsidRDefault="628497D1" w:rsidP="00E450CF">
            <w:pPr>
              <w:pStyle w:val="ListParagraph"/>
              <w:ind w:left="0" w:right="113"/>
              <w:rPr>
                <w:rFonts w:cs="Arial"/>
                <w:color w:val="000000" w:themeColor="text1"/>
                <w:szCs w:val="22"/>
              </w:rPr>
            </w:pPr>
            <w:r w:rsidRPr="628497D1">
              <w:rPr>
                <w:rFonts w:eastAsia="Arial" w:cs="Arial"/>
                <w:color w:val="000000" w:themeColor="text1"/>
              </w:rPr>
              <w:t>The Services must be tailored to meet the needs as identified in the LEP’s 2015 Business Survey and other local and national evidence.</w:t>
            </w:r>
          </w:p>
          <w:p w14:paraId="149D26C5" w14:textId="77777777" w:rsidR="003764A5" w:rsidRPr="00565987" w:rsidRDefault="003764A5" w:rsidP="003764A5">
            <w:pPr>
              <w:autoSpaceDE w:val="0"/>
              <w:autoSpaceDN w:val="0"/>
              <w:adjustRightInd w:val="0"/>
              <w:rPr>
                <w:rFonts w:cs="Arial"/>
              </w:rPr>
            </w:pPr>
          </w:p>
          <w:p w14:paraId="149D26C6" w14:textId="77777777" w:rsidR="00E450CF" w:rsidRDefault="628497D1" w:rsidP="00E450CF">
            <w:pPr>
              <w:pStyle w:val="ListParagraph"/>
              <w:ind w:left="0" w:right="113"/>
              <w:rPr>
                <w:rFonts w:cs="Arial"/>
                <w:b/>
                <w:color w:val="000000" w:themeColor="text1"/>
                <w:szCs w:val="22"/>
              </w:rPr>
            </w:pPr>
            <w:r w:rsidRPr="628497D1">
              <w:rPr>
                <w:rFonts w:eastAsia="Arial" w:cs="Arial"/>
              </w:rPr>
              <w:t>The Services must be available to any employee, particularly those on low pay to help them progress and increase their pay and working hours or obtain better quality higher paid jobs.  This must include support for part-time workers who wish to upskill to work longer hours and/or progress within work.</w:t>
            </w:r>
            <w:r w:rsidRPr="628497D1">
              <w:rPr>
                <w:rFonts w:eastAsia="Arial" w:cs="Arial"/>
                <w:color w:val="000000" w:themeColor="text1"/>
              </w:rPr>
              <w:t xml:space="preserve"> The Services must be tailored and sensitive to the needs of learners who might reluctantly engage in basic skills training. </w:t>
            </w:r>
          </w:p>
          <w:p w14:paraId="149D26C7" w14:textId="77777777" w:rsidR="00E450CF" w:rsidRPr="00ED015B" w:rsidRDefault="00E450CF" w:rsidP="00E450CF">
            <w:pPr>
              <w:autoSpaceDE w:val="0"/>
              <w:autoSpaceDN w:val="0"/>
              <w:adjustRightInd w:val="0"/>
              <w:rPr>
                <w:rFonts w:cs="Arial"/>
              </w:rPr>
            </w:pPr>
          </w:p>
          <w:p w14:paraId="149D26C8" w14:textId="77777777" w:rsidR="003764A5" w:rsidRDefault="628497D1" w:rsidP="003764A5">
            <w:pPr>
              <w:autoSpaceDE w:val="0"/>
              <w:autoSpaceDN w:val="0"/>
              <w:adjustRightInd w:val="0"/>
              <w:rPr>
                <w:rFonts w:cs="Arial"/>
              </w:rPr>
            </w:pPr>
            <w:r w:rsidRPr="628497D1">
              <w:rPr>
                <w:rFonts w:eastAsia="Arial" w:cs="Arial"/>
              </w:rPr>
              <w:t>The Services must provide locally tailored interventions and innovative approaches to meet the skills and Apprenticeship priorities of employers and Employees within the SEMLEP area.  The Services must deliver skills provision which leads to the onward progression of the individual to a full Apprenticeship or other in-work training.</w:t>
            </w:r>
          </w:p>
          <w:p w14:paraId="149D26C9" w14:textId="77777777" w:rsidR="00565987" w:rsidRDefault="00565987" w:rsidP="003764A5">
            <w:pPr>
              <w:autoSpaceDE w:val="0"/>
              <w:autoSpaceDN w:val="0"/>
              <w:adjustRightInd w:val="0"/>
              <w:rPr>
                <w:rFonts w:cs="Arial"/>
              </w:rPr>
            </w:pPr>
          </w:p>
          <w:p w14:paraId="149D26CA" w14:textId="07CEDD95" w:rsidR="00E450CF" w:rsidRDefault="628497D1" w:rsidP="00E450CF">
            <w:pPr>
              <w:pStyle w:val="ListParagraph"/>
              <w:ind w:left="0" w:right="113"/>
              <w:rPr>
                <w:rFonts w:cs="Arial"/>
                <w:color w:val="000000" w:themeColor="text1"/>
                <w:szCs w:val="22"/>
              </w:rPr>
            </w:pPr>
            <w:r w:rsidRPr="628497D1">
              <w:rPr>
                <w:rFonts w:eastAsia="Arial" w:cs="Arial"/>
                <w:color w:val="000000" w:themeColor="text1"/>
              </w:rPr>
              <w:t xml:space="preserve">There must be innovative approaches to delivery of the Services and the use of context-specific screener tools in the workplace to help employees at all levels to engage and acquire and/or improve their functional basic skills to help raise their productivity and progression within work and ultimately help to reduce the number of skills gaps reported by employers. </w:t>
            </w:r>
          </w:p>
          <w:p w14:paraId="149D26CB" w14:textId="77777777" w:rsidR="00E450CF" w:rsidRDefault="00E450CF" w:rsidP="00E450CF">
            <w:pPr>
              <w:pStyle w:val="ListParagraph"/>
              <w:ind w:left="0" w:right="113"/>
              <w:rPr>
                <w:rFonts w:cs="Arial"/>
                <w:color w:val="000000" w:themeColor="text1"/>
                <w:szCs w:val="22"/>
              </w:rPr>
            </w:pPr>
          </w:p>
          <w:p w14:paraId="149D26CD" w14:textId="77777777" w:rsidR="003764A5" w:rsidRPr="00565987" w:rsidRDefault="628497D1" w:rsidP="003764A5">
            <w:pPr>
              <w:ind w:left="29"/>
              <w:rPr>
                <w:rFonts w:cs="Arial"/>
              </w:rPr>
            </w:pPr>
            <w:r w:rsidRPr="628497D1">
              <w:rPr>
                <w:rFonts w:eastAsia="Arial" w:cs="Arial"/>
              </w:rPr>
              <w:t>A training needs analysis must be conducted in conjunction with the employer to identify the skills needed to increase the competitiveness of the employer’s business.  Bespoke packages of learning activity must be devised to meet the identified business needs agreed with the employer and delivered.</w:t>
            </w:r>
          </w:p>
          <w:p w14:paraId="149D26CE" w14:textId="77777777" w:rsidR="003764A5" w:rsidRPr="00565987" w:rsidRDefault="003764A5" w:rsidP="003764A5">
            <w:pPr>
              <w:rPr>
                <w:rFonts w:cs="Arial"/>
                <w:color w:val="000000" w:themeColor="text1"/>
              </w:rPr>
            </w:pPr>
          </w:p>
          <w:p w14:paraId="149D26CF" w14:textId="77777777" w:rsidR="003764A5" w:rsidRPr="00565987" w:rsidRDefault="628497D1" w:rsidP="003764A5">
            <w:pPr>
              <w:rPr>
                <w:rFonts w:cs="Arial"/>
                <w:color w:val="000000" w:themeColor="text1"/>
              </w:rPr>
            </w:pPr>
            <w:r w:rsidRPr="628497D1">
              <w:rPr>
                <w:rFonts w:eastAsia="Arial" w:cs="Arial"/>
              </w:rPr>
              <w:t xml:space="preserve">There must be assessments of the individual Employees’ </w:t>
            </w:r>
            <w:r w:rsidRPr="628497D1">
              <w:rPr>
                <w:rFonts w:eastAsia="Arial" w:cs="Arial"/>
                <w:color w:val="000000" w:themeColor="text1"/>
              </w:rPr>
              <w:t xml:space="preserve">current skills profiles </w:t>
            </w:r>
            <w:r w:rsidRPr="628497D1">
              <w:rPr>
                <w:rFonts w:eastAsia="Arial" w:cs="Arial"/>
              </w:rPr>
              <w:t xml:space="preserve">to </w:t>
            </w:r>
            <w:r w:rsidRPr="628497D1">
              <w:rPr>
                <w:rFonts w:eastAsia="Arial" w:cs="Arial"/>
                <w:color w:val="000000" w:themeColor="text1"/>
              </w:rPr>
              <w:t xml:space="preserve">produce the development of an appropriate learning pathway.  Ideally, we would like to see the use of context-specific screener tools, particularly around the literacy, numeracy and digital skills.  </w:t>
            </w:r>
          </w:p>
          <w:p w14:paraId="149D26D0" w14:textId="77777777" w:rsidR="003764A5" w:rsidRPr="00565987" w:rsidRDefault="003764A5" w:rsidP="003764A5">
            <w:pPr>
              <w:rPr>
                <w:rFonts w:cs="Arial"/>
                <w:color w:val="000000" w:themeColor="text1"/>
              </w:rPr>
            </w:pPr>
          </w:p>
          <w:p w14:paraId="149D26D1" w14:textId="77777777" w:rsidR="003764A5" w:rsidRPr="00565987" w:rsidRDefault="628497D1" w:rsidP="003764A5">
            <w:pPr>
              <w:rPr>
                <w:rFonts w:cs="Arial"/>
                <w:color w:val="000000" w:themeColor="text1"/>
              </w:rPr>
            </w:pPr>
            <w:r w:rsidRPr="628497D1">
              <w:rPr>
                <w:rFonts w:eastAsia="Arial" w:cs="Arial"/>
                <w:color w:val="000000" w:themeColor="text1"/>
              </w:rPr>
              <w:t xml:space="preserve">The Services must provide, advice and guidance, personal development planning, skills development and learning and mentoring on an individual basis.  </w:t>
            </w:r>
          </w:p>
          <w:p w14:paraId="149D26D2" w14:textId="77777777" w:rsidR="003764A5" w:rsidRPr="00565987" w:rsidRDefault="003764A5" w:rsidP="003764A5">
            <w:pPr>
              <w:rPr>
                <w:rFonts w:cs="Arial"/>
                <w:color w:val="000000" w:themeColor="text1"/>
              </w:rPr>
            </w:pPr>
          </w:p>
          <w:p w14:paraId="149D26D3" w14:textId="77777777" w:rsidR="003764A5" w:rsidRPr="00565987" w:rsidRDefault="628497D1" w:rsidP="003764A5">
            <w:pPr>
              <w:rPr>
                <w:rFonts w:cs="Arial"/>
              </w:rPr>
            </w:pPr>
            <w:r w:rsidRPr="628497D1">
              <w:rPr>
                <w:rFonts w:eastAsia="Arial" w:cs="Arial"/>
                <w:color w:val="000000" w:themeColor="text1"/>
              </w:rPr>
              <w:t xml:space="preserve">The Services must deliver solutions to meet the identified skills gaps/needs, and will focus on the provision of basic skills to allow career progression, and to drive employer growth.  The Services must work with employers to develop opportunities for individuals to include a core set of employability skills, knowledge of how business works and acquire more vocationally specific work experience and qualifications alongside core qualifications including </w:t>
            </w:r>
            <w:r w:rsidRPr="628497D1">
              <w:rPr>
                <w:rFonts w:eastAsia="Arial" w:cs="Arial"/>
              </w:rPr>
              <w:t>basic skills, English, Maths or ESOL at entry level, level 1 or level 2.</w:t>
            </w:r>
          </w:p>
          <w:p w14:paraId="149D26D4" w14:textId="77777777" w:rsidR="003764A5" w:rsidRPr="00565987" w:rsidRDefault="003764A5" w:rsidP="003764A5">
            <w:pPr>
              <w:rPr>
                <w:rFonts w:cs="Arial"/>
                <w:color w:val="000000" w:themeColor="text1"/>
              </w:rPr>
            </w:pPr>
          </w:p>
          <w:p w14:paraId="149D26D5" w14:textId="77777777" w:rsidR="003764A5" w:rsidRPr="00565987" w:rsidRDefault="628497D1" w:rsidP="003764A5">
            <w:pPr>
              <w:rPr>
                <w:rFonts w:cs="Arial"/>
                <w:color w:val="000000" w:themeColor="text1"/>
              </w:rPr>
            </w:pPr>
            <w:r w:rsidRPr="628497D1">
              <w:rPr>
                <w:rFonts w:eastAsia="Arial" w:cs="Arial"/>
              </w:rPr>
              <w:lastRenderedPageBreak/>
              <w:t>The Services must provide support to sustain individuals in work and to enable them to continue to acquire the skills for progression.  This support should include mentoring and follow up support for individuals in learning and specific vocational short courses and bite sized learning to help individuals to continue to progress.</w:t>
            </w:r>
          </w:p>
          <w:p w14:paraId="149D26D6" w14:textId="77777777" w:rsidR="003764A5" w:rsidRPr="00565987" w:rsidRDefault="003764A5" w:rsidP="003764A5">
            <w:pPr>
              <w:ind w:left="29"/>
              <w:rPr>
                <w:rFonts w:cs="Arial"/>
                <w:color w:val="000000" w:themeColor="text1"/>
              </w:rPr>
            </w:pPr>
          </w:p>
          <w:p w14:paraId="149D26D7" w14:textId="77777777" w:rsidR="003764A5" w:rsidRPr="00565987" w:rsidRDefault="628497D1" w:rsidP="003764A5">
            <w:pPr>
              <w:ind w:left="29"/>
              <w:rPr>
                <w:rFonts w:cs="Arial"/>
                <w:color w:val="000000" w:themeColor="text1"/>
              </w:rPr>
            </w:pPr>
            <w:r w:rsidRPr="628497D1">
              <w:rPr>
                <w:rFonts w:eastAsia="Arial" w:cs="Arial"/>
                <w:color w:val="000000" w:themeColor="text1"/>
              </w:rPr>
              <w:t>The Services should be delivered in the workplace or at a suitable location with the agreement of the employer and must ensure maximum innovation and flexibility.</w:t>
            </w:r>
          </w:p>
          <w:p w14:paraId="149D26D8" w14:textId="77777777" w:rsidR="003764A5" w:rsidRPr="00565987" w:rsidRDefault="003764A5" w:rsidP="003764A5">
            <w:pPr>
              <w:ind w:left="29"/>
              <w:rPr>
                <w:rFonts w:cs="Arial"/>
                <w:color w:val="000000" w:themeColor="text1"/>
              </w:rPr>
            </w:pPr>
          </w:p>
          <w:p w14:paraId="149D26D9" w14:textId="77777777" w:rsidR="00B048EE" w:rsidRDefault="628497D1" w:rsidP="003764A5">
            <w:pPr>
              <w:rPr>
                <w:rFonts w:cs="Arial"/>
                <w:lang w:eastAsia="en-GB"/>
              </w:rPr>
            </w:pPr>
            <w:r w:rsidRPr="628497D1">
              <w:rPr>
                <w:rFonts w:eastAsia="Arial" w:cs="Arial"/>
                <w:color w:val="000000" w:themeColor="text1"/>
              </w:rPr>
              <w:t>The successful Candidate must conduct exit interviews with employers to assess the impact of the activity.</w:t>
            </w:r>
          </w:p>
          <w:p w14:paraId="107A3367" w14:textId="77777777" w:rsidR="00344FA1" w:rsidRDefault="00344FA1" w:rsidP="00565987">
            <w:pPr>
              <w:pStyle w:val="ListParagraph"/>
              <w:ind w:left="0" w:right="113"/>
              <w:rPr>
                <w:rFonts w:cs="Arial"/>
              </w:rPr>
            </w:pPr>
          </w:p>
          <w:p w14:paraId="149D26DB" w14:textId="77777777" w:rsidR="00BE7976" w:rsidRPr="007C2B80" w:rsidRDefault="00BE7976" w:rsidP="00565987">
            <w:pPr>
              <w:pStyle w:val="ListParagraph"/>
              <w:ind w:left="0" w:right="113"/>
              <w:rPr>
                <w:rFonts w:cs="Arial"/>
              </w:rPr>
            </w:pPr>
          </w:p>
        </w:tc>
      </w:tr>
      <w:tr w:rsidR="00967429" w:rsidRPr="00544738" w14:paraId="149D26DE" w14:textId="77777777" w:rsidTr="00D85AB5">
        <w:trPr>
          <w:trHeight w:val="567"/>
        </w:trPr>
        <w:tc>
          <w:tcPr>
            <w:tcW w:w="9088" w:type="dxa"/>
            <w:shd w:val="clear" w:color="auto" w:fill="D9D9D9" w:themeFill="background1" w:themeFillShade="D9"/>
            <w:vAlign w:val="center"/>
          </w:tcPr>
          <w:p w14:paraId="149D26DD" w14:textId="77777777" w:rsidR="00967429" w:rsidRPr="00544738" w:rsidRDefault="628497D1" w:rsidP="00FD3B0A">
            <w:pPr>
              <w:pStyle w:val="SpecificationHeading"/>
            </w:pPr>
            <w:r>
              <w:lastRenderedPageBreak/>
              <w:t>ELIGIBILITY</w:t>
            </w:r>
          </w:p>
        </w:tc>
      </w:tr>
      <w:tr w:rsidR="00967429" w:rsidRPr="00EF4406" w14:paraId="149D26F3" w14:textId="77777777" w:rsidTr="00D85AB5">
        <w:tc>
          <w:tcPr>
            <w:tcW w:w="9088" w:type="dxa"/>
          </w:tcPr>
          <w:p w14:paraId="149D26DF" w14:textId="77777777" w:rsidR="001E23AA" w:rsidRDefault="001E23AA" w:rsidP="002F70E9">
            <w:pPr>
              <w:rPr>
                <w:rFonts w:cs="Arial"/>
                <w:b/>
                <w:u w:val="single"/>
              </w:rPr>
            </w:pPr>
          </w:p>
          <w:p w14:paraId="149D26E0" w14:textId="77777777" w:rsidR="00A005EF" w:rsidRPr="00344FA1" w:rsidRDefault="628497D1" w:rsidP="00A005EF">
            <w:r w:rsidRPr="628497D1">
              <w:rPr>
                <w:b/>
                <w:bCs/>
              </w:rPr>
              <w:t>General</w:t>
            </w:r>
          </w:p>
          <w:p w14:paraId="149D26E1" w14:textId="77777777" w:rsidR="00A005EF" w:rsidRPr="002833D9" w:rsidRDefault="628497D1" w:rsidP="00A005EF">
            <w:pPr>
              <w:rPr>
                <w:rFonts w:cs="Arial"/>
              </w:rPr>
            </w:pPr>
            <w:r w:rsidRPr="628497D1">
              <w:rPr>
                <w:rFonts w:eastAsia="Arial" w:cs="Arial"/>
              </w:rPr>
              <w:t>General eligibility requirements are set out in : the</w:t>
            </w:r>
            <w:r>
              <w:t xml:space="preserve"> </w:t>
            </w:r>
            <w:r w:rsidRPr="628497D1">
              <w:rPr>
                <w:rFonts w:eastAsia="Arial" w:cs="Arial"/>
              </w:rPr>
              <w:t xml:space="preserve">European Social Fund Programme for England 2014-2020 National Eligibility Rules which can be found here: </w:t>
            </w:r>
            <w:hyperlink r:id="rId15">
              <w:r w:rsidRPr="628497D1">
                <w:rPr>
                  <w:rStyle w:val="Hyperlink"/>
                  <w:rFonts w:eastAsia="Arial" w:cs="Arial"/>
                  <w:sz w:val="24"/>
                  <w:szCs w:val="24"/>
                </w:rPr>
                <w:t>https://www.gov.uk/government/publications/european-structural-and-investment-funds-programme-guidance</w:t>
              </w:r>
            </w:hyperlink>
            <w:r w:rsidRPr="628497D1">
              <w:rPr>
                <w:rFonts w:eastAsia="Arial" w:cs="Arial"/>
              </w:rPr>
              <w:t xml:space="preserve"> </w:t>
            </w:r>
          </w:p>
          <w:p w14:paraId="149D26E2" w14:textId="77777777" w:rsidR="00A005EF" w:rsidRDefault="00A005EF" w:rsidP="00C107CE">
            <w:pPr>
              <w:rPr>
                <w:rFonts w:cs="Arial"/>
              </w:rPr>
            </w:pPr>
          </w:p>
          <w:p w14:paraId="149D26E3" w14:textId="77777777" w:rsidR="00394F36" w:rsidRDefault="628497D1" w:rsidP="00B46D6D">
            <w:pPr>
              <w:rPr>
                <w:rFonts w:cs="Arial"/>
              </w:rPr>
            </w:pPr>
            <w:r w:rsidRPr="628497D1">
              <w:rPr>
                <w:rFonts w:eastAsia="Arial" w:cs="Arial"/>
              </w:rPr>
              <w:t>Please note LEP Specific requirements are subject to the National Eligibility Rules detailed above.</w:t>
            </w:r>
          </w:p>
          <w:p w14:paraId="149D26E4" w14:textId="77777777" w:rsidR="00565987" w:rsidRDefault="00565987" w:rsidP="00B46D6D">
            <w:pPr>
              <w:rPr>
                <w:rFonts w:cs="Arial"/>
              </w:rPr>
            </w:pPr>
          </w:p>
          <w:p w14:paraId="149D26E5" w14:textId="77777777" w:rsidR="00394F36" w:rsidRDefault="628497D1" w:rsidP="00394F36">
            <w:pPr>
              <w:rPr>
                <w:rFonts w:ascii="Calibri" w:hAnsi="Calibri"/>
                <w:iCs/>
                <w:sz w:val="22"/>
                <w:szCs w:val="22"/>
              </w:rPr>
            </w:pPr>
            <w:r w:rsidRPr="628497D1">
              <w:rPr>
                <w:rFonts w:eastAsia="Arial" w:cs="Arial"/>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149D26E6" w14:textId="77777777" w:rsidR="00394F36" w:rsidRDefault="628497D1" w:rsidP="00394F36">
            <w:pPr>
              <w:ind w:left="720"/>
              <w:rPr>
                <w:iCs/>
              </w:rPr>
            </w:pPr>
            <w:r w:rsidRPr="628497D1">
              <w:rPr>
                <w:rFonts w:eastAsia="Arial" w:cs="Arial"/>
              </w:rPr>
              <w:t> </w:t>
            </w:r>
          </w:p>
          <w:p w14:paraId="149D26E7" w14:textId="77777777" w:rsidR="00884042" w:rsidRDefault="628497D1" w:rsidP="00394F36">
            <w:pPr>
              <w:rPr>
                <w:rFonts w:cs="Arial"/>
                <w:iCs/>
              </w:rPr>
            </w:pPr>
            <w:r w:rsidRPr="628497D1">
              <w:rPr>
                <w:rFonts w:eastAsia="Arial" w:cs="Arial"/>
              </w:rPr>
              <w:t xml:space="preserve">Over 50s                                 min 20% </w:t>
            </w:r>
          </w:p>
          <w:p w14:paraId="149D26E8" w14:textId="77777777" w:rsidR="00394F36" w:rsidRDefault="628497D1" w:rsidP="00394F36">
            <w:pPr>
              <w:rPr>
                <w:iCs/>
              </w:rPr>
            </w:pPr>
            <w:r w:rsidRPr="628497D1">
              <w:rPr>
                <w:rFonts w:eastAsia="Arial" w:cs="Arial"/>
              </w:rPr>
              <w:t>Ethnic groups                          min 18%</w:t>
            </w:r>
          </w:p>
          <w:p w14:paraId="149D26E9" w14:textId="77777777" w:rsidR="00394F36" w:rsidRDefault="628497D1" w:rsidP="00394F36">
            <w:pPr>
              <w:rPr>
                <w:iCs/>
              </w:rPr>
            </w:pPr>
            <w:r w:rsidRPr="628497D1">
              <w:rPr>
                <w:rFonts w:eastAsia="Arial" w:cs="Arial"/>
              </w:rPr>
              <w:t>Female                                    min 49%</w:t>
            </w:r>
          </w:p>
          <w:p w14:paraId="149D26EA" w14:textId="77777777" w:rsidR="00394F36" w:rsidRDefault="628497D1" w:rsidP="00394F36">
            <w:pPr>
              <w:rPr>
                <w:iCs/>
              </w:rPr>
            </w:pPr>
            <w:r w:rsidRPr="628497D1">
              <w:rPr>
                <w:rFonts w:eastAsia="Arial" w:cs="Arial"/>
              </w:rPr>
              <w:t>Disability/health issues            min 8%</w:t>
            </w:r>
          </w:p>
          <w:p w14:paraId="149D26EB" w14:textId="77777777" w:rsidR="00394F36" w:rsidRDefault="628497D1" w:rsidP="00394F36">
            <w:pPr>
              <w:rPr>
                <w:iCs/>
              </w:rPr>
            </w:pPr>
            <w:r w:rsidRPr="628497D1">
              <w:rPr>
                <w:rFonts w:eastAsia="Arial" w:cs="Arial"/>
              </w:rPr>
              <w:t>Lone parents                           min 5%</w:t>
            </w:r>
          </w:p>
          <w:p w14:paraId="149D26EC" w14:textId="77777777" w:rsidR="00394F36" w:rsidRDefault="628497D1" w:rsidP="00394F36">
            <w:pPr>
              <w:rPr>
                <w:rFonts w:cs="Arial"/>
                <w:iCs/>
              </w:rPr>
            </w:pPr>
            <w:r w:rsidRPr="628497D1">
              <w:rPr>
                <w:rFonts w:eastAsia="Arial" w:cs="Arial"/>
              </w:rPr>
              <w:t>No basic skills                         min 18%</w:t>
            </w:r>
          </w:p>
          <w:p w14:paraId="149D26ED" w14:textId="77777777" w:rsidR="00030CDC" w:rsidRDefault="00030CDC" w:rsidP="00464432">
            <w:pPr>
              <w:rPr>
                <w:rFonts w:cs="Arial"/>
              </w:rPr>
            </w:pPr>
          </w:p>
          <w:p w14:paraId="149D26EF" w14:textId="77777777" w:rsidR="009046BC" w:rsidRDefault="628497D1" w:rsidP="00464432">
            <w:pPr>
              <w:rPr>
                <w:rFonts w:cs="Arial"/>
              </w:rPr>
            </w:pPr>
            <w:r w:rsidRPr="628497D1">
              <w:rPr>
                <w:rFonts w:eastAsia="Arial" w:cs="Arial"/>
              </w:rPr>
              <w:t>Theme 1, 2 and 3 - Employed and unemployed and aged 16 +</w:t>
            </w:r>
          </w:p>
          <w:p w14:paraId="149D26F0" w14:textId="77777777" w:rsidR="00190A14" w:rsidRDefault="628497D1" w:rsidP="00464432">
            <w:pPr>
              <w:rPr>
                <w:rFonts w:cs="Arial"/>
              </w:rPr>
            </w:pPr>
            <w:r w:rsidRPr="628497D1">
              <w:rPr>
                <w:rFonts w:eastAsia="Arial" w:cs="Arial"/>
              </w:rPr>
              <w:t>Theme 4 – Employed and aged 16+</w:t>
            </w:r>
          </w:p>
          <w:p w14:paraId="149D26F2" w14:textId="77777777" w:rsidR="00FD3B0A" w:rsidRPr="00344FA1" w:rsidRDefault="00FD3B0A" w:rsidP="00225C7E">
            <w:pPr>
              <w:autoSpaceDE w:val="0"/>
              <w:autoSpaceDN w:val="0"/>
              <w:adjustRightInd w:val="0"/>
              <w:rPr>
                <w:rFonts w:cs="Arial"/>
                <w:color w:val="000000"/>
              </w:rPr>
            </w:pPr>
          </w:p>
        </w:tc>
      </w:tr>
      <w:tr w:rsidR="00967429" w:rsidRPr="00EF4406" w14:paraId="149D26F5" w14:textId="77777777" w:rsidTr="00D85AB5">
        <w:trPr>
          <w:trHeight w:val="567"/>
        </w:trPr>
        <w:tc>
          <w:tcPr>
            <w:tcW w:w="9088" w:type="dxa"/>
            <w:shd w:val="clear" w:color="auto" w:fill="D9D9D9" w:themeFill="background1" w:themeFillShade="D9"/>
            <w:vAlign w:val="center"/>
          </w:tcPr>
          <w:p w14:paraId="149D26F4" w14:textId="77777777" w:rsidR="00967429" w:rsidRPr="00A005EF" w:rsidRDefault="628497D1" w:rsidP="005E37D8">
            <w:pPr>
              <w:spacing w:before="120" w:after="120"/>
              <w:rPr>
                <w:b/>
                <w:bCs/>
              </w:rPr>
            </w:pPr>
            <w:r w:rsidRPr="628497D1">
              <w:rPr>
                <w:b/>
                <w:bCs/>
              </w:rPr>
              <w:t>GEOGRAPHY / AREA OF DELIVERY</w:t>
            </w:r>
          </w:p>
        </w:tc>
      </w:tr>
      <w:tr w:rsidR="00967429" w:rsidRPr="0052695C" w14:paraId="149D26FC" w14:textId="77777777" w:rsidTr="00D85AB5">
        <w:trPr>
          <w:trHeight w:val="983"/>
        </w:trPr>
        <w:tc>
          <w:tcPr>
            <w:tcW w:w="9088" w:type="dxa"/>
          </w:tcPr>
          <w:p w14:paraId="149D26F6" w14:textId="77777777" w:rsidR="00A005EF" w:rsidRDefault="00A005EF" w:rsidP="00A005EF"/>
          <w:p w14:paraId="149D26F8" w14:textId="77777777" w:rsidR="00787807" w:rsidRDefault="628497D1" w:rsidP="00A005EF">
            <w:pPr>
              <w:autoSpaceDE w:val="0"/>
              <w:autoSpaceDN w:val="0"/>
              <w:adjustRightInd w:val="0"/>
              <w:rPr>
                <w:rFonts w:cs="Arial"/>
              </w:rPr>
            </w:pPr>
            <w:r w:rsidRPr="628497D1">
              <w:rPr>
                <w:rFonts w:eastAsia="Arial" w:cs="Arial"/>
              </w:rPr>
              <w:t>The Services will be delivered within the whole South East Midlands Local Enterprise Partnership area.</w:t>
            </w:r>
          </w:p>
          <w:p w14:paraId="149D26F9" w14:textId="77777777" w:rsidR="00372274" w:rsidRDefault="00372274" w:rsidP="00A005EF">
            <w:pPr>
              <w:autoSpaceDE w:val="0"/>
              <w:autoSpaceDN w:val="0"/>
              <w:adjustRightInd w:val="0"/>
              <w:rPr>
                <w:rFonts w:cs="Arial"/>
              </w:rPr>
            </w:pPr>
          </w:p>
          <w:p w14:paraId="149D26FA" w14:textId="77777777" w:rsidR="00372274" w:rsidRDefault="628497D1" w:rsidP="00A005EF">
            <w:pPr>
              <w:autoSpaceDE w:val="0"/>
              <w:autoSpaceDN w:val="0"/>
              <w:adjustRightInd w:val="0"/>
              <w:rPr>
                <w:rFonts w:cs="Arial"/>
              </w:rPr>
            </w:pPr>
            <w:r w:rsidRPr="628497D1">
              <w:rPr>
                <w:rFonts w:eastAsia="Arial" w:cs="Arial"/>
              </w:rPr>
              <w:t>Provision must be aligned and work in partnership with provision across the overlapping areas of Northamptonshire, Bucks Thames Valley and Oxfordshire.</w:t>
            </w:r>
          </w:p>
          <w:p w14:paraId="149D26FB" w14:textId="77777777" w:rsidR="007C2B80" w:rsidRPr="00FF6CCA" w:rsidRDefault="007C2B80" w:rsidP="00B46D6D">
            <w:pPr>
              <w:autoSpaceDE w:val="0"/>
              <w:autoSpaceDN w:val="0"/>
              <w:adjustRightInd w:val="0"/>
            </w:pPr>
          </w:p>
        </w:tc>
      </w:tr>
      <w:tr w:rsidR="00967429" w:rsidRPr="00505117" w14:paraId="149D26FE" w14:textId="77777777" w:rsidTr="00D85AB5">
        <w:trPr>
          <w:trHeight w:val="567"/>
        </w:trPr>
        <w:tc>
          <w:tcPr>
            <w:tcW w:w="9088" w:type="dxa"/>
            <w:shd w:val="clear" w:color="auto" w:fill="D9D9D9" w:themeFill="background1" w:themeFillShade="D9"/>
            <w:vAlign w:val="center"/>
          </w:tcPr>
          <w:p w14:paraId="149D26FD" w14:textId="77777777" w:rsidR="00967429" w:rsidRPr="00A005EF" w:rsidRDefault="628497D1" w:rsidP="00DA3E5E">
            <w:pPr>
              <w:spacing w:before="120" w:after="120"/>
              <w:rPr>
                <w:b/>
                <w:bCs/>
              </w:rPr>
            </w:pPr>
            <w:r w:rsidRPr="628497D1">
              <w:rPr>
                <w:b/>
                <w:bCs/>
              </w:rPr>
              <w:lastRenderedPageBreak/>
              <w:t>FUNDING AND DELIVERABLES</w:t>
            </w:r>
          </w:p>
        </w:tc>
      </w:tr>
      <w:tr w:rsidR="00967429" w:rsidRPr="00EF4406" w14:paraId="149D270F" w14:textId="77777777" w:rsidTr="00D85AB5">
        <w:trPr>
          <w:trHeight w:val="1408"/>
        </w:trPr>
        <w:tc>
          <w:tcPr>
            <w:tcW w:w="9088" w:type="dxa"/>
          </w:tcPr>
          <w:p w14:paraId="149D26FF" w14:textId="06724503" w:rsidR="007E7731" w:rsidRDefault="007E7731" w:rsidP="00A005EF">
            <w:pPr>
              <w:rPr>
                <w:rFonts w:cs="Arial"/>
              </w:rPr>
            </w:pPr>
          </w:p>
          <w:p w14:paraId="149D2700" w14:textId="77777777" w:rsidR="007E7731" w:rsidRPr="00C107CE" w:rsidRDefault="628497D1" w:rsidP="00A005EF">
            <w:pPr>
              <w:rPr>
                <w:rFonts w:cs="Arial"/>
                <w:b/>
              </w:rPr>
            </w:pPr>
            <w:r w:rsidRPr="628497D1">
              <w:rPr>
                <w:rFonts w:eastAsia="Arial" w:cs="Arial"/>
                <w:b/>
                <w:bCs/>
              </w:rPr>
              <w:t>LEP Specific</w:t>
            </w:r>
          </w:p>
          <w:p w14:paraId="149D2701" w14:textId="77777777" w:rsidR="007E7731" w:rsidRDefault="007E7731" w:rsidP="00A005EF">
            <w:pPr>
              <w:rPr>
                <w:rFonts w:cs="Arial"/>
              </w:rPr>
            </w:pPr>
          </w:p>
          <w:p w14:paraId="149D2702" w14:textId="0AA676BA" w:rsidR="00A005EF" w:rsidRDefault="628497D1" w:rsidP="00A005EF">
            <w:pPr>
              <w:rPr>
                <w:rFonts w:cs="Arial"/>
              </w:rPr>
            </w:pPr>
            <w:r w:rsidRPr="628497D1">
              <w:rPr>
                <w:rFonts w:eastAsia="Arial" w:cs="Arial"/>
              </w:rPr>
              <w:t>An allocation of up to £6,480,000 will be available for the period from August 2016 to March 2018.</w:t>
            </w:r>
          </w:p>
          <w:p w14:paraId="149D2703" w14:textId="77777777" w:rsidR="00372274" w:rsidRDefault="00372274" w:rsidP="00A005EF">
            <w:pPr>
              <w:rPr>
                <w:rFonts w:cs="Arial"/>
              </w:rPr>
            </w:pPr>
          </w:p>
          <w:p w14:paraId="149D2704" w14:textId="77777777" w:rsidR="00372274" w:rsidRDefault="628497D1" w:rsidP="00A005EF">
            <w:pPr>
              <w:rPr>
                <w:rFonts w:cs="Arial"/>
              </w:rPr>
            </w:pPr>
            <w:r w:rsidRPr="628497D1">
              <w:rPr>
                <w:rFonts w:eastAsia="Arial" w:cs="Arial"/>
              </w:rPr>
              <w:t>Provision will be procured under 4 themed lots:</w:t>
            </w:r>
          </w:p>
          <w:p w14:paraId="6271CCA2" w14:textId="77777777" w:rsidR="00BE7976" w:rsidRDefault="00BE7976" w:rsidP="00A005EF">
            <w:pPr>
              <w:rPr>
                <w:rFonts w:cs="Arial"/>
              </w:rPr>
            </w:pPr>
          </w:p>
          <w:p w14:paraId="2F9AD120" w14:textId="6056C7A3" w:rsidR="00D45F33" w:rsidRPr="00D45F33" w:rsidRDefault="00D45F33" w:rsidP="00D45F33">
            <w:pPr>
              <w:pStyle w:val="ListParagraph"/>
              <w:numPr>
                <w:ilvl w:val="0"/>
                <w:numId w:val="60"/>
              </w:numPr>
              <w:ind w:left="714" w:hanging="357"/>
              <w:rPr>
                <w:rFonts w:eastAsia="Arial" w:cs="Arial"/>
              </w:rPr>
            </w:pPr>
            <w:r>
              <w:t>Apprenticeship Services - £1,620,000</w:t>
            </w:r>
          </w:p>
          <w:p w14:paraId="149D2705" w14:textId="77777777" w:rsidR="00372274" w:rsidRPr="00664201" w:rsidRDefault="628497D1" w:rsidP="628497D1">
            <w:pPr>
              <w:pStyle w:val="ListParagraph"/>
              <w:numPr>
                <w:ilvl w:val="0"/>
                <w:numId w:val="60"/>
              </w:numPr>
              <w:ind w:left="714" w:hanging="357"/>
              <w:rPr>
                <w:rFonts w:eastAsia="Arial" w:cs="Arial"/>
              </w:rPr>
            </w:pPr>
            <w:r>
              <w:t>Skills Support for Redundancy - £810,000</w:t>
            </w:r>
          </w:p>
          <w:p w14:paraId="149D2706" w14:textId="77777777" w:rsidR="00E00E0B" w:rsidRPr="00664201" w:rsidRDefault="628497D1" w:rsidP="628497D1">
            <w:pPr>
              <w:pStyle w:val="ListParagraph"/>
              <w:numPr>
                <w:ilvl w:val="0"/>
                <w:numId w:val="60"/>
              </w:numPr>
              <w:ind w:left="714" w:hanging="357"/>
              <w:rPr>
                <w:rFonts w:eastAsia="Arial" w:cs="Arial"/>
              </w:rPr>
            </w:pPr>
            <w:r>
              <w:t>Skills Support for the Workforce (Higher skills) - £3,078,000</w:t>
            </w:r>
          </w:p>
          <w:p w14:paraId="149D2707" w14:textId="77777777" w:rsidR="00E00E0B" w:rsidRPr="00664201" w:rsidRDefault="628497D1" w:rsidP="628497D1">
            <w:pPr>
              <w:pStyle w:val="ListParagraph"/>
              <w:numPr>
                <w:ilvl w:val="0"/>
                <w:numId w:val="60"/>
              </w:numPr>
              <w:ind w:left="714" w:hanging="357"/>
              <w:rPr>
                <w:rFonts w:eastAsia="Arial" w:cs="Arial"/>
              </w:rPr>
            </w:pPr>
            <w:r>
              <w:t>Skills Support for the Workforce (basic skills) - £972,000</w:t>
            </w:r>
          </w:p>
          <w:p w14:paraId="149D2709" w14:textId="77777777" w:rsidR="00A005EF" w:rsidRDefault="00A005EF" w:rsidP="00A005EF">
            <w:pPr>
              <w:rPr>
                <w:b/>
              </w:rPr>
            </w:pPr>
          </w:p>
          <w:p w14:paraId="149D270A" w14:textId="77777777" w:rsidR="00394F36" w:rsidRDefault="628497D1" w:rsidP="00394F36">
            <w:pPr>
              <w:rPr>
                <w:rFonts w:cs="Arial"/>
              </w:rPr>
            </w:pPr>
            <w:r w:rsidRPr="628497D1">
              <w:rPr>
                <w:rFonts w:eastAsia="Arial"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149D270B" w14:textId="77777777" w:rsidR="00394F36" w:rsidRPr="00BC7F87" w:rsidRDefault="00394F36" w:rsidP="00A005EF">
            <w:pPr>
              <w:rPr>
                <w:b/>
              </w:rPr>
            </w:pPr>
          </w:p>
          <w:p w14:paraId="149D270C" w14:textId="77777777" w:rsidR="00A005EF" w:rsidRDefault="628497D1" w:rsidP="00A005EF">
            <w:pPr>
              <w:autoSpaceDE w:val="0"/>
              <w:autoSpaceDN w:val="0"/>
              <w:adjustRightInd w:val="0"/>
              <w:rPr>
                <w:rFonts w:eastAsia="Arial" w:cs="Arial"/>
              </w:rPr>
            </w:pPr>
            <w:r w:rsidRPr="628497D1">
              <w:rPr>
                <w:rFonts w:eastAsia="Arial" w:cs="Arial"/>
              </w:rPr>
              <w:t>The minimum service deliverables, values and volumes for which evidence must be provided are:</w:t>
            </w:r>
          </w:p>
          <w:p w14:paraId="309340DC" w14:textId="77777777" w:rsidR="00D45F33" w:rsidRDefault="00D45F33" w:rsidP="00A005EF">
            <w:pPr>
              <w:autoSpaceDE w:val="0"/>
              <w:autoSpaceDN w:val="0"/>
              <w:adjustRightInd w:val="0"/>
              <w:rPr>
                <w:rFonts w:eastAsia="Arial" w:cs="Arial"/>
              </w:rPr>
            </w:pPr>
          </w:p>
          <w:p w14:paraId="1C2C1104" w14:textId="3E26F3B5" w:rsidR="00D45F33" w:rsidRPr="00D85AB5" w:rsidRDefault="00D45F33" w:rsidP="00A005EF">
            <w:pPr>
              <w:autoSpaceDE w:val="0"/>
              <w:autoSpaceDN w:val="0"/>
              <w:adjustRightInd w:val="0"/>
              <w:rPr>
                <w:b/>
              </w:rPr>
            </w:pPr>
            <w:r w:rsidRPr="00D85AB5">
              <w:rPr>
                <w:b/>
              </w:rPr>
              <w:t>Lot 1:  Apprenticeship Services £1,620,000</w:t>
            </w:r>
          </w:p>
          <w:p w14:paraId="3BF14765" w14:textId="1385ED4E" w:rsidR="00D85AB5" w:rsidRDefault="00D85AB5" w:rsidP="00A005EF">
            <w:pPr>
              <w:autoSpaceDE w:val="0"/>
              <w:autoSpaceDN w:val="0"/>
              <w:adjustRightInd w:val="0"/>
              <w:rPr>
                <w:rFonts w:eastAsia="Arial" w:cs="Arial"/>
              </w:rPr>
            </w:pPr>
          </w:p>
          <w:tbl>
            <w:tblPr>
              <w:tblW w:w="9740" w:type="dxa"/>
              <w:tblLook w:val="04A0" w:firstRow="1" w:lastRow="0" w:firstColumn="1" w:lastColumn="0" w:noHBand="0" w:noVBand="1"/>
            </w:tblPr>
            <w:tblGrid>
              <w:gridCol w:w="5985"/>
              <w:gridCol w:w="1098"/>
              <w:gridCol w:w="1440"/>
              <w:gridCol w:w="1217"/>
            </w:tblGrid>
            <w:tr w:rsidR="00D85AB5" w:rsidRPr="00D85AB5" w14:paraId="5312C450" w14:textId="77777777" w:rsidTr="00D85AB5">
              <w:trPr>
                <w:trHeight w:val="1608"/>
              </w:trPr>
              <w:tc>
                <w:tcPr>
                  <w:tcW w:w="610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2A88957" w14:textId="77777777" w:rsidR="00D85AB5" w:rsidRPr="00D85AB5" w:rsidRDefault="00D85AB5" w:rsidP="00D85AB5">
                  <w:pPr>
                    <w:rPr>
                      <w:rFonts w:cs="Arial"/>
                      <w:b/>
                      <w:bCs/>
                      <w:color w:val="000000"/>
                      <w:sz w:val="20"/>
                      <w:szCs w:val="20"/>
                      <w:lang w:eastAsia="en-GB"/>
                    </w:rPr>
                  </w:pPr>
                  <w:r w:rsidRPr="00D85AB5">
                    <w:rPr>
                      <w:rFonts w:cs="Arial"/>
                      <w:b/>
                      <w:bCs/>
                      <w:color w:val="000000"/>
                      <w:sz w:val="20"/>
                      <w:szCs w:val="20"/>
                      <w:lang w:eastAsia="en-GB"/>
                    </w:rPr>
                    <w:t>Description</w:t>
                  </w:r>
                </w:p>
              </w:tc>
              <w:tc>
                <w:tcPr>
                  <w:tcW w:w="110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6A9B3C1" w14:textId="77777777" w:rsidR="00D85AB5" w:rsidRPr="00D85AB5" w:rsidRDefault="00D85AB5" w:rsidP="00D85AB5">
                  <w:pPr>
                    <w:jc w:val="center"/>
                    <w:rPr>
                      <w:rFonts w:cs="Arial"/>
                      <w:b/>
                      <w:bCs/>
                      <w:color w:val="000000"/>
                      <w:sz w:val="20"/>
                      <w:szCs w:val="20"/>
                      <w:lang w:eastAsia="en-GB"/>
                    </w:rPr>
                  </w:pPr>
                  <w:r w:rsidRPr="00D85AB5">
                    <w:rPr>
                      <w:rFonts w:cs="Arial"/>
                      <w:b/>
                      <w:bCs/>
                      <w:color w:val="000000"/>
                      <w:sz w:val="20"/>
                      <w:szCs w:val="20"/>
                      <w:lang w:eastAsia="en-GB"/>
                    </w:rPr>
                    <w:t>Volumes</w:t>
                  </w:r>
                </w:p>
              </w:tc>
              <w:tc>
                <w:tcPr>
                  <w:tcW w:w="144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761FB8E" w14:textId="77777777" w:rsidR="00D85AB5" w:rsidRPr="00D85AB5" w:rsidRDefault="00D85AB5" w:rsidP="00D85AB5">
                  <w:pPr>
                    <w:jc w:val="center"/>
                    <w:rPr>
                      <w:rFonts w:cs="Arial"/>
                      <w:b/>
                      <w:bCs/>
                      <w:color w:val="000000"/>
                      <w:sz w:val="20"/>
                      <w:szCs w:val="20"/>
                      <w:lang w:eastAsia="en-GB"/>
                    </w:rPr>
                  </w:pPr>
                  <w:r w:rsidRPr="00D85AB5">
                    <w:rPr>
                      <w:rFonts w:cs="Arial"/>
                      <w:b/>
                      <w:bCs/>
                      <w:color w:val="000000"/>
                      <w:sz w:val="20"/>
                      <w:szCs w:val="20"/>
                      <w:lang w:eastAsia="en-GB"/>
                    </w:rPr>
                    <w:t>Unit Cost Total Value Average per Intervention</w:t>
                  </w:r>
                </w:p>
              </w:tc>
              <w:tc>
                <w:tcPr>
                  <w:tcW w:w="1100" w:type="dxa"/>
                  <w:tcBorders>
                    <w:top w:val="single" w:sz="4" w:space="0" w:color="auto"/>
                    <w:left w:val="single" w:sz="4" w:space="0" w:color="auto"/>
                    <w:bottom w:val="single" w:sz="12" w:space="0" w:color="auto"/>
                    <w:right w:val="single" w:sz="4" w:space="0" w:color="000000"/>
                  </w:tcBorders>
                  <w:shd w:val="clear" w:color="auto" w:fill="auto"/>
                  <w:vAlign w:val="center"/>
                  <w:hideMark/>
                </w:tcPr>
                <w:p w14:paraId="34FC6DF3" w14:textId="77777777" w:rsidR="00D85AB5" w:rsidRPr="00D85AB5" w:rsidRDefault="00D85AB5" w:rsidP="00D85AB5">
                  <w:pPr>
                    <w:jc w:val="center"/>
                    <w:rPr>
                      <w:rFonts w:cs="Arial"/>
                      <w:b/>
                      <w:bCs/>
                      <w:color w:val="000000"/>
                      <w:sz w:val="20"/>
                      <w:szCs w:val="20"/>
                      <w:lang w:eastAsia="en-GB"/>
                    </w:rPr>
                  </w:pPr>
                  <w:r w:rsidRPr="00D85AB5">
                    <w:rPr>
                      <w:rFonts w:cs="Arial"/>
                      <w:b/>
                      <w:bCs/>
                      <w:color w:val="000000"/>
                      <w:sz w:val="20"/>
                      <w:szCs w:val="20"/>
                      <w:lang w:eastAsia="en-GB"/>
                    </w:rPr>
                    <w:t>£</w:t>
                  </w:r>
                </w:p>
              </w:tc>
            </w:tr>
            <w:tr w:rsidR="00D85AB5" w:rsidRPr="00D85AB5" w14:paraId="6C630F9D" w14:textId="77777777" w:rsidTr="00D85AB5">
              <w:trPr>
                <w:trHeight w:val="450"/>
              </w:trPr>
              <w:tc>
                <w:tcPr>
                  <w:tcW w:w="610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2022461" w14:textId="77777777" w:rsidR="00D85AB5" w:rsidRPr="00D85AB5" w:rsidRDefault="00D85AB5" w:rsidP="00D85AB5">
                  <w:pPr>
                    <w:rPr>
                      <w:rFonts w:cs="Arial"/>
                      <w:color w:val="000000"/>
                      <w:sz w:val="20"/>
                      <w:szCs w:val="20"/>
                      <w:lang w:eastAsia="en-GB"/>
                    </w:rPr>
                  </w:pPr>
                  <w:r w:rsidRPr="00D85AB5">
                    <w:rPr>
                      <w:rFonts w:cs="Arial"/>
                      <w:color w:val="000000"/>
                      <w:sz w:val="20"/>
                      <w:szCs w:val="20"/>
                      <w:lang w:eastAsia="en-GB"/>
                    </w:rPr>
                    <w:t xml:space="preserve">ST01 Learner Assessment and Plan </w:t>
                  </w:r>
                </w:p>
              </w:tc>
              <w:tc>
                <w:tcPr>
                  <w:tcW w:w="110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773A659E" w14:textId="5AB85CDA" w:rsidR="00D85AB5" w:rsidRPr="00D85AB5" w:rsidRDefault="00D85AB5" w:rsidP="00D85AB5">
                  <w:pPr>
                    <w:jc w:val="center"/>
                    <w:rPr>
                      <w:rFonts w:cs="Arial"/>
                      <w:color w:val="000000"/>
                      <w:sz w:val="20"/>
                      <w:szCs w:val="20"/>
                      <w:lang w:eastAsia="en-GB"/>
                    </w:rPr>
                  </w:pPr>
                  <w:r w:rsidRPr="00D85AB5">
                    <w:rPr>
                      <w:rFonts w:cs="Arial"/>
                      <w:color w:val="000000"/>
                      <w:sz w:val="20"/>
                      <w:szCs w:val="20"/>
                      <w:lang w:eastAsia="en-GB"/>
                    </w:rPr>
                    <w:t>1163</w:t>
                  </w:r>
                </w:p>
              </w:tc>
              <w:tc>
                <w:tcPr>
                  <w:tcW w:w="144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16594A13" w14:textId="77777777" w:rsidR="00D85AB5" w:rsidRPr="00D85AB5" w:rsidRDefault="00D85AB5" w:rsidP="00D85AB5">
                  <w:pPr>
                    <w:jc w:val="center"/>
                    <w:rPr>
                      <w:rFonts w:cs="Arial"/>
                      <w:color w:val="000000"/>
                      <w:sz w:val="20"/>
                      <w:szCs w:val="20"/>
                      <w:lang w:eastAsia="en-GB"/>
                    </w:rPr>
                  </w:pPr>
                  <w:r w:rsidRPr="00D85AB5">
                    <w:rPr>
                      <w:rFonts w:cs="Arial"/>
                      <w:color w:val="000000"/>
                      <w:sz w:val="20"/>
                      <w:szCs w:val="20"/>
                      <w:lang w:eastAsia="en-GB"/>
                    </w:rPr>
                    <w:t>£50</w:t>
                  </w:r>
                </w:p>
              </w:tc>
              <w:tc>
                <w:tcPr>
                  <w:tcW w:w="1100"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7A7B6F20" w14:textId="77777777" w:rsidR="00D85AB5" w:rsidRPr="00D85AB5" w:rsidRDefault="00D85AB5" w:rsidP="00D85AB5">
                  <w:pPr>
                    <w:jc w:val="center"/>
                    <w:rPr>
                      <w:rFonts w:cs="Arial"/>
                      <w:color w:val="000000"/>
                      <w:sz w:val="20"/>
                      <w:szCs w:val="20"/>
                      <w:lang w:eastAsia="en-GB"/>
                    </w:rPr>
                  </w:pPr>
                  <w:r w:rsidRPr="00D85AB5">
                    <w:rPr>
                      <w:rFonts w:cs="Arial"/>
                      <w:color w:val="000000"/>
                      <w:sz w:val="20"/>
                      <w:szCs w:val="20"/>
                      <w:lang w:eastAsia="en-GB"/>
                    </w:rPr>
                    <w:t>£58,150</w:t>
                  </w:r>
                </w:p>
              </w:tc>
            </w:tr>
            <w:tr w:rsidR="00D85AB5" w:rsidRPr="00D85AB5" w14:paraId="62107177" w14:textId="77777777" w:rsidTr="00D85AB5">
              <w:trPr>
                <w:trHeight w:val="492"/>
              </w:trPr>
              <w:tc>
                <w:tcPr>
                  <w:tcW w:w="610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2F5AF6F1" w14:textId="77777777" w:rsidR="00D85AB5" w:rsidRPr="00D85AB5" w:rsidRDefault="00D85AB5" w:rsidP="00D85AB5">
                  <w:pPr>
                    <w:rPr>
                      <w:rFonts w:cs="Arial"/>
                      <w:color w:val="000000"/>
                      <w:sz w:val="20"/>
                      <w:szCs w:val="20"/>
                      <w:lang w:eastAsia="en-GB"/>
                    </w:rPr>
                  </w:pPr>
                  <w:r w:rsidRPr="00D85AB5">
                    <w:rPr>
                      <w:rFonts w:cs="Arial"/>
                      <w:color w:val="000000"/>
                      <w:sz w:val="20"/>
                      <w:szCs w:val="20"/>
                      <w:lang w:eastAsia="en-GB"/>
                    </w:rPr>
                    <w:t>RQ01 Regulated Learning</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04D99" w14:textId="749C6417" w:rsidR="00D85AB5" w:rsidRPr="00D85AB5" w:rsidRDefault="00D85AB5" w:rsidP="00D85AB5">
                  <w:pPr>
                    <w:jc w:val="center"/>
                    <w:rPr>
                      <w:rFonts w:cs="Arial"/>
                      <w:sz w:val="20"/>
                      <w:szCs w:val="20"/>
                      <w:lang w:eastAsia="en-GB"/>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DBC74" w14:textId="2EB8BB65" w:rsidR="00D85AB5" w:rsidRPr="00D85AB5" w:rsidRDefault="00D85AB5" w:rsidP="00D85AB5">
                  <w:pPr>
                    <w:jc w:val="center"/>
                    <w:rPr>
                      <w:rFonts w:cs="Arial"/>
                      <w:color w:val="000000"/>
                      <w:sz w:val="20"/>
                      <w:szCs w:val="20"/>
                      <w:lang w:eastAsia="en-GB"/>
                    </w:rPr>
                  </w:pPr>
                </w:p>
              </w:tc>
              <w:tc>
                <w:tcPr>
                  <w:tcW w:w="110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E367C3" w14:textId="77777777" w:rsidR="00D85AB5" w:rsidRPr="00D85AB5" w:rsidRDefault="00D85AB5" w:rsidP="00D85AB5">
                  <w:pPr>
                    <w:jc w:val="center"/>
                    <w:rPr>
                      <w:rFonts w:cs="Arial"/>
                      <w:color w:val="000000"/>
                      <w:sz w:val="20"/>
                      <w:szCs w:val="20"/>
                      <w:lang w:eastAsia="en-GB"/>
                    </w:rPr>
                  </w:pPr>
                  <w:r w:rsidRPr="00D85AB5">
                    <w:rPr>
                      <w:rFonts w:cs="Arial"/>
                      <w:color w:val="000000"/>
                      <w:sz w:val="20"/>
                      <w:szCs w:val="20"/>
                      <w:lang w:eastAsia="en-GB"/>
                    </w:rPr>
                    <w:t>£731,850</w:t>
                  </w:r>
                </w:p>
              </w:tc>
            </w:tr>
            <w:tr w:rsidR="00D85AB5" w:rsidRPr="00D85AB5" w14:paraId="44165D36" w14:textId="77777777" w:rsidTr="00D85AB5">
              <w:trPr>
                <w:trHeight w:val="396"/>
              </w:trPr>
              <w:tc>
                <w:tcPr>
                  <w:tcW w:w="610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BDDC2F7" w14:textId="77777777" w:rsidR="00D85AB5" w:rsidRPr="00D85AB5" w:rsidRDefault="00D85AB5" w:rsidP="00D85AB5">
                  <w:pPr>
                    <w:rPr>
                      <w:rFonts w:cs="Arial"/>
                      <w:color w:val="000000"/>
                      <w:sz w:val="20"/>
                      <w:szCs w:val="20"/>
                      <w:lang w:eastAsia="en-GB"/>
                    </w:rPr>
                  </w:pPr>
                  <w:r w:rsidRPr="00D85AB5">
                    <w:rPr>
                      <w:rFonts w:cs="Arial"/>
                      <w:color w:val="000000"/>
                      <w:sz w:val="20"/>
                      <w:szCs w:val="20"/>
                      <w:lang w:eastAsia="en-GB"/>
                    </w:rPr>
                    <w:t>NR01 Non Regulated Activity</w:t>
                  </w:r>
                </w:p>
              </w:tc>
              <w:tc>
                <w:tcPr>
                  <w:tcW w:w="11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58D444F" w14:textId="7FF9E109" w:rsidR="00D85AB5" w:rsidRPr="00D85AB5" w:rsidRDefault="00D85AB5" w:rsidP="00D85AB5">
                  <w:pPr>
                    <w:jc w:val="center"/>
                    <w:rPr>
                      <w:rFonts w:cs="Arial"/>
                      <w:sz w:val="20"/>
                      <w:szCs w:val="20"/>
                      <w:lang w:eastAsia="en-GB"/>
                    </w:rPr>
                  </w:pPr>
                </w:p>
              </w:tc>
              <w:tc>
                <w:tcPr>
                  <w:tcW w:w="144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7828EF3" w14:textId="303B242F" w:rsidR="00D85AB5" w:rsidRPr="00D85AB5" w:rsidRDefault="00D85AB5" w:rsidP="00D85AB5">
                  <w:pPr>
                    <w:jc w:val="center"/>
                    <w:rPr>
                      <w:rFonts w:cs="Arial"/>
                      <w:color w:val="000000"/>
                      <w:sz w:val="20"/>
                      <w:szCs w:val="20"/>
                      <w:lang w:eastAsia="en-GB"/>
                    </w:rPr>
                  </w:pPr>
                </w:p>
              </w:tc>
              <w:tc>
                <w:tcPr>
                  <w:tcW w:w="1100"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76B2CAAE" w14:textId="77777777" w:rsidR="00D85AB5" w:rsidRPr="00D85AB5" w:rsidRDefault="00D85AB5" w:rsidP="00D85AB5">
                  <w:pPr>
                    <w:jc w:val="center"/>
                    <w:rPr>
                      <w:rFonts w:cs="Arial"/>
                      <w:color w:val="000000"/>
                      <w:sz w:val="20"/>
                      <w:szCs w:val="20"/>
                      <w:lang w:eastAsia="en-GB"/>
                    </w:rPr>
                  </w:pPr>
                  <w:r w:rsidRPr="00D85AB5">
                    <w:rPr>
                      <w:rFonts w:cs="Arial"/>
                      <w:color w:val="000000"/>
                      <w:sz w:val="20"/>
                      <w:szCs w:val="20"/>
                      <w:lang w:eastAsia="en-GB"/>
                    </w:rPr>
                    <w:t>£300,000</w:t>
                  </w:r>
                </w:p>
              </w:tc>
            </w:tr>
            <w:tr w:rsidR="00D85AB5" w:rsidRPr="00D85AB5" w14:paraId="4366155B" w14:textId="77777777" w:rsidTr="00D85AB5">
              <w:trPr>
                <w:trHeight w:val="444"/>
              </w:trPr>
              <w:tc>
                <w:tcPr>
                  <w:tcW w:w="610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2902BEF4" w14:textId="77777777" w:rsidR="00D85AB5" w:rsidRPr="00D85AB5" w:rsidRDefault="00D85AB5" w:rsidP="00D85AB5">
                  <w:pPr>
                    <w:rPr>
                      <w:rFonts w:cs="Arial"/>
                      <w:color w:val="000000"/>
                      <w:sz w:val="20"/>
                      <w:szCs w:val="20"/>
                      <w:lang w:eastAsia="en-GB"/>
                    </w:rPr>
                  </w:pPr>
                  <w:r w:rsidRPr="00D85AB5">
                    <w:rPr>
                      <w:rFonts w:cs="Arial"/>
                      <w:color w:val="000000"/>
                      <w:sz w:val="20"/>
                      <w:szCs w:val="20"/>
                      <w:lang w:eastAsia="en-GB"/>
                    </w:rPr>
                    <w:t>PG04 Progression Apprenticeship (EDU)</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4646A" w14:textId="09596C38" w:rsidR="00D85AB5" w:rsidRPr="00D85AB5" w:rsidRDefault="00D85AB5" w:rsidP="00D85AB5">
                  <w:pPr>
                    <w:jc w:val="center"/>
                    <w:rPr>
                      <w:rFonts w:cs="Arial"/>
                      <w:sz w:val="20"/>
                      <w:szCs w:val="20"/>
                      <w:lang w:eastAsia="en-GB"/>
                    </w:rPr>
                  </w:pPr>
                  <w:r w:rsidRPr="00D85AB5">
                    <w:rPr>
                      <w:rFonts w:cs="Arial"/>
                      <w:sz w:val="20"/>
                      <w:szCs w:val="20"/>
                      <w:lang w:eastAsia="en-GB"/>
                    </w:rPr>
                    <w:t>700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D252D" w14:textId="77777777" w:rsidR="00D85AB5" w:rsidRPr="00D85AB5" w:rsidRDefault="00D85AB5" w:rsidP="00D85AB5">
                  <w:pPr>
                    <w:jc w:val="center"/>
                    <w:rPr>
                      <w:rFonts w:cs="Arial"/>
                      <w:color w:val="000000"/>
                      <w:sz w:val="20"/>
                      <w:szCs w:val="20"/>
                      <w:lang w:eastAsia="en-GB"/>
                    </w:rPr>
                  </w:pPr>
                  <w:r w:rsidRPr="00D85AB5">
                    <w:rPr>
                      <w:rFonts w:cs="Arial"/>
                      <w:color w:val="000000"/>
                      <w:sz w:val="20"/>
                      <w:szCs w:val="20"/>
                      <w:lang w:eastAsia="en-GB"/>
                    </w:rPr>
                    <w:t>£400</w:t>
                  </w:r>
                </w:p>
              </w:tc>
              <w:tc>
                <w:tcPr>
                  <w:tcW w:w="110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38140D" w14:textId="77777777" w:rsidR="00D85AB5" w:rsidRPr="00D85AB5" w:rsidRDefault="00D85AB5" w:rsidP="00D85AB5">
                  <w:pPr>
                    <w:jc w:val="center"/>
                    <w:rPr>
                      <w:rFonts w:cs="Arial"/>
                      <w:color w:val="000000"/>
                      <w:sz w:val="20"/>
                      <w:szCs w:val="20"/>
                      <w:lang w:eastAsia="en-GB"/>
                    </w:rPr>
                  </w:pPr>
                  <w:r w:rsidRPr="00D85AB5">
                    <w:rPr>
                      <w:rFonts w:cs="Arial"/>
                      <w:color w:val="000000"/>
                      <w:sz w:val="20"/>
                      <w:szCs w:val="20"/>
                      <w:lang w:eastAsia="en-GB"/>
                    </w:rPr>
                    <w:t>£280,000</w:t>
                  </w:r>
                </w:p>
              </w:tc>
            </w:tr>
            <w:tr w:rsidR="00D85AB5" w:rsidRPr="00D85AB5" w14:paraId="2273C455" w14:textId="77777777" w:rsidTr="00D85AB5">
              <w:trPr>
                <w:trHeight w:val="639"/>
              </w:trPr>
              <w:tc>
                <w:tcPr>
                  <w:tcW w:w="610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E4E2DB5" w14:textId="789A53D1" w:rsidR="00D85AB5" w:rsidRPr="00D85AB5" w:rsidRDefault="00D85AB5" w:rsidP="00D85AB5">
                  <w:pPr>
                    <w:rPr>
                      <w:rFonts w:cs="Arial"/>
                      <w:color w:val="000000"/>
                      <w:sz w:val="20"/>
                      <w:szCs w:val="20"/>
                      <w:lang w:eastAsia="en-GB"/>
                    </w:rPr>
                  </w:pPr>
                  <w:r>
                    <w:rPr>
                      <w:rFonts w:cs="Arial"/>
                      <w:color w:val="000000"/>
                      <w:sz w:val="20"/>
                      <w:szCs w:val="20"/>
                      <w:lang w:eastAsia="en-GB"/>
                    </w:rPr>
                    <w:t xml:space="preserve">SD02 </w:t>
                  </w:r>
                  <w:r w:rsidRPr="00D85AB5">
                    <w:rPr>
                      <w:rFonts w:cs="Arial"/>
                      <w:color w:val="000000"/>
                      <w:sz w:val="20"/>
                      <w:szCs w:val="20"/>
                      <w:lang w:eastAsia="en-GB"/>
                    </w:rPr>
                    <w:t>Business Engagement/Brokerage Service and recruitment of higher level apprentice (one payment per employer)</w:t>
                  </w:r>
                </w:p>
              </w:tc>
              <w:tc>
                <w:tcPr>
                  <w:tcW w:w="11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83C56F0" w14:textId="69686C8E" w:rsidR="00D85AB5" w:rsidRPr="00D85AB5" w:rsidRDefault="00D85AB5" w:rsidP="00D85AB5">
                  <w:pPr>
                    <w:jc w:val="center"/>
                    <w:rPr>
                      <w:rFonts w:cs="Arial"/>
                      <w:sz w:val="20"/>
                      <w:szCs w:val="20"/>
                      <w:lang w:eastAsia="en-GB"/>
                    </w:rPr>
                  </w:pPr>
                  <w:r w:rsidRPr="00D85AB5">
                    <w:rPr>
                      <w:rFonts w:cs="Arial"/>
                      <w:sz w:val="20"/>
                      <w:szCs w:val="20"/>
                      <w:lang w:eastAsia="en-GB"/>
                    </w:rPr>
                    <w:t>500</w:t>
                  </w:r>
                </w:p>
              </w:tc>
              <w:tc>
                <w:tcPr>
                  <w:tcW w:w="144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DE01B64" w14:textId="77777777" w:rsidR="00D85AB5" w:rsidRPr="00D85AB5" w:rsidRDefault="00D85AB5" w:rsidP="00D85AB5">
                  <w:pPr>
                    <w:jc w:val="center"/>
                    <w:rPr>
                      <w:rFonts w:cs="Arial"/>
                      <w:color w:val="000000"/>
                      <w:sz w:val="20"/>
                      <w:szCs w:val="20"/>
                      <w:lang w:eastAsia="en-GB"/>
                    </w:rPr>
                  </w:pPr>
                  <w:r w:rsidRPr="00D85AB5">
                    <w:rPr>
                      <w:rFonts w:cs="Arial"/>
                      <w:color w:val="000000"/>
                      <w:sz w:val="20"/>
                      <w:szCs w:val="20"/>
                      <w:lang w:eastAsia="en-GB"/>
                    </w:rPr>
                    <w:t>£500</w:t>
                  </w:r>
                </w:p>
              </w:tc>
              <w:tc>
                <w:tcPr>
                  <w:tcW w:w="1100"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39879BE0" w14:textId="77777777" w:rsidR="00D85AB5" w:rsidRPr="00D85AB5" w:rsidRDefault="00D85AB5" w:rsidP="00D85AB5">
                  <w:pPr>
                    <w:jc w:val="center"/>
                    <w:rPr>
                      <w:rFonts w:cs="Arial"/>
                      <w:color w:val="000000"/>
                      <w:sz w:val="20"/>
                      <w:szCs w:val="20"/>
                      <w:lang w:eastAsia="en-GB"/>
                    </w:rPr>
                  </w:pPr>
                  <w:r w:rsidRPr="00D85AB5">
                    <w:rPr>
                      <w:rFonts w:cs="Arial"/>
                      <w:color w:val="000000"/>
                      <w:sz w:val="20"/>
                      <w:szCs w:val="20"/>
                      <w:lang w:eastAsia="en-GB"/>
                    </w:rPr>
                    <w:t>£250,000</w:t>
                  </w:r>
                </w:p>
              </w:tc>
            </w:tr>
            <w:tr w:rsidR="00D85AB5" w:rsidRPr="00D85AB5" w14:paraId="7591E629" w14:textId="77777777" w:rsidTr="00D85AB5">
              <w:trPr>
                <w:trHeight w:val="450"/>
              </w:trPr>
              <w:tc>
                <w:tcPr>
                  <w:tcW w:w="610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4E3FB031" w14:textId="77777777" w:rsidR="00D85AB5" w:rsidRPr="00D85AB5" w:rsidRDefault="00D85AB5" w:rsidP="00D85AB5">
                  <w:pPr>
                    <w:rPr>
                      <w:rFonts w:cs="Arial"/>
                      <w:color w:val="000000"/>
                      <w:sz w:val="20"/>
                      <w:szCs w:val="20"/>
                      <w:lang w:eastAsia="en-GB"/>
                    </w:rPr>
                  </w:pPr>
                  <w:r w:rsidRPr="00D85AB5">
                    <w:rPr>
                      <w:rFonts w:cs="Arial"/>
                      <w:color w:val="000000"/>
                      <w:sz w:val="20"/>
                      <w:szCs w:val="20"/>
                      <w:lang w:eastAsia="en-GB"/>
                    </w:rPr>
                    <w:t>Total</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7344B" w14:textId="77777777" w:rsidR="00D85AB5" w:rsidRPr="00D85AB5" w:rsidRDefault="00D85AB5" w:rsidP="00D85AB5">
                  <w:pPr>
                    <w:jc w:val="center"/>
                    <w:rPr>
                      <w:rFonts w:cs="Arial"/>
                      <w:sz w:val="20"/>
                      <w:szCs w:val="20"/>
                      <w:lang w:eastAsia="en-GB"/>
                    </w:rPr>
                  </w:pPr>
                  <w:r w:rsidRPr="00D85AB5">
                    <w:rPr>
                      <w:rFonts w:cs="Arial"/>
                      <w:sz w:val="20"/>
                      <w:szCs w:val="20"/>
                      <w:lang w:eastAsia="en-GB"/>
                    </w:rPr>
                    <w:t>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E220C" w14:textId="66196DE8" w:rsidR="00D85AB5" w:rsidRPr="00D85AB5" w:rsidRDefault="00D85AB5" w:rsidP="00D85AB5">
                  <w:pPr>
                    <w:jc w:val="center"/>
                    <w:rPr>
                      <w:rFonts w:cs="Arial"/>
                      <w:color w:val="000000"/>
                      <w:sz w:val="20"/>
                      <w:szCs w:val="20"/>
                      <w:lang w:eastAsia="en-GB"/>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D097D" w14:textId="77777777" w:rsidR="00D85AB5" w:rsidRPr="00D85AB5" w:rsidRDefault="00D85AB5" w:rsidP="00D85AB5">
                  <w:pPr>
                    <w:jc w:val="center"/>
                    <w:rPr>
                      <w:rFonts w:cs="Arial"/>
                      <w:color w:val="000000"/>
                      <w:sz w:val="20"/>
                      <w:szCs w:val="20"/>
                      <w:lang w:eastAsia="en-GB"/>
                    </w:rPr>
                  </w:pPr>
                  <w:r w:rsidRPr="00D85AB5">
                    <w:rPr>
                      <w:rFonts w:cs="Arial"/>
                      <w:color w:val="000000"/>
                      <w:sz w:val="20"/>
                      <w:szCs w:val="20"/>
                      <w:lang w:eastAsia="en-GB"/>
                    </w:rPr>
                    <w:t>£1,620,000</w:t>
                  </w:r>
                </w:p>
              </w:tc>
            </w:tr>
          </w:tbl>
          <w:p w14:paraId="11D0D4F1" w14:textId="77777777" w:rsidR="00D85AB5" w:rsidRDefault="00D85AB5" w:rsidP="00A005EF">
            <w:pPr>
              <w:autoSpaceDE w:val="0"/>
              <w:autoSpaceDN w:val="0"/>
              <w:adjustRightInd w:val="0"/>
              <w:rPr>
                <w:rFonts w:eastAsia="Arial" w:cs="Arial"/>
              </w:rPr>
            </w:pPr>
          </w:p>
          <w:p w14:paraId="1CBA7661" w14:textId="378C5B8A" w:rsidR="00D85AB5" w:rsidRDefault="00D85AB5" w:rsidP="00A005EF">
            <w:pPr>
              <w:autoSpaceDE w:val="0"/>
              <w:autoSpaceDN w:val="0"/>
              <w:adjustRightInd w:val="0"/>
              <w:rPr>
                <w:rFonts w:cs="Arial"/>
              </w:rPr>
            </w:pPr>
          </w:p>
          <w:p w14:paraId="56E1625D" w14:textId="77777777" w:rsidR="00D85AB5" w:rsidRDefault="00D85AB5" w:rsidP="00A005EF">
            <w:pPr>
              <w:autoSpaceDE w:val="0"/>
              <w:autoSpaceDN w:val="0"/>
              <w:adjustRightInd w:val="0"/>
              <w:rPr>
                <w:rFonts w:cs="Arial"/>
              </w:rPr>
            </w:pPr>
          </w:p>
          <w:p w14:paraId="3AE7CBFC" w14:textId="77777777" w:rsidR="00D85AB5" w:rsidRDefault="00D85AB5" w:rsidP="00A005EF">
            <w:pPr>
              <w:autoSpaceDE w:val="0"/>
              <w:autoSpaceDN w:val="0"/>
              <w:adjustRightInd w:val="0"/>
              <w:rPr>
                <w:rFonts w:cs="Arial"/>
              </w:rPr>
            </w:pPr>
          </w:p>
          <w:p w14:paraId="3274CC5C" w14:textId="77777777" w:rsidR="00D85AB5" w:rsidRDefault="00D85AB5" w:rsidP="00A005EF">
            <w:pPr>
              <w:autoSpaceDE w:val="0"/>
              <w:autoSpaceDN w:val="0"/>
              <w:adjustRightInd w:val="0"/>
              <w:rPr>
                <w:rFonts w:cs="Arial"/>
              </w:rPr>
            </w:pPr>
          </w:p>
          <w:p w14:paraId="26DC7565" w14:textId="77777777" w:rsidR="00D85AB5" w:rsidRDefault="00D85AB5" w:rsidP="00A005EF">
            <w:pPr>
              <w:autoSpaceDE w:val="0"/>
              <w:autoSpaceDN w:val="0"/>
              <w:adjustRightInd w:val="0"/>
              <w:rPr>
                <w:rFonts w:cs="Arial"/>
              </w:rPr>
            </w:pPr>
          </w:p>
          <w:p w14:paraId="5376A322" w14:textId="77777777" w:rsidR="00D85AB5" w:rsidRDefault="00D85AB5" w:rsidP="00A005EF">
            <w:pPr>
              <w:autoSpaceDE w:val="0"/>
              <w:autoSpaceDN w:val="0"/>
              <w:adjustRightInd w:val="0"/>
              <w:rPr>
                <w:rFonts w:cs="Arial"/>
              </w:rPr>
            </w:pPr>
          </w:p>
          <w:p w14:paraId="1E5A7318" w14:textId="77777777" w:rsidR="00D85AB5" w:rsidRDefault="00D85AB5" w:rsidP="00A005EF">
            <w:pPr>
              <w:autoSpaceDE w:val="0"/>
              <w:autoSpaceDN w:val="0"/>
              <w:adjustRightInd w:val="0"/>
              <w:rPr>
                <w:rFonts w:cs="Arial"/>
              </w:rPr>
            </w:pPr>
          </w:p>
          <w:p w14:paraId="101524FB" w14:textId="77777777" w:rsidR="00D85AB5" w:rsidRDefault="00D85AB5" w:rsidP="00A005EF">
            <w:pPr>
              <w:autoSpaceDE w:val="0"/>
              <w:autoSpaceDN w:val="0"/>
              <w:adjustRightInd w:val="0"/>
              <w:rPr>
                <w:rFonts w:cs="Arial"/>
              </w:rPr>
            </w:pPr>
          </w:p>
          <w:p w14:paraId="607780E4" w14:textId="77777777" w:rsidR="00D85AB5" w:rsidRDefault="00D85AB5" w:rsidP="00A005EF">
            <w:pPr>
              <w:autoSpaceDE w:val="0"/>
              <w:autoSpaceDN w:val="0"/>
              <w:adjustRightInd w:val="0"/>
              <w:rPr>
                <w:rFonts w:cs="Arial"/>
              </w:rPr>
            </w:pPr>
          </w:p>
          <w:p w14:paraId="1AE865D4" w14:textId="4478036C" w:rsidR="00710DC0" w:rsidRPr="00D85AB5" w:rsidRDefault="00D45F33" w:rsidP="00A005EF">
            <w:pPr>
              <w:autoSpaceDE w:val="0"/>
              <w:autoSpaceDN w:val="0"/>
              <w:adjustRightInd w:val="0"/>
              <w:rPr>
                <w:rFonts w:eastAsia="Arial" w:cs="Arial"/>
                <w:b/>
              </w:rPr>
            </w:pPr>
            <w:r w:rsidRPr="00D85AB5">
              <w:rPr>
                <w:rFonts w:eastAsia="Arial" w:cs="Arial"/>
                <w:b/>
              </w:rPr>
              <w:t>Lot 2</w:t>
            </w:r>
            <w:r w:rsidR="628497D1" w:rsidRPr="00D85AB5">
              <w:rPr>
                <w:rFonts w:eastAsia="Arial" w:cs="Arial"/>
                <w:b/>
              </w:rPr>
              <w:t>:  S</w:t>
            </w:r>
            <w:r w:rsidRPr="00D85AB5">
              <w:rPr>
                <w:rFonts w:eastAsia="Arial" w:cs="Arial"/>
                <w:b/>
              </w:rPr>
              <w:t xml:space="preserve">kills </w:t>
            </w:r>
            <w:r w:rsidR="628497D1" w:rsidRPr="00D85AB5">
              <w:rPr>
                <w:rFonts w:eastAsia="Arial" w:cs="Arial"/>
                <w:b/>
              </w:rPr>
              <w:t>S</w:t>
            </w:r>
            <w:r w:rsidRPr="00D85AB5">
              <w:rPr>
                <w:rFonts w:eastAsia="Arial" w:cs="Arial"/>
                <w:b/>
              </w:rPr>
              <w:t xml:space="preserve">upport for </w:t>
            </w:r>
            <w:r w:rsidR="628497D1" w:rsidRPr="00D85AB5">
              <w:rPr>
                <w:rFonts w:eastAsia="Arial" w:cs="Arial"/>
                <w:b/>
              </w:rPr>
              <w:t>R</w:t>
            </w:r>
            <w:r w:rsidRPr="00D85AB5">
              <w:rPr>
                <w:rFonts w:eastAsia="Arial" w:cs="Arial"/>
                <w:b/>
              </w:rPr>
              <w:t>edundancy £810,000</w:t>
            </w:r>
          </w:p>
          <w:p w14:paraId="6C933FEA" w14:textId="65309C21" w:rsidR="00D85AB5" w:rsidRDefault="00D85AB5" w:rsidP="00A005EF">
            <w:pPr>
              <w:autoSpaceDE w:val="0"/>
              <w:autoSpaceDN w:val="0"/>
              <w:adjustRightInd w:val="0"/>
              <w:rPr>
                <w:rFonts w:cs="Arial"/>
              </w:rPr>
            </w:pPr>
          </w:p>
          <w:p w14:paraId="0869FD8C" w14:textId="77777777" w:rsidR="00D85AB5" w:rsidRDefault="00D85AB5" w:rsidP="00A005EF">
            <w:pPr>
              <w:autoSpaceDE w:val="0"/>
              <w:autoSpaceDN w:val="0"/>
              <w:adjustRightInd w:val="0"/>
              <w:rPr>
                <w:rFonts w:cs="Arial"/>
              </w:rPr>
            </w:pPr>
          </w:p>
          <w:tbl>
            <w:tblPr>
              <w:tblW w:w="9700" w:type="dxa"/>
              <w:tblLook w:val="04A0" w:firstRow="1" w:lastRow="0" w:firstColumn="1" w:lastColumn="0" w:noHBand="0" w:noVBand="1"/>
            </w:tblPr>
            <w:tblGrid>
              <w:gridCol w:w="6100"/>
              <w:gridCol w:w="1100"/>
              <w:gridCol w:w="1400"/>
              <w:gridCol w:w="1100"/>
            </w:tblGrid>
            <w:tr w:rsidR="00D85AB5" w:rsidRPr="00D85AB5" w14:paraId="659B6F50" w14:textId="77777777" w:rsidTr="00D85AB5">
              <w:trPr>
                <w:trHeight w:val="1608"/>
              </w:trPr>
              <w:tc>
                <w:tcPr>
                  <w:tcW w:w="610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22B5A63" w14:textId="77777777" w:rsidR="00D85AB5" w:rsidRPr="00D85AB5" w:rsidRDefault="00D85AB5" w:rsidP="00D85AB5">
                  <w:pPr>
                    <w:rPr>
                      <w:rFonts w:cs="Arial"/>
                      <w:b/>
                      <w:bCs/>
                      <w:color w:val="000000"/>
                      <w:sz w:val="20"/>
                      <w:szCs w:val="20"/>
                      <w:lang w:eastAsia="en-GB"/>
                    </w:rPr>
                  </w:pPr>
                  <w:r w:rsidRPr="00D85AB5">
                    <w:rPr>
                      <w:rFonts w:cs="Arial"/>
                      <w:b/>
                      <w:bCs/>
                      <w:color w:val="000000"/>
                      <w:sz w:val="20"/>
                      <w:szCs w:val="20"/>
                      <w:lang w:eastAsia="en-GB"/>
                    </w:rPr>
                    <w:t>Description</w:t>
                  </w:r>
                </w:p>
              </w:tc>
              <w:tc>
                <w:tcPr>
                  <w:tcW w:w="110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4375405" w14:textId="77777777" w:rsidR="00D85AB5" w:rsidRPr="00D85AB5" w:rsidRDefault="00D85AB5" w:rsidP="00D85AB5">
                  <w:pPr>
                    <w:jc w:val="center"/>
                    <w:rPr>
                      <w:rFonts w:cs="Arial"/>
                      <w:b/>
                      <w:bCs/>
                      <w:color w:val="000000"/>
                      <w:sz w:val="20"/>
                      <w:szCs w:val="20"/>
                      <w:lang w:eastAsia="en-GB"/>
                    </w:rPr>
                  </w:pPr>
                  <w:r w:rsidRPr="00D85AB5">
                    <w:rPr>
                      <w:rFonts w:cs="Arial"/>
                      <w:b/>
                      <w:bCs/>
                      <w:color w:val="000000"/>
                      <w:sz w:val="20"/>
                      <w:szCs w:val="20"/>
                      <w:lang w:eastAsia="en-GB"/>
                    </w:rPr>
                    <w:t>Volumes</w:t>
                  </w:r>
                </w:p>
              </w:tc>
              <w:tc>
                <w:tcPr>
                  <w:tcW w:w="140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99F054E" w14:textId="77777777" w:rsidR="00D85AB5" w:rsidRPr="00D85AB5" w:rsidRDefault="00D85AB5" w:rsidP="00D85AB5">
                  <w:pPr>
                    <w:jc w:val="center"/>
                    <w:rPr>
                      <w:rFonts w:cs="Arial"/>
                      <w:b/>
                      <w:bCs/>
                      <w:color w:val="000000"/>
                      <w:sz w:val="20"/>
                      <w:szCs w:val="20"/>
                      <w:lang w:eastAsia="en-GB"/>
                    </w:rPr>
                  </w:pPr>
                  <w:r w:rsidRPr="00D85AB5">
                    <w:rPr>
                      <w:rFonts w:cs="Arial"/>
                      <w:b/>
                      <w:bCs/>
                      <w:color w:val="000000"/>
                      <w:sz w:val="20"/>
                      <w:szCs w:val="20"/>
                      <w:lang w:eastAsia="en-GB"/>
                    </w:rPr>
                    <w:t>Unit Cost Total Value Average per Intervention</w:t>
                  </w:r>
                </w:p>
              </w:tc>
              <w:tc>
                <w:tcPr>
                  <w:tcW w:w="110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49B51BC" w14:textId="77777777" w:rsidR="00D85AB5" w:rsidRPr="00D85AB5" w:rsidRDefault="00D85AB5" w:rsidP="00D85AB5">
                  <w:pPr>
                    <w:jc w:val="center"/>
                    <w:rPr>
                      <w:rFonts w:cs="Arial"/>
                      <w:b/>
                      <w:bCs/>
                      <w:color w:val="000000"/>
                      <w:sz w:val="20"/>
                      <w:szCs w:val="20"/>
                      <w:lang w:eastAsia="en-GB"/>
                    </w:rPr>
                  </w:pPr>
                  <w:r w:rsidRPr="00D85AB5">
                    <w:rPr>
                      <w:rFonts w:cs="Arial"/>
                      <w:b/>
                      <w:bCs/>
                      <w:color w:val="000000"/>
                      <w:sz w:val="20"/>
                      <w:szCs w:val="20"/>
                      <w:lang w:eastAsia="en-GB"/>
                    </w:rPr>
                    <w:t>£</w:t>
                  </w:r>
                </w:p>
              </w:tc>
            </w:tr>
            <w:tr w:rsidR="00D85AB5" w:rsidRPr="00D85AB5" w14:paraId="4F40CC0C" w14:textId="77777777" w:rsidTr="00D85AB5">
              <w:trPr>
                <w:trHeight w:val="450"/>
              </w:trPr>
              <w:tc>
                <w:tcPr>
                  <w:tcW w:w="610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70A3DFC" w14:textId="77777777" w:rsidR="00D85AB5" w:rsidRPr="00D85AB5" w:rsidRDefault="00D85AB5" w:rsidP="00D85AB5">
                  <w:pPr>
                    <w:rPr>
                      <w:rFonts w:cs="Arial"/>
                      <w:color w:val="000000"/>
                      <w:sz w:val="20"/>
                      <w:szCs w:val="20"/>
                      <w:lang w:eastAsia="en-GB"/>
                    </w:rPr>
                  </w:pPr>
                  <w:r w:rsidRPr="00D85AB5">
                    <w:rPr>
                      <w:rFonts w:cs="Arial"/>
                      <w:color w:val="000000"/>
                      <w:sz w:val="20"/>
                      <w:szCs w:val="20"/>
                      <w:lang w:eastAsia="en-GB"/>
                    </w:rPr>
                    <w:t xml:space="preserve">ST01 Learner Assessment and Plan </w:t>
                  </w:r>
                </w:p>
              </w:tc>
              <w:tc>
                <w:tcPr>
                  <w:tcW w:w="110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7EF8B1ED" w14:textId="77777777" w:rsidR="00D85AB5" w:rsidRPr="00D85AB5" w:rsidRDefault="00D85AB5" w:rsidP="00D85AB5">
                  <w:pPr>
                    <w:jc w:val="center"/>
                    <w:rPr>
                      <w:rFonts w:cs="Arial"/>
                      <w:color w:val="000000"/>
                      <w:sz w:val="20"/>
                      <w:szCs w:val="20"/>
                      <w:lang w:eastAsia="en-GB"/>
                    </w:rPr>
                  </w:pPr>
                  <w:r w:rsidRPr="00D85AB5">
                    <w:rPr>
                      <w:rFonts w:cs="Arial"/>
                      <w:color w:val="000000"/>
                      <w:sz w:val="20"/>
                      <w:szCs w:val="20"/>
                      <w:lang w:eastAsia="en-GB"/>
                    </w:rPr>
                    <w:t>576.00</w:t>
                  </w:r>
                </w:p>
              </w:tc>
              <w:tc>
                <w:tcPr>
                  <w:tcW w:w="140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5CED8F2" w14:textId="77777777" w:rsidR="00D85AB5" w:rsidRPr="00D85AB5" w:rsidRDefault="00D85AB5" w:rsidP="00D85AB5">
                  <w:pPr>
                    <w:jc w:val="center"/>
                    <w:rPr>
                      <w:rFonts w:cs="Arial"/>
                      <w:color w:val="000000"/>
                      <w:sz w:val="20"/>
                      <w:szCs w:val="20"/>
                      <w:lang w:eastAsia="en-GB"/>
                    </w:rPr>
                  </w:pPr>
                  <w:r w:rsidRPr="00D85AB5">
                    <w:rPr>
                      <w:rFonts w:cs="Arial"/>
                      <w:color w:val="000000"/>
                      <w:sz w:val="20"/>
                      <w:szCs w:val="20"/>
                      <w:lang w:eastAsia="en-GB"/>
                    </w:rPr>
                    <w:t>£50</w:t>
                  </w:r>
                </w:p>
              </w:tc>
              <w:tc>
                <w:tcPr>
                  <w:tcW w:w="110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B657B88" w14:textId="77777777" w:rsidR="00D85AB5" w:rsidRPr="00D85AB5" w:rsidRDefault="00D85AB5" w:rsidP="00D85AB5">
                  <w:pPr>
                    <w:jc w:val="center"/>
                    <w:rPr>
                      <w:rFonts w:cs="Arial"/>
                      <w:color w:val="000000"/>
                      <w:sz w:val="20"/>
                      <w:szCs w:val="20"/>
                      <w:lang w:eastAsia="en-GB"/>
                    </w:rPr>
                  </w:pPr>
                  <w:r w:rsidRPr="00D85AB5">
                    <w:rPr>
                      <w:rFonts w:cs="Arial"/>
                      <w:color w:val="000000"/>
                      <w:sz w:val="20"/>
                      <w:szCs w:val="20"/>
                      <w:lang w:eastAsia="en-GB"/>
                    </w:rPr>
                    <w:t>£28,800</w:t>
                  </w:r>
                </w:p>
              </w:tc>
            </w:tr>
            <w:tr w:rsidR="00D85AB5" w:rsidRPr="00D85AB5" w14:paraId="2551C209" w14:textId="77777777" w:rsidTr="00D85AB5">
              <w:trPr>
                <w:trHeight w:val="450"/>
              </w:trPr>
              <w:tc>
                <w:tcPr>
                  <w:tcW w:w="610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03E0D8AE" w14:textId="77777777" w:rsidR="00D85AB5" w:rsidRPr="00D85AB5" w:rsidRDefault="00D85AB5" w:rsidP="00D85AB5">
                  <w:pPr>
                    <w:rPr>
                      <w:rFonts w:cs="Arial"/>
                      <w:color w:val="000000"/>
                      <w:sz w:val="20"/>
                      <w:szCs w:val="20"/>
                      <w:lang w:eastAsia="en-GB"/>
                    </w:rPr>
                  </w:pPr>
                  <w:r w:rsidRPr="00D85AB5">
                    <w:rPr>
                      <w:rFonts w:cs="Arial"/>
                      <w:color w:val="000000"/>
                      <w:sz w:val="20"/>
                      <w:szCs w:val="20"/>
                      <w:lang w:eastAsia="en-GB"/>
                    </w:rPr>
                    <w:t>RQ01 Regulated Learning</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54966" w14:textId="3D588CD1" w:rsidR="00D85AB5" w:rsidRPr="00D85AB5" w:rsidRDefault="00D85AB5" w:rsidP="00D85AB5">
                  <w:pPr>
                    <w:jc w:val="center"/>
                    <w:rPr>
                      <w:rFonts w:cs="Arial"/>
                      <w:sz w:val="2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DC51D" w14:textId="091EF868" w:rsidR="00D85AB5" w:rsidRPr="00D85AB5" w:rsidRDefault="00D85AB5" w:rsidP="00D85AB5">
                  <w:pPr>
                    <w:jc w:val="center"/>
                    <w:rPr>
                      <w:rFonts w:cs="Arial"/>
                      <w:color w:val="000000"/>
                      <w:sz w:val="20"/>
                      <w:szCs w:val="20"/>
                      <w:lang w:eastAsia="en-GB"/>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FDB6D" w14:textId="77777777" w:rsidR="00D85AB5" w:rsidRPr="00D85AB5" w:rsidRDefault="00D85AB5" w:rsidP="00D85AB5">
                  <w:pPr>
                    <w:jc w:val="center"/>
                    <w:rPr>
                      <w:rFonts w:cs="Arial"/>
                      <w:color w:val="000000"/>
                      <w:sz w:val="20"/>
                      <w:szCs w:val="20"/>
                      <w:lang w:eastAsia="en-GB"/>
                    </w:rPr>
                  </w:pPr>
                  <w:r w:rsidRPr="00D85AB5">
                    <w:rPr>
                      <w:rFonts w:cs="Arial"/>
                      <w:color w:val="000000"/>
                      <w:sz w:val="20"/>
                      <w:szCs w:val="20"/>
                      <w:lang w:eastAsia="en-GB"/>
                    </w:rPr>
                    <w:t>£150,000</w:t>
                  </w:r>
                </w:p>
              </w:tc>
            </w:tr>
            <w:tr w:rsidR="00D85AB5" w:rsidRPr="00D85AB5" w14:paraId="65300E33" w14:textId="77777777" w:rsidTr="00D85AB5">
              <w:trPr>
                <w:trHeight w:val="450"/>
              </w:trPr>
              <w:tc>
                <w:tcPr>
                  <w:tcW w:w="610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C8D9A27" w14:textId="77777777" w:rsidR="00D85AB5" w:rsidRPr="00D85AB5" w:rsidRDefault="00D85AB5" w:rsidP="00D85AB5">
                  <w:pPr>
                    <w:rPr>
                      <w:rFonts w:cs="Arial"/>
                      <w:color w:val="000000"/>
                      <w:sz w:val="20"/>
                      <w:szCs w:val="20"/>
                      <w:lang w:eastAsia="en-GB"/>
                    </w:rPr>
                  </w:pPr>
                  <w:r w:rsidRPr="00D85AB5">
                    <w:rPr>
                      <w:rFonts w:cs="Arial"/>
                      <w:color w:val="000000"/>
                      <w:sz w:val="20"/>
                      <w:szCs w:val="20"/>
                      <w:lang w:eastAsia="en-GB"/>
                    </w:rPr>
                    <w:t>NR01 Non Regulated Activity</w:t>
                  </w:r>
                </w:p>
              </w:tc>
              <w:tc>
                <w:tcPr>
                  <w:tcW w:w="11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F5F9D90" w14:textId="042C7664" w:rsidR="00D85AB5" w:rsidRPr="00D85AB5" w:rsidRDefault="00D85AB5" w:rsidP="00D85AB5">
                  <w:pPr>
                    <w:jc w:val="center"/>
                    <w:rPr>
                      <w:rFonts w:cs="Arial"/>
                      <w:sz w:val="2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22C7D85" w14:textId="38C68E2E" w:rsidR="00D85AB5" w:rsidRPr="00D85AB5" w:rsidRDefault="00D85AB5" w:rsidP="00D85AB5">
                  <w:pPr>
                    <w:jc w:val="center"/>
                    <w:rPr>
                      <w:rFonts w:cs="Arial"/>
                      <w:color w:val="000000"/>
                      <w:sz w:val="20"/>
                      <w:szCs w:val="20"/>
                      <w:lang w:eastAsia="en-GB"/>
                    </w:rPr>
                  </w:pPr>
                </w:p>
              </w:tc>
              <w:tc>
                <w:tcPr>
                  <w:tcW w:w="110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FD839D9" w14:textId="77777777" w:rsidR="00D85AB5" w:rsidRPr="00D85AB5" w:rsidRDefault="00D85AB5" w:rsidP="00D85AB5">
                  <w:pPr>
                    <w:jc w:val="center"/>
                    <w:rPr>
                      <w:rFonts w:cs="Arial"/>
                      <w:color w:val="000000"/>
                      <w:sz w:val="20"/>
                      <w:szCs w:val="20"/>
                      <w:lang w:eastAsia="en-GB"/>
                    </w:rPr>
                  </w:pPr>
                  <w:r w:rsidRPr="00D85AB5">
                    <w:rPr>
                      <w:rFonts w:cs="Arial"/>
                      <w:color w:val="000000"/>
                      <w:sz w:val="20"/>
                      <w:szCs w:val="20"/>
                      <w:lang w:eastAsia="en-GB"/>
                    </w:rPr>
                    <w:t>£150,000</w:t>
                  </w:r>
                </w:p>
              </w:tc>
            </w:tr>
            <w:tr w:rsidR="00D85AB5" w:rsidRPr="00D85AB5" w14:paraId="3F0F6712" w14:textId="77777777" w:rsidTr="00D85AB5">
              <w:trPr>
                <w:trHeight w:val="450"/>
              </w:trPr>
              <w:tc>
                <w:tcPr>
                  <w:tcW w:w="610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7F9DA898" w14:textId="77777777" w:rsidR="00D85AB5" w:rsidRPr="00D85AB5" w:rsidRDefault="00D85AB5" w:rsidP="00D85AB5">
                  <w:pPr>
                    <w:rPr>
                      <w:rFonts w:cs="Arial"/>
                      <w:color w:val="000000"/>
                      <w:sz w:val="20"/>
                      <w:szCs w:val="20"/>
                      <w:lang w:eastAsia="en-GB"/>
                    </w:rPr>
                  </w:pPr>
                  <w:r w:rsidRPr="00D85AB5">
                    <w:rPr>
                      <w:rFonts w:cs="Arial"/>
                      <w:color w:val="000000"/>
                      <w:sz w:val="20"/>
                      <w:szCs w:val="20"/>
                      <w:lang w:eastAsia="en-GB"/>
                    </w:rPr>
                    <w:t>PG01 Progression Paid Employment (EMP)</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9C8E7" w14:textId="77777777" w:rsidR="00D85AB5" w:rsidRPr="00D85AB5" w:rsidRDefault="00D85AB5" w:rsidP="00D85AB5">
                  <w:pPr>
                    <w:jc w:val="center"/>
                    <w:rPr>
                      <w:rFonts w:cs="Arial"/>
                      <w:color w:val="000000"/>
                      <w:sz w:val="20"/>
                      <w:szCs w:val="20"/>
                      <w:lang w:eastAsia="en-GB"/>
                    </w:rPr>
                  </w:pPr>
                  <w:r w:rsidRPr="00D85AB5">
                    <w:rPr>
                      <w:rFonts w:cs="Arial"/>
                      <w:color w:val="000000"/>
                      <w:sz w:val="20"/>
                      <w:szCs w:val="20"/>
                      <w:lang w:eastAsia="en-GB"/>
                    </w:rPr>
                    <w:t>300.00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D1F29" w14:textId="77777777" w:rsidR="00D85AB5" w:rsidRPr="00D85AB5" w:rsidRDefault="00D85AB5" w:rsidP="00D85AB5">
                  <w:pPr>
                    <w:jc w:val="center"/>
                    <w:rPr>
                      <w:rFonts w:cs="Arial"/>
                      <w:color w:val="000000"/>
                      <w:sz w:val="20"/>
                      <w:szCs w:val="20"/>
                      <w:lang w:eastAsia="en-GB"/>
                    </w:rPr>
                  </w:pPr>
                  <w:r w:rsidRPr="00D85AB5">
                    <w:rPr>
                      <w:rFonts w:cs="Arial"/>
                      <w:color w:val="000000"/>
                      <w:sz w:val="20"/>
                      <w:szCs w:val="20"/>
                      <w:lang w:eastAsia="en-GB"/>
                    </w:rPr>
                    <w:t>£600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1282F" w14:textId="77777777" w:rsidR="00D85AB5" w:rsidRPr="00D85AB5" w:rsidRDefault="00D85AB5" w:rsidP="00D85AB5">
                  <w:pPr>
                    <w:jc w:val="center"/>
                    <w:rPr>
                      <w:rFonts w:cs="Arial"/>
                      <w:color w:val="000000"/>
                      <w:sz w:val="20"/>
                      <w:szCs w:val="20"/>
                      <w:lang w:eastAsia="en-GB"/>
                    </w:rPr>
                  </w:pPr>
                  <w:r w:rsidRPr="00D85AB5">
                    <w:rPr>
                      <w:rFonts w:cs="Arial"/>
                      <w:color w:val="000000"/>
                      <w:sz w:val="20"/>
                      <w:szCs w:val="20"/>
                      <w:lang w:eastAsia="en-GB"/>
                    </w:rPr>
                    <w:t>£180,000</w:t>
                  </w:r>
                </w:p>
              </w:tc>
            </w:tr>
            <w:tr w:rsidR="00D85AB5" w:rsidRPr="00D85AB5" w14:paraId="7488FEAC" w14:textId="77777777" w:rsidTr="00D85AB5">
              <w:trPr>
                <w:trHeight w:val="450"/>
              </w:trPr>
              <w:tc>
                <w:tcPr>
                  <w:tcW w:w="610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CF1E8C4" w14:textId="77777777" w:rsidR="00D85AB5" w:rsidRPr="00D85AB5" w:rsidRDefault="00D85AB5" w:rsidP="00D85AB5">
                  <w:pPr>
                    <w:rPr>
                      <w:rFonts w:cs="Arial"/>
                      <w:color w:val="000000"/>
                      <w:sz w:val="20"/>
                      <w:szCs w:val="20"/>
                      <w:lang w:eastAsia="en-GB"/>
                    </w:rPr>
                  </w:pPr>
                  <w:r w:rsidRPr="00D85AB5">
                    <w:rPr>
                      <w:rFonts w:cs="Arial"/>
                      <w:color w:val="000000"/>
                      <w:sz w:val="20"/>
                      <w:szCs w:val="20"/>
                      <w:lang w:eastAsia="en-GB"/>
                    </w:rPr>
                    <w:t>PG04 Progression Apprenticeship (EDU)</w:t>
                  </w:r>
                </w:p>
              </w:tc>
              <w:tc>
                <w:tcPr>
                  <w:tcW w:w="11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77B8F20" w14:textId="77777777" w:rsidR="00D85AB5" w:rsidRPr="00D85AB5" w:rsidRDefault="00D85AB5" w:rsidP="00D85AB5">
                  <w:pPr>
                    <w:jc w:val="center"/>
                    <w:rPr>
                      <w:rFonts w:cs="Arial"/>
                      <w:sz w:val="20"/>
                      <w:szCs w:val="20"/>
                      <w:lang w:eastAsia="en-GB"/>
                    </w:rPr>
                  </w:pPr>
                  <w:r w:rsidRPr="00D85AB5">
                    <w:rPr>
                      <w:rFonts w:cs="Arial"/>
                      <w:sz w:val="20"/>
                      <w:szCs w:val="20"/>
                      <w:lang w:eastAsia="en-GB"/>
                    </w:rPr>
                    <w:t>250.00</w:t>
                  </w:r>
                </w:p>
              </w:tc>
              <w:tc>
                <w:tcPr>
                  <w:tcW w:w="140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A2EBC5A" w14:textId="77777777" w:rsidR="00D85AB5" w:rsidRPr="00D85AB5" w:rsidRDefault="00D85AB5" w:rsidP="00D85AB5">
                  <w:pPr>
                    <w:jc w:val="center"/>
                    <w:rPr>
                      <w:rFonts w:cs="Arial"/>
                      <w:color w:val="000000"/>
                      <w:sz w:val="20"/>
                      <w:szCs w:val="20"/>
                      <w:lang w:eastAsia="en-GB"/>
                    </w:rPr>
                  </w:pPr>
                  <w:r w:rsidRPr="00D85AB5">
                    <w:rPr>
                      <w:rFonts w:cs="Arial"/>
                      <w:color w:val="000000"/>
                      <w:sz w:val="20"/>
                      <w:szCs w:val="20"/>
                      <w:lang w:eastAsia="en-GB"/>
                    </w:rPr>
                    <w:t>£600</w:t>
                  </w:r>
                </w:p>
              </w:tc>
              <w:tc>
                <w:tcPr>
                  <w:tcW w:w="110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DFCC11B" w14:textId="77777777" w:rsidR="00D85AB5" w:rsidRPr="00D85AB5" w:rsidRDefault="00D85AB5" w:rsidP="00D85AB5">
                  <w:pPr>
                    <w:jc w:val="center"/>
                    <w:rPr>
                      <w:rFonts w:cs="Arial"/>
                      <w:color w:val="000000"/>
                      <w:sz w:val="20"/>
                      <w:szCs w:val="20"/>
                      <w:lang w:eastAsia="en-GB"/>
                    </w:rPr>
                  </w:pPr>
                  <w:r w:rsidRPr="00D85AB5">
                    <w:rPr>
                      <w:rFonts w:cs="Arial"/>
                      <w:color w:val="000000"/>
                      <w:sz w:val="20"/>
                      <w:szCs w:val="20"/>
                      <w:lang w:eastAsia="en-GB"/>
                    </w:rPr>
                    <w:t>£150,000</w:t>
                  </w:r>
                </w:p>
              </w:tc>
            </w:tr>
            <w:tr w:rsidR="00D85AB5" w:rsidRPr="00D85AB5" w14:paraId="5719C6EB" w14:textId="77777777" w:rsidTr="00D85AB5">
              <w:trPr>
                <w:trHeight w:val="450"/>
              </w:trPr>
              <w:tc>
                <w:tcPr>
                  <w:tcW w:w="610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469F12D5" w14:textId="77777777" w:rsidR="00D85AB5" w:rsidRPr="00D85AB5" w:rsidRDefault="00D85AB5" w:rsidP="00D85AB5">
                  <w:pPr>
                    <w:rPr>
                      <w:rFonts w:cs="Arial"/>
                      <w:color w:val="000000"/>
                      <w:sz w:val="20"/>
                      <w:szCs w:val="20"/>
                      <w:lang w:eastAsia="en-GB"/>
                    </w:rPr>
                  </w:pPr>
                  <w:r w:rsidRPr="00D85AB5">
                    <w:rPr>
                      <w:rFonts w:cs="Arial"/>
                      <w:color w:val="000000"/>
                      <w:sz w:val="20"/>
                      <w:szCs w:val="20"/>
                      <w:lang w:eastAsia="en-GB"/>
                    </w:rPr>
                    <w:t>SU01 Sustained Employment 3 months</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24314" w14:textId="77777777" w:rsidR="00D85AB5" w:rsidRPr="00D85AB5" w:rsidRDefault="00D85AB5" w:rsidP="00D85AB5">
                  <w:pPr>
                    <w:jc w:val="center"/>
                    <w:rPr>
                      <w:rFonts w:cs="Arial"/>
                      <w:sz w:val="20"/>
                      <w:szCs w:val="20"/>
                      <w:lang w:eastAsia="en-GB"/>
                    </w:rPr>
                  </w:pPr>
                  <w:r w:rsidRPr="00D85AB5">
                    <w:rPr>
                      <w:rFonts w:cs="Arial"/>
                      <w:sz w:val="20"/>
                      <w:szCs w:val="20"/>
                      <w:lang w:eastAsia="en-GB"/>
                    </w:rPr>
                    <w:t>200.00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43DF7" w14:textId="77777777" w:rsidR="00D85AB5" w:rsidRPr="00D85AB5" w:rsidRDefault="00D85AB5" w:rsidP="00D85AB5">
                  <w:pPr>
                    <w:jc w:val="center"/>
                    <w:rPr>
                      <w:rFonts w:cs="Arial"/>
                      <w:color w:val="000000"/>
                      <w:sz w:val="20"/>
                      <w:szCs w:val="20"/>
                      <w:lang w:eastAsia="en-GB"/>
                    </w:rPr>
                  </w:pPr>
                  <w:r w:rsidRPr="00D85AB5">
                    <w:rPr>
                      <w:rFonts w:cs="Arial"/>
                      <w:color w:val="000000"/>
                      <w:sz w:val="20"/>
                      <w:szCs w:val="20"/>
                      <w:lang w:eastAsia="en-GB"/>
                    </w:rPr>
                    <w:t>£400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FA158F" w14:textId="77777777" w:rsidR="00D85AB5" w:rsidRPr="00D85AB5" w:rsidRDefault="00D85AB5" w:rsidP="00D85AB5">
                  <w:pPr>
                    <w:jc w:val="center"/>
                    <w:rPr>
                      <w:rFonts w:cs="Arial"/>
                      <w:color w:val="000000"/>
                      <w:sz w:val="20"/>
                      <w:szCs w:val="20"/>
                      <w:lang w:eastAsia="en-GB"/>
                    </w:rPr>
                  </w:pPr>
                  <w:r w:rsidRPr="00D85AB5">
                    <w:rPr>
                      <w:rFonts w:cs="Arial"/>
                      <w:color w:val="000000"/>
                      <w:sz w:val="20"/>
                      <w:szCs w:val="20"/>
                      <w:lang w:eastAsia="en-GB"/>
                    </w:rPr>
                    <w:t>£80,000</w:t>
                  </w:r>
                </w:p>
              </w:tc>
            </w:tr>
            <w:tr w:rsidR="00D85AB5" w:rsidRPr="00D85AB5" w14:paraId="360AAE4D" w14:textId="77777777" w:rsidTr="00D85AB5">
              <w:trPr>
                <w:trHeight w:val="450"/>
              </w:trPr>
              <w:tc>
                <w:tcPr>
                  <w:tcW w:w="610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2F11983" w14:textId="77777777" w:rsidR="00D85AB5" w:rsidRPr="00D85AB5" w:rsidRDefault="00D85AB5" w:rsidP="00D85AB5">
                  <w:pPr>
                    <w:rPr>
                      <w:rFonts w:cs="Arial"/>
                      <w:color w:val="000000"/>
                      <w:sz w:val="20"/>
                      <w:szCs w:val="20"/>
                      <w:lang w:eastAsia="en-GB"/>
                    </w:rPr>
                  </w:pPr>
                  <w:r w:rsidRPr="00D85AB5">
                    <w:rPr>
                      <w:rFonts w:cs="Arial"/>
                      <w:color w:val="000000"/>
                      <w:sz w:val="20"/>
                      <w:szCs w:val="20"/>
                      <w:lang w:eastAsia="en-GB"/>
                    </w:rPr>
                    <w:t>SU04 Sustained Apprenticeship 3 Months</w:t>
                  </w:r>
                </w:p>
              </w:tc>
              <w:tc>
                <w:tcPr>
                  <w:tcW w:w="11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66C7EE5" w14:textId="77777777" w:rsidR="00D85AB5" w:rsidRPr="00D85AB5" w:rsidRDefault="00D85AB5" w:rsidP="00D85AB5">
                  <w:pPr>
                    <w:jc w:val="center"/>
                    <w:rPr>
                      <w:rFonts w:cs="Arial"/>
                      <w:sz w:val="20"/>
                      <w:szCs w:val="20"/>
                      <w:lang w:eastAsia="en-GB"/>
                    </w:rPr>
                  </w:pPr>
                  <w:r w:rsidRPr="00D85AB5">
                    <w:rPr>
                      <w:rFonts w:cs="Arial"/>
                      <w:sz w:val="20"/>
                      <w:szCs w:val="20"/>
                      <w:lang w:eastAsia="en-GB"/>
                    </w:rPr>
                    <w:t>178.00</w:t>
                  </w:r>
                </w:p>
              </w:tc>
              <w:tc>
                <w:tcPr>
                  <w:tcW w:w="140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B4CFBE5" w14:textId="77777777" w:rsidR="00D85AB5" w:rsidRPr="00D85AB5" w:rsidRDefault="00D85AB5" w:rsidP="00D85AB5">
                  <w:pPr>
                    <w:jc w:val="center"/>
                    <w:rPr>
                      <w:rFonts w:cs="Arial"/>
                      <w:color w:val="000000"/>
                      <w:sz w:val="20"/>
                      <w:szCs w:val="20"/>
                      <w:lang w:eastAsia="en-GB"/>
                    </w:rPr>
                  </w:pPr>
                  <w:r w:rsidRPr="00D85AB5">
                    <w:rPr>
                      <w:rFonts w:cs="Arial"/>
                      <w:color w:val="000000"/>
                      <w:sz w:val="20"/>
                      <w:szCs w:val="20"/>
                      <w:lang w:eastAsia="en-GB"/>
                    </w:rPr>
                    <w:t>£400</w:t>
                  </w:r>
                </w:p>
              </w:tc>
              <w:tc>
                <w:tcPr>
                  <w:tcW w:w="110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3685ED3" w14:textId="77777777" w:rsidR="00D85AB5" w:rsidRPr="00D85AB5" w:rsidRDefault="00D85AB5" w:rsidP="00D85AB5">
                  <w:pPr>
                    <w:jc w:val="center"/>
                    <w:rPr>
                      <w:rFonts w:cs="Arial"/>
                      <w:color w:val="000000"/>
                      <w:sz w:val="20"/>
                      <w:szCs w:val="20"/>
                      <w:lang w:eastAsia="en-GB"/>
                    </w:rPr>
                  </w:pPr>
                  <w:r w:rsidRPr="00D85AB5">
                    <w:rPr>
                      <w:rFonts w:cs="Arial"/>
                      <w:color w:val="000000"/>
                      <w:sz w:val="20"/>
                      <w:szCs w:val="20"/>
                      <w:lang w:eastAsia="en-GB"/>
                    </w:rPr>
                    <w:t>£71,200</w:t>
                  </w:r>
                </w:p>
              </w:tc>
            </w:tr>
            <w:tr w:rsidR="00D85AB5" w:rsidRPr="00D85AB5" w14:paraId="15825D11" w14:textId="77777777" w:rsidTr="00D85AB5">
              <w:trPr>
                <w:trHeight w:val="450"/>
              </w:trPr>
              <w:tc>
                <w:tcPr>
                  <w:tcW w:w="610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52CD9E28" w14:textId="77777777" w:rsidR="00D85AB5" w:rsidRPr="00D85AB5" w:rsidRDefault="00D85AB5" w:rsidP="00D85AB5">
                  <w:pPr>
                    <w:rPr>
                      <w:rFonts w:cs="Arial"/>
                      <w:color w:val="000000"/>
                      <w:sz w:val="20"/>
                      <w:szCs w:val="20"/>
                      <w:lang w:eastAsia="en-GB"/>
                    </w:rPr>
                  </w:pPr>
                  <w:r w:rsidRPr="00D85AB5">
                    <w:rPr>
                      <w:rFonts w:cs="Arial"/>
                      <w:color w:val="000000"/>
                      <w:sz w:val="20"/>
                      <w:szCs w:val="20"/>
                      <w:lang w:eastAsia="en-GB"/>
                    </w:rPr>
                    <w:t>Total</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94ABC" w14:textId="77777777" w:rsidR="00D85AB5" w:rsidRPr="00D85AB5" w:rsidRDefault="00D85AB5" w:rsidP="00D85AB5">
                  <w:pPr>
                    <w:jc w:val="center"/>
                    <w:rPr>
                      <w:rFonts w:cs="Arial"/>
                      <w:sz w:val="20"/>
                      <w:szCs w:val="20"/>
                      <w:lang w:eastAsia="en-GB"/>
                    </w:rPr>
                  </w:pPr>
                  <w:r w:rsidRPr="00D85AB5">
                    <w:rPr>
                      <w:rFonts w:cs="Arial"/>
                      <w:sz w:val="20"/>
                      <w:szCs w:val="20"/>
                      <w:lang w:eastAsia="en-GB"/>
                    </w:rPr>
                    <w:t> </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4DED8" w14:textId="344948DD" w:rsidR="00D85AB5" w:rsidRPr="00D85AB5" w:rsidRDefault="00D85AB5" w:rsidP="00D85AB5">
                  <w:pPr>
                    <w:jc w:val="center"/>
                    <w:rPr>
                      <w:rFonts w:cs="Arial"/>
                      <w:color w:val="000000"/>
                      <w:sz w:val="20"/>
                      <w:szCs w:val="20"/>
                      <w:lang w:eastAsia="en-GB"/>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15E86C" w14:textId="77777777" w:rsidR="00D85AB5" w:rsidRPr="00D85AB5" w:rsidRDefault="00D85AB5" w:rsidP="00D85AB5">
                  <w:pPr>
                    <w:jc w:val="center"/>
                    <w:rPr>
                      <w:rFonts w:cs="Arial"/>
                      <w:color w:val="000000"/>
                      <w:sz w:val="20"/>
                      <w:szCs w:val="20"/>
                      <w:lang w:eastAsia="en-GB"/>
                    </w:rPr>
                  </w:pPr>
                  <w:r w:rsidRPr="00D85AB5">
                    <w:rPr>
                      <w:rFonts w:cs="Arial"/>
                      <w:color w:val="000000"/>
                      <w:sz w:val="20"/>
                      <w:szCs w:val="20"/>
                      <w:lang w:eastAsia="en-GB"/>
                    </w:rPr>
                    <w:t>£810,000</w:t>
                  </w:r>
                </w:p>
              </w:tc>
            </w:tr>
          </w:tbl>
          <w:p w14:paraId="17D94D87" w14:textId="77777777" w:rsidR="00D85AB5" w:rsidRDefault="00D85AB5" w:rsidP="00A005EF">
            <w:pPr>
              <w:autoSpaceDE w:val="0"/>
              <w:autoSpaceDN w:val="0"/>
              <w:adjustRightInd w:val="0"/>
              <w:rPr>
                <w:rFonts w:cs="Arial"/>
              </w:rPr>
            </w:pPr>
          </w:p>
          <w:p w14:paraId="0CC3A0FD" w14:textId="77777777" w:rsidR="00710DC0" w:rsidRDefault="00710DC0" w:rsidP="00A005EF">
            <w:pPr>
              <w:autoSpaceDE w:val="0"/>
              <w:autoSpaceDN w:val="0"/>
              <w:adjustRightInd w:val="0"/>
              <w:rPr>
                <w:rFonts w:cs="Arial"/>
              </w:rPr>
            </w:pPr>
          </w:p>
          <w:p w14:paraId="22AD32C5" w14:textId="4FC31EB9" w:rsidR="00710DC0" w:rsidRPr="00D85AB5" w:rsidRDefault="00D45F33" w:rsidP="00A005EF">
            <w:pPr>
              <w:autoSpaceDE w:val="0"/>
              <w:autoSpaceDN w:val="0"/>
              <w:adjustRightInd w:val="0"/>
              <w:rPr>
                <w:b/>
              </w:rPr>
            </w:pPr>
            <w:r w:rsidRPr="00D85AB5">
              <w:rPr>
                <w:rFonts w:eastAsia="Arial" w:cs="Arial"/>
                <w:b/>
              </w:rPr>
              <w:t>Lot 3</w:t>
            </w:r>
            <w:r w:rsidR="628497D1" w:rsidRPr="00D85AB5">
              <w:rPr>
                <w:rFonts w:eastAsia="Arial" w:cs="Arial"/>
                <w:b/>
              </w:rPr>
              <w:t xml:space="preserve">: </w:t>
            </w:r>
            <w:r w:rsidRPr="00D85AB5">
              <w:rPr>
                <w:b/>
              </w:rPr>
              <w:t>Skills Support for the Workforce (Higher Skills) £3,078,000</w:t>
            </w:r>
          </w:p>
          <w:p w14:paraId="6BE1FE2B" w14:textId="78F5B504" w:rsidR="00D85AB5" w:rsidRDefault="00D85AB5" w:rsidP="00A005EF">
            <w:pPr>
              <w:autoSpaceDE w:val="0"/>
              <w:autoSpaceDN w:val="0"/>
              <w:adjustRightInd w:val="0"/>
              <w:rPr>
                <w:rFonts w:cs="Arial"/>
              </w:rPr>
            </w:pPr>
          </w:p>
          <w:tbl>
            <w:tblPr>
              <w:tblW w:w="5000" w:type="pct"/>
              <w:tblLook w:val="04A0" w:firstRow="1" w:lastRow="0" w:firstColumn="1" w:lastColumn="0" w:noHBand="0" w:noVBand="1"/>
            </w:tblPr>
            <w:tblGrid>
              <w:gridCol w:w="6087"/>
              <w:gridCol w:w="1067"/>
              <w:gridCol w:w="1369"/>
              <w:gridCol w:w="1217"/>
            </w:tblGrid>
            <w:tr w:rsidR="00D85AB5" w:rsidRPr="00D85AB5" w14:paraId="28D4A153" w14:textId="77777777" w:rsidTr="00D85AB5">
              <w:trPr>
                <w:trHeight w:val="1608"/>
              </w:trPr>
              <w:tc>
                <w:tcPr>
                  <w:tcW w:w="3144"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5B2B086" w14:textId="77777777" w:rsidR="00D85AB5" w:rsidRPr="00D85AB5" w:rsidRDefault="00D85AB5" w:rsidP="00D85AB5">
                  <w:pPr>
                    <w:rPr>
                      <w:rFonts w:cs="Arial"/>
                      <w:b/>
                      <w:bCs/>
                      <w:color w:val="000000"/>
                      <w:sz w:val="20"/>
                      <w:szCs w:val="20"/>
                      <w:lang w:eastAsia="en-GB"/>
                    </w:rPr>
                  </w:pPr>
                  <w:r w:rsidRPr="00D85AB5">
                    <w:rPr>
                      <w:rFonts w:cs="Arial"/>
                      <w:b/>
                      <w:bCs/>
                      <w:color w:val="000000"/>
                      <w:sz w:val="20"/>
                      <w:szCs w:val="20"/>
                      <w:lang w:eastAsia="en-GB"/>
                    </w:rPr>
                    <w:t>Description</w:t>
                  </w:r>
                </w:p>
              </w:tc>
              <w:tc>
                <w:tcPr>
                  <w:tcW w:w="567"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332AB11D" w14:textId="77777777" w:rsidR="00D85AB5" w:rsidRPr="00D85AB5" w:rsidRDefault="00D85AB5" w:rsidP="00D85AB5">
                  <w:pPr>
                    <w:jc w:val="center"/>
                    <w:rPr>
                      <w:rFonts w:cs="Arial"/>
                      <w:b/>
                      <w:bCs/>
                      <w:color w:val="000000"/>
                      <w:sz w:val="20"/>
                      <w:szCs w:val="20"/>
                      <w:lang w:eastAsia="en-GB"/>
                    </w:rPr>
                  </w:pPr>
                  <w:r w:rsidRPr="00D85AB5">
                    <w:rPr>
                      <w:rFonts w:cs="Arial"/>
                      <w:b/>
                      <w:bCs/>
                      <w:color w:val="000000"/>
                      <w:sz w:val="20"/>
                      <w:szCs w:val="20"/>
                      <w:lang w:eastAsia="en-GB"/>
                    </w:rPr>
                    <w:t>Volumes</w:t>
                  </w:r>
                </w:p>
              </w:tc>
              <w:tc>
                <w:tcPr>
                  <w:tcW w:w="722"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7D9745D" w14:textId="77777777" w:rsidR="00D85AB5" w:rsidRPr="00D85AB5" w:rsidRDefault="00D85AB5" w:rsidP="00D85AB5">
                  <w:pPr>
                    <w:jc w:val="center"/>
                    <w:rPr>
                      <w:rFonts w:cs="Arial"/>
                      <w:b/>
                      <w:bCs/>
                      <w:color w:val="000000"/>
                      <w:sz w:val="20"/>
                      <w:szCs w:val="20"/>
                      <w:lang w:eastAsia="en-GB"/>
                    </w:rPr>
                  </w:pPr>
                  <w:r w:rsidRPr="00D85AB5">
                    <w:rPr>
                      <w:rFonts w:cs="Arial"/>
                      <w:b/>
                      <w:bCs/>
                      <w:color w:val="000000"/>
                      <w:sz w:val="20"/>
                      <w:szCs w:val="20"/>
                      <w:lang w:eastAsia="en-GB"/>
                    </w:rPr>
                    <w:t>Unit Cost Total Value Average per Intervention</w:t>
                  </w:r>
                </w:p>
              </w:tc>
              <w:tc>
                <w:tcPr>
                  <w:tcW w:w="567"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3C51CA8F" w14:textId="77777777" w:rsidR="00D85AB5" w:rsidRPr="00D85AB5" w:rsidRDefault="00D85AB5" w:rsidP="00D85AB5">
                  <w:pPr>
                    <w:jc w:val="center"/>
                    <w:rPr>
                      <w:rFonts w:cs="Arial"/>
                      <w:b/>
                      <w:bCs/>
                      <w:color w:val="000000"/>
                      <w:sz w:val="20"/>
                      <w:szCs w:val="20"/>
                      <w:lang w:eastAsia="en-GB"/>
                    </w:rPr>
                  </w:pPr>
                  <w:r w:rsidRPr="00D85AB5">
                    <w:rPr>
                      <w:rFonts w:cs="Arial"/>
                      <w:b/>
                      <w:bCs/>
                      <w:color w:val="000000"/>
                      <w:sz w:val="20"/>
                      <w:szCs w:val="20"/>
                      <w:lang w:eastAsia="en-GB"/>
                    </w:rPr>
                    <w:t>£</w:t>
                  </w:r>
                </w:p>
              </w:tc>
            </w:tr>
            <w:tr w:rsidR="00D85AB5" w:rsidRPr="00D85AB5" w14:paraId="153DDBC2" w14:textId="77777777" w:rsidTr="00D85AB5">
              <w:trPr>
                <w:trHeight w:val="450"/>
              </w:trPr>
              <w:tc>
                <w:tcPr>
                  <w:tcW w:w="3144"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003DAAAC" w14:textId="77777777" w:rsidR="00D85AB5" w:rsidRPr="00D85AB5" w:rsidRDefault="00D85AB5" w:rsidP="00D85AB5">
                  <w:pPr>
                    <w:rPr>
                      <w:rFonts w:cs="Arial"/>
                      <w:color w:val="000000"/>
                      <w:sz w:val="20"/>
                      <w:szCs w:val="20"/>
                      <w:lang w:eastAsia="en-GB"/>
                    </w:rPr>
                  </w:pPr>
                  <w:r w:rsidRPr="00D85AB5">
                    <w:rPr>
                      <w:rFonts w:cs="Arial"/>
                      <w:color w:val="000000"/>
                      <w:sz w:val="20"/>
                      <w:szCs w:val="20"/>
                      <w:lang w:eastAsia="en-GB"/>
                    </w:rPr>
                    <w:t xml:space="preserve">ST01 Learner Assessment and Plan </w:t>
                  </w:r>
                </w:p>
              </w:tc>
              <w:tc>
                <w:tcPr>
                  <w:tcW w:w="567"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58C940D4" w14:textId="2F75EE72" w:rsidR="00D85AB5" w:rsidRPr="00D85AB5" w:rsidRDefault="00D85AB5" w:rsidP="00D85AB5">
                  <w:pPr>
                    <w:jc w:val="center"/>
                    <w:rPr>
                      <w:rFonts w:cs="Arial"/>
                      <w:color w:val="000000"/>
                      <w:sz w:val="20"/>
                      <w:szCs w:val="20"/>
                      <w:lang w:eastAsia="en-GB"/>
                    </w:rPr>
                  </w:pPr>
                  <w:r w:rsidRPr="00D85AB5">
                    <w:rPr>
                      <w:rFonts w:cs="Arial"/>
                      <w:color w:val="000000"/>
                      <w:sz w:val="20"/>
                      <w:szCs w:val="20"/>
                      <w:lang w:eastAsia="en-GB"/>
                    </w:rPr>
                    <w:t>2198</w:t>
                  </w:r>
                </w:p>
              </w:tc>
              <w:tc>
                <w:tcPr>
                  <w:tcW w:w="722"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BC8F5A3" w14:textId="77777777" w:rsidR="00D85AB5" w:rsidRPr="00D85AB5" w:rsidRDefault="00D85AB5" w:rsidP="00D85AB5">
                  <w:pPr>
                    <w:jc w:val="center"/>
                    <w:rPr>
                      <w:rFonts w:cs="Arial"/>
                      <w:color w:val="000000"/>
                      <w:sz w:val="20"/>
                      <w:szCs w:val="20"/>
                      <w:lang w:eastAsia="en-GB"/>
                    </w:rPr>
                  </w:pPr>
                  <w:r w:rsidRPr="00D85AB5">
                    <w:rPr>
                      <w:rFonts w:cs="Arial"/>
                      <w:color w:val="000000"/>
                      <w:sz w:val="20"/>
                      <w:szCs w:val="20"/>
                      <w:lang w:eastAsia="en-GB"/>
                    </w:rPr>
                    <w:t>£50</w:t>
                  </w:r>
                </w:p>
              </w:tc>
              <w:tc>
                <w:tcPr>
                  <w:tcW w:w="567"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784304E" w14:textId="77777777" w:rsidR="00D85AB5" w:rsidRPr="00D85AB5" w:rsidRDefault="00D85AB5" w:rsidP="00D85AB5">
                  <w:pPr>
                    <w:jc w:val="center"/>
                    <w:rPr>
                      <w:rFonts w:cs="Arial"/>
                      <w:color w:val="000000"/>
                      <w:sz w:val="20"/>
                      <w:szCs w:val="20"/>
                      <w:lang w:eastAsia="en-GB"/>
                    </w:rPr>
                  </w:pPr>
                  <w:r w:rsidRPr="00D85AB5">
                    <w:rPr>
                      <w:rFonts w:cs="Arial"/>
                      <w:color w:val="000000"/>
                      <w:sz w:val="20"/>
                      <w:szCs w:val="20"/>
                      <w:lang w:eastAsia="en-GB"/>
                    </w:rPr>
                    <w:t>£109,900</w:t>
                  </w:r>
                </w:p>
              </w:tc>
            </w:tr>
            <w:tr w:rsidR="00D85AB5" w:rsidRPr="00D85AB5" w14:paraId="32954CDD" w14:textId="77777777" w:rsidTr="00D85AB5">
              <w:trPr>
                <w:trHeight w:val="450"/>
              </w:trPr>
              <w:tc>
                <w:tcPr>
                  <w:tcW w:w="3144" w:type="pct"/>
                  <w:tcBorders>
                    <w:top w:val="single" w:sz="4" w:space="0" w:color="000000"/>
                    <w:left w:val="single" w:sz="4" w:space="0" w:color="000000"/>
                    <w:bottom w:val="single" w:sz="4" w:space="0" w:color="auto"/>
                    <w:right w:val="single" w:sz="4" w:space="0" w:color="auto"/>
                  </w:tcBorders>
                  <w:shd w:val="clear" w:color="auto" w:fill="auto"/>
                  <w:vAlign w:val="center"/>
                  <w:hideMark/>
                </w:tcPr>
                <w:p w14:paraId="01245688" w14:textId="77777777" w:rsidR="00D85AB5" w:rsidRPr="00D85AB5" w:rsidRDefault="00D85AB5" w:rsidP="00D85AB5">
                  <w:pPr>
                    <w:rPr>
                      <w:rFonts w:cs="Arial"/>
                      <w:color w:val="000000"/>
                      <w:sz w:val="20"/>
                      <w:szCs w:val="20"/>
                      <w:lang w:eastAsia="en-GB"/>
                    </w:rPr>
                  </w:pPr>
                  <w:r w:rsidRPr="00D85AB5">
                    <w:rPr>
                      <w:rFonts w:cs="Arial"/>
                      <w:color w:val="000000"/>
                      <w:sz w:val="20"/>
                      <w:szCs w:val="20"/>
                      <w:lang w:eastAsia="en-GB"/>
                    </w:rPr>
                    <w:t>RQ01 Regulated Learning</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184398" w14:textId="53262CCD" w:rsidR="00D85AB5" w:rsidRPr="00D85AB5" w:rsidRDefault="00D85AB5" w:rsidP="00D85AB5">
                  <w:pPr>
                    <w:jc w:val="center"/>
                    <w:rPr>
                      <w:rFonts w:cs="Arial"/>
                      <w:sz w:val="20"/>
                      <w:szCs w:val="20"/>
                      <w:lang w:eastAsia="en-GB"/>
                    </w:rPr>
                  </w:pPr>
                </w:p>
              </w:tc>
              <w:tc>
                <w:tcPr>
                  <w:tcW w:w="7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61428" w14:textId="3C32EE90" w:rsidR="00D85AB5" w:rsidRPr="00D85AB5" w:rsidRDefault="00D85AB5" w:rsidP="00D85AB5">
                  <w:pPr>
                    <w:jc w:val="center"/>
                    <w:rPr>
                      <w:rFonts w:cs="Arial"/>
                      <w:color w:val="000000"/>
                      <w:sz w:val="20"/>
                      <w:szCs w:val="20"/>
                      <w:lang w:eastAsia="en-GB"/>
                    </w:rPr>
                  </w:pP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02416" w14:textId="77777777" w:rsidR="00D85AB5" w:rsidRPr="00D85AB5" w:rsidRDefault="00D85AB5" w:rsidP="00D85AB5">
                  <w:pPr>
                    <w:jc w:val="center"/>
                    <w:rPr>
                      <w:rFonts w:cs="Arial"/>
                      <w:color w:val="000000"/>
                      <w:sz w:val="20"/>
                      <w:szCs w:val="20"/>
                      <w:lang w:eastAsia="en-GB"/>
                    </w:rPr>
                  </w:pPr>
                  <w:r w:rsidRPr="00D85AB5">
                    <w:rPr>
                      <w:rFonts w:cs="Arial"/>
                      <w:color w:val="000000"/>
                      <w:sz w:val="20"/>
                      <w:szCs w:val="20"/>
                      <w:lang w:eastAsia="en-GB"/>
                    </w:rPr>
                    <w:t>£1,099,000</w:t>
                  </w:r>
                </w:p>
              </w:tc>
            </w:tr>
            <w:tr w:rsidR="00D85AB5" w:rsidRPr="00D85AB5" w14:paraId="07DB04AD" w14:textId="77777777" w:rsidTr="00D85AB5">
              <w:trPr>
                <w:trHeight w:val="450"/>
              </w:trPr>
              <w:tc>
                <w:tcPr>
                  <w:tcW w:w="3144"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24B29147" w14:textId="77777777" w:rsidR="00D85AB5" w:rsidRPr="00D85AB5" w:rsidRDefault="00D85AB5" w:rsidP="00D85AB5">
                  <w:pPr>
                    <w:rPr>
                      <w:rFonts w:cs="Arial"/>
                      <w:color w:val="000000"/>
                      <w:sz w:val="20"/>
                      <w:szCs w:val="20"/>
                      <w:lang w:eastAsia="en-GB"/>
                    </w:rPr>
                  </w:pPr>
                  <w:r w:rsidRPr="00D85AB5">
                    <w:rPr>
                      <w:rFonts w:cs="Arial"/>
                      <w:color w:val="000000"/>
                      <w:sz w:val="20"/>
                      <w:szCs w:val="20"/>
                      <w:lang w:eastAsia="en-GB"/>
                    </w:rPr>
                    <w:t>NR01 Non Regulated Activity</w:t>
                  </w:r>
                </w:p>
              </w:tc>
              <w:tc>
                <w:tcPr>
                  <w:tcW w:w="567"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717C2635" w14:textId="7A91889D" w:rsidR="00D85AB5" w:rsidRPr="00D85AB5" w:rsidRDefault="00D85AB5" w:rsidP="00D85AB5">
                  <w:pPr>
                    <w:jc w:val="center"/>
                    <w:rPr>
                      <w:rFonts w:cs="Arial"/>
                      <w:sz w:val="20"/>
                      <w:szCs w:val="20"/>
                      <w:lang w:eastAsia="en-GB"/>
                    </w:rPr>
                  </w:pPr>
                </w:p>
              </w:tc>
              <w:tc>
                <w:tcPr>
                  <w:tcW w:w="72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2D2C227" w14:textId="08F6EA26" w:rsidR="00D85AB5" w:rsidRPr="00D85AB5" w:rsidRDefault="00D85AB5" w:rsidP="00D85AB5">
                  <w:pPr>
                    <w:jc w:val="center"/>
                    <w:rPr>
                      <w:rFonts w:cs="Arial"/>
                      <w:color w:val="000000"/>
                      <w:sz w:val="20"/>
                      <w:szCs w:val="20"/>
                      <w:lang w:eastAsia="en-GB"/>
                    </w:rPr>
                  </w:pPr>
                </w:p>
              </w:tc>
              <w:tc>
                <w:tcPr>
                  <w:tcW w:w="567"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A6F3899" w14:textId="77777777" w:rsidR="00D85AB5" w:rsidRPr="00D85AB5" w:rsidRDefault="00D85AB5" w:rsidP="00D85AB5">
                  <w:pPr>
                    <w:jc w:val="center"/>
                    <w:rPr>
                      <w:rFonts w:cs="Arial"/>
                      <w:color w:val="000000"/>
                      <w:sz w:val="20"/>
                      <w:szCs w:val="20"/>
                      <w:lang w:eastAsia="en-GB"/>
                    </w:rPr>
                  </w:pPr>
                  <w:r w:rsidRPr="00D85AB5">
                    <w:rPr>
                      <w:rFonts w:cs="Arial"/>
                      <w:color w:val="000000"/>
                      <w:sz w:val="20"/>
                      <w:szCs w:val="20"/>
                      <w:lang w:eastAsia="en-GB"/>
                    </w:rPr>
                    <w:t>£1,099,000</w:t>
                  </w:r>
                </w:p>
              </w:tc>
            </w:tr>
            <w:tr w:rsidR="00D85AB5" w:rsidRPr="00D85AB5" w14:paraId="5F180E63" w14:textId="77777777" w:rsidTr="00D85AB5">
              <w:trPr>
                <w:trHeight w:val="450"/>
              </w:trPr>
              <w:tc>
                <w:tcPr>
                  <w:tcW w:w="3144"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784F1213" w14:textId="77777777" w:rsidR="00D85AB5" w:rsidRPr="00D85AB5" w:rsidRDefault="00D85AB5" w:rsidP="00D85AB5">
                  <w:pPr>
                    <w:rPr>
                      <w:rFonts w:cs="Arial"/>
                      <w:color w:val="000000"/>
                      <w:sz w:val="20"/>
                      <w:szCs w:val="20"/>
                      <w:lang w:eastAsia="en-GB"/>
                    </w:rPr>
                  </w:pPr>
                  <w:r w:rsidRPr="00D85AB5">
                    <w:rPr>
                      <w:rFonts w:cs="Arial"/>
                      <w:color w:val="000000"/>
                      <w:sz w:val="20"/>
                      <w:szCs w:val="20"/>
                      <w:lang w:eastAsia="en-GB"/>
                    </w:rPr>
                    <w:t>SME Engagement and training needs analysis</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7549B5" w14:textId="4D3C3895" w:rsidR="00D85AB5" w:rsidRPr="00D85AB5" w:rsidRDefault="00D85AB5" w:rsidP="00D85AB5">
                  <w:pPr>
                    <w:jc w:val="center"/>
                    <w:rPr>
                      <w:rFonts w:cs="Arial"/>
                      <w:color w:val="000000"/>
                      <w:sz w:val="20"/>
                      <w:szCs w:val="20"/>
                      <w:lang w:eastAsia="en-GB"/>
                    </w:rPr>
                  </w:pPr>
                  <w:r w:rsidRPr="00D85AB5">
                    <w:rPr>
                      <w:rFonts w:cs="Arial"/>
                      <w:color w:val="000000"/>
                      <w:sz w:val="20"/>
                      <w:szCs w:val="20"/>
                      <w:lang w:eastAsia="en-GB"/>
                    </w:rPr>
                    <w:t>219</w:t>
                  </w:r>
                </w:p>
              </w:tc>
              <w:tc>
                <w:tcPr>
                  <w:tcW w:w="7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96053" w14:textId="77777777" w:rsidR="00D85AB5" w:rsidRPr="00D85AB5" w:rsidRDefault="00D85AB5" w:rsidP="00D85AB5">
                  <w:pPr>
                    <w:jc w:val="center"/>
                    <w:rPr>
                      <w:rFonts w:cs="Arial"/>
                      <w:color w:val="000000"/>
                      <w:sz w:val="20"/>
                      <w:szCs w:val="20"/>
                      <w:lang w:eastAsia="en-GB"/>
                    </w:rPr>
                  </w:pPr>
                  <w:r w:rsidRPr="00D85AB5">
                    <w:rPr>
                      <w:rFonts w:cs="Arial"/>
                      <w:color w:val="000000"/>
                      <w:sz w:val="20"/>
                      <w:szCs w:val="20"/>
                      <w:lang w:eastAsia="en-GB"/>
                    </w:rPr>
                    <w:t>£300</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11324" w14:textId="77777777" w:rsidR="00D85AB5" w:rsidRPr="00D85AB5" w:rsidRDefault="00D85AB5" w:rsidP="00D85AB5">
                  <w:pPr>
                    <w:jc w:val="center"/>
                    <w:rPr>
                      <w:rFonts w:cs="Arial"/>
                      <w:color w:val="000000"/>
                      <w:sz w:val="20"/>
                      <w:szCs w:val="20"/>
                      <w:lang w:eastAsia="en-GB"/>
                    </w:rPr>
                  </w:pPr>
                  <w:r w:rsidRPr="00D85AB5">
                    <w:rPr>
                      <w:rFonts w:cs="Arial"/>
                      <w:color w:val="000000"/>
                      <w:sz w:val="20"/>
                      <w:szCs w:val="20"/>
                      <w:lang w:eastAsia="en-GB"/>
                    </w:rPr>
                    <w:t>£65,700</w:t>
                  </w:r>
                </w:p>
              </w:tc>
            </w:tr>
            <w:tr w:rsidR="00D85AB5" w:rsidRPr="00D85AB5" w14:paraId="45E152AF" w14:textId="77777777" w:rsidTr="00D85AB5">
              <w:trPr>
                <w:trHeight w:val="450"/>
              </w:trPr>
              <w:tc>
                <w:tcPr>
                  <w:tcW w:w="3144"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38ECE2A7" w14:textId="5F91D48E" w:rsidR="00D85AB5" w:rsidRPr="00D85AB5" w:rsidRDefault="00D85AB5" w:rsidP="00D85AB5">
                  <w:pPr>
                    <w:rPr>
                      <w:rFonts w:cs="Arial"/>
                      <w:color w:val="000000"/>
                      <w:sz w:val="20"/>
                      <w:szCs w:val="20"/>
                      <w:lang w:eastAsia="en-GB"/>
                    </w:rPr>
                  </w:pPr>
                  <w:r>
                    <w:rPr>
                      <w:rFonts w:cs="Arial"/>
                      <w:color w:val="000000"/>
                      <w:sz w:val="20"/>
                      <w:szCs w:val="20"/>
                      <w:lang w:eastAsia="en-GB"/>
                    </w:rPr>
                    <w:t xml:space="preserve">SD02 </w:t>
                  </w:r>
                  <w:r w:rsidRPr="00D85AB5">
                    <w:rPr>
                      <w:rFonts w:cs="Arial"/>
                      <w:color w:val="000000"/>
                      <w:sz w:val="20"/>
                      <w:szCs w:val="20"/>
                      <w:lang w:eastAsia="en-GB"/>
                    </w:rPr>
                    <w:t>Progression within work</w:t>
                  </w:r>
                </w:p>
              </w:tc>
              <w:tc>
                <w:tcPr>
                  <w:tcW w:w="567"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72BFEFB7" w14:textId="380E0C69" w:rsidR="00D85AB5" w:rsidRPr="00D85AB5" w:rsidRDefault="00D85AB5" w:rsidP="00D85AB5">
                  <w:pPr>
                    <w:jc w:val="center"/>
                    <w:rPr>
                      <w:rFonts w:cs="Arial"/>
                      <w:sz w:val="20"/>
                      <w:szCs w:val="20"/>
                      <w:lang w:eastAsia="en-GB"/>
                    </w:rPr>
                  </w:pPr>
                  <w:r w:rsidRPr="00D85AB5">
                    <w:rPr>
                      <w:rFonts w:cs="Arial"/>
                      <w:sz w:val="20"/>
                      <w:szCs w:val="20"/>
                      <w:lang w:eastAsia="en-GB"/>
                    </w:rPr>
                    <w:t>550</w:t>
                  </w:r>
                </w:p>
              </w:tc>
              <w:tc>
                <w:tcPr>
                  <w:tcW w:w="72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85C3185" w14:textId="77777777" w:rsidR="00D85AB5" w:rsidRPr="00D85AB5" w:rsidRDefault="00D85AB5" w:rsidP="00D85AB5">
                  <w:pPr>
                    <w:jc w:val="center"/>
                    <w:rPr>
                      <w:rFonts w:cs="Arial"/>
                      <w:color w:val="000000"/>
                      <w:sz w:val="20"/>
                      <w:szCs w:val="20"/>
                      <w:lang w:eastAsia="en-GB"/>
                    </w:rPr>
                  </w:pPr>
                  <w:r w:rsidRPr="00D85AB5">
                    <w:rPr>
                      <w:rFonts w:cs="Arial"/>
                      <w:color w:val="000000"/>
                      <w:sz w:val="20"/>
                      <w:szCs w:val="20"/>
                      <w:lang w:eastAsia="en-GB"/>
                    </w:rPr>
                    <w:t>£600</w:t>
                  </w:r>
                </w:p>
              </w:tc>
              <w:tc>
                <w:tcPr>
                  <w:tcW w:w="567"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3E4A6D7" w14:textId="77777777" w:rsidR="00D85AB5" w:rsidRPr="00D85AB5" w:rsidRDefault="00D85AB5" w:rsidP="00D85AB5">
                  <w:pPr>
                    <w:jc w:val="center"/>
                    <w:rPr>
                      <w:rFonts w:cs="Arial"/>
                      <w:color w:val="000000"/>
                      <w:sz w:val="20"/>
                      <w:szCs w:val="20"/>
                      <w:lang w:eastAsia="en-GB"/>
                    </w:rPr>
                  </w:pPr>
                  <w:r w:rsidRPr="00D85AB5">
                    <w:rPr>
                      <w:rFonts w:cs="Arial"/>
                      <w:color w:val="000000"/>
                      <w:sz w:val="20"/>
                      <w:szCs w:val="20"/>
                      <w:lang w:eastAsia="en-GB"/>
                    </w:rPr>
                    <w:t>£330,000</w:t>
                  </w:r>
                </w:p>
              </w:tc>
            </w:tr>
            <w:tr w:rsidR="00D85AB5" w:rsidRPr="00D85AB5" w14:paraId="2B3F3DC1" w14:textId="77777777" w:rsidTr="00D85AB5">
              <w:trPr>
                <w:trHeight w:val="450"/>
              </w:trPr>
              <w:tc>
                <w:tcPr>
                  <w:tcW w:w="3144"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702DCF79" w14:textId="77777777" w:rsidR="00D85AB5" w:rsidRPr="00D85AB5" w:rsidRDefault="00D85AB5" w:rsidP="00D85AB5">
                  <w:pPr>
                    <w:rPr>
                      <w:rFonts w:cs="Arial"/>
                      <w:color w:val="000000"/>
                      <w:sz w:val="20"/>
                      <w:szCs w:val="20"/>
                      <w:lang w:eastAsia="en-GB"/>
                    </w:rPr>
                  </w:pPr>
                  <w:r w:rsidRPr="00D85AB5">
                    <w:rPr>
                      <w:rFonts w:cs="Arial"/>
                      <w:color w:val="000000"/>
                      <w:sz w:val="20"/>
                      <w:szCs w:val="20"/>
                      <w:lang w:eastAsia="en-GB"/>
                    </w:rPr>
                    <w:t>PG03 Progression Education (EDU)</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7D553C" w14:textId="74BFC9C0" w:rsidR="00D85AB5" w:rsidRPr="00D85AB5" w:rsidRDefault="00D85AB5" w:rsidP="00D85AB5">
                  <w:pPr>
                    <w:jc w:val="center"/>
                    <w:rPr>
                      <w:rFonts w:cs="Arial"/>
                      <w:sz w:val="20"/>
                      <w:szCs w:val="20"/>
                      <w:lang w:eastAsia="en-GB"/>
                    </w:rPr>
                  </w:pPr>
                  <w:r w:rsidRPr="00D85AB5">
                    <w:rPr>
                      <w:rFonts w:cs="Arial"/>
                      <w:sz w:val="20"/>
                      <w:szCs w:val="20"/>
                      <w:lang w:eastAsia="en-GB"/>
                    </w:rPr>
                    <w:t>550</w:t>
                  </w:r>
                </w:p>
              </w:tc>
              <w:tc>
                <w:tcPr>
                  <w:tcW w:w="7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BB76F" w14:textId="77777777" w:rsidR="00D85AB5" w:rsidRPr="00D85AB5" w:rsidRDefault="00D85AB5" w:rsidP="00D85AB5">
                  <w:pPr>
                    <w:jc w:val="center"/>
                    <w:rPr>
                      <w:rFonts w:cs="Arial"/>
                      <w:color w:val="000000"/>
                      <w:sz w:val="20"/>
                      <w:szCs w:val="20"/>
                      <w:lang w:eastAsia="en-GB"/>
                    </w:rPr>
                  </w:pPr>
                  <w:r w:rsidRPr="00D85AB5">
                    <w:rPr>
                      <w:rFonts w:cs="Arial"/>
                      <w:color w:val="000000"/>
                      <w:sz w:val="20"/>
                      <w:szCs w:val="20"/>
                      <w:lang w:eastAsia="en-GB"/>
                    </w:rPr>
                    <w:t>£600</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918F4" w14:textId="77777777" w:rsidR="00D85AB5" w:rsidRPr="00D85AB5" w:rsidRDefault="00D85AB5" w:rsidP="00D85AB5">
                  <w:pPr>
                    <w:jc w:val="center"/>
                    <w:rPr>
                      <w:rFonts w:cs="Arial"/>
                      <w:color w:val="000000"/>
                      <w:sz w:val="20"/>
                      <w:szCs w:val="20"/>
                      <w:lang w:eastAsia="en-GB"/>
                    </w:rPr>
                  </w:pPr>
                  <w:r w:rsidRPr="00D85AB5">
                    <w:rPr>
                      <w:rFonts w:cs="Arial"/>
                      <w:color w:val="000000"/>
                      <w:sz w:val="20"/>
                      <w:szCs w:val="20"/>
                      <w:lang w:eastAsia="en-GB"/>
                    </w:rPr>
                    <w:t>£330,000</w:t>
                  </w:r>
                </w:p>
              </w:tc>
            </w:tr>
            <w:tr w:rsidR="00D85AB5" w:rsidRPr="00D85AB5" w14:paraId="66C32E30" w14:textId="77777777" w:rsidTr="00D85AB5">
              <w:trPr>
                <w:trHeight w:val="450"/>
              </w:trPr>
              <w:tc>
                <w:tcPr>
                  <w:tcW w:w="3144"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3430EB5B" w14:textId="77777777" w:rsidR="00D85AB5" w:rsidRPr="00D85AB5" w:rsidRDefault="00D85AB5" w:rsidP="00D85AB5">
                  <w:pPr>
                    <w:rPr>
                      <w:rFonts w:cs="Arial"/>
                      <w:color w:val="000000"/>
                      <w:sz w:val="20"/>
                      <w:szCs w:val="20"/>
                      <w:lang w:eastAsia="en-GB"/>
                    </w:rPr>
                  </w:pPr>
                  <w:r w:rsidRPr="00D85AB5">
                    <w:rPr>
                      <w:rFonts w:cs="Arial"/>
                      <w:color w:val="000000"/>
                      <w:sz w:val="20"/>
                      <w:szCs w:val="20"/>
                      <w:lang w:eastAsia="en-GB"/>
                    </w:rPr>
                    <w:t>PG04 Progression Apprenticeship (EDU)</w:t>
                  </w:r>
                </w:p>
              </w:tc>
              <w:tc>
                <w:tcPr>
                  <w:tcW w:w="567"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53C1DE85" w14:textId="268AFF6B" w:rsidR="00D85AB5" w:rsidRPr="00D85AB5" w:rsidRDefault="00D85AB5" w:rsidP="00D85AB5">
                  <w:pPr>
                    <w:jc w:val="center"/>
                    <w:rPr>
                      <w:rFonts w:cs="Arial"/>
                      <w:sz w:val="20"/>
                      <w:szCs w:val="20"/>
                      <w:lang w:eastAsia="en-GB"/>
                    </w:rPr>
                  </w:pPr>
                  <w:r w:rsidRPr="00D85AB5">
                    <w:rPr>
                      <w:rFonts w:cs="Arial"/>
                      <w:sz w:val="20"/>
                      <w:szCs w:val="20"/>
                      <w:lang w:eastAsia="en-GB"/>
                    </w:rPr>
                    <w:t>74</w:t>
                  </w:r>
                </w:p>
              </w:tc>
              <w:tc>
                <w:tcPr>
                  <w:tcW w:w="72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F8273B3" w14:textId="77777777" w:rsidR="00D85AB5" w:rsidRPr="00D85AB5" w:rsidRDefault="00D85AB5" w:rsidP="00D85AB5">
                  <w:pPr>
                    <w:jc w:val="center"/>
                    <w:rPr>
                      <w:rFonts w:cs="Arial"/>
                      <w:color w:val="000000"/>
                      <w:sz w:val="20"/>
                      <w:szCs w:val="20"/>
                      <w:lang w:eastAsia="en-GB"/>
                    </w:rPr>
                  </w:pPr>
                  <w:r w:rsidRPr="00D85AB5">
                    <w:rPr>
                      <w:rFonts w:cs="Arial"/>
                      <w:color w:val="000000"/>
                      <w:sz w:val="20"/>
                      <w:szCs w:val="20"/>
                      <w:lang w:eastAsia="en-GB"/>
                    </w:rPr>
                    <w:t>£600</w:t>
                  </w:r>
                </w:p>
              </w:tc>
              <w:tc>
                <w:tcPr>
                  <w:tcW w:w="567"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A9D7CA2" w14:textId="77777777" w:rsidR="00D85AB5" w:rsidRPr="00D85AB5" w:rsidRDefault="00D85AB5" w:rsidP="00D85AB5">
                  <w:pPr>
                    <w:jc w:val="center"/>
                    <w:rPr>
                      <w:rFonts w:cs="Arial"/>
                      <w:color w:val="000000"/>
                      <w:sz w:val="20"/>
                      <w:szCs w:val="20"/>
                      <w:lang w:eastAsia="en-GB"/>
                    </w:rPr>
                  </w:pPr>
                  <w:r w:rsidRPr="00D85AB5">
                    <w:rPr>
                      <w:rFonts w:cs="Arial"/>
                      <w:color w:val="000000"/>
                      <w:sz w:val="20"/>
                      <w:szCs w:val="20"/>
                      <w:lang w:eastAsia="en-GB"/>
                    </w:rPr>
                    <w:t>£44,400</w:t>
                  </w:r>
                </w:p>
              </w:tc>
            </w:tr>
            <w:tr w:rsidR="00D85AB5" w:rsidRPr="00D85AB5" w14:paraId="4E298AFF" w14:textId="77777777" w:rsidTr="00D85AB5">
              <w:trPr>
                <w:trHeight w:val="450"/>
              </w:trPr>
              <w:tc>
                <w:tcPr>
                  <w:tcW w:w="3144"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68CFD162" w14:textId="77777777" w:rsidR="00D85AB5" w:rsidRPr="00D85AB5" w:rsidRDefault="00D85AB5" w:rsidP="00D85AB5">
                  <w:pPr>
                    <w:rPr>
                      <w:rFonts w:cs="Arial"/>
                      <w:color w:val="000000"/>
                      <w:sz w:val="20"/>
                      <w:szCs w:val="20"/>
                      <w:lang w:eastAsia="en-GB"/>
                    </w:rPr>
                  </w:pPr>
                  <w:r w:rsidRPr="00D85AB5">
                    <w:rPr>
                      <w:rFonts w:cs="Arial"/>
                      <w:color w:val="000000"/>
                      <w:sz w:val="20"/>
                      <w:szCs w:val="20"/>
                      <w:lang w:eastAsia="en-GB"/>
                    </w:rPr>
                    <w:t>Total</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A096AA" w14:textId="77777777" w:rsidR="00D85AB5" w:rsidRPr="00D85AB5" w:rsidRDefault="00D85AB5" w:rsidP="00D85AB5">
                  <w:pPr>
                    <w:jc w:val="center"/>
                    <w:rPr>
                      <w:rFonts w:cs="Arial"/>
                      <w:sz w:val="20"/>
                      <w:szCs w:val="20"/>
                      <w:lang w:eastAsia="en-GB"/>
                    </w:rPr>
                  </w:pPr>
                  <w:r w:rsidRPr="00D85AB5">
                    <w:rPr>
                      <w:rFonts w:cs="Arial"/>
                      <w:sz w:val="20"/>
                      <w:szCs w:val="20"/>
                      <w:lang w:eastAsia="en-GB"/>
                    </w:rPr>
                    <w:t> </w:t>
                  </w:r>
                </w:p>
              </w:tc>
              <w:tc>
                <w:tcPr>
                  <w:tcW w:w="7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C0A71D" w14:textId="3D757EE4" w:rsidR="00D85AB5" w:rsidRPr="00D85AB5" w:rsidRDefault="00D85AB5" w:rsidP="00D85AB5">
                  <w:pPr>
                    <w:jc w:val="center"/>
                    <w:rPr>
                      <w:rFonts w:cs="Arial"/>
                      <w:color w:val="000000"/>
                      <w:sz w:val="20"/>
                      <w:szCs w:val="20"/>
                      <w:lang w:eastAsia="en-GB"/>
                    </w:rPr>
                  </w:pP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7D596" w14:textId="77777777" w:rsidR="00D85AB5" w:rsidRPr="00D85AB5" w:rsidRDefault="00D85AB5" w:rsidP="00D85AB5">
                  <w:pPr>
                    <w:jc w:val="center"/>
                    <w:rPr>
                      <w:rFonts w:cs="Arial"/>
                      <w:color w:val="000000"/>
                      <w:sz w:val="20"/>
                      <w:szCs w:val="20"/>
                      <w:lang w:eastAsia="en-GB"/>
                    </w:rPr>
                  </w:pPr>
                  <w:r w:rsidRPr="00D85AB5">
                    <w:rPr>
                      <w:rFonts w:cs="Arial"/>
                      <w:color w:val="000000"/>
                      <w:sz w:val="20"/>
                      <w:szCs w:val="20"/>
                      <w:lang w:eastAsia="en-GB"/>
                    </w:rPr>
                    <w:t>£3,078,000</w:t>
                  </w:r>
                </w:p>
              </w:tc>
            </w:tr>
          </w:tbl>
          <w:p w14:paraId="5EF85C31" w14:textId="77777777" w:rsidR="00D85AB5" w:rsidRDefault="00D85AB5" w:rsidP="00A005EF">
            <w:pPr>
              <w:autoSpaceDE w:val="0"/>
              <w:autoSpaceDN w:val="0"/>
              <w:adjustRightInd w:val="0"/>
              <w:rPr>
                <w:rFonts w:cs="Arial"/>
              </w:rPr>
            </w:pPr>
          </w:p>
          <w:p w14:paraId="668894EC" w14:textId="77777777" w:rsidR="00710DC0" w:rsidRDefault="00710DC0" w:rsidP="00A005EF">
            <w:pPr>
              <w:autoSpaceDE w:val="0"/>
              <w:autoSpaceDN w:val="0"/>
              <w:adjustRightInd w:val="0"/>
              <w:rPr>
                <w:rFonts w:cs="Arial"/>
              </w:rPr>
            </w:pPr>
          </w:p>
          <w:p w14:paraId="0CA4BE4F" w14:textId="5756B31E" w:rsidR="00710DC0" w:rsidRDefault="00710DC0" w:rsidP="00A005EF">
            <w:pPr>
              <w:autoSpaceDE w:val="0"/>
              <w:autoSpaceDN w:val="0"/>
              <w:adjustRightInd w:val="0"/>
              <w:rPr>
                <w:rFonts w:cs="Arial"/>
              </w:rPr>
            </w:pPr>
          </w:p>
          <w:p w14:paraId="642FDF95" w14:textId="77777777" w:rsidR="00344FA1" w:rsidRDefault="00344FA1" w:rsidP="00565987">
            <w:pPr>
              <w:pStyle w:val="ListParagraph"/>
              <w:autoSpaceDE w:val="0"/>
              <w:autoSpaceDN w:val="0"/>
              <w:adjustRightInd w:val="0"/>
              <w:ind w:left="360"/>
              <w:rPr>
                <w:rFonts w:cs="Arial"/>
                <w:b/>
              </w:rPr>
            </w:pPr>
          </w:p>
          <w:p w14:paraId="2FDE83C7" w14:textId="1F9013EF" w:rsidR="00E5142B" w:rsidRPr="00D85AB5" w:rsidRDefault="00D45F33" w:rsidP="00D85AB5">
            <w:pPr>
              <w:autoSpaceDE w:val="0"/>
              <w:autoSpaceDN w:val="0"/>
              <w:adjustRightInd w:val="0"/>
              <w:rPr>
                <w:rFonts w:cs="Arial"/>
                <w:b/>
              </w:rPr>
            </w:pPr>
            <w:r w:rsidRPr="00D85AB5">
              <w:rPr>
                <w:rFonts w:eastAsia="Arial" w:cs="Arial"/>
                <w:b/>
              </w:rPr>
              <w:t>Lot 4</w:t>
            </w:r>
            <w:r w:rsidR="628497D1" w:rsidRPr="00D85AB5">
              <w:rPr>
                <w:rFonts w:eastAsia="Arial" w:cs="Arial"/>
                <w:b/>
              </w:rPr>
              <w:t xml:space="preserve">:  </w:t>
            </w:r>
            <w:r w:rsidRPr="00D85AB5">
              <w:rPr>
                <w:b/>
              </w:rPr>
              <w:t>Skills Support for the Workforce (basic skills) £972,000</w:t>
            </w:r>
          </w:p>
          <w:p w14:paraId="68CE2C2D" w14:textId="77777777" w:rsidR="00E5142B" w:rsidRDefault="00E5142B" w:rsidP="00565987">
            <w:pPr>
              <w:pStyle w:val="ListParagraph"/>
              <w:autoSpaceDE w:val="0"/>
              <w:autoSpaceDN w:val="0"/>
              <w:adjustRightInd w:val="0"/>
              <w:ind w:left="360"/>
              <w:rPr>
                <w:rFonts w:cs="Arial"/>
              </w:rPr>
            </w:pPr>
          </w:p>
          <w:tbl>
            <w:tblPr>
              <w:tblW w:w="9680" w:type="dxa"/>
              <w:tblLook w:val="04A0" w:firstRow="1" w:lastRow="0" w:firstColumn="1" w:lastColumn="0" w:noHBand="0" w:noVBand="1"/>
            </w:tblPr>
            <w:tblGrid>
              <w:gridCol w:w="5894"/>
              <w:gridCol w:w="1311"/>
              <w:gridCol w:w="1361"/>
              <w:gridCol w:w="1114"/>
            </w:tblGrid>
            <w:tr w:rsidR="00D85AB5" w:rsidRPr="00D85AB5" w14:paraId="7DAB6608" w14:textId="77777777" w:rsidTr="00D85AB5">
              <w:trPr>
                <w:trHeight w:val="1608"/>
              </w:trPr>
              <w:tc>
                <w:tcPr>
                  <w:tcW w:w="610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6F37434" w14:textId="77777777" w:rsidR="00D85AB5" w:rsidRPr="00D85AB5" w:rsidRDefault="00D85AB5" w:rsidP="00D85AB5">
                  <w:pPr>
                    <w:rPr>
                      <w:rFonts w:cs="Arial"/>
                      <w:b/>
                      <w:bCs/>
                      <w:color w:val="000000"/>
                      <w:sz w:val="20"/>
                      <w:szCs w:val="20"/>
                      <w:lang w:eastAsia="en-GB"/>
                    </w:rPr>
                  </w:pPr>
                  <w:r w:rsidRPr="00D85AB5">
                    <w:rPr>
                      <w:rFonts w:cs="Arial"/>
                      <w:b/>
                      <w:bCs/>
                      <w:color w:val="000000"/>
                      <w:sz w:val="20"/>
                      <w:szCs w:val="20"/>
                      <w:lang w:eastAsia="en-GB"/>
                    </w:rPr>
                    <w:t>Description</w:t>
                  </w:r>
                </w:p>
              </w:tc>
              <w:tc>
                <w:tcPr>
                  <w:tcW w:w="11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4BDA7C3" w14:textId="77777777" w:rsidR="00D85AB5" w:rsidRPr="00D85AB5" w:rsidRDefault="00D85AB5" w:rsidP="00D85AB5">
                  <w:pPr>
                    <w:jc w:val="center"/>
                    <w:rPr>
                      <w:rFonts w:cs="Arial"/>
                      <w:b/>
                      <w:bCs/>
                      <w:color w:val="000000"/>
                      <w:sz w:val="20"/>
                      <w:szCs w:val="20"/>
                      <w:lang w:eastAsia="en-GB"/>
                    </w:rPr>
                  </w:pPr>
                  <w:r w:rsidRPr="00D85AB5">
                    <w:rPr>
                      <w:rFonts w:cs="Arial"/>
                      <w:b/>
                      <w:bCs/>
                      <w:color w:val="000000"/>
                      <w:sz w:val="20"/>
                      <w:szCs w:val="20"/>
                      <w:lang w:eastAsia="en-GB"/>
                    </w:rPr>
                    <w:t>Volumes</w:t>
                  </w:r>
                </w:p>
              </w:tc>
              <w:tc>
                <w:tcPr>
                  <w:tcW w:w="134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AD9B882" w14:textId="77777777" w:rsidR="00D85AB5" w:rsidRPr="00D85AB5" w:rsidRDefault="00D85AB5" w:rsidP="00D85AB5">
                  <w:pPr>
                    <w:jc w:val="center"/>
                    <w:rPr>
                      <w:rFonts w:cs="Arial"/>
                      <w:b/>
                      <w:bCs/>
                      <w:color w:val="000000"/>
                      <w:sz w:val="20"/>
                      <w:szCs w:val="20"/>
                      <w:lang w:eastAsia="en-GB"/>
                    </w:rPr>
                  </w:pPr>
                  <w:r w:rsidRPr="00D85AB5">
                    <w:rPr>
                      <w:rFonts w:cs="Arial"/>
                      <w:b/>
                      <w:bCs/>
                      <w:color w:val="000000"/>
                      <w:sz w:val="20"/>
                      <w:szCs w:val="20"/>
                      <w:lang w:eastAsia="en-GB"/>
                    </w:rPr>
                    <w:t>Unit Cost Total Value Average per Intervention</w:t>
                  </w:r>
                </w:p>
              </w:tc>
              <w:tc>
                <w:tcPr>
                  <w:tcW w:w="11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D8836CE" w14:textId="77777777" w:rsidR="00D85AB5" w:rsidRPr="00D85AB5" w:rsidRDefault="00D85AB5" w:rsidP="00D85AB5">
                  <w:pPr>
                    <w:jc w:val="center"/>
                    <w:rPr>
                      <w:rFonts w:cs="Arial"/>
                      <w:b/>
                      <w:bCs/>
                      <w:color w:val="000000"/>
                      <w:sz w:val="20"/>
                      <w:szCs w:val="20"/>
                      <w:lang w:eastAsia="en-GB"/>
                    </w:rPr>
                  </w:pPr>
                  <w:r w:rsidRPr="00D85AB5">
                    <w:rPr>
                      <w:rFonts w:cs="Arial"/>
                      <w:b/>
                      <w:bCs/>
                      <w:color w:val="000000"/>
                      <w:sz w:val="20"/>
                      <w:szCs w:val="20"/>
                      <w:lang w:eastAsia="en-GB"/>
                    </w:rPr>
                    <w:t>£</w:t>
                  </w:r>
                </w:p>
              </w:tc>
            </w:tr>
            <w:tr w:rsidR="00D85AB5" w:rsidRPr="00D85AB5" w14:paraId="5C682330" w14:textId="77777777" w:rsidTr="00D85AB5">
              <w:trPr>
                <w:trHeight w:val="450"/>
              </w:trPr>
              <w:tc>
                <w:tcPr>
                  <w:tcW w:w="6316"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3764202" w14:textId="77777777" w:rsidR="00D85AB5" w:rsidRPr="00D85AB5" w:rsidRDefault="00D85AB5" w:rsidP="00D85AB5">
                  <w:pPr>
                    <w:rPr>
                      <w:rFonts w:cs="Arial"/>
                      <w:color w:val="000000"/>
                      <w:sz w:val="20"/>
                      <w:szCs w:val="20"/>
                      <w:lang w:eastAsia="en-GB"/>
                    </w:rPr>
                  </w:pPr>
                  <w:r w:rsidRPr="00D85AB5">
                    <w:rPr>
                      <w:rFonts w:cs="Arial"/>
                      <w:color w:val="000000"/>
                      <w:sz w:val="20"/>
                      <w:szCs w:val="20"/>
                      <w:lang w:eastAsia="en-GB"/>
                    </w:rPr>
                    <w:t xml:space="preserve">ST01 Learner Assessment and Plan </w:t>
                  </w:r>
                </w:p>
              </w:tc>
              <w:tc>
                <w:tcPr>
                  <w:tcW w:w="1336"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ACF1F5E" w14:textId="536B46A4" w:rsidR="00D85AB5" w:rsidRPr="00D85AB5" w:rsidRDefault="00D85AB5" w:rsidP="00D85AB5">
                  <w:pPr>
                    <w:jc w:val="center"/>
                    <w:rPr>
                      <w:rFonts w:cs="Arial"/>
                      <w:color w:val="000000"/>
                      <w:sz w:val="20"/>
                      <w:szCs w:val="20"/>
                      <w:lang w:eastAsia="en-GB"/>
                    </w:rPr>
                  </w:pPr>
                  <w:r w:rsidRPr="00D85AB5">
                    <w:rPr>
                      <w:rFonts w:cs="Arial"/>
                      <w:color w:val="000000"/>
                      <w:sz w:val="20"/>
                      <w:szCs w:val="20"/>
                      <w:lang w:eastAsia="en-GB"/>
                    </w:rPr>
                    <w:t>694</w:t>
                  </w:r>
                </w:p>
              </w:tc>
              <w:tc>
                <w:tcPr>
                  <w:tcW w:w="216"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56F32E6A" w14:textId="77777777" w:rsidR="00D85AB5" w:rsidRPr="00D85AB5" w:rsidRDefault="00D85AB5" w:rsidP="00D85AB5">
                  <w:pPr>
                    <w:jc w:val="center"/>
                    <w:rPr>
                      <w:rFonts w:cs="Arial"/>
                      <w:color w:val="000000"/>
                      <w:sz w:val="20"/>
                      <w:szCs w:val="20"/>
                      <w:lang w:eastAsia="en-GB"/>
                    </w:rPr>
                  </w:pPr>
                  <w:r w:rsidRPr="00D85AB5">
                    <w:rPr>
                      <w:rFonts w:cs="Arial"/>
                      <w:color w:val="000000"/>
                      <w:sz w:val="20"/>
                      <w:szCs w:val="20"/>
                      <w:lang w:eastAsia="en-GB"/>
                    </w:rPr>
                    <w:t>£50</w:t>
                  </w:r>
                </w:p>
              </w:tc>
              <w:tc>
                <w:tcPr>
                  <w:tcW w:w="216"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4A488D78" w14:textId="77777777" w:rsidR="00D85AB5" w:rsidRPr="00D85AB5" w:rsidRDefault="00D85AB5" w:rsidP="00D85AB5">
                  <w:pPr>
                    <w:jc w:val="center"/>
                    <w:rPr>
                      <w:rFonts w:cs="Arial"/>
                      <w:color w:val="000000"/>
                      <w:sz w:val="20"/>
                      <w:szCs w:val="20"/>
                      <w:lang w:eastAsia="en-GB"/>
                    </w:rPr>
                  </w:pPr>
                  <w:r w:rsidRPr="00D85AB5">
                    <w:rPr>
                      <w:rFonts w:cs="Arial"/>
                      <w:color w:val="000000"/>
                      <w:sz w:val="20"/>
                      <w:szCs w:val="20"/>
                      <w:lang w:eastAsia="en-GB"/>
                    </w:rPr>
                    <w:t>£34,700</w:t>
                  </w:r>
                </w:p>
              </w:tc>
            </w:tr>
            <w:tr w:rsidR="00D85AB5" w:rsidRPr="00D85AB5" w14:paraId="29661AB9" w14:textId="77777777" w:rsidTr="00D85AB5">
              <w:trPr>
                <w:trHeight w:val="450"/>
              </w:trPr>
              <w:tc>
                <w:tcPr>
                  <w:tcW w:w="6316"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221AC62D" w14:textId="77777777" w:rsidR="00D85AB5" w:rsidRPr="00D85AB5" w:rsidRDefault="00D85AB5" w:rsidP="00D85AB5">
                  <w:pPr>
                    <w:rPr>
                      <w:rFonts w:cs="Arial"/>
                      <w:color w:val="000000"/>
                      <w:sz w:val="20"/>
                      <w:szCs w:val="20"/>
                      <w:lang w:eastAsia="en-GB"/>
                    </w:rPr>
                  </w:pPr>
                  <w:r w:rsidRPr="00D85AB5">
                    <w:rPr>
                      <w:rFonts w:cs="Arial"/>
                      <w:color w:val="000000"/>
                      <w:sz w:val="20"/>
                      <w:szCs w:val="20"/>
                      <w:lang w:eastAsia="en-GB"/>
                    </w:rPr>
                    <w:t>RQ01 Regulated Learning</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168BD" w14:textId="4C03111B" w:rsidR="00D85AB5" w:rsidRPr="00D85AB5" w:rsidRDefault="00D85AB5" w:rsidP="00D85AB5">
                  <w:pPr>
                    <w:jc w:val="center"/>
                    <w:rPr>
                      <w:rFonts w:cs="Arial"/>
                      <w:sz w:val="20"/>
                      <w:szCs w:val="20"/>
                      <w:lang w:eastAsia="en-GB"/>
                    </w:rPr>
                  </w:pPr>
                </w:p>
              </w:tc>
              <w:tc>
                <w:tcPr>
                  <w:tcW w:w="2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C03F0" w14:textId="2CB40EAE" w:rsidR="00D85AB5" w:rsidRPr="00D85AB5" w:rsidRDefault="00D85AB5" w:rsidP="00D85AB5">
                  <w:pPr>
                    <w:jc w:val="center"/>
                    <w:rPr>
                      <w:rFonts w:cs="Arial"/>
                      <w:color w:val="000000"/>
                      <w:sz w:val="20"/>
                      <w:szCs w:val="20"/>
                      <w:lang w:eastAsia="en-GB"/>
                    </w:rPr>
                  </w:pPr>
                </w:p>
              </w:tc>
              <w:tc>
                <w:tcPr>
                  <w:tcW w:w="2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FC99C" w14:textId="77777777" w:rsidR="00D85AB5" w:rsidRPr="00D85AB5" w:rsidRDefault="00D85AB5" w:rsidP="00D85AB5">
                  <w:pPr>
                    <w:jc w:val="center"/>
                    <w:rPr>
                      <w:rFonts w:cs="Arial"/>
                      <w:color w:val="000000"/>
                      <w:sz w:val="20"/>
                      <w:szCs w:val="20"/>
                      <w:lang w:eastAsia="en-GB"/>
                    </w:rPr>
                  </w:pPr>
                  <w:r w:rsidRPr="00D85AB5">
                    <w:rPr>
                      <w:rFonts w:cs="Arial"/>
                      <w:color w:val="000000"/>
                      <w:sz w:val="20"/>
                      <w:szCs w:val="20"/>
                      <w:lang w:eastAsia="en-GB"/>
                    </w:rPr>
                    <w:t>£347,000</w:t>
                  </w:r>
                </w:p>
              </w:tc>
            </w:tr>
            <w:tr w:rsidR="00D85AB5" w:rsidRPr="00D85AB5" w14:paraId="5990A238" w14:textId="77777777" w:rsidTr="00D85AB5">
              <w:trPr>
                <w:trHeight w:val="450"/>
              </w:trPr>
              <w:tc>
                <w:tcPr>
                  <w:tcW w:w="6316"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D1BF5C3" w14:textId="77777777" w:rsidR="00D85AB5" w:rsidRPr="00D85AB5" w:rsidRDefault="00D85AB5" w:rsidP="00D85AB5">
                  <w:pPr>
                    <w:rPr>
                      <w:rFonts w:cs="Arial"/>
                      <w:color w:val="000000"/>
                      <w:sz w:val="20"/>
                      <w:szCs w:val="20"/>
                      <w:lang w:eastAsia="en-GB"/>
                    </w:rPr>
                  </w:pPr>
                  <w:r w:rsidRPr="00D85AB5">
                    <w:rPr>
                      <w:rFonts w:cs="Arial"/>
                      <w:color w:val="000000"/>
                      <w:sz w:val="20"/>
                      <w:szCs w:val="20"/>
                      <w:lang w:eastAsia="en-GB"/>
                    </w:rPr>
                    <w:t>NR01 Non Regulated Activity</w:t>
                  </w:r>
                </w:p>
              </w:tc>
              <w:tc>
                <w:tcPr>
                  <w:tcW w:w="1336"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4B0096A" w14:textId="12A3E2D5" w:rsidR="00D85AB5" w:rsidRPr="00D85AB5" w:rsidRDefault="00D85AB5" w:rsidP="00D85AB5">
                  <w:pPr>
                    <w:jc w:val="center"/>
                    <w:rPr>
                      <w:rFonts w:cs="Arial"/>
                      <w:sz w:val="20"/>
                      <w:szCs w:val="20"/>
                      <w:lang w:eastAsia="en-GB"/>
                    </w:rPr>
                  </w:pPr>
                </w:p>
              </w:tc>
              <w:tc>
                <w:tcPr>
                  <w:tcW w:w="21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065FD9A" w14:textId="3441D301" w:rsidR="00D85AB5" w:rsidRPr="00D85AB5" w:rsidRDefault="00D85AB5" w:rsidP="00D85AB5">
                  <w:pPr>
                    <w:jc w:val="center"/>
                    <w:rPr>
                      <w:rFonts w:cs="Arial"/>
                      <w:color w:val="000000"/>
                      <w:sz w:val="20"/>
                      <w:szCs w:val="20"/>
                      <w:lang w:eastAsia="en-GB"/>
                    </w:rPr>
                  </w:pPr>
                </w:p>
              </w:tc>
              <w:tc>
                <w:tcPr>
                  <w:tcW w:w="21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3BECB78" w14:textId="77777777" w:rsidR="00D85AB5" w:rsidRPr="00D85AB5" w:rsidRDefault="00D85AB5" w:rsidP="00D85AB5">
                  <w:pPr>
                    <w:jc w:val="center"/>
                    <w:rPr>
                      <w:rFonts w:cs="Arial"/>
                      <w:color w:val="000000"/>
                      <w:sz w:val="20"/>
                      <w:szCs w:val="20"/>
                      <w:lang w:eastAsia="en-GB"/>
                    </w:rPr>
                  </w:pPr>
                  <w:r w:rsidRPr="00D85AB5">
                    <w:rPr>
                      <w:rFonts w:cs="Arial"/>
                      <w:color w:val="000000"/>
                      <w:sz w:val="20"/>
                      <w:szCs w:val="20"/>
                      <w:lang w:eastAsia="en-GB"/>
                    </w:rPr>
                    <w:t>£347,000</w:t>
                  </w:r>
                </w:p>
              </w:tc>
            </w:tr>
            <w:tr w:rsidR="00D85AB5" w:rsidRPr="00D85AB5" w14:paraId="1128FAA1" w14:textId="77777777" w:rsidTr="00D85AB5">
              <w:trPr>
                <w:trHeight w:val="450"/>
              </w:trPr>
              <w:tc>
                <w:tcPr>
                  <w:tcW w:w="6316"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1CAC2034" w14:textId="77777777" w:rsidR="00D85AB5" w:rsidRPr="00D85AB5" w:rsidRDefault="00D85AB5" w:rsidP="00D85AB5">
                  <w:pPr>
                    <w:rPr>
                      <w:rFonts w:cs="Arial"/>
                      <w:color w:val="000000"/>
                      <w:sz w:val="20"/>
                      <w:szCs w:val="20"/>
                      <w:lang w:eastAsia="en-GB"/>
                    </w:rPr>
                  </w:pPr>
                  <w:r w:rsidRPr="00D85AB5">
                    <w:rPr>
                      <w:rFonts w:cs="Arial"/>
                      <w:color w:val="000000"/>
                      <w:sz w:val="20"/>
                      <w:szCs w:val="20"/>
                      <w:lang w:eastAsia="en-GB"/>
                    </w:rPr>
                    <w:t>SME Engagement and Training Needs Analysis</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C26E9" w14:textId="73C7656D" w:rsidR="00D85AB5" w:rsidRPr="00D85AB5" w:rsidRDefault="00D85AB5" w:rsidP="00D85AB5">
                  <w:pPr>
                    <w:jc w:val="center"/>
                    <w:rPr>
                      <w:rFonts w:cs="Arial"/>
                      <w:color w:val="000000"/>
                      <w:sz w:val="20"/>
                      <w:szCs w:val="20"/>
                      <w:lang w:eastAsia="en-GB"/>
                    </w:rPr>
                  </w:pPr>
                  <w:r w:rsidRPr="00D85AB5">
                    <w:rPr>
                      <w:rFonts w:cs="Arial"/>
                      <w:color w:val="000000"/>
                      <w:sz w:val="20"/>
                      <w:szCs w:val="20"/>
                      <w:lang w:eastAsia="en-GB"/>
                    </w:rPr>
                    <w:t>71</w:t>
                  </w:r>
                </w:p>
              </w:tc>
              <w:tc>
                <w:tcPr>
                  <w:tcW w:w="2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D7F13" w14:textId="77777777" w:rsidR="00D85AB5" w:rsidRPr="00D85AB5" w:rsidRDefault="00D85AB5" w:rsidP="00D85AB5">
                  <w:pPr>
                    <w:jc w:val="center"/>
                    <w:rPr>
                      <w:rFonts w:cs="Arial"/>
                      <w:color w:val="000000"/>
                      <w:sz w:val="20"/>
                      <w:szCs w:val="20"/>
                      <w:lang w:eastAsia="en-GB"/>
                    </w:rPr>
                  </w:pPr>
                  <w:r w:rsidRPr="00D85AB5">
                    <w:rPr>
                      <w:rFonts w:cs="Arial"/>
                      <w:color w:val="000000"/>
                      <w:sz w:val="20"/>
                      <w:szCs w:val="20"/>
                      <w:lang w:eastAsia="en-GB"/>
                    </w:rPr>
                    <w:t>£300</w:t>
                  </w:r>
                </w:p>
              </w:tc>
              <w:tc>
                <w:tcPr>
                  <w:tcW w:w="2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10F236" w14:textId="77777777" w:rsidR="00D85AB5" w:rsidRPr="00D85AB5" w:rsidRDefault="00D85AB5" w:rsidP="00D85AB5">
                  <w:pPr>
                    <w:jc w:val="center"/>
                    <w:rPr>
                      <w:rFonts w:cs="Arial"/>
                      <w:color w:val="000000"/>
                      <w:sz w:val="20"/>
                      <w:szCs w:val="20"/>
                      <w:lang w:eastAsia="en-GB"/>
                    </w:rPr>
                  </w:pPr>
                  <w:r w:rsidRPr="00D85AB5">
                    <w:rPr>
                      <w:rFonts w:cs="Arial"/>
                      <w:color w:val="000000"/>
                      <w:sz w:val="20"/>
                      <w:szCs w:val="20"/>
                      <w:lang w:eastAsia="en-GB"/>
                    </w:rPr>
                    <w:t>£21,300</w:t>
                  </w:r>
                </w:p>
              </w:tc>
            </w:tr>
            <w:tr w:rsidR="00D85AB5" w:rsidRPr="00D85AB5" w14:paraId="34522F4B" w14:textId="77777777" w:rsidTr="00D85AB5">
              <w:trPr>
                <w:trHeight w:val="450"/>
              </w:trPr>
              <w:tc>
                <w:tcPr>
                  <w:tcW w:w="6316"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6C23B360" w14:textId="67EDCA00" w:rsidR="00D85AB5" w:rsidRPr="00D85AB5" w:rsidRDefault="00D85AB5" w:rsidP="00D85AB5">
                  <w:pPr>
                    <w:rPr>
                      <w:rFonts w:cs="Arial"/>
                      <w:color w:val="000000"/>
                      <w:sz w:val="20"/>
                      <w:szCs w:val="20"/>
                      <w:lang w:eastAsia="en-GB"/>
                    </w:rPr>
                  </w:pPr>
                  <w:r>
                    <w:rPr>
                      <w:rFonts w:cs="Arial"/>
                      <w:color w:val="000000"/>
                      <w:sz w:val="20"/>
                      <w:szCs w:val="20"/>
                      <w:lang w:eastAsia="en-GB"/>
                    </w:rPr>
                    <w:t xml:space="preserve">PG03 </w:t>
                  </w:r>
                  <w:r w:rsidRPr="00D85AB5">
                    <w:rPr>
                      <w:rFonts w:cs="Arial"/>
                      <w:color w:val="000000"/>
                      <w:sz w:val="20"/>
                      <w:szCs w:val="20"/>
                      <w:lang w:eastAsia="en-GB"/>
                    </w:rPr>
                    <w:t>Progression Education (EDU)</w:t>
                  </w:r>
                </w:p>
              </w:tc>
              <w:tc>
                <w:tcPr>
                  <w:tcW w:w="1336"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0A54F41" w14:textId="29F5EE32" w:rsidR="00D85AB5" w:rsidRPr="00D85AB5" w:rsidRDefault="00D85AB5" w:rsidP="00D85AB5">
                  <w:pPr>
                    <w:jc w:val="center"/>
                    <w:rPr>
                      <w:rFonts w:cs="Arial"/>
                      <w:sz w:val="20"/>
                      <w:szCs w:val="20"/>
                      <w:lang w:eastAsia="en-GB"/>
                    </w:rPr>
                  </w:pPr>
                  <w:r w:rsidRPr="00D85AB5">
                    <w:rPr>
                      <w:rFonts w:cs="Arial"/>
                      <w:sz w:val="20"/>
                      <w:szCs w:val="20"/>
                      <w:lang w:eastAsia="en-GB"/>
                    </w:rPr>
                    <w:t>150</w:t>
                  </w:r>
                </w:p>
              </w:tc>
              <w:tc>
                <w:tcPr>
                  <w:tcW w:w="21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0DE414F" w14:textId="77777777" w:rsidR="00D85AB5" w:rsidRPr="00D85AB5" w:rsidRDefault="00D85AB5" w:rsidP="00D85AB5">
                  <w:pPr>
                    <w:jc w:val="center"/>
                    <w:rPr>
                      <w:rFonts w:cs="Arial"/>
                      <w:color w:val="000000"/>
                      <w:sz w:val="20"/>
                      <w:szCs w:val="20"/>
                      <w:lang w:eastAsia="en-GB"/>
                    </w:rPr>
                  </w:pPr>
                  <w:r w:rsidRPr="00D85AB5">
                    <w:rPr>
                      <w:rFonts w:cs="Arial"/>
                      <w:color w:val="000000"/>
                      <w:sz w:val="20"/>
                      <w:szCs w:val="20"/>
                      <w:lang w:eastAsia="en-GB"/>
                    </w:rPr>
                    <w:t>£600</w:t>
                  </w:r>
                </w:p>
              </w:tc>
              <w:tc>
                <w:tcPr>
                  <w:tcW w:w="21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97C6596" w14:textId="77777777" w:rsidR="00D85AB5" w:rsidRPr="00D85AB5" w:rsidRDefault="00D85AB5" w:rsidP="00D85AB5">
                  <w:pPr>
                    <w:jc w:val="center"/>
                    <w:rPr>
                      <w:rFonts w:cs="Arial"/>
                      <w:color w:val="000000"/>
                      <w:sz w:val="20"/>
                      <w:szCs w:val="20"/>
                      <w:lang w:eastAsia="en-GB"/>
                    </w:rPr>
                  </w:pPr>
                  <w:r w:rsidRPr="00D85AB5">
                    <w:rPr>
                      <w:rFonts w:cs="Arial"/>
                      <w:color w:val="000000"/>
                      <w:sz w:val="20"/>
                      <w:szCs w:val="20"/>
                      <w:lang w:eastAsia="en-GB"/>
                    </w:rPr>
                    <w:t>£90,000</w:t>
                  </w:r>
                </w:p>
              </w:tc>
            </w:tr>
            <w:tr w:rsidR="00D85AB5" w:rsidRPr="00D85AB5" w14:paraId="244E83AD" w14:textId="77777777" w:rsidTr="00D85AB5">
              <w:trPr>
                <w:trHeight w:val="450"/>
              </w:trPr>
              <w:tc>
                <w:tcPr>
                  <w:tcW w:w="6316"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4FED1734" w14:textId="0CA3B4FE" w:rsidR="00D85AB5" w:rsidRPr="00D85AB5" w:rsidRDefault="00D85AB5" w:rsidP="00D85AB5">
                  <w:pPr>
                    <w:rPr>
                      <w:rFonts w:cs="Arial"/>
                      <w:color w:val="000000"/>
                      <w:sz w:val="20"/>
                      <w:szCs w:val="20"/>
                      <w:lang w:eastAsia="en-GB"/>
                    </w:rPr>
                  </w:pPr>
                  <w:r>
                    <w:rPr>
                      <w:rFonts w:cs="Arial"/>
                      <w:color w:val="000000"/>
                      <w:sz w:val="20"/>
                      <w:szCs w:val="20"/>
                      <w:lang w:eastAsia="en-GB"/>
                    </w:rPr>
                    <w:t xml:space="preserve">SD02 </w:t>
                  </w:r>
                  <w:r w:rsidRPr="00D85AB5">
                    <w:rPr>
                      <w:rFonts w:cs="Arial"/>
                      <w:color w:val="000000"/>
                      <w:sz w:val="20"/>
                      <w:szCs w:val="20"/>
                      <w:lang w:eastAsia="en-GB"/>
                    </w:rPr>
                    <w:t xml:space="preserve">Progression within work </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00041" w14:textId="711CD320" w:rsidR="00D85AB5" w:rsidRPr="00D85AB5" w:rsidRDefault="00D85AB5" w:rsidP="00D85AB5">
                  <w:pPr>
                    <w:jc w:val="center"/>
                    <w:rPr>
                      <w:rFonts w:cs="Arial"/>
                      <w:sz w:val="20"/>
                      <w:szCs w:val="20"/>
                      <w:lang w:eastAsia="en-GB"/>
                    </w:rPr>
                  </w:pPr>
                  <w:r w:rsidRPr="00D85AB5">
                    <w:rPr>
                      <w:rFonts w:cs="Arial"/>
                      <w:sz w:val="20"/>
                      <w:szCs w:val="20"/>
                      <w:lang w:eastAsia="en-GB"/>
                    </w:rPr>
                    <w:t>120</w:t>
                  </w:r>
                </w:p>
              </w:tc>
              <w:tc>
                <w:tcPr>
                  <w:tcW w:w="2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699B2" w14:textId="77777777" w:rsidR="00D85AB5" w:rsidRPr="00D85AB5" w:rsidRDefault="00D85AB5" w:rsidP="00D85AB5">
                  <w:pPr>
                    <w:jc w:val="center"/>
                    <w:rPr>
                      <w:rFonts w:cs="Arial"/>
                      <w:color w:val="000000"/>
                      <w:sz w:val="20"/>
                      <w:szCs w:val="20"/>
                      <w:lang w:eastAsia="en-GB"/>
                    </w:rPr>
                  </w:pPr>
                  <w:r w:rsidRPr="00D85AB5">
                    <w:rPr>
                      <w:rFonts w:cs="Arial"/>
                      <w:color w:val="000000"/>
                      <w:sz w:val="20"/>
                      <w:szCs w:val="20"/>
                      <w:lang w:eastAsia="en-GB"/>
                    </w:rPr>
                    <w:t>£600</w:t>
                  </w:r>
                </w:p>
              </w:tc>
              <w:tc>
                <w:tcPr>
                  <w:tcW w:w="2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B34AEF" w14:textId="77777777" w:rsidR="00D85AB5" w:rsidRPr="00D85AB5" w:rsidRDefault="00D85AB5" w:rsidP="00D85AB5">
                  <w:pPr>
                    <w:jc w:val="center"/>
                    <w:rPr>
                      <w:rFonts w:cs="Arial"/>
                      <w:color w:val="000000"/>
                      <w:sz w:val="20"/>
                      <w:szCs w:val="20"/>
                      <w:lang w:eastAsia="en-GB"/>
                    </w:rPr>
                  </w:pPr>
                  <w:r w:rsidRPr="00D85AB5">
                    <w:rPr>
                      <w:rFonts w:cs="Arial"/>
                      <w:color w:val="000000"/>
                      <w:sz w:val="20"/>
                      <w:szCs w:val="20"/>
                      <w:lang w:eastAsia="en-GB"/>
                    </w:rPr>
                    <w:t>£72,000</w:t>
                  </w:r>
                </w:p>
              </w:tc>
            </w:tr>
            <w:tr w:rsidR="00D85AB5" w:rsidRPr="00D85AB5" w14:paraId="6D441381" w14:textId="77777777" w:rsidTr="00D85AB5">
              <w:trPr>
                <w:trHeight w:val="450"/>
              </w:trPr>
              <w:tc>
                <w:tcPr>
                  <w:tcW w:w="6316"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731E36F2" w14:textId="77777777" w:rsidR="00D85AB5" w:rsidRPr="00D85AB5" w:rsidRDefault="00D85AB5" w:rsidP="00D85AB5">
                  <w:pPr>
                    <w:rPr>
                      <w:rFonts w:cs="Arial"/>
                      <w:color w:val="000000"/>
                      <w:sz w:val="20"/>
                      <w:szCs w:val="20"/>
                      <w:lang w:eastAsia="en-GB"/>
                    </w:rPr>
                  </w:pPr>
                  <w:r w:rsidRPr="00D85AB5">
                    <w:rPr>
                      <w:rFonts w:cs="Arial"/>
                      <w:color w:val="000000"/>
                      <w:sz w:val="20"/>
                      <w:szCs w:val="20"/>
                      <w:lang w:eastAsia="en-GB"/>
                    </w:rPr>
                    <w:t>PG04 Progression Apprenticeship (EDU)</w:t>
                  </w:r>
                </w:p>
              </w:tc>
              <w:tc>
                <w:tcPr>
                  <w:tcW w:w="1336"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92EDD78" w14:textId="7781D06F" w:rsidR="00D85AB5" w:rsidRPr="00D85AB5" w:rsidRDefault="00D85AB5" w:rsidP="00D85AB5">
                  <w:pPr>
                    <w:jc w:val="center"/>
                    <w:rPr>
                      <w:rFonts w:cs="Arial"/>
                      <w:sz w:val="20"/>
                      <w:szCs w:val="20"/>
                      <w:lang w:eastAsia="en-GB"/>
                    </w:rPr>
                  </w:pPr>
                  <w:r w:rsidRPr="00D85AB5">
                    <w:rPr>
                      <w:rFonts w:cs="Arial"/>
                      <w:sz w:val="20"/>
                      <w:szCs w:val="20"/>
                      <w:lang w:eastAsia="en-GB"/>
                    </w:rPr>
                    <w:t>100</w:t>
                  </w:r>
                </w:p>
              </w:tc>
              <w:tc>
                <w:tcPr>
                  <w:tcW w:w="21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5F332AA" w14:textId="77777777" w:rsidR="00D85AB5" w:rsidRPr="00D85AB5" w:rsidRDefault="00D85AB5" w:rsidP="00D85AB5">
                  <w:pPr>
                    <w:jc w:val="center"/>
                    <w:rPr>
                      <w:rFonts w:cs="Arial"/>
                      <w:color w:val="000000"/>
                      <w:sz w:val="20"/>
                      <w:szCs w:val="20"/>
                      <w:lang w:eastAsia="en-GB"/>
                    </w:rPr>
                  </w:pPr>
                  <w:r w:rsidRPr="00D85AB5">
                    <w:rPr>
                      <w:rFonts w:cs="Arial"/>
                      <w:color w:val="000000"/>
                      <w:sz w:val="20"/>
                      <w:szCs w:val="20"/>
                      <w:lang w:eastAsia="en-GB"/>
                    </w:rPr>
                    <w:t>£600</w:t>
                  </w:r>
                </w:p>
              </w:tc>
              <w:tc>
                <w:tcPr>
                  <w:tcW w:w="21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DEB7715" w14:textId="77777777" w:rsidR="00D85AB5" w:rsidRPr="00D85AB5" w:rsidRDefault="00D85AB5" w:rsidP="00D85AB5">
                  <w:pPr>
                    <w:jc w:val="center"/>
                    <w:rPr>
                      <w:rFonts w:cs="Arial"/>
                      <w:color w:val="000000"/>
                      <w:sz w:val="20"/>
                      <w:szCs w:val="20"/>
                      <w:lang w:eastAsia="en-GB"/>
                    </w:rPr>
                  </w:pPr>
                  <w:r w:rsidRPr="00D85AB5">
                    <w:rPr>
                      <w:rFonts w:cs="Arial"/>
                      <w:color w:val="000000"/>
                      <w:sz w:val="20"/>
                      <w:szCs w:val="20"/>
                      <w:lang w:eastAsia="en-GB"/>
                    </w:rPr>
                    <w:t>£60,000</w:t>
                  </w:r>
                </w:p>
              </w:tc>
            </w:tr>
            <w:tr w:rsidR="00D85AB5" w:rsidRPr="00D85AB5" w14:paraId="4CECAEE5" w14:textId="77777777" w:rsidTr="00D85AB5">
              <w:trPr>
                <w:trHeight w:val="450"/>
              </w:trPr>
              <w:tc>
                <w:tcPr>
                  <w:tcW w:w="6316"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67AD2283" w14:textId="77777777" w:rsidR="00D85AB5" w:rsidRPr="00D85AB5" w:rsidRDefault="00D85AB5" w:rsidP="00D85AB5">
                  <w:pPr>
                    <w:rPr>
                      <w:rFonts w:cs="Arial"/>
                      <w:color w:val="000000"/>
                      <w:sz w:val="20"/>
                      <w:szCs w:val="20"/>
                      <w:lang w:eastAsia="en-GB"/>
                    </w:rPr>
                  </w:pPr>
                  <w:r w:rsidRPr="00D85AB5">
                    <w:rPr>
                      <w:rFonts w:cs="Arial"/>
                      <w:color w:val="000000"/>
                      <w:sz w:val="20"/>
                      <w:szCs w:val="20"/>
                      <w:lang w:eastAsia="en-GB"/>
                    </w:rPr>
                    <w:t>Total</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1F618" w14:textId="77777777" w:rsidR="00D85AB5" w:rsidRPr="00D85AB5" w:rsidRDefault="00D85AB5" w:rsidP="00D85AB5">
                  <w:pPr>
                    <w:jc w:val="center"/>
                    <w:rPr>
                      <w:rFonts w:cs="Arial"/>
                      <w:sz w:val="20"/>
                      <w:szCs w:val="20"/>
                      <w:lang w:eastAsia="en-GB"/>
                    </w:rPr>
                  </w:pPr>
                  <w:r w:rsidRPr="00D85AB5">
                    <w:rPr>
                      <w:rFonts w:cs="Arial"/>
                      <w:sz w:val="20"/>
                      <w:szCs w:val="20"/>
                      <w:lang w:eastAsia="en-GB"/>
                    </w:rPr>
                    <w:t> </w:t>
                  </w:r>
                </w:p>
              </w:tc>
              <w:tc>
                <w:tcPr>
                  <w:tcW w:w="2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1AF63F" w14:textId="4A262C28" w:rsidR="00D85AB5" w:rsidRPr="00D85AB5" w:rsidRDefault="00D85AB5" w:rsidP="00D85AB5">
                  <w:pPr>
                    <w:jc w:val="center"/>
                    <w:rPr>
                      <w:rFonts w:cs="Arial"/>
                      <w:color w:val="000000"/>
                      <w:sz w:val="20"/>
                      <w:szCs w:val="20"/>
                      <w:lang w:eastAsia="en-GB"/>
                    </w:rPr>
                  </w:pPr>
                </w:p>
              </w:tc>
              <w:tc>
                <w:tcPr>
                  <w:tcW w:w="2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5AEB8" w14:textId="77777777" w:rsidR="00D85AB5" w:rsidRPr="00D85AB5" w:rsidRDefault="00D85AB5" w:rsidP="00D85AB5">
                  <w:pPr>
                    <w:jc w:val="center"/>
                    <w:rPr>
                      <w:rFonts w:cs="Arial"/>
                      <w:color w:val="000000"/>
                      <w:sz w:val="20"/>
                      <w:szCs w:val="20"/>
                      <w:lang w:eastAsia="en-GB"/>
                    </w:rPr>
                  </w:pPr>
                  <w:r w:rsidRPr="00D85AB5">
                    <w:rPr>
                      <w:rFonts w:cs="Arial"/>
                      <w:color w:val="000000"/>
                      <w:sz w:val="20"/>
                      <w:szCs w:val="20"/>
                      <w:lang w:eastAsia="en-GB"/>
                    </w:rPr>
                    <w:t>£972,000</w:t>
                  </w:r>
                </w:p>
              </w:tc>
            </w:tr>
          </w:tbl>
          <w:p w14:paraId="48819B01" w14:textId="2A8B550F" w:rsidR="00E5142B" w:rsidRPr="00D85AB5" w:rsidRDefault="00E5142B" w:rsidP="00D85AB5">
            <w:pPr>
              <w:autoSpaceDE w:val="0"/>
              <w:autoSpaceDN w:val="0"/>
              <w:adjustRightInd w:val="0"/>
              <w:rPr>
                <w:rFonts w:cs="Arial"/>
              </w:rPr>
            </w:pPr>
          </w:p>
          <w:p w14:paraId="20D0FA9D" w14:textId="77777777" w:rsidR="00E5142B" w:rsidRDefault="00E5142B" w:rsidP="00565987">
            <w:pPr>
              <w:pStyle w:val="ListParagraph"/>
              <w:autoSpaceDE w:val="0"/>
              <w:autoSpaceDN w:val="0"/>
              <w:adjustRightInd w:val="0"/>
              <w:ind w:left="360"/>
              <w:rPr>
                <w:rFonts w:cs="Arial"/>
              </w:rPr>
            </w:pPr>
          </w:p>
          <w:p w14:paraId="16CC2345" w14:textId="77777777" w:rsidR="00E5142B" w:rsidRDefault="00E5142B" w:rsidP="00565987">
            <w:pPr>
              <w:pStyle w:val="ListParagraph"/>
              <w:autoSpaceDE w:val="0"/>
              <w:autoSpaceDN w:val="0"/>
              <w:adjustRightInd w:val="0"/>
              <w:ind w:left="360"/>
              <w:rPr>
                <w:rFonts w:cs="Arial"/>
              </w:rPr>
            </w:pPr>
          </w:p>
          <w:p w14:paraId="3071DB18" w14:textId="77777777" w:rsidR="00E5142B" w:rsidRDefault="00E5142B" w:rsidP="00565987">
            <w:pPr>
              <w:pStyle w:val="ListParagraph"/>
              <w:autoSpaceDE w:val="0"/>
              <w:autoSpaceDN w:val="0"/>
              <w:adjustRightInd w:val="0"/>
              <w:ind w:left="360"/>
              <w:rPr>
                <w:rFonts w:cs="Arial"/>
              </w:rPr>
            </w:pPr>
          </w:p>
          <w:p w14:paraId="1AEEF712" w14:textId="77777777" w:rsidR="00E5142B" w:rsidRDefault="00E5142B" w:rsidP="00565987">
            <w:pPr>
              <w:pStyle w:val="ListParagraph"/>
              <w:autoSpaceDE w:val="0"/>
              <w:autoSpaceDN w:val="0"/>
              <w:adjustRightInd w:val="0"/>
              <w:ind w:left="360"/>
              <w:rPr>
                <w:rFonts w:cs="Arial"/>
              </w:rPr>
            </w:pPr>
          </w:p>
          <w:p w14:paraId="68EB1D7C" w14:textId="77777777" w:rsidR="00E5142B" w:rsidRDefault="00E5142B" w:rsidP="00565987">
            <w:pPr>
              <w:pStyle w:val="ListParagraph"/>
              <w:autoSpaceDE w:val="0"/>
              <w:autoSpaceDN w:val="0"/>
              <w:adjustRightInd w:val="0"/>
              <w:ind w:left="360"/>
              <w:rPr>
                <w:rFonts w:cs="Arial"/>
              </w:rPr>
            </w:pPr>
          </w:p>
          <w:p w14:paraId="1ED6FCE9" w14:textId="77777777" w:rsidR="00E5142B" w:rsidRDefault="00E5142B" w:rsidP="00565987">
            <w:pPr>
              <w:pStyle w:val="ListParagraph"/>
              <w:autoSpaceDE w:val="0"/>
              <w:autoSpaceDN w:val="0"/>
              <w:adjustRightInd w:val="0"/>
              <w:ind w:left="360"/>
              <w:rPr>
                <w:rFonts w:cs="Arial"/>
              </w:rPr>
            </w:pPr>
          </w:p>
          <w:p w14:paraId="38B12879" w14:textId="77777777" w:rsidR="00E5142B" w:rsidRDefault="00E5142B" w:rsidP="00565987">
            <w:pPr>
              <w:pStyle w:val="ListParagraph"/>
              <w:autoSpaceDE w:val="0"/>
              <w:autoSpaceDN w:val="0"/>
              <w:adjustRightInd w:val="0"/>
              <w:ind w:left="360"/>
              <w:rPr>
                <w:rFonts w:cs="Arial"/>
              </w:rPr>
            </w:pPr>
          </w:p>
          <w:p w14:paraId="7F6A7BC6" w14:textId="77777777" w:rsidR="00E5142B" w:rsidRDefault="00E5142B" w:rsidP="00565987">
            <w:pPr>
              <w:pStyle w:val="ListParagraph"/>
              <w:autoSpaceDE w:val="0"/>
              <w:autoSpaceDN w:val="0"/>
              <w:adjustRightInd w:val="0"/>
              <w:ind w:left="360"/>
              <w:rPr>
                <w:rFonts w:cs="Arial"/>
              </w:rPr>
            </w:pPr>
          </w:p>
          <w:p w14:paraId="149D270E" w14:textId="15EEF92B" w:rsidR="00E5142B" w:rsidRPr="00E5142B" w:rsidRDefault="00E5142B" w:rsidP="00565987">
            <w:pPr>
              <w:pStyle w:val="ListParagraph"/>
              <w:autoSpaceDE w:val="0"/>
              <w:autoSpaceDN w:val="0"/>
              <w:adjustRightInd w:val="0"/>
              <w:ind w:left="360"/>
              <w:rPr>
                <w:rFonts w:cs="Arial"/>
              </w:rPr>
            </w:pPr>
          </w:p>
        </w:tc>
      </w:tr>
    </w:tbl>
    <w:p w14:paraId="149D2710" w14:textId="77777777" w:rsidR="00A005EF" w:rsidRDefault="00A005EF"/>
    <w:sectPr w:rsidR="00A005EF" w:rsidSect="00016FE1">
      <w:headerReference w:type="default" r:id="rId16"/>
      <w:footerReference w:type="default" r:id="rId17"/>
      <w:type w:val="continuous"/>
      <w:pgSz w:w="11906" w:h="16838" w:code="9"/>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09EEFB" w14:textId="77777777" w:rsidR="000C3C58" w:rsidRDefault="000C3C58">
      <w:r>
        <w:separator/>
      </w:r>
    </w:p>
  </w:endnote>
  <w:endnote w:type="continuationSeparator" w:id="0">
    <w:p w14:paraId="04E3322A" w14:textId="77777777" w:rsidR="000C3C58" w:rsidRDefault="000C3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Helvetica 45">
    <w:altName w:val="Helvetica 45"/>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149D271E" w14:textId="77777777" w:rsidR="00F941C3" w:rsidRDefault="00F941C3">
        <w:pPr>
          <w:pStyle w:val="Footer"/>
          <w:jc w:val="right"/>
          <w:rPr>
            <w:noProof/>
          </w:rPr>
        </w:pPr>
      </w:p>
      <w:p w14:paraId="149D2722" w14:textId="77777777" w:rsidR="00F941C3" w:rsidRDefault="000C3C58">
        <w:pPr>
          <w:pStyle w:val="Footer"/>
          <w:jc w:val="right"/>
        </w:pPr>
      </w:p>
    </w:sdtContent>
  </w:sdt>
  <w:p w14:paraId="149D2723" w14:textId="77777777" w:rsidR="00F941C3" w:rsidRDefault="00F941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06309" w14:textId="77777777" w:rsidR="000C3C58" w:rsidRDefault="000C3C58">
      <w:r>
        <w:separator/>
      </w:r>
    </w:p>
  </w:footnote>
  <w:footnote w:type="continuationSeparator" w:id="0">
    <w:p w14:paraId="474EDB1C" w14:textId="77777777" w:rsidR="000C3C58" w:rsidRDefault="000C3C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149D271D" w14:textId="77777777" w:rsidR="00F941C3" w:rsidRDefault="000C3C58">
        <w:pPr>
          <w:pStyle w:val="Header"/>
        </w:pPr>
        <w:r>
          <w:rPr>
            <w:noProof/>
            <w:lang w:val="en-US"/>
          </w:rPr>
          <w:pict w14:anchorId="149D27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467862"/>
    <w:multiLevelType w:val="hybridMultilevel"/>
    <w:tmpl w:val="47C4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83CA1"/>
    <w:multiLevelType w:val="hybridMultilevel"/>
    <w:tmpl w:val="576EA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8D2F84"/>
    <w:multiLevelType w:val="hybridMultilevel"/>
    <w:tmpl w:val="97B43AC8"/>
    <w:lvl w:ilvl="0" w:tplc="08090001">
      <w:start w:val="1"/>
      <w:numFmt w:val="bullet"/>
      <w:lvlText w:val=""/>
      <w:lvlJc w:val="left"/>
      <w:pPr>
        <w:ind w:left="360" w:hanging="360"/>
      </w:pPr>
      <w:rPr>
        <w:rFonts w:ascii="Symbol" w:hAnsi="Symbol" w:hint="default"/>
      </w:rPr>
    </w:lvl>
    <w:lvl w:ilvl="1" w:tplc="84A8B3D4">
      <w:numFmt w:val="bullet"/>
      <w:lvlText w:val="-"/>
      <w:lvlJc w:val="left"/>
      <w:pPr>
        <w:ind w:left="936" w:hanging="216"/>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6" w15:restartNumberingAfterBreak="0">
    <w:nsid w:val="0B1560B7"/>
    <w:multiLevelType w:val="hybridMultilevel"/>
    <w:tmpl w:val="39446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8" w15:restartNumberingAfterBreak="0">
    <w:nsid w:val="14496FF0"/>
    <w:multiLevelType w:val="hybridMultilevel"/>
    <w:tmpl w:val="C8D8A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7B1B47"/>
    <w:multiLevelType w:val="hybridMultilevel"/>
    <w:tmpl w:val="6746624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0" w15:restartNumberingAfterBreak="0">
    <w:nsid w:val="18064B1F"/>
    <w:multiLevelType w:val="hybridMultilevel"/>
    <w:tmpl w:val="472E1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523F49"/>
    <w:multiLevelType w:val="hybridMultilevel"/>
    <w:tmpl w:val="15ACE4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197047"/>
    <w:multiLevelType w:val="hybridMultilevel"/>
    <w:tmpl w:val="06FC3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1630ACF"/>
    <w:multiLevelType w:val="hybridMultilevel"/>
    <w:tmpl w:val="E24AF678"/>
    <w:lvl w:ilvl="0" w:tplc="08090001">
      <w:start w:val="1"/>
      <w:numFmt w:val="bullet"/>
      <w:lvlText w:val=""/>
      <w:lvlJc w:val="left"/>
      <w:pPr>
        <w:ind w:left="682" w:hanging="360"/>
      </w:pPr>
      <w:rPr>
        <w:rFonts w:ascii="Symbol" w:hAnsi="Symbol"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15" w15:restartNumberingAfterBreak="0">
    <w:nsid w:val="25561B2E"/>
    <w:multiLevelType w:val="hybridMultilevel"/>
    <w:tmpl w:val="3E189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7D7668"/>
    <w:multiLevelType w:val="hybridMultilevel"/>
    <w:tmpl w:val="A672F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04C1848"/>
    <w:multiLevelType w:val="hybridMultilevel"/>
    <w:tmpl w:val="743C8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0B54BA4"/>
    <w:multiLevelType w:val="hybridMultilevel"/>
    <w:tmpl w:val="2994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6B5825"/>
    <w:multiLevelType w:val="hybridMultilevel"/>
    <w:tmpl w:val="8EFA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8A3D4B"/>
    <w:multiLevelType w:val="hybridMultilevel"/>
    <w:tmpl w:val="43CC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B913D1"/>
    <w:multiLevelType w:val="hybridMultilevel"/>
    <w:tmpl w:val="C30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EF3010"/>
    <w:multiLevelType w:val="hybridMultilevel"/>
    <w:tmpl w:val="412CA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296708"/>
    <w:multiLevelType w:val="hybridMultilevel"/>
    <w:tmpl w:val="48E27762"/>
    <w:lvl w:ilvl="0" w:tplc="42DEB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7D554D"/>
    <w:multiLevelType w:val="hybridMultilevel"/>
    <w:tmpl w:val="111E1D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144406"/>
    <w:multiLevelType w:val="multilevel"/>
    <w:tmpl w:val="A0C89B34"/>
    <w:styleLink w:val="NumbLstBullet"/>
    <w:lvl w:ilvl="0">
      <w:start w:val="1"/>
      <w:numFmt w:val="bullet"/>
      <w:pStyle w:val="Bullet1"/>
      <w:lvlText w:val="■"/>
      <w:lvlJc w:val="left"/>
      <w:pPr>
        <w:tabs>
          <w:tab w:val="num" w:pos="340"/>
        </w:tabs>
        <w:ind w:left="340" w:hanging="340"/>
      </w:pPr>
      <w:rPr>
        <w:rFonts w:ascii="Arial" w:hAnsi="Arial" w:hint="default"/>
        <w:color w:val="0067AC"/>
        <w:sz w:val="18"/>
      </w:rPr>
    </w:lvl>
    <w:lvl w:ilvl="1">
      <w:start w:val="1"/>
      <w:numFmt w:val="bullet"/>
      <w:pStyle w:val="Bullet2"/>
      <w:lvlText w:val="–"/>
      <w:lvlJc w:val="left"/>
      <w:pPr>
        <w:tabs>
          <w:tab w:val="num" w:pos="680"/>
        </w:tabs>
        <w:ind w:left="680" w:hanging="340"/>
      </w:pPr>
      <w:rPr>
        <w:rFonts w:ascii="Arial" w:hAnsi="Arial" w:hint="default"/>
        <w:color w:val="0067AC"/>
      </w:rPr>
    </w:lvl>
    <w:lvl w:ilvl="2">
      <w:start w:val="1"/>
      <w:numFmt w:val="bullet"/>
      <w:pStyle w:val="Bullet3"/>
      <w:lvlText w:val="○"/>
      <w:lvlJc w:val="left"/>
      <w:pPr>
        <w:tabs>
          <w:tab w:val="num" w:pos="1021"/>
        </w:tabs>
        <w:ind w:left="1021" w:hanging="341"/>
      </w:pPr>
      <w:rPr>
        <w:rFonts w:ascii="Arial" w:hAnsi="Arial" w:hint="default"/>
        <w:color w:val="0067AC"/>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26"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EFF7437"/>
    <w:multiLevelType w:val="hybridMultilevel"/>
    <w:tmpl w:val="46E8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B66419"/>
    <w:multiLevelType w:val="hybridMultilevel"/>
    <w:tmpl w:val="A7AE2E48"/>
    <w:lvl w:ilvl="0" w:tplc="08090003">
      <w:start w:val="1"/>
      <w:numFmt w:val="bullet"/>
      <w:lvlText w:val="o"/>
      <w:lvlJc w:val="left"/>
      <w:pPr>
        <w:ind w:left="682" w:hanging="360"/>
      </w:pPr>
      <w:rPr>
        <w:rFonts w:ascii="Courier New" w:hAnsi="Courier New" w:cs="Courier New"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29" w15:restartNumberingAfterBreak="0">
    <w:nsid w:val="43C17924"/>
    <w:multiLevelType w:val="hybridMultilevel"/>
    <w:tmpl w:val="111E1D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4CA3DFA"/>
    <w:multiLevelType w:val="hybridMultilevel"/>
    <w:tmpl w:val="C64E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92148CD"/>
    <w:multiLevelType w:val="multilevel"/>
    <w:tmpl w:val="A0C89B34"/>
    <w:numStyleLink w:val="NumbLstBullet"/>
  </w:abstractNum>
  <w:abstractNum w:abstractNumId="32" w15:restartNumberingAfterBreak="0">
    <w:nsid w:val="4A9C7919"/>
    <w:multiLevelType w:val="hybridMultilevel"/>
    <w:tmpl w:val="E67241C6"/>
    <w:lvl w:ilvl="0" w:tplc="A8D6BA8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BAC4BBC"/>
    <w:multiLevelType w:val="hybridMultilevel"/>
    <w:tmpl w:val="4DEEF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C837DAA"/>
    <w:multiLevelType w:val="hybridMultilevel"/>
    <w:tmpl w:val="636C8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D602DD"/>
    <w:multiLevelType w:val="hybridMultilevel"/>
    <w:tmpl w:val="E8F80D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945D8E"/>
    <w:multiLevelType w:val="hybridMultilevel"/>
    <w:tmpl w:val="B3F4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CA6600"/>
    <w:multiLevelType w:val="hybridMultilevel"/>
    <w:tmpl w:val="9904A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24741E3"/>
    <w:multiLevelType w:val="hybridMultilevel"/>
    <w:tmpl w:val="ADB45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40B7011"/>
    <w:multiLevelType w:val="hybridMultilevel"/>
    <w:tmpl w:val="33C6A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41" w15:restartNumberingAfterBreak="0">
    <w:nsid w:val="561C42CE"/>
    <w:multiLevelType w:val="hybridMultilevel"/>
    <w:tmpl w:val="4CF23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58D664DC"/>
    <w:multiLevelType w:val="hybridMultilevel"/>
    <w:tmpl w:val="1512B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A647486"/>
    <w:multiLevelType w:val="hybridMultilevel"/>
    <w:tmpl w:val="873EB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FB43E87"/>
    <w:multiLevelType w:val="hybridMultilevel"/>
    <w:tmpl w:val="08B20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25C3A6A"/>
    <w:multiLevelType w:val="hybridMultilevel"/>
    <w:tmpl w:val="8CCCF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47" w15:restartNumberingAfterBreak="0">
    <w:nsid w:val="6379712A"/>
    <w:multiLevelType w:val="hybridMultilevel"/>
    <w:tmpl w:val="38F22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A5056DB"/>
    <w:multiLevelType w:val="hybridMultilevel"/>
    <w:tmpl w:val="6510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C8D33FF"/>
    <w:multiLevelType w:val="hybridMultilevel"/>
    <w:tmpl w:val="D87CA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EB73871"/>
    <w:multiLevelType w:val="hybridMultilevel"/>
    <w:tmpl w:val="D97CE1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3BC425E"/>
    <w:multiLevelType w:val="hybridMultilevel"/>
    <w:tmpl w:val="A73C15C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53" w15:restartNumberingAfterBreak="0">
    <w:nsid w:val="756D2478"/>
    <w:multiLevelType w:val="hybridMultilevel"/>
    <w:tmpl w:val="E564C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8D56158"/>
    <w:multiLevelType w:val="hybridMultilevel"/>
    <w:tmpl w:val="696E01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936" w:hanging="216"/>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BCF0F62"/>
    <w:multiLevelType w:val="hybridMultilevel"/>
    <w:tmpl w:val="071E59D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CF91DF1"/>
    <w:multiLevelType w:val="hybridMultilevel"/>
    <w:tmpl w:val="5B44A0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7E6D7EFD"/>
    <w:multiLevelType w:val="hybridMultilevel"/>
    <w:tmpl w:val="01BC0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7F8D16C0"/>
    <w:multiLevelType w:val="hybridMultilevel"/>
    <w:tmpl w:val="1D5A8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4"/>
  </w:num>
  <w:num w:numId="3">
    <w:abstractNumId w:val="46"/>
  </w:num>
  <w:num w:numId="4">
    <w:abstractNumId w:val="46"/>
  </w:num>
  <w:num w:numId="5">
    <w:abstractNumId w:val="5"/>
  </w:num>
  <w:num w:numId="6">
    <w:abstractNumId w:val="44"/>
  </w:num>
  <w:num w:numId="7">
    <w:abstractNumId w:val="30"/>
  </w:num>
  <w:num w:numId="8">
    <w:abstractNumId w:val="43"/>
  </w:num>
  <w:num w:numId="9">
    <w:abstractNumId w:val="0"/>
  </w:num>
  <w:num w:numId="10">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num>
  <w:num w:numId="12">
    <w:abstractNumId w:val="59"/>
  </w:num>
  <w:num w:numId="13">
    <w:abstractNumId w:val="38"/>
  </w:num>
  <w:num w:numId="14">
    <w:abstractNumId w:val="12"/>
  </w:num>
  <w:num w:numId="15">
    <w:abstractNumId w:val="15"/>
  </w:num>
  <w:num w:numId="16">
    <w:abstractNumId w:val="16"/>
  </w:num>
  <w:num w:numId="17">
    <w:abstractNumId w:val="17"/>
  </w:num>
  <w:num w:numId="18">
    <w:abstractNumId w:val="58"/>
  </w:num>
  <w:num w:numId="19">
    <w:abstractNumId w:val="32"/>
  </w:num>
  <w:num w:numId="20">
    <w:abstractNumId w:val="49"/>
  </w:num>
  <w:num w:numId="21">
    <w:abstractNumId w:val="26"/>
  </w:num>
  <w:num w:numId="22">
    <w:abstractNumId w:val="36"/>
  </w:num>
  <w:num w:numId="23">
    <w:abstractNumId w:val="50"/>
  </w:num>
  <w:num w:numId="24">
    <w:abstractNumId w:val="1"/>
  </w:num>
  <w:num w:numId="25">
    <w:abstractNumId w:val="23"/>
  </w:num>
  <w:num w:numId="26">
    <w:abstractNumId w:val="35"/>
  </w:num>
  <w:num w:numId="27">
    <w:abstractNumId w:val="3"/>
  </w:num>
  <w:num w:numId="28">
    <w:abstractNumId w:val="55"/>
  </w:num>
  <w:num w:numId="29">
    <w:abstractNumId w:val="21"/>
  </w:num>
  <w:num w:numId="30">
    <w:abstractNumId w:val="18"/>
  </w:num>
  <w:num w:numId="31">
    <w:abstractNumId w:val="48"/>
  </w:num>
  <w:num w:numId="32">
    <w:abstractNumId w:val="52"/>
  </w:num>
  <w:num w:numId="33">
    <w:abstractNumId w:val="9"/>
  </w:num>
  <w:num w:numId="34">
    <w:abstractNumId w:val="51"/>
  </w:num>
  <w:num w:numId="35">
    <w:abstractNumId w:val="13"/>
  </w:num>
  <w:num w:numId="36">
    <w:abstractNumId w:val="45"/>
  </w:num>
  <w:num w:numId="37">
    <w:abstractNumId w:val="53"/>
  </w:num>
  <w:num w:numId="38">
    <w:abstractNumId w:val="2"/>
  </w:num>
  <w:num w:numId="39">
    <w:abstractNumId w:val="27"/>
  </w:num>
  <w:num w:numId="40">
    <w:abstractNumId w:val="14"/>
  </w:num>
  <w:num w:numId="41">
    <w:abstractNumId w:val="28"/>
  </w:num>
  <w:num w:numId="42">
    <w:abstractNumId w:val="56"/>
  </w:num>
  <w:num w:numId="43">
    <w:abstractNumId w:val="47"/>
  </w:num>
  <w:num w:numId="44">
    <w:abstractNumId w:val="33"/>
  </w:num>
  <w:num w:numId="45">
    <w:abstractNumId w:val="8"/>
  </w:num>
  <w:num w:numId="46">
    <w:abstractNumId w:val="19"/>
  </w:num>
  <w:num w:numId="47">
    <w:abstractNumId w:val="6"/>
  </w:num>
  <w:num w:numId="48">
    <w:abstractNumId w:val="60"/>
  </w:num>
  <w:num w:numId="49">
    <w:abstractNumId w:val="10"/>
  </w:num>
  <w:num w:numId="50">
    <w:abstractNumId w:val="22"/>
  </w:num>
  <w:num w:numId="51">
    <w:abstractNumId w:val="34"/>
  </w:num>
  <w:num w:numId="52">
    <w:abstractNumId w:val="20"/>
  </w:num>
  <w:num w:numId="53">
    <w:abstractNumId w:val="40"/>
  </w:num>
  <w:num w:numId="54">
    <w:abstractNumId w:val="11"/>
  </w:num>
  <w:num w:numId="55">
    <w:abstractNumId w:val="25"/>
  </w:num>
  <w:num w:numId="56">
    <w:abstractNumId w:val="31"/>
    <w:lvlOverride w:ilvl="0">
      <w:lvl w:ilvl="0">
        <w:start w:val="1"/>
        <w:numFmt w:val="bullet"/>
        <w:pStyle w:val="Bullet1"/>
        <w:lvlText w:val="■"/>
        <w:lvlJc w:val="left"/>
        <w:pPr>
          <w:tabs>
            <w:tab w:val="num" w:pos="340"/>
          </w:tabs>
          <w:ind w:left="340" w:hanging="340"/>
        </w:pPr>
        <w:rPr>
          <w:rFonts w:ascii="Arial" w:hAnsi="Arial" w:hint="default"/>
          <w:color w:val="0067AC"/>
          <w:sz w:val="18"/>
        </w:rPr>
      </w:lvl>
    </w:lvlOverride>
    <w:lvlOverride w:ilvl="1">
      <w:lvl w:ilvl="1">
        <w:start w:val="1"/>
        <w:numFmt w:val="bullet"/>
        <w:pStyle w:val="Bullet2"/>
        <w:lvlText w:val="–"/>
        <w:lvlJc w:val="left"/>
        <w:pPr>
          <w:tabs>
            <w:tab w:val="num" w:pos="680"/>
          </w:tabs>
          <w:ind w:left="680" w:hanging="340"/>
        </w:pPr>
        <w:rPr>
          <w:rFonts w:ascii="Arial" w:hAnsi="Arial" w:hint="default"/>
          <w:color w:val="0067AC"/>
        </w:rPr>
      </w:lvl>
    </w:lvlOverride>
    <w:lvlOverride w:ilvl="2">
      <w:lvl w:ilvl="2">
        <w:start w:val="1"/>
        <w:numFmt w:val="bullet"/>
        <w:pStyle w:val="Bullet3"/>
        <w:lvlText w:val="○"/>
        <w:lvlJc w:val="left"/>
        <w:pPr>
          <w:tabs>
            <w:tab w:val="num" w:pos="1021"/>
          </w:tabs>
          <w:ind w:left="1021" w:hanging="341"/>
        </w:pPr>
        <w:rPr>
          <w:rFonts w:ascii="Arial" w:hAnsi="Arial" w:hint="default"/>
          <w:color w:val="0067AC"/>
        </w:rPr>
      </w:lvl>
    </w:lvlOverride>
    <w:lvlOverride w:ilvl="3">
      <w:lvl w:ilvl="3">
        <w:start w:val="1"/>
        <w:numFmt w:val="none"/>
        <w:suff w:val="nothing"/>
        <w:lvlText w:val=""/>
        <w:lvlJc w:val="left"/>
        <w:pPr>
          <w:ind w:left="1021" w:firstLine="0"/>
        </w:pPr>
        <w:rPr>
          <w:rFonts w:hint="default"/>
        </w:rPr>
      </w:lvl>
    </w:lvlOverride>
    <w:lvlOverride w:ilvl="4">
      <w:lvl w:ilvl="4">
        <w:start w:val="1"/>
        <w:numFmt w:val="none"/>
        <w:suff w:val="nothing"/>
        <w:lvlText w:val=""/>
        <w:lvlJc w:val="left"/>
        <w:pPr>
          <w:ind w:left="1021" w:firstLine="0"/>
        </w:pPr>
        <w:rPr>
          <w:rFonts w:hint="default"/>
        </w:rPr>
      </w:lvl>
    </w:lvlOverride>
    <w:lvlOverride w:ilvl="5">
      <w:lvl w:ilvl="5">
        <w:start w:val="1"/>
        <w:numFmt w:val="none"/>
        <w:suff w:val="nothing"/>
        <w:lvlText w:val=""/>
        <w:lvlJc w:val="left"/>
        <w:pPr>
          <w:ind w:left="1021" w:firstLine="0"/>
        </w:pPr>
        <w:rPr>
          <w:rFonts w:hint="default"/>
        </w:rPr>
      </w:lvl>
    </w:lvlOverride>
    <w:lvlOverride w:ilvl="6">
      <w:lvl w:ilvl="6">
        <w:start w:val="1"/>
        <w:numFmt w:val="none"/>
        <w:suff w:val="nothing"/>
        <w:lvlText w:val=""/>
        <w:lvlJc w:val="left"/>
        <w:pPr>
          <w:ind w:left="1021" w:firstLine="0"/>
        </w:pPr>
        <w:rPr>
          <w:rFonts w:hint="default"/>
        </w:rPr>
      </w:lvl>
    </w:lvlOverride>
    <w:lvlOverride w:ilvl="7">
      <w:lvl w:ilvl="7">
        <w:start w:val="1"/>
        <w:numFmt w:val="none"/>
        <w:suff w:val="nothing"/>
        <w:lvlText w:val=""/>
        <w:lvlJc w:val="left"/>
        <w:pPr>
          <w:ind w:left="1021" w:firstLine="0"/>
        </w:pPr>
        <w:rPr>
          <w:rFonts w:hint="default"/>
        </w:rPr>
      </w:lvl>
    </w:lvlOverride>
    <w:lvlOverride w:ilvl="8">
      <w:lvl w:ilvl="8">
        <w:start w:val="1"/>
        <w:numFmt w:val="none"/>
        <w:suff w:val="nothing"/>
        <w:lvlText w:val=""/>
        <w:lvlJc w:val="left"/>
        <w:pPr>
          <w:ind w:left="1021" w:firstLine="0"/>
        </w:pPr>
        <w:rPr>
          <w:rFonts w:hint="default"/>
        </w:rPr>
      </w:lvl>
    </w:lvlOverride>
  </w:num>
  <w:num w:numId="57">
    <w:abstractNumId w:val="29"/>
  </w:num>
  <w:num w:numId="58">
    <w:abstractNumId w:val="39"/>
  </w:num>
  <w:num w:numId="59">
    <w:abstractNumId w:val="57"/>
  </w:num>
  <w:num w:numId="60">
    <w:abstractNumId w:val="42"/>
  </w:num>
  <w:num w:numId="61">
    <w:abstractNumId w:val="24"/>
  </w:num>
  <w:num w:numId="62">
    <w:abstractNumId w:val="3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772D"/>
    <w:rsid w:val="00014A96"/>
    <w:rsid w:val="00016FE1"/>
    <w:rsid w:val="000241A5"/>
    <w:rsid w:val="00024A63"/>
    <w:rsid w:val="00025309"/>
    <w:rsid w:val="00025EF8"/>
    <w:rsid w:val="000262AC"/>
    <w:rsid w:val="000278DC"/>
    <w:rsid w:val="00027A87"/>
    <w:rsid w:val="000304B2"/>
    <w:rsid w:val="00030CDC"/>
    <w:rsid w:val="00031747"/>
    <w:rsid w:val="00033BE9"/>
    <w:rsid w:val="00034C95"/>
    <w:rsid w:val="000419AD"/>
    <w:rsid w:val="000426C3"/>
    <w:rsid w:val="00044B29"/>
    <w:rsid w:val="00045543"/>
    <w:rsid w:val="000457C3"/>
    <w:rsid w:val="0004585A"/>
    <w:rsid w:val="00045DF4"/>
    <w:rsid w:val="00055B31"/>
    <w:rsid w:val="00061405"/>
    <w:rsid w:val="000616F5"/>
    <w:rsid w:val="00061C01"/>
    <w:rsid w:val="00065977"/>
    <w:rsid w:val="0006613A"/>
    <w:rsid w:val="0006724D"/>
    <w:rsid w:val="0007093F"/>
    <w:rsid w:val="000730F1"/>
    <w:rsid w:val="00087B1E"/>
    <w:rsid w:val="00090908"/>
    <w:rsid w:val="000935EF"/>
    <w:rsid w:val="00094335"/>
    <w:rsid w:val="000976D1"/>
    <w:rsid w:val="000A0728"/>
    <w:rsid w:val="000A22D6"/>
    <w:rsid w:val="000A5C48"/>
    <w:rsid w:val="000A6802"/>
    <w:rsid w:val="000B07A1"/>
    <w:rsid w:val="000B41E7"/>
    <w:rsid w:val="000B44ED"/>
    <w:rsid w:val="000B4E0D"/>
    <w:rsid w:val="000B6D82"/>
    <w:rsid w:val="000C0B90"/>
    <w:rsid w:val="000C16F4"/>
    <w:rsid w:val="000C1CF5"/>
    <w:rsid w:val="000C3C58"/>
    <w:rsid w:val="000C4E1D"/>
    <w:rsid w:val="000C7A51"/>
    <w:rsid w:val="000D0395"/>
    <w:rsid w:val="000D3936"/>
    <w:rsid w:val="000D4283"/>
    <w:rsid w:val="000D51DE"/>
    <w:rsid w:val="000E4725"/>
    <w:rsid w:val="000E66D3"/>
    <w:rsid w:val="000F0F49"/>
    <w:rsid w:val="000F1295"/>
    <w:rsid w:val="000F1BF3"/>
    <w:rsid w:val="000F4D0E"/>
    <w:rsid w:val="00101C79"/>
    <w:rsid w:val="00105A7C"/>
    <w:rsid w:val="00110113"/>
    <w:rsid w:val="00111F99"/>
    <w:rsid w:val="0012138E"/>
    <w:rsid w:val="00123C60"/>
    <w:rsid w:val="00131443"/>
    <w:rsid w:val="0013204A"/>
    <w:rsid w:val="00133A11"/>
    <w:rsid w:val="00136327"/>
    <w:rsid w:val="00137737"/>
    <w:rsid w:val="00140BC8"/>
    <w:rsid w:val="00143594"/>
    <w:rsid w:val="00143A7D"/>
    <w:rsid w:val="0014799D"/>
    <w:rsid w:val="0015011A"/>
    <w:rsid w:val="001535BC"/>
    <w:rsid w:val="001545B4"/>
    <w:rsid w:val="001601E7"/>
    <w:rsid w:val="00171CCB"/>
    <w:rsid w:val="0017418C"/>
    <w:rsid w:val="00174E73"/>
    <w:rsid w:val="001819AA"/>
    <w:rsid w:val="00190A14"/>
    <w:rsid w:val="00190F16"/>
    <w:rsid w:val="001913DF"/>
    <w:rsid w:val="00191EFE"/>
    <w:rsid w:val="0019279D"/>
    <w:rsid w:val="001931FA"/>
    <w:rsid w:val="001949F9"/>
    <w:rsid w:val="00194CEF"/>
    <w:rsid w:val="00195C99"/>
    <w:rsid w:val="001A0525"/>
    <w:rsid w:val="001A1174"/>
    <w:rsid w:val="001A34A6"/>
    <w:rsid w:val="001A4B05"/>
    <w:rsid w:val="001A4B42"/>
    <w:rsid w:val="001A5133"/>
    <w:rsid w:val="001B0B95"/>
    <w:rsid w:val="001B180A"/>
    <w:rsid w:val="001C0A8C"/>
    <w:rsid w:val="001C0F4B"/>
    <w:rsid w:val="001C5A1A"/>
    <w:rsid w:val="001C5ABA"/>
    <w:rsid w:val="001C6BE0"/>
    <w:rsid w:val="001D0D50"/>
    <w:rsid w:val="001D1AC8"/>
    <w:rsid w:val="001E04A4"/>
    <w:rsid w:val="001E1416"/>
    <w:rsid w:val="001E1EA5"/>
    <w:rsid w:val="001E23AA"/>
    <w:rsid w:val="001E3703"/>
    <w:rsid w:val="001E45D5"/>
    <w:rsid w:val="001E48F1"/>
    <w:rsid w:val="001E4DC7"/>
    <w:rsid w:val="001E5188"/>
    <w:rsid w:val="001E6A24"/>
    <w:rsid w:val="001E712C"/>
    <w:rsid w:val="001E73E3"/>
    <w:rsid w:val="001F0385"/>
    <w:rsid w:val="001F0D61"/>
    <w:rsid w:val="001F0E6A"/>
    <w:rsid w:val="001F683C"/>
    <w:rsid w:val="001F687D"/>
    <w:rsid w:val="002007BA"/>
    <w:rsid w:val="00200BC6"/>
    <w:rsid w:val="0020278B"/>
    <w:rsid w:val="00202EA7"/>
    <w:rsid w:val="00204358"/>
    <w:rsid w:val="0020486E"/>
    <w:rsid w:val="00207E67"/>
    <w:rsid w:val="00210134"/>
    <w:rsid w:val="0021080C"/>
    <w:rsid w:val="00212817"/>
    <w:rsid w:val="00212F48"/>
    <w:rsid w:val="002212B0"/>
    <w:rsid w:val="00225C7E"/>
    <w:rsid w:val="00226225"/>
    <w:rsid w:val="00230104"/>
    <w:rsid w:val="002325E4"/>
    <w:rsid w:val="00232BD8"/>
    <w:rsid w:val="00234B05"/>
    <w:rsid w:val="002369B8"/>
    <w:rsid w:val="00236EB2"/>
    <w:rsid w:val="00244732"/>
    <w:rsid w:val="00246ACC"/>
    <w:rsid w:val="0025417A"/>
    <w:rsid w:val="00254DC6"/>
    <w:rsid w:val="00261A57"/>
    <w:rsid w:val="00261BD3"/>
    <w:rsid w:val="00264BF0"/>
    <w:rsid w:val="00272D93"/>
    <w:rsid w:val="00273291"/>
    <w:rsid w:val="00274F72"/>
    <w:rsid w:val="00275DF2"/>
    <w:rsid w:val="00281694"/>
    <w:rsid w:val="0028229D"/>
    <w:rsid w:val="002833D9"/>
    <w:rsid w:val="002874F1"/>
    <w:rsid w:val="002914C4"/>
    <w:rsid w:val="00293525"/>
    <w:rsid w:val="00294130"/>
    <w:rsid w:val="00294FCA"/>
    <w:rsid w:val="002976B2"/>
    <w:rsid w:val="002A10EA"/>
    <w:rsid w:val="002A4103"/>
    <w:rsid w:val="002A5006"/>
    <w:rsid w:val="002A5E6B"/>
    <w:rsid w:val="002B2730"/>
    <w:rsid w:val="002B2B9C"/>
    <w:rsid w:val="002B7967"/>
    <w:rsid w:val="002C3DD0"/>
    <w:rsid w:val="002C62CF"/>
    <w:rsid w:val="002C72A2"/>
    <w:rsid w:val="002D5A8E"/>
    <w:rsid w:val="002D7D91"/>
    <w:rsid w:val="002E25F4"/>
    <w:rsid w:val="002E3B40"/>
    <w:rsid w:val="002E53B9"/>
    <w:rsid w:val="002F2910"/>
    <w:rsid w:val="002F4192"/>
    <w:rsid w:val="002F67EA"/>
    <w:rsid w:val="002F70E9"/>
    <w:rsid w:val="002F71DB"/>
    <w:rsid w:val="00300754"/>
    <w:rsid w:val="003018D6"/>
    <w:rsid w:val="00301CA8"/>
    <w:rsid w:val="003035E8"/>
    <w:rsid w:val="00303609"/>
    <w:rsid w:val="00303EFB"/>
    <w:rsid w:val="003045E2"/>
    <w:rsid w:val="00307FC5"/>
    <w:rsid w:val="0031325C"/>
    <w:rsid w:val="003146D9"/>
    <w:rsid w:val="00320393"/>
    <w:rsid w:val="003242A9"/>
    <w:rsid w:val="00325BC2"/>
    <w:rsid w:val="00325EB2"/>
    <w:rsid w:val="00332E13"/>
    <w:rsid w:val="003341FC"/>
    <w:rsid w:val="003372BE"/>
    <w:rsid w:val="0034251F"/>
    <w:rsid w:val="003436BF"/>
    <w:rsid w:val="003437A8"/>
    <w:rsid w:val="003441FF"/>
    <w:rsid w:val="00344AF2"/>
    <w:rsid w:val="00344FA1"/>
    <w:rsid w:val="003531F2"/>
    <w:rsid w:val="0035514D"/>
    <w:rsid w:val="00363111"/>
    <w:rsid w:val="0036417A"/>
    <w:rsid w:val="00365815"/>
    <w:rsid w:val="00370ADD"/>
    <w:rsid w:val="003711BA"/>
    <w:rsid w:val="00372274"/>
    <w:rsid w:val="00372BC6"/>
    <w:rsid w:val="003764A5"/>
    <w:rsid w:val="00376B4D"/>
    <w:rsid w:val="003815F3"/>
    <w:rsid w:val="003817E6"/>
    <w:rsid w:val="00384AE2"/>
    <w:rsid w:val="00391879"/>
    <w:rsid w:val="00394F36"/>
    <w:rsid w:val="003A0095"/>
    <w:rsid w:val="003A017D"/>
    <w:rsid w:val="003A3761"/>
    <w:rsid w:val="003A4485"/>
    <w:rsid w:val="003A457D"/>
    <w:rsid w:val="003A4747"/>
    <w:rsid w:val="003A4850"/>
    <w:rsid w:val="003A703E"/>
    <w:rsid w:val="003A723F"/>
    <w:rsid w:val="003B0CB7"/>
    <w:rsid w:val="003B2F88"/>
    <w:rsid w:val="003B3C7B"/>
    <w:rsid w:val="003B6ACC"/>
    <w:rsid w:val="003B6D47"/>
    <w:rsid w:val="003C070A"/>
    <w:rsid w:val="003C218D"/>
    <w:rsid w:val="003C3FC1"/>
    <w:rsid w:val="003D0098"/>
    <w:rsid w:val="003D58B2"/>
    <w:rsid w:val="003D5D97"/>
    <w:rsid w:val="003E397F"/>
    <w:rsid w:val="003E3DEA"/>
    <w:rsid w:val="003E657D"/>
    <w:rsid w:val="003F17AC"/>
    <w:rsid w:val="003F57F0"/>
    <w:rsid w:val="00401148"/>
    <w:rsid w:val="00404490"/>
    <w:rsid w:val="004050CC"/>
    <w:rsid w:val="00407ED0"/>
    <w:rsid w:val="00412EFF"/>
    <w:rsid w:val="0041542B"/>
    <w:rsid w:val="00415AB1"/>
    <w:rsid w:val="00416BE3"/>
    <w:rsid w:val="004241A1"/>
    <w:rsid w:val="004267F1"/>
    <w:rsid w:val="00430AA9"/>
    <w:rsid w:val="004404D5"/>
    <w:rsid w:val="0044066C"/>
    <w:rsid w:val="0044287C"/>
    <w:rsid w:val="00442DA3"/>
    <w:rsid w:val="00444DB8"/>
    <w:rsid w:val="00447E3D"/>
    <w:rsid w:val="00454193"/>
    <w:rsid w:val="00454504"/>
    <w:rsid w:val="00457BC3"/>
    <w:rsid w:val="00464432"/>
    <w:rsid w:val="00464787"/>
    <w:rsid w:val="0046708B"/>
    <w:rsid w:val="00471029"/>
    <w:rsid w:val="00473E19"/>
    <w:rsid w:val="00475425"/>
    <w:rsid w:val="00475879"/>
    <w:rsid w:val="004815E5"/>
    <w:rsid w:val="004825CA"/>
    <w:rsid w:val="004A2467"/>
    <w:rsid w:val="004A34B5"/>
    <w:rsid w:val="004A5EE0"/>
    <w:rsid w:val="004B6441"/>
    <w:rsid w:val="004B698A"/>
    <w:rsid w:val="004B701F"/>
    <w:rsid w:val="004B7AFB"/>
    <w:rsid w:val="004B7B72"/>
    <w:rsid w:val="004B7C61"/>
    <w:rsid w:val="004C5399"/>
    <w:rsid w:val="004C6E5B"/>
    <w:rsid w:val="004C726D"/>
    <w:rsid w:val="004C7C23"/>
    <w:rsid w:val="004D1EA6"/>
    <w:rsid w:val="004D45FA"/>
    <w:rsid w:val="004D7820"/>
    <w:rsid w:val="004E5C17"/>
    <w:rsid w:val="004E64DA"/>
    <w:rsid w:val="005005F6"/>
    <w:rsid w:val="00500CDE"/>
    <w:rsid w:val="0050287E"/>
    <w:rsid w:val="00503222"/>
    <w:rsid w:val="00503817"/>
    <w:rsid w:val="0050687A"/>
    <w:rsid w:val="005105AA"/>
    <w:rsid w:val="00511E31"/>
    <w:rsid w:val="0051279A"/>
    <w:rsid w:val="0051414C"/>
    <w:rsid w:val="00515602"/>
    <w:rsid w:val="00517252"/>
    <w:rsid w:val="0052301F"/>
    <w:rsid w:val="0052417A"/>
    <w:rsid w:val="00524B4A"/>
    <w:rsid w:val="00525050"/>
    <w:rsid w:val="00526E88"/>
    <w:rsid w:val="00526F80"/>
    <w:rsid w:val="00527247"/>
    <w:rsid w:val="005304D8"/>
    <w:rsid w:val="00532143"/>
    <w:rsid w:val="005325A3"/>
    <w:rsid w:val="00533590"/>
    <w:rsid w:val="00546D27"/>
    <w:rsid w:val="00551877"/>
    <w:rsid w:val="00552885"/>
    <w:rsid w:val="005530E1"/>
    <w:rsid w:val="005532B7"/>
    <w:rsid w:val="0055442A"/>
    <w:rsid w:val="005574E2"/>
    <w:rsid w:val="00565987"/>
    <w:rsid w:val="00565E49"/>
    <w:rsid w:val="00566647"/>
    <w:rsid w:val="00566C00"/>
    <w:rsid w:val="00567FE1"/>
    <w:rsid w:val="00570163"/>
    <w:rsid w:val="0057560E"/>
    <w:rsid w:val="00575A04"/>
    <w:rsid w:val="00580A30"/>
    <w:rsid w:val="00581451"/>
    <w:rsid w:val="00581C17"/>
    <w:rsid w:val="00582B96"/>
    <w:rsid w:val="005836E3"/>
    <w:rsid w:val="005844BD"/>
    <w:rsid w:val="00584D89"/>
    <w:rsid w:val="00584F60"/>
    <w:rsid w:val="00584F79"/>
    <w:rsid w:val="00587150"/>
    <w:rsid w:val="00590073"/>
    <w:rsid w:val="005913DB"/>
    <w:rsid w:val="00596FF4"/>
    <w:rsid w:val="005A19C2"/>
    <w:rsid w:val="005A1D76"/>
    <w:rsid w:val="005A233C"/>
    <w:rsid w:val="005B0619"/>
    <w:rsid w:val="005B25BE"/>
    <w:rsid w:val="005B3498"/>
    <w:rsid w:val="005B4B9E"/>
    <w:rsid w:val="005C04A2"/>
    <w:rsid w:val="005C350D"/>
    <w:rsid w:val="005C44C5"/>
    <w:rsid w:val="005C5996"/>
    <w:rsid w:val="005C74C2"/>
    <w:rsid w:val="005C791D"/>
    <w:rsid w:val="005D2D1A"/>
    <w:rsid w:val="005D2FF1"/>
    <w:rsid w:val="005D3214"/>
    <w:rsid w:val="005D3E38"/>
    <w:rsid w:val="005D77FE"/>
    <w:rsid w:val="005E0E16"/>
    <w:rsid w:val="005E1FA1"/>
    <w:rsid w:val="005E2DE8"/>
    <w:rsid w:val="005E317E"/>
    <w:rsid w:val="005E37D8"/>
    <w:rsid w:val="005E3A1D"/>
    <w:rsid w:val="005F081E"/>
    <w:rsid w:val="005F1102"/>
    <w:rsid w:val="00601627"/>
    <w:rsid w:val="00601F38"/>
    <w:rsid w:val="00606DDA"/>
    <w:rsid w:val="00607A17"/>
    <w:rsid w:val="006106F1"/>
    <w:rsid w:val="00622E87"/>
    <w:rsid w:val="006254BD"/>
    <w:rsid w:val="006321E9"/>
    <w:rsid w:val="00635EE2"/>
    <w:rsid w:val="00651A1C"/>
    <w:rsid w:val="00655E68"/>
    <w:rsid w:val="00657440"/>
    <w:rsid w:val="00663C28"/>
    <w:rsid w:val="00664201"/>
    <w:rsid w:val="006701D5"/>
    <w:rsid w:val="00670BF4"/>
    <w:rsid w:val="0067125E"/>
    <w:rsid w:val="00671ADE"/>
    <w:rsid w:val="00673325"/>
    <w:rsid w:val="00675BB3"/>
    <w:rsid w:val="006769F9"/>
    <w:rsid w:val="00680408"/>
    <w:rsid w:val="00683123"/>
    <w:rsid w:val="00683FE3"/>
    <w:rsid w:val="0068445E"/>
    <w:rsid w:val="00685FB5"/>
    <w:rsid w:val="00692CED"/>
    <w:rsid w:val="00693A74"/>
    <w:rsid w:val="006957BC"/>
    <w:rsid w:val="00697265"/>
    <w:rsid w:val="006A28A1"/>
    <w:rsid w:val="006A4FD3"/>
    <w:rsid w:val="006A5198"/>
    <w:rsid w:val="006B0A4D"/>
    <w:rsid w:val="006B2902"/>
    <w:rsid w:val="006B58FF"/>
    <w:rsid w:val="006B627F"/>
    <w:rsid w:val="006B6B87"/>
    <w:rsid w:val="006B7267"/>
    <w:rsid w:val="006C00C2"/>
    <w:rsid w:val="006C1B2D"/>
    <w:rsid w:val="006C5495"/>
    <w:rsid w:val="006C64F5"/>
    <w:rsid w:val="006C6E55"/>
    <w:rsid w:val="006C75C3"/>
    <w:rsid w:val="006D484F"/>
    <w:rsid w:val="006D5858"/>
    <w:rsid w:val="006E31CF"/>
    <w:rsid w:val="006E4BB8"/>
    <w:rsid w:val="006E609B"/>
    <w:rsid w:val="006E6DED"/>
    <w:rsid w:val="006E7CEE"/>
    <w:rsid w:val="006F33C3"/>
    <w:rsid w:val="006F520C"/>
    <w:rsid w:val="007002C7"/>
    <w:rsid w:val="00700E9E"/>
    <w:rsid w:val="0070487E"/>
    <w:rsid w:val="0070702A"/>
    <w:rsid w:val="00710DC0"/>
    <w:rsid w:val="007121E9"/>
    <w:rsid w:val="007167C9"/>
    <w:rsid w:val="0072012D"/>
    <w:rsid w:val="00720C94"/>
    <w:rsid w:val="00721D14"/>
    <w:rsid w:val="007221B7"/>
    <w:rsid w:val="00733C44"/>
    <w:rsid w:val="00734B1E"/>
    <w:rsid w:val="007362B9"/>
    <w:rsid w:val="00736E23"/>
    <w:rsid w:val="00740BBC"/>
    <w:rsid w:val="00741E70"/>
    <w:rsid w:val="00742085"/>
    <w:rsid w:val="00743AB6"/>
    <w:rsid w:val="007544F0"/>
    <w:rsid w:val="00755E41"/>
    <w:rsid w:val="00757723"/>
    <w:rsid w:val="00757D21"/>
    <w:rsid w:val="0076010B"/>
    <w:rsid w:val="007654E6"/>
    <w:rsid w:val="00765616"/>
    <w:rsid w:val="00772BBA"/>
    <w:rsid w:val="00773DA2"/>
    <w:rsid w:val="007779B8"/>
    <w:rsid w:val="00780C7F"/>
    <w:rsid w:val="00785103"/>
    <w:rsid w:val="00787807"/>
    <w:rsid w:val="00794997"/>
    <w:rsid w:val="00795FB8"/>
    <w:rsid w:val="007977E5"/>
    <w:rsid w:val="00797BD3"/>
    <w:rsid w:val="007A1505"/>
    <w:rsid w:val="007A1663"/>
    <w:rsid w:val="007A38DA"/>
    <w:rsid w:val="007A3B66"/>
    <w:rsid w:val="007A4CDA"/>
    <w:rsid w:val="007A63F7"/>
    <w:rsid w:val="007B305F"/>
    <w:rsid w:val="007B33D4"/>
    <w:rsid w:val="007C1168"/>
    <w:rsid w:val="007C1C00"/>
    <w:rsid w:val="007C294F"/>
    <w:rsid w:val="007C2B80"/>
    <w:rsid w:val="007C4557"/>
    <w:rsid w:val="007C6AD7"/>
    <w:rsid w:val="007D184B"/>
    <w:rsid w:val="007D25C3"/>
    <w:rsid w:val="007E2C13"/>
    <w:rsid w:val="007E2F31"/>
    <w:rsid w:val="007E5629"/>
    <w:rsid w:val="007E7731"/>
    <w:rsid w:val="007F11E7"/>
    <w:rsid w:val="007F51F2"/>
    <w:rsid w:val="007F575A"/>
    <w:rsid w:val="007F61A6"/>
    <w:rsid w:val="007F7C55"/>
    <w:rsid w:val="008040A8"/>
    <w:rsid w:val="00806C56"/>
    <w:rsid w:val="00812EC6"/>
    <w:rsid w:val="008139C0"/>
    <w:rsid w:val="00816F0B"/>
    <w:rsid w:val="0081783D"/>
    <w:rsid w:val="00817BAF"/>
    <w:rsid w:val="00817E27"/>
    <w:rsid w:val="008244C1"/>
    <w:rsid w:val="008441FE"/>
    <w:rsid w:val="0086257F"/>
    <w:rsid w:val="00865DD0"/>
    <w:rsid w:val="00866F8D"/>
    <w:rsid w:val="00871CDC"/>
    <w:rsid w:val="008751AB"/>
    <w:rsid w:val="008755C5"/>
    <w:rsid w:val="00884042"/>
    <w:rsid w:val="00885437"/>
    <w:rsid w:val="00887561"/>
    <w:rsid w:val="00887CC4"/>
    <w:rsid w:val="008914FB"/>
    <w:rsid w:val="00891C05"/>
    <w:rsid w:val="00892D58"/>
    <w:rsid w:val="00893B59"/>
    <w:rsid w:val="008A35F2"/>
    <w:rsid w:val="008A7BFE"/>
    <w:rsid w:val="008B0638"/>
    <w:rsid w:val="008B301A"/>
    <w:rsid w:val="008B3265"/>
    <w:rsid w:val="008C04D4"/>
    <w:rsid w:val="008C148F"/>
    <w:rsid w:val="008C6517"/>
    <w:rsid w:val="008C74BF"/>
    <w:rsid w:val="008D41F4"/>
    <w:rsid w:val="008D58D8"/>
    <w:rsid w:val="008D685F"/>
    <w:rsid w:val="008E0CA3"/>
    <w:rsid w:val="008E1A0A"/>
    <w:rsid w:val="008E2EBC"/>
    <w:rsid w:val="008E6320"/>
    <w:rsid w:val="008F34BD"/>
    <w:rsid w:val="00900D0A"/>
    <w:rsid w:val="009046BC"/>
    <w:rsid w:val="0090511E"/>
    <w:rsid w:val="00906ED1"/>
    <w:rsid w:val="009100F8"/>
    <w:rsid w:val="00911515"/>
    <w:rsid w:val="009116BD"/>
    <w:rsid w:val="00911A56"/>
    <w:rsid w:val="00912377"/>
    <w:rsid w:val="00914BB9"/>
    <w:rsid w:val="00914DF9"/>
    <w:rsid w:val="00920D7A"/>
    <w:rsid w:val="0093067D"/>
    <w:rsid w:val="00936137"/>
    <w:rsid w:val="0094091E"/>
    <w:rsid w:val="00945E4C"/>
    <w:rsid w:val="00946A67"/>
    <w:rsid w:val="009512FD"/>
    <w:rsid w:val="009549AE"/>
    <w:rsid w:val="009552C2"/>
    <w:rsid w:val="009612F7"/>
    <w:rsid w:val="00962C52"/>
    <w:rsid w:val="00965A85"/>
    <w:rsid w:val="00966299"/>
    <w:rsid w:val="00967429"/>
    <w:rsid w:val="009728EF"/>
    <w:rsid w:val="00973390"/>
    <w:rsid w:val="00975D7E"/>
    <w:rsid w:val="009808AC"/>
    <w:rsid w:val="009840A5"/>
    <w:rsid w:val="009907A3"/>
    <w:rsid w:val="009924E0"/>
    <w:rsid w:val="009945CA"/>
    <w:rsid w:val="009A48CE"/>
    <w:rsid w:val="009A79E6"/>
    <w:rsid w:val="009B020D"/>
    <w:rsid w:val="009B14AF"/>
    <w:rsid w:val="009B485E"/>
    <w:rsid w:val="009B6412"/>
    <w:rsid w:val="009B666D"/>
    <w:rsid w:val="009C1A29"/>
    <w:rsid w:val="009D12A3"/>
    <w:rsid w:val="009D12C5"/>
    <w:rsid w:val="009D13EE"/>
    <w:rsid w:val="009D327E"/>
    <w:rsid w:val="009D3D53"/>
    <w:rsid w:val="009D404E"/>
    <w:rsid w:val="009D55C8"/>
    <w:rsid w:val="009E0CB1"/>
    <w:rsid w:val="009E1EE5"/>
    <w:rsid w:val="009E2053"/>
    <w:rsid w:val="009E20A3"/>
    <w:rsid w:val="009E7A30"/>
    <w:rsid w:val="009F1166"/>
    <w:rsid w:val="009F2BFB"/>
    <w:rsid w:val="009F51A8"/>
    <w:rsid w:val="00A005EF"/>
    <w:rsid w:val="00A040AC"/>
    <w:rsid w:val="00A06583"/>
    <w:rsid w:val="00A077AE"/>
    <w:rsid w:val="00A11AEC"/>
    <w:rsid w:val="00A1546F"/>
    <w:rsid w:val="00A1567A"/>
    <w:rsid w:val="00A205A2"/>
    <w:rsid w:val="00A2263A"/>
    <w:rsid w:val="00A228E4"/>
    <w:rsid w:val="00A254AE"/>
    <w:rsid w:val="00A3031B"/>
    <w:rsid w:val="00A31AB9"/>
    <w:rsid w:val="00A402FE"/>
    <w:rsid w:val="00A4045A"/>
    <w:rsid w:val="00A406BC"/>
    <w:rsid w:val="00A420B1"/>
    <w:rsid w:val="00A47623"/>
    <w:rsid w:val="00A477D1"/>
    <w:rsid w:val="00A5224C"/>
    <w:rsid w:val="00A524B5"/>
    <w:rsid w:val="00A60220"/>
    <w:rsid w:val="00A605B5"/>
    <w:rsid w:val="00A62B87"/>
    <w:rsid w:val="00A63E89"/>
    <w:rsid w:val="00A6430E"/>
    <w:rsid w:val="00A668E8"/>
    <w:rsid w:val="00A76A58"/>
    <w:rsid w:val="00A813F8"/>
    <w:rsid w:val="00A818CD"/>
    <w:rsid w:val="00A85142"/>
    <w:rsid w:val="00A857B7"/>
    <w:rsid w:val="00A87E0F"/>
    <w:rsid w:val="00A926B4"/>
    <w:rsid w:val="00A933DA"/>
    <w:rsid w:val="00A93F46"/>
    <w:rsid w:val="00A94B0A"/>
    <w:rsid w:val="00AA0653"/>
    <w:rsid w:val="00AA0B4C"/>
    <w:rsid w:val="00AA35C7"/>
    <w:rsid w:val="00AA3E5C"/>
    <w:rsid w:val="00AA5437"/>
    <w:rsid w:val="00AA5676"/>
    <w:rsid w:val="00AB276E"/>
    <w:rsid w:val="00AB37C6"/>
    <w:rsid w:val="00AB4EEA"/>
    <w:rsid w:val="00AB5F90"/>
    <w:rsid w:val="00AC1A53"/>
    <w:rsid w:val="00AC384B"/>
    <w:rsid w:val="00AC3AC1"/>
    <w:rsid w:val="00AC59D0"/>
    <w:rsid w:val="00AD0B65"/>
    <w:rsid w:val="00AD44E5"/>
    <w:rsid w:val="00AD6D2B"/>
    <w:rsid w:val="00AE01E8"/>
    <w:rsid w:val="00AE2E02"/>
    <w:rsid w:val="00AF0CF1"/>
    <w:rsid w:val="00AF3545"/>
    <w:rsid w:val="00AF64C9"/>
    <w:rsid w:val="00AF6AC9"/>
    <w:rsid w:val="00AF7215"/>
    <w:rsid w:val="00AF7C47"/>
    <w:rsid w:val="00B02931"/>
    <w:rsid w:val="00B048EE"/>
    <w:rsid w:val="00B05C27"/>
    <w:rsid w:val="00B06A9F"/>
    <w:rsid w:val="00B13229"/>
    <w:rsid w:val="00B143CC"/>
    <w:rsid w:val="00B15E45"/>
    <w:rsid w:val="00B20E5C"/>
    <w:rsid w:val="00B21ED4"/>
    <w:rsid w:val="00B22B28"/>
    <w:rsid w:val="00B24D65"/>
    <w:rsid w:val="00B27CAB"/>
    <w:rsid w:val="00B3130F"/>
    <w:rsid w:val="00B3399A"/>
    <w:rsid w:val="00B348CF"/>
    <w:rsid w:val="00B37256"/>
    <w:rsid w:val="00B46D6D"/>
    <w:rsid w:val="00B4713D"/>
    <w:rsid w:val="00B505CF"/>
    <w:rsid w:val="00B52D80"/>
    <w:rsid w:val="00B5379B"/>
    <w:rsid w:val="00B5677B"/>
    <w:rsid w:val="00B56C5A"/>
    <w:rsid w:val="00B64855"/>
    <w:rsid w:val="00B650A9"/>
    <w:rsid w:val="00B6696F"/>
    <w:rsid w:val="00B66CC6"/>
    <w:rsid w:val="00B70FB2"/>
    <w:rsid w:val="00B87752"/>
    <w:rsid w:val="00B93DDE"/>
    <w:rsid w:val="00BA120C"/>
    <w:rsid w:val="00BA1865"/>
    <w:rsid w:val="00BA2334"/>
    <w:rsid w:val="00BB06DA"/>
    <w:rsid w:val="00BB1630"/>
    <w:rsid w:val="00BB50B0"/>
    <w:rsid w:val="00BB6AFA"/>
    <w:rsid w:val="00BB71E1"/>
    <w:rsid w:val="00BC07D7"/>
    <w:rsid w:val="00BC357A"/>
    <w:rsid w:val="00BC3D6D"/>
    <w:rsid w:val="00BC4384"/>
    <w:rsid w:val="00BC7F87"/>
    <w:rsid w:val="00BD16C9"/>
    <w:rsid w:val="00BD285B"/>
    <w:rsid w:val="00BD40A0"/>
    <w:rsid w:val="00BD660A"/>
    <w:rsid w:val="00BD72D9"/>
    <w:rsid w:val="00BD7FA4"/>
    <w:rsid w:val="00BE4001"/>
    <w:rsid w:val="00BE49F7"/>
    <w:rsid w:val="00BE7976"/>
    <w:rsid w:val="00BF0283"/>
    <w:rsid w:val="00BF0EC3"/>
    <w:rsid w:val="00C00A3A"/>
    <w:rsid w:val="00C0243B"/>
    <w:rsid w:val="00C10300"/>
    <w:rsid w:val="00C1049A"/>
    <w:rsid w:val="00C107CE"/>
    <w:rsid w:val="00C10A10"/>
    <w:rsid w:val="00C13DE3"/>
    <w:rsid w:val="00C14DC6"/>
    <w:rsid w:val="00C20475"/>
    <w:rsid w:val="00C20DCE"/>
    <w:rsid w:val="00C27FCD"/>
    <w:rsid w:val="00C3030B"/>
    <w:rsid w:val="00C34EC6"/>
    <w:rsid w:val="00C3711A"/>
    <w:rsid w:val="00C4536B"/>
    <w:rsid w:val="00C47F4E"/>
    <w:rsid w:val="00C5289B"/>
    <w:rsid w:val="00C6044B"/>
    <w:rsid w:val="00C60796"/>
    <w:rsid w:val="00C6219F"/>
    <w:rsid w:val="00C641E9"/>
    <w:rsid w:val="00C644F5"/>
    <w:rsid w:val="00C7641A"/>
    <w:rsid w:val="00C80FAC"/>
    <w:rsid w:val="00C8302D"/>
    <w:rsid w:val="00C8373E"/>
    <w:rsid w:val="00C84DE2"/>
    <w:rsid w:val="00C86B99"/>
    <w:rsid w:val="00C87121"/>
    <w:rsid w:val="00C87D58"/>
    <w:rsid w:val="00C87D6D"/>
    <w:rsid w:val="00C92574"/>
    <w:rsid w:val="00C9718A"/>
    <w:rsid w:val="00CA13F9"/>
    <w:rsid w:val="00CA6149"/>
    <w:rsid w:val="00CA6D69"/>
    <w:rsid w:val="00CB241F"/>
    <w:rsid w:val="00CB61CE"/>
    <w:rsid w:val="00CB6BB7"/>
    <w:rsid w:val="00CC1802"/>
    <w:rsid w:val="00CE146F"/>
    <w:rsid w:val="00CE1B6E"/>
    <w:rsid w:val="00CE298D"/>
    <w:rsid w:val="00CE5127"/>
    <w:rsid w:val="00CE6114"/>
    <w:rsid w:val="00CF0BD1"/>
    <w:rsid w:val="00CF57F0"/>
    <w:rsid w:val="00D01B68"/>
    <w:rsid w:val="00D07E4B"/>
    <w:rsid w:val="00D35C65"/>
    <w:rsid w:val="00D40CC3"/>
    <w:rsid w:val="00D4509F"/>
    <w:rsid w:val="00D45F33"/>
    <w:rsid w:val="00D47BED"/>
    <w:rsid w:val="00D501D9"/>
    <w:rsid w:val="00D52ABC"/>
    <w:rsid w:val="00D535E6"/>
    <w:rsid w:val="00D564A8"/>
    <w:rsid w:val="00D6167E"/>
    <w:rsid w:val="00D67580"/>
    <w:rsid w:val="00D70054"/>
    <w:rsid w:val="00D73447"/>
    <w:rsid w:val="00D75418"/>
    <w:rsid w:val="00D76FA8"/>
    <w:rsid w:val="00D85AB5"/>
    <w:rsid w:val="00D90744"/>
    <w:rsid w:val="00D91E7B"/>
    <w:rsid w:val="00D92E9F"/>
    <w:rsid w:val="00D934F2"/>
    <w:rsid w:val="00DA1F05"/>
    <w:rsid w:val="00DA37E3"/>
    <w:rsid w:val="00DA39DA"/>
    <w:rsid w:val="00DA3E5E"/>
    <w:rsid w:val="00DA7651"/>
    <w:rsid w:val="00DB2FA1"/>
    <w:rsid w:val="00DB5C0F"/>
    <w:rsid w:val="00DC5127"/>
    <w:rsid w:val="00DC7B87"/>
    <w:rsid w:val="00DD44CA"/>
    <w:rsid w:val="00DD47E2"/>
    <w:rsid w:val="00DD6338"/>
    <w:rsid w:val="00DE0CAB"/>
    <w:rsid w:val="00DE18A3"/>
    <w:rsid w:val="00DE1B57"/>
    <w:rsid w:val="00DE4672"/>
    <w:rsid w:val="00DE5724"/>
    <w:rsid w:val="00DF4569"/>
    <w:rsid w:val="00DF61FC"/>
    <w:rsid w:val="00E00E0B"/>
    <w:rsid w:val="00E05A7E"/>
    <w:rsid w:val="00E0685C"/>
    <w:rsid w:val="00E076C0"/>
    <w:rsid w:val="00E11599"/>
    <w:rsid w:val="00E126A3"/>
    <w:rsid w:val="00E21F98"/>
    <w:rsid w:val="00E24CC5"/>
    <w:rsid w:val="00E275C2"/>
    <w:rsid w:val="00E37B6C"/>
    <w:rsid w:val="00E413C6"/>
    <w:rsid w:val="00E41BB7"/>
    <w:rsid w:val="00E4334A"/>
    <w:rsid w:val="00E43DDB"/>
    <w:rsid w:val="00E44261"/>
    <w:rsid w:val="00E450CF"/>
    <w:rsid w:val="00E45544"/>
    <w:rsid w:val="00E5142B"/>
    <w:rsid w:val="00E55D00"/>
    <w:rsid w:val="00E56D8F"/>
    <w:rsid w:val="00E57D32"/>
    <w:rsid w:val="00E61525"/>
    <w:rsid w:val="00E627AE"/>
    <w:rsid w:val="00E74099"/>
    <w:rsid w:val="00E751A1"/>
    <w:rsid w:val="00E82E42"/>
    <w:rsid w:val="00E838E3"/>
    <w:rsid w:val="00E84720"/>
    <w:rsid w:val="00E920D7"/>
    <w:rsid w:val="00E93E97"/>
    <w:rsid w:val="00EA180F"/>
    <w:rsid w:val="00EA599B"/>
    <w:rsid w:val="00EA61ED"/>
    <w:rsid w:val="00EB0715"/>
    <w:rsid w:val="00EB116F"/>
    <w:rsid w:val="00EB1337"/>
    <w:rsid w:val="00EB6E31"/>
    <w:rsid w:val="00EC0AD0"/>
    <w:rsid w:val="00EC1414"/>
    <w:rsid w:val="00EC2618"/>
    <w:rsid w:val="00EC2AFC"/>
    <w:rsid w:val="00EC2CBB"/>
    <w:rsid w:val="00EC5F1C"/>
    <w:rsid w:val="00ED0DDC"/>
    <w:rsid w:val="00ED0DEE"/>
    <w:rsid w:val="00ED0F20"/>
    <w:rsid w:val="00ED156A"/>
    <w:rsid w:val="00ED5F5C"/>
    <w:rsid w:val="00ED67E0"/>
    <w:rsid w:val="00EE3F01"/>
    <w:rsid w:val="00EE6303"/>
    <w:rsid w:val="00EF2392"/>
    <w:rsid w:val="00F01502"/>
    <w:rsid w:val="00F06729"/>
    <w:rsid w:val="00F06766"/>
    <w:rsid w:val="00F06A90"/>
    <w:rsid w:val="00F10244"/>
    <w:rsid w:val="00F118A0"/>
    <w:rsid w:val="00F11CC0"/>
    <w:rsid w:val="00F17CE2"/>
    <w:rsid w:val="00F20CFE"/>
    <w:rsid w:val="00F20E79"/>
    <w:rsid w:val="00F2255D"/>
    <w:rsid w:val="00F22D1A"/>
    <w:rsid w:val="00F24C41"/>
    <w:rsid w:val="00F317A8"/>
    <w:rsid w:val="00F35014"/>
    <w:rsid w:val="00F351EC"/>
    <w:rsid w:val="00F3689D"/>
    <w:rsid w:val="00F37CFF"/>
    <w:rsid w:val="00F41B74"/>
    <w:rsid w:val="00F43132"/>
    <w:rsid w:val="00F45857"/>
    <w:rsid w:val="00F523D2"/>
    <w:rsid w:val="00F5623E"/>
    <w:rsid w:val="00F5711C"/>
    <w:rsid w:val="00F66474"/>
    <w:rsid w:val="00F722BB"/>
    <w:rsid w:val="00F72938"/>
    <w:rsid w:val="00F83A05"/>
    <w:rsid w:val="00F87D3E"/>
    <w:rsid w:val="00F9133E"/>
    <w:rsid w:val="00F9192C"/>
    <w:rsid w:val="00F925C5"/>
    <w:rsid w:val="00F941C3"/>
    <w:rsid w:val="00FA346F"/>
    <w:rsid w:val="00FA5F66"/>
    <w:rsid w:val="00FB7DC5"/>
    <w:rsid w:val="00FC0576"/>
    <w:rsid w:val="00FC37D9"/>
    <w:rsid w:val="00FC3A08"/>
    <w:rsid w:val="00FD0099"/>
    <w:rsid w:val="00FD05D4"/>
    <w:rsid w:val="00FD3B0A"/>
    <w:rsid w:val="00FD4ABD"/>
    <w:rsid w:val="00FD6B67"/>
    <w:rsid w:val="00FF0667"/>
    <w:rsid w:val="00FF0769"/>
    <w:rsid w:val="00FF08DF"/>
    <w:rsid w:val="00FF33F2"/>
    <w:rsid w:val="00FF6CCA"/>
    <w:rsid w:val="628497D1"/>
    <w:rsid w:val="764A5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49D2572"/>
  <w15:docId w15:val="{D44B3BAF-8DAB-47D5-882D-914FF590E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uiPriority w:val="99"/>
    <w:qFormat/>
    <w:rsid w:val="00ED67E0"/>
    <w:pPr>
      <w:keepNext/>
      <w:numPr>
        <w:numId w:val="5"/>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ED67E0"/>
    <w:pPr>
      <w:keepNext/>
      <w:numPr>
        <w:ilvl w:val="1"/>
        <w:numId w:val="5"/>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ED67E0"/>
    <w:pPr>
      <w:keepNext/>
      <w:numPr>
        <w:ilvl w:val="2"/>
        <w:numId w:val="5"/>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9"/>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10"/>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53"/>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53"/>
      </w:numPr>
      <w:spacing w:after="260" w:line="260" w:lineRule="atLeast"/>
      <w:jc w:val="both"/>
      <w:outlineLvl w:val="0"/>
    </w:pPr>
    <w:rPr>
      <w:b/>
      <w:caps/>
      <w:sz w:val="22"/>
    </w:rPr>
  </w:style>
  <w:style w:type="paragraph" w:customStyle="1" w:styleId="Level2">
    <w:name w:val="Level 2"/>
    <w:basedOn w:val="Normal"/>
    <w:rsid w:val="00AE2E02"/>
    <w:pPr>
      <w:numPr>
        <w:ilvl w:val="2"/>
        <w:numId w:val="53"/>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53"/>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53"/>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53"/>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character" w:styleId="PlaceholderText">
    <w:name w:val="Placeholder Text"/>
    <w:basedOn w:val="DefaultParagraphFont"/>
    <w:uiPriority w:val="99"/>
    <w:semiHidden/>
    <w:rsid w:val="00FB7DC5"/>
    <w:rPr>
      <w:color w:val="808080"/>
    </w:rPr>
  </w:style>
  <w:style w:type="paragraph" w:customStyle="1" w:styleId="Bullet1">
    <w:name w:val="Bullet1"/>
    <w:basedOn w:val="Normal"/>
    <w:uiPriority w:val="7"/>
    <w:qFormat/>
    <w:rsid w:val="003A4485"/>
    <w:pPr>
      <w:numPr>
        <w:numId w:val="56"/>
      </w:numPr>
      <w:spacing w:line="240" w:lineRule="atLeast"/>
    </w:pPr>
    <w:rPr>
      <w:rFonts w:eastAsia="Calibri"/>
      <w:sz w:val="20"/>
    </w:rPr>
  </w:style>
  <w:style w:type="paragraph" w:customStyle="1" w:styleId="Bullet2">
    <w:name w:val="Bullet2"/>
    <w:basedOn w:val="Normal"/>
    <w:uiPriority w:val="8"/>
    <w:qFormat/>
    <w:rsid w:val="003A4485"/>
    <w:pPr>
      <w:numPr>
        <w:ilvl w:val="1"/>
        <w:numId w:val="56"/>
      </w:numPr>
      <w:spacing w:line="240" w:lineRule="atLeast"/>
    </w:pPr>
    <w:rPr>
      <w:rFonts w:eastAsia="Calibri"/>
      <w:sz w:val="20"/>
    </w:rPr>
  </w:style>
  <w:style w:type="paragraph" w:customStyle="1" w:styleId="Bullet3">
    <w:name w:val="Bullet3"/>
    <w:basedOn w:val="Normal"/>
    <w:uiPriority w:val="6"/>
    <w:qFormat/>
    <w:rsid w:val="003A4485"/>
    <w:pPr>
      <w:numPr>
        <w:ilvl w:val="2"/>
        <w:numId w:val="56"/>
      </w:numPr>
      <w:spacing w:line="240" w:lineRule="atLeast"/>
    </w:pPr>
    <w:rPr>
      <w:rFonts w:eastAsia="Calibri"/>
      <w:sz w:val="20"/>
    </w:rPr>
  </w:style>
  <w:style w:type="numbering" w:customStyle="1" w:styleId="NumbLstBullet">
    <w:name w:val="NumbLstBullet"/>
    <w:uiPriority w:val="99"/>
    <w:rsid w:val="003A4485"/>
    <w:pPr>
      <w:numPr>
        <w:numId w:val="55"/>
      </w:numPr>
    </w:pPr>
  </w:style>
  <w:style w:type="paragraph" w:customStyle="1" w:styleId="Bullet1Last">
    <w:name w:val="Bullet1Last"/>
    <w:basedOn w:val="Bullet1"/>
    <w:uiPriority w:val="6"/>
    <w:qFormat/>
    <w:rsid w:val="003A4485"/>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46658">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332102280">
      <w:bodyDiv w:val="1"/>
      <w:marLeft w:val="0"/>
      <w:marRight w:val="0"/>
      <w:marTop w:val="0"/>
      <w:marBottom w:val="0"/>
      <w:divBdr>
        <w:top w:val="none" w:sz="0" w:space="0" w:color="auto"/>
        <w:left w:val="none" w:sz="0" w:space="0" w:color="auto"/>
        <w:bottom w:val="none" w:sz="0" w:space="0" w:color="auto"/>
        <w:right w:val="none" w:sz="0" w:space="0" w:color="auto"/>
      </w:divBdr>
    </w:div>
    <w:div w:id="381295577">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1033336891">
      <w:bodyDiv w:val="1"/>
      <w:marLeft w:val="0"/>
      <w:marRight w:val="0"/>
      <w:marTop w:val="0"/>
      <w:marBottom w:val="0"/>
      <w:divBdr>
        <w:top w:val="none" w:sz="0" w:space="0" w:color="auto"/>
        <w:left w:val="none" w:sz="0" w:space="0" w:color="auto"/>
        <w:bottom w:val="none" w:sz="0" w:space="0" w:color="auto"/>
        <w:right w:val="none" w:sz="0" w:space="0" w:color="auto"/>
      </w:divBdr>
    </w:div>
    <w:div w:id="1487818660">
      <w:bodyDiv w:val="1"/>
      <w:marLeft w:val="0"/>
      <w:marRight w:val="0"/>
      <w:marTop w:val="0"/>
      <w:marBottom w:val="0"/>
      <w:divBdr>
        <w:top w:val="none" w:sz="0" w:space="0" w:color="auto"/>
        <w:left w:val="none" w:sz="0" w:space="0" w:color="auto"/>
        <w:bottom w:val="none" w:sz="0" w:space="0" w:color="auto"/>
        <w:right w:val="none" w:sz="0" w:space="0" w:color="auto"/>
      </w:divBdr>
    </w:div>
    <w:div w:id="1595891798">
      <w:bodyDiv w:val="1"/>
      <w:marLeft w:val="0"/>
      <w:marRight w:val="0"/>
      <w:marTop w:val="0"/>
      <w:marBottom w:val="0"/>
      <w:divBdr>
        <w:top w:val="none" w:sz="0" w:space="0" w:color="auto"/>
        <w:left w:val="none" w:sz="0" w:space="0" w:color="auto"/>
        <w:bottom w:val="none" w:sz="0" w:space="0" w:color="auto"/>
        <w:right w:val="none" w:sz="0" w:space="0" w:color="auto"/>
      </w:divBdr>
    </w:div>
    <w:div w:id="1626083894">
      <w:bodyDiv w:val="1"/>
      <w:marLeft w:val="0"/>
      <w:marRight w:val="0"/>
      <w:marTop w:val="0"/>
      <w:marBottom w:val="0"/>
      <w:divBdr>
        <w:top w:val="none" w:sz="0" w:space="0" w:color="auto"/>
        <w:left w:val="none" w:sz="0" w:space="0" w:color="auto"/>
        <w:bottom w:val="none" w:sz="0" w:space="0" w:color="auto"/>
        <w:right w:val="none" w:sz="0" w:space="0" w:color="auto"/>
      </w:divBdr>
    </w:div>
    <w:div w:id="179990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european-structural-and-investment-funds-programme-guidanc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SharedWithUsers xmlns="57662250-88eb-4feb-ad90-0853014cc4f8">
      <UserInfo>
        <DisplayName>Paul Rushton</DisplayName>
        <AccountId>202</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F55FB-2BF6-4179-9AA9-747CAD35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3.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4.xml><?xml version="1.0" encoding="utf-8"?>
<ds:datastoreItem xmlns:ds="http://schemas.openxmlformats.org/officeDocument/2006/customXml" ds:itemID="{BF632BDC-9E09-4606-924E-4C135CAFED4B}">
  <ds:schemaRefs>
    <ds:schemaRef ds:uri="http://schemas.microsoft.com/office/2006/metadata/properties"/>
    <ds:schemaRef ds:uri="57662250-88eb-4feb-ad90-0853014cc4f8"/>
  </ds:schemaRefs>
</ds:datastoreItem>
</file>

<file path=customXml/itemProps5.xml><?xml version="1.0" encoding="utf-8"?>
<ds:datastoreItem xmlns:ds="http://schemas.openxmlformats.org/officeDocument/2006/customXml" ds:itemID="{8D8E8420-2274-4082-8A7D-0D3B242E7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6101</Words>
  <Characters>34780</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40800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subject/>
  <dc:creator>Sarah Stear</dc:creator>
  <cp:keywords/>
  <dc:description/>
  <cp:lastModifiedBy>Brian</cp:lastModifiedBy>
  <cp:revision>2</cp:revision>
  <cp:lastPrinted>2016-02-02T10:30:00Z</cp:lastPrinted>
  <dcterms:created xsi:type="dcterms:W3CDTF">2016-05-09T14:32:00Z</dcterms:created>
  <dcterms:modified xsi:type="dcterms:W3CDTF">2016-05-09T14:32:00Z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