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color w:val="000000"/>
          <w:sz w:val="24"/>
          <w:szCs w:val="24"/>
        </w:rPr>
      </w:pPr>
      <w:r w:rsidDel="00000000" w:rsidR="00000000" w:rsidRPr="00000000">
        <w:rPr>
          <w:color w:val="000000"/>
          <w:sz w:val="24"/>
          <w:szCs w:val="24"/>
          <w:rtl w:val="0"/>
        </w:rPr>
        <w:t xml:space="preserve">In this attachment and Attachment 5 </w:t>
      </w:r>
      <w:r w:rsidDel="00000000" w:rsidR="00000000" w:rsidRPr="00000000">
        <w:rPr>
          <w:color w:val="000000"/>
          <w:sz w:val="24"/>
          <w:szCs w:val="24"/>
          <w:rtl w:val="0"/>
        </w:rPr>
        <w:t xml:space="preserve">RM</w:t>
      </w:r>
      <w:r w:rsidDel="00000000" w:rsidR="00000000" w:rsidRPr="00000000">
        <w:rPr>
          <w:sz w:val="24"/>
          <w:szCs w:val="24"/>
          <w:rtl w:val="0"/>
        </w:rPr>
        <w:t xml:space="preserve">6251</w:t>
      </w:r>
      <w:r w:rsidDel="00000000" w:rsidR="00000000" w:rsidRPr="00000000">
        <w:rPr>
          <w:color w:val="000000"/>
          <w:sz w:val="24"/>
          <w:szCs w:val="24"/>
          <w:rtl w:val="0"/>
        </w:rPr>
        <w:t xml:space="preserve"> Financial Viability Risk Assessment Tool, the following words shall have the following meanings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rtl w:val="0"/>
        </w:rPr>
        <w:t xml:space="preserve">(version 4.3.1)</w:t>
      </w:r>
      <w:r w:rsidDel="00000000" w:rsidR="00000000" w:rsidRPr="00000000">
        <w:rPr>
          <w:color w:val="000000"/>
          <w:sz w:val="24"/>
          <w:szCs w:val="24"/>
          <w:rtl w:val="0"/>
        </w:rPr>
        <w:t xml:space="preserve"> as the basis to conduct a financial assessment on all Bids. The </w:t>
      </w:r>
      <w:r w:rsidDel="00000000" w:rsidR="00000000" w:rsidRPr="00000000">
        <w:rPr>
          <w:rtl w:val="0"/>
        </w:rPr>
        <w:t xml:space="preserve">RM6251 Supply of Energy 2 </w:t>
      </w:r>
      <w:r w:rsidDel="00000000" w:rsidR="00000000" w:rsidRPr="00000000">
        <w:rPr>
          <w:color w:val="000000"/>
          <w:sz w:val="24"/>
          <w:szCs w:val="24"/>
          <w:rtl w:val="0"/>
        </w:rPr>
        <w:t xml:space="preserve">FVRA Tool is provided at Attachment 5a – Financial Viability Risk Assessment Tool and is to be completed and submitted by Bidders.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68" w:line="246"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248.00000000000006" w:lineRule="auto"/>
        <w:ind w:left="5" w:right="532" w:firstLine="8"/>
        <w:rPr>
          <w:strike w:val="1"/>
          <w:color w:val="000000"/>
          <w:sz w:val="24"/>
          <w:szCs w:val="24"/>
        </w:rPr>
      </w:pPr>
      <w:r w:rsidDel="00000000" w:rsidR="00000000" w:rsidRPr="00000000">
        <w:rPr>
          <w:color w:val="000000"/>
          <w:sz w:val="24"/>
          <w:szCs w:val="24"/>
          <w:rtl w:val="0"/>
        </w:rPr>
        <w:t xml:space="preserve">RM</w:t>
      </w:r>
      <w:r w:rsidDel="00000000" w:rsidR="00000000" w:rsidRPr="00000000">
        <w:rPr>
          <w:sz w:val="24"/>
          <w:szCs w:val="24"/>
          <w:rtl w:val="0"/>
        </w:rPr>
        <w:t xml:space="preserve">6251</w:t>
      </w:r>
      <w:r w:rsidDel="00000000" w:rsidR="00000000" w:rsidRPr="00000000">
        <w:rPr>
          <w:color w:val="000000"/>
          <w:sz w:val="24"/>
          <w:szCs w:val="24"/>
          <w:rtl w:val="0"/>
        </w:rPr>
        <w:t xml:space="preserve"> </w:t>
      </w:r>
      <w:r w:rsidDel="00000000" w:rsidR="00000000" w:rsidRPr="00000000">
        <w:rPr>
          <w:sz w:val="24"/>
          <w:szCs w:val="24"/>
          <w:rtl w:val="0"/>
        </w:rPr>
        <w:t xml:space="preserve">Supply of Energy 2</w:t>
      </w:r>
      <w:r w:rsidDel="00000000" w:rsidR="00000000" w:rsidRPr="00000000">
        <w:rPr>
          <w:color w:val="000000"/>
          <w:sz w:val="24"/>
          <w:szCs w:val="24"/>
          <w:rtl w:val="0"/>
        </w:rPr>
        <w:t xml:space="preserve"> </w:t>
      </w:r>
      <w:r w:rsidDel="00000000" w:rsidR="00000000" w:rsidRPr="00000000">
        <w:rPr>
          <w:sz w:val="24"/>
          <w:szCs w:val="24"/>
          <w:rtl w:val="0"/>
        </w:rPr>
        <w:t xml:space="preserve">has been</w:t>
      </w:r>
      <w:r w:rsidDel="00000000" w:rsidR="00000000" w:rsidRPr="00000000">
        <w:rPr>
          <w:color w:val="000000"/>
          <w:sz w:val="24"/>
          <w:szCs w:val="24"/>
          <w:rtl w:val="0"/>
        </w:rPr>
        <w:t xml:space="preserve"> classified as a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contract, via the Contract Tiering Tool. All B</w:t>
      </w:r>
      <w:r w:rsidDel="00000000" w:rsidR="00000000" w:rsidRPr="00000000">
        <w:rPr>
          <w:sz w:val="24"/>
          <w:szCs w:val="24"/>
          <w:rtl w:val="0"/>
        </w:rPr>
        <w:t xml:space="preserve">idders tendering for this framework are required to complete Attachment 5a - Financial Viability Assessment Tool and upload it to Part 1.19 of Attachment 2a Selection Questionnaire in the eSourcing suite.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color w:val="000000"/>
          <w:sz w:val="24"/>
          <w:szCs w:val="24"/>
          <w:rtl w:val="0"/>
        </w:rPr>
        <w:t xml:space="preserve">Attachment 5a –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6" w:line="248.00000000000006" w:lineRule="auto"/>
        <w:ind w:left="5" w:right="331" w:firstLine="0"/>
        <w:rPr>
          <w:strike w:val="1"/>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–Financial Viability Risk Assessment Tool</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31" w:lineRule="auto"/>
        <w:ind w:left="0" w:right="175" w:firstLine="0"/>
        <w:rPr>
          <w:color w:val="000000"/>
          <w:sz w:val="19"/>
          <w:szCs w:val="19"/>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RM6251 Financial Viability Risk Assessment Tool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760" w:line="240" w:lineRule="auto"/>
        <w:ind w:left="23" w:firstLine="0"/>
        <w:rPr>
          <w:b w:val="1"/>
          <w:color w:val="000000"/>
          <w:sz w:val="28"/>
          <w:szCs w:val="28"/>
        </w:rPr>
      </w:pPr>
      <w:r w:rsidDel="00000000" w:rsidR="00000000" w:rsidRPr="00000000">
        <w:rPr>
          <w:b w:val="1"/>
          <w:color w:val="000000"/>
          <w:sz w:val="28"/>
          <w:szCs w:val="28"/>
          <w:rtl w:val="0"/>
        </w:rPr>
        <w:t xml:space="preserve">Prior to award of Framework </w:t>
      </w:r>
      <w:r w:rsidDel="00000000" w:rsidR="00000000" w:rsidRPr="00000000">
        <w:rPr>
          <w:b w:val="1"/>
          <w:sz w:val="28"/>
          <w:szCs w:val="28"/>
          <w:rtl w:val="0"/>
        </w:rPr>
        <w:t xml:space="preserve">Agreements</w:t>
      </w:r>
      <w:r w:rsidDel="00000000" w:rsidR="00000000" w:rsidRPr="00000000">
        <w:rPr>
          <w:b w:val="1"/>
          <w:color w:val="000000"/>
          <w:sz w:val="28"/>
          <w:szCs w:val="28"/>
          <w:rtl w:val="0"/>
        </w:rPr>
        <w:t xml:space="preserv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6">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6"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color w:val="000000"/>
          <w:sz w:val="24"/>
          <w:szCs w:val="24"/>
          <w:rtl w:val="0"/>
        </w:rPr>
        <w:t xml:space="preserve">Risk thresholds for RM</w:t>
      </w:r>
      <w:r w:rsidDel="00000000" w:rsidR="00000000" w:rsidRPr="00000000">
        <w:rPr>
          <w:sz w:val="24"/>
          <w:szCs w:val="24"/>
          <w:rtl w:val="0"/>
        </w:rPr>
        <w:t xml:space="preserve">6251 Supply of Energy 2 (in</w:t>
      </w:r>
      <w:r w:rsidDel="00000000" w:rsidR="00000000" w:rsidRPr="00000000">
        <w:rPr>
          <w:color w:val="000000"/>
          <w:sz w:val="24"/>
          <w:szCs w:val="24"/>
          <w:rtl w:val="0"/>
        </w:rPr>
        <w:t xml:space="preserve"> line with tab 2 of Attachment 5a – Financial Viability Risk Assessment Tool)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5" w:line="246" w:lineRule="auto"/>
        <w:ind w:left="0" w:right="208" w:firstLine="0"/>
        <w:rPr>
          <w:strike w:val="1"/>
          <w:color w:val="000000"/>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5381.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5"/>
        <w:gridCol w:w="693"/>
        <w:gridCol w:w="656"/>
        <w:gridCol w:w="774"/>
        <w:gridCol w:w="284"/>
        <w:tblGridChange w:id="0">
          <w:tblGrid>
            <w:gridCol w:w="450"/>
            <w:gridCol w:w="2525"/>
            <w:gridCol w:w="693"/>
            <w:gridCol w:w="656"/>
            <w:gridCol w:w="774"/>
            <w:gridCol w:w="284"/>
          </w:tblGrid>
        </w:tblGridChange>
      </w:tblGrid>
      <w:tr>
        <w:trPr>
          <w:cantSplit w:val="0"/>
          <w:tblHeader w:val="0"/>
        </w:trPr>
        <w:tc>
          <w:tcPr>
            <w:shd w:fill="ffffff" w:val="clear"/>
          </w:tcPr>
          <w:p w:rsidR="00000000" w:rsidDel="00000000" w:rsidP="00000000" w:rsidRDefault="00000000" w:rsidRPr="00000000" w14:paraId="0000005C">
            <w:pPr>
              <w:widowControl w:val="0"/>
              <w:rPr/>
            </w:pPr>
            <w:r w:rsidDel="00000000" w:rsidR="00000000" w:rsidRPr="00000000">
              <w:rPr>
                <w:rtl w:val="0"/>
              </w:rPr>
            </w:r>
          </w:p>
        </w:tc>
        <w:tc>
          <w:tcPr>
            <w:shd w:fill="ffffff" w:val="clear"/>
          </w:tcPr>
          <w:p w:rsidR="00000000" w:rsidDel="00000000" w:rsidP="00000000" w:rsidRDefault="00000000" w:rsidRPr="00000000" w14:paraId="0000005D">
            <w:pPr>
              <w:widowControl w:val="0"/>
              <w:rPr/>
            </w:pPr>
            <w:r w:rsidDel="00000000" w:rsidR="00000000" w:rsidRPr="00000000">
              <w:rPr>
                <w:rtl w:val="0"/>
              </w:rPr>
            </w:r>
          </w:p>
        </w:tc>
        <w:tc>
          <w:tcPr>
            <w:gridSpan w:val="3"/>
            <w:shd w:fill="ffffff" w:val="clear"/>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RM6251</w:t>
            </w:r>
          </w:p>
        </w:tc>
        <w:tc>
          <w:tcPr>
            <w:shd w:fill="ffffff" w:val="clear"/>
          </w:tcPr>
          <w:p w:rsidR="00000000" w:rsidDel="00000000" w:rsidP="00000000" w:rsidRDefault="00000000" w:rsidRPr="00000000" w14:paraId="00000061">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2">
            <w:pPr>
              <w:widowControl w:val="0"/>
              <w:rPr/>
            </w:pPr>
            <w:r w:rsidDel="00000000" w:rsidR="00000000" w:rsidRPr="00000000">
              <w:rPr>
                <w:rtl w:val="0"/>
              </w:rPr>
            </w:r>
          </w:p>
        </w:tc>
        <w:tc>
          <w:tcPr>
            <w:shd w:fill="ffffff" w:val="clear"/>
          </w:tcPr>
          <w:p w:rsidR="00000000" w:rsidDel="00000000" w:rsidP="00000000" w:rsidRDefault="00000000" w:rsidRPr="00000000" w14:paraId="00000063">
            <w:pPr>
              <w:widowControl w:val="0"/>
              <w:rPr/>
            </w:pPr>
            <w:r w:rsidDel="00000000" w:rsidR="00000000" w:rsidRPr="00000000">
              <w:rPr>
                <w:rtl w:val="0"/>
              </w:rPr>
            </w:r>
          </w:p>
        </w:tc>
        <w:tc>
          <w:tcPr>
            <w:shd w:fill="ffffff" w:val="clear"/>
          </w:tcPr>
          <w:p w:rsidR="00000000" w:rsidDel="00000000" w:rsidP="00000000" w:rsidRDefault="00000000" w:rsidRPr="00000000" w14:paraId="00000064">
            <w:pPr>
              <w:widowControl w:val="0"/>
              <w:jc w:val="center"/>
              <w:rPr/>
            </w:pPr>
            <w:r w:rsidDel="00000000" w:rsidR="00000000" w:rsidRPr="00000000">
              <w:rPr>
                <w:rtl w:val="0"/>
              </w:rPr>
              <w:t xml:space="preserve">R</w:t>
            </w:r>
          </w:p>
        </w:tc>
        <w:tc>
          <w:tcPr>
            <w:shd w:fill="ffffff" w:val="clear"/>
          </w:tcPr>
          <w:p w:rsidR="00000000" w:rsidDel="00000000" w:rsidP="00000000" w:rsidRDefault="00000000" w:rsidRPr="00000000" w14:paraId="00000065">
            <w:pPr>
              <w:widowControl w:val="0"/>
              <w:jc w:val="center"/>
              <w:rPr/>
            </w:pPr>
            <w:r w:rsidDel="00000000" w:rsidR="00000000" w:rsidRPr="00000000">
              <w:rPr>
                <w:rtl w:val="0"/>
              </w:rPr>
              <w:t xml:space="preserve">A</w:t>
            </w:r>
          </w:p>
        </w:tc>
        <w:tc>
          <w:tcPr>
            <w:shd w:fill="ffffff" w:val="clear"/>
          </w:tcPr>
          <w:p w:rsidR="00000000" w:rsidDel="00000000" w:rsidP="00000000" w:rsidRDefault="00000000" w:rsidRPr="00000000" w14:paraId="00000066">
            <w:pPr>
              <w:widowControl w:val="0"/>
              <w:jc w:val="center"/>
              <w:rPr/>
            </w:pPr>
            <w:r w:rsidDel="00000000" w:rsidR="00000000" w:rsidRPr="00000000">
              <w:rPr>
                <w:rtl w:val="0"/>
              </w:rPr>
              <w:t xml:space="preserve">G</w:t>
            </w:r>
          </w:p>
        </w:tc>
        <w:tc>
          <w:tcPr>
            <w:shd w:fill="ffffff" w:val="clear"/>
          </w:tcPr>
          <w:p w:rsidR="00000000" w:rsidDel="00000000" w:rsidP="00000000" w:rsidRDefault="00000000" w:rsidRPr="00000000" w14:paraId="00000067">
            <w:pPr>
              <w:widowControl w:val="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8">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9">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1.50</w:t>
            </w:r>
          </w:p>
        </w:tc>
        <w:tc>
          <w:tcPr>
            <w:shd w:fill="ffffff" w:val="clear"/>
            <w:vAlign w:val="center"/>
          </w:tcPr>
          <w:p w:rsidR="00000000" w:rsidDel="00000000" w:rsidP="00000000" w:rsidRDefault="00000000" w:rsidRPr="00000000" w14:paraId="0000006B">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2.00</w:t>
            </w:r>
          </w:p>
        </w:tc>
        <w:tc>
          <w:tcPr>
            <w:shd w:fill="d9d9d9" w:val="clear"/>
            <w:vAlign w:val="center"/>
          </w:tcPr>
          <w:p w:rsidR="00000000" w:rsidDel="00000000" w:rsidP="00000000" w:rsidRDefault="00000000" w:rsidRPr="00000000" w14:paraId="0000006D">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E">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70">
            <w:pPr>
              <w:widowControl w:val="0"/>
              <w:jc w:val="center"/>
              <w:rPr>
                <w:sz w:val="20"/>
                <w:szCs w:val="20"/>
              </w:rPr>
            </w:pPr>
            <w:r w:rsidDel="00000000" w:rsidR="00000000" w:rsidRPr="00000000">
              <w:rPr>
                <w:sz w:val="20"/>
                <w:szCs w:val="20"/>
                <w:rtl w:val="0"/>
              </w:rPr>
              <w:t xml:space="preserve">2%</w:t>
            </w:r>
          </w:p>
        </w:tc>
        <w:tc>
          <w:tcPr>
            <w:shd w:fill="ffffff" w:val="clear"/>
            <w:vAlign w:val="center"/>
          </w:tcPr>
          <w:p w:rsidR="00000000" w:rsidDel="00000000" w:rsidP="00000000" w:rsidRDefault="00000000" w:rsidRPr="00000000" w14:paraId="00000071">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72">
            <w:pPr>
              <w:widowControl w:val="0"/>
              <w:jc w:val="center"/>
              <w:rPr>
                <w:sz w:val="20"/>
                <w:szCs w:val="20"/>
              </w:rPr>
            </w:pP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73">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4">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75">
            <w:pPr>
              <w:widowControl w:val="0"/>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5.00%</w:t>
            </w:r>
          </w:p>
        </w:tc>
        <w:tc>
          <w:tcPr>
            <w:shd w:fill="ffffff" w:val="clear"/>
            <w:vAlign w:val="center"/>
          </w:tcPr>
          <w:p w:rsidR="00000000" w:rsidDel="00000000" w:rsidP="00000000" w:rsidRDefault="00000000" w:rsidRPr="00000000" w14:paraId="00000077">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10.00%</w:t>
            </w:r>
          </w:p>
        </w:tc>
        <w:tc>
          <w:tcPr>
            <w:shd w:fill="d9d9d9" w:val="clear"/>
            <w:vAlign w:val="center"/>
          </w:tcPr>
          <w:p w:rsidR="00000000" w:rsidDel="00000000" w:rsidP="00000000" w:rsidRDefault="00000000" w:rsidRPr="00000000" w14:paraId="00000079">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A">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B">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C">
            <w:pPr>
              <w:widowControl w:val="0"/>
              <w:jc w:val="center"/>
              <w:rPr>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00</w:t>
            </w:r>
          </w:p>
        </w:tc>
        <w:tc>
          <w:tcPr>
            <w:shd w:fill="ffffff" w:val="clear"/>
            <w:vAlign w:val="center"/>
          </w:tcPr>
          <w:p w:rsidR="00000000" w:rsidDel="00000000" w:rsidP="00000000" w:rsidRDefault="00000000" w:rsidRPr="00000000" w14:paraId="0000007D">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00</w:t>
            </w:r>
          </w:p>
        </w:tc>
        <w:tc>
          <w:tcPr>
            <w:shd w:fill="d9d9d9" w:val="clear"/>
            <w:vAlign w:val="center"/>
          </w:tcPr>
          <w:p w:rsidR="00000000" w:rsidDel="00000000" w:rsidP="00000000" w:rsidRDefault="00000000" w:rsidRPr="00000000" w14:paraId="0000007F">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0">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81">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82">
            <w:pPr>
              <w:widowControl w:val="0"/>
              <w:jc w:val="center"/>
              <w:rPr>
                <w:sz w:val="20"/>
                <w:szCs w:val="20"/>
              </w:rPr>
            </w:pPr>
            <w:r w:rsidDel="00000000" w:rsidR="00000000" w:rsidRPr="00000000">
              <w:rPr>
                <w:sz w:val="20"/>
                <w:szCs w:val="20"/>
                <w:rtl w:val="0"/>
              </w:rPr>
              <w:t xml:space="preserve">4.00</w:t>
            </w:r>
          </w:p>
        </w:tc>
        <w:tc>
          <w:tcPr>
            <w:shd w:fill="ffffff" w:val="clear"/>
            <w:vAlign w:val="center"/>
          </w:tcPr>
          <w:p w:rsidR="00000000" w:rsidDel="00000000" w:rsidP="00000000" w:rsidRDefault="00000000" w:rsidRPr="00000000" w14:paraId="00000083">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3</w:t>
            </w:r>
            <w:r w:rsidDel="00000000" w:rsidR="00000000" w:rsidRPr="00000000">
              <w:rPr>
                <w:color w:val="000000"/>
                <w:sz w:val="20"/>
                <w:szCs w:val="20"/>
                <w:rtl w:val="0"/>
              </w:rPr>
              <w:t xml:space="preserve">.</w:t>
            </w:r>
            <w:r w:rsidDel="00000000" w:rsidR="00000000" w:rsidRPr="00000000">
              <w:rPr>
                <w:sz w:val="20"/>
                <w:szCs w:val="20"/>
                <w:rtl w:val="0"/>
              </w:rPr>
              <w:t xml:space="preserve">00</w:t>
            </w:r>
          </w:p>
        </w:tc>
        <w:tc>
          <w:tcPr>
            <w:shd w:fill="d9d9d9" w:val="clear"/>
            <w:vAlign w:val="center"/>
          </w:tcPr>
          <w:p w:rsidR="00000000" w:rsidDel="00000000" w:rsidP="00000000" w:rsidRDefault="00000000" w:rsidRPr="00000000" w14:paraId="00000085">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6">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87">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88">
            <w:pPr>
              <w:widowControl w:val="0"/>
              <w:jc w:val="center"/>
              <w:rPr>
                <w:sz w:val="20"/>
                <w:szCs w:val="20"/>
              </w:rPr>
            </w:pPr>
            <w:r w:rsidDel="00000000" w:rsidR="00000000" w:rsidRPr="00000000">
              <w:rPr>
                <w:sz w:val="20"/>
                <w:szCs w:val="20"/>
                <w:rtl w:val="0"/>
              </w:rPr>
              <w:t xml:space="preserve">1.50</w:t>
            </w:r>
          </w:p>
        </w:tc>
        <w:tc>
          <w:tcPr>
            <w:shd w:fill="ffffff" w:val="clear"/>
            <w:vAlign w:val="center"/>
          </w:tcPr>
          <w:p w:rsidR="00000000" w:rsidDel="00000000" w:rsidP="00000000" w:rsidRDefault="00000000" w:rsidRPr="00000000" w14:paraId="00000089">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3.00</w:t>
            </w:r>
          </w:p>
        </w:tc>
        <w:tc>
          <w:tcPr>
            <w:shd w:fill="d9d9d9" w:val="clear"/>
            <w:vAlign w:val="center"/>
          </w:tcPr>
          <w:p w:rsidR="00000000" w:rsidDel="00000000" w:rsidP="00000000" w:rsidRDefault="00000000" w:rsidRPr="00000000" w14:paraId="0000008B">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C">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8D">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8E">
            <w:pPr>
              <w:widowControl w:val="0"/>
              <w:jc w:val="center"/>
              <w:rPr>
                <w:sz w:val="20"/>
                <w:szCs w:val="20"/>
              </w:rPr>
            </w:pPr>
            <w:r w:rsidDel="00000000" w:rsidR="00000000" w:rsidRPr="00000000">
              <w:rPr>
                <w:color w:val="000000"/>
                <w:sz w:val="20"/>
                <w:szCs w:val="20"/>
                <w:rtl w:val="0"/>
              </w:rPr>
              <w:t xml:space="preserve">0.80</w:t>
            </w:r>
            <w:r w:rsidDel="00000000" w:rsidR="00000000" w:rsidRPr="00000000">
              <w:rPr>
                <w:rtl w:val="0"/>
              </w:rPr>
            </w:r>
          </w:p>
        </w:tc>
        <w:tc>
          <w:tcPr>
            <w:shd w:fill="ffffff" w:val="clear"/>
            <w:vAlign w:val="center"/>
          </w:tcPr>
          <w:p w:rsidR="00000000" w:rsidDel="00000000" w:rsidP="00000000" w:rsidRDefault="00000000" w:rsidRPr="00000000" w14:paraId="0000008F">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90">
            <w:pPr>
              <w:widowControl w:val="0"/>
              <w:jc w:val="center"/>
              <w:rPr>
                <w:sz w:val="20"/>
                <w:szCs w:val="20"/>
              </w:rPr>
            </w:pPr>
            <w:r w:rsidDel="00000000" w:rsidR="00000000" w:rsidRPr="00000000">
              <w:rPr>
                <w:color w:val="000000"/>
                <w:sz w:val="20"/>
                <w:szCs w:val="20"/>
                <w:rtl w:val="0"/>
              </w:rPr>
              <w:t xml:space="preserve">1.00</w:t>
            </w:r>
            <w:r w:rsidDel="00000000" w:rsidR="00000000" w:rsidRPr="00000000">
              <w:rPr>
                <w:rtl w:val="0"/>
              </w:rPr>
            </w:r>
          </w:p>
        </w:tc>
        <w:tc>
          <w:tcPr>
            <w:shd w:fill="d9d9d9" w:val="clear"/>
            <w:vAlign w:val="center"/>
          </w:tcPr>
          <w:p w:rsidR="00000000" w:rsidDel="00000000" w:rsidP="00000000" w:rsidRDefault="00000000" w:rsidRPr="00000000" w14:paraId="00000091">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2">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93">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94">
            <w:pPr>
              <w:widowControl w:val="0"/>
              <w:jc w:val="center"/>
              <w:rPr>
                <w:color w:val="000000"/>
                <w:sz w:val="20"/>
                <w:szCs w:val="20"/>
              </w:rPr>
            </w:pPr>
            <w:r w:rsidDel="00000000" w:rsidR="00000000" w:rsidRPr="00000000">
              <w:rPr>
                <w:sz w:val="20"/>
                <w:szCs w:val="20"/>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95">
            <w:pPr>
              <w:widowControl w:val="0"/>
              <w:jc w:val="center"/>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96">
            <w:pPr>
              <w:widowControl w:val="0"/>
              <w:jc w:val="center"/>
              <w:rPr>
                <w:color w:val="000000"/>
                <w:sz w:val="20"/>
                <w:szCs w:val="20"/>
              </w:rPr>
            </w:pPr>
            <w:r w:rsidDel="00000000" w:rsidR="00000000" w:rsidRPr="00000000">
              <w:rPr>
                <w:sz w:val="20"/>
                <w:szCs w:val="20"/>
                <w:rtl w:val="0"/>
              </w:rPr>
              <w:t xml:space="preserve">1.00</w:t>
            </w:r>
            <w:r w:rsidDel="00000000" w:rsidR="00000000" w:rsidRPr="00000000">
              <w:rPr>
                <w:rtl w:val="0"/>
              </w:rPr>
            </w:r>
          </w:p>
        </w:tc>
        <w:tc>
          <w:tcPr>
            <w:shd w:fill="d9d9d9" w:val="clear"/>
            <w:vAlign w:val="center"/>
          </w:tcPr>
          <w:p w:rsidR="00000000" w:rsidDel="00000000" w:rsidP="00000000" w:rsidRDefault="00000000" w:rsidRPr="00000000" w14:paraId="00000097">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8">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99">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9A">
            <w:pPr>
              <w:widowControl w:val="0"/>
              <w:jc w:val="center"/>
              <w:rPr>
                <w:color w:val="000000"/>
                <w:sz w:val="20"/>
                <w:szCs w:val="20"/>
              </w:rPr>
            </w:pPr>
            <w:r w:rsidDel="00000000" w:rsidR="00000000" w:rsidRPr="00000000">
              <w:rPr>
                <w:color w:val="000000"/>
                <w:sz w:val="20"/>
                <w:szCs w:val="20"/>
                <w:rtl w:val="0"/>
              </w:rPr>
              <w:t xml:space="preserve">50.00%</w:t>
            </w:r>
          </w:p>
        </w:tc>
        <w:tc>
          <w:tcPr>
            <w:shd w:fill="ffffff" w:val="clear"/>
            <w:vAlign w:val="center"/>
          </w:tcPr>
          <w:p w:rsidR="00000000" w:rsidDel="00000000" w:rsidP="00000000" w:rsidRDefault="00000000" w:rsidRPr="00000000" w14:paraId="0000009B">
            <w:pPr>
              <w:widowControl w:val="0"/>
              <w:jc w:val="center"/>
              <w:rPr>
                <w:sz w:val="20"/>
                <w:szCs w:val="20"/>
              </w:rPr>
            </w:pPr>
            <w:r w:rsidDel="00000000" w:rsidR="00000000" w:rsidRPr="00000000">
              <w:rPr>
                <w:sz w:val="20"/>
                <w:szCs w:val="20"/>
                <w:rtl w:val="0"/>
              </w:rPr>
              <w:t xml:space="preserve">-</w:t>
            </w:r>
          </w:p>
        </w:tc>
        <w:tc>
          <w:tcPr>
            <w:shd w:fill="ffffff" w:val="clear"/>
            <w:vAlign w:val="center"/>
          </w:tcPr>
          <w:p w:rsidR="00000000" w:rsidDel="00000000" w:rsidP="00000000" w:rsidRDefault="00000000" w:rsidRPr="00000000" w14:paraId="0000009C">
            <w:pPr>
              <w:widowControl w:val="0"/>
              <w:jc w:val="center"/>
              <w:rPr>
                <w:color w:val="000000"/>
                <w:sz w:val="20"/>
                <w:szCs w:val="20"/>
              </w:rPr>
            </w:pPr>
            <w:r w:rsidDel="00000000" w:rsidR="00000000" w:rsidRPr="00000000">
              <w:rPr>
                <w:color w:val="000000"/>
                <w:sz w:val="20"/>
                <w:szCs w:val="20"/>
                <w:rtl w:val="0"/>
              </w:rPr>
              <w:t xml:space="preserve">25.00%</w:t>
            </w:r>
          </w:p>
        </w:tc>
        <w:tc>
          <w:tcPr>
            <w:shd w:fill="d9d9d9" w:val="clear"/>
            <w:vAlign w:val="center"/>
          </w:tcPr>
          <w:p w:rsidR="00000000" w:rsidDel="00000000" w:rsidP="00000000" w:rsidRDefault="00000000" w:rsidRPr="00000000" w14:paraId="0000009D">
            <w:pPr>
              <w:widowControl w:val="0"/>
              <w:jc w:val="center"/>
              <w:rPr>
                <w:sz w:val="20"/>
                <w:szCs w:val="20"/>
              </w:rPr>
            </w:pPr>
            <w:r w:rsidDel="00000000" w:rsidR="00000000" w:rsidRPr="00000000">
              <w:rPr>
                <w:rtl w:val="0"/>
              </w:rPr>
            </w:r>
          </w:p>
        </w:tc>
      </w:tr>
    </w:tbl>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A3">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3"/>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2">
      <w:pPr>
        <w:widowControl w:val="0"/>
        <w:spacing w:line="231" w:lineRule="auto"/>
        <w:ind w:right="175" w:firstLine="20"/>
        <w:rPr>
          <w:sz w:val="19"/>
          <w:szCs w:val="19"/>
        </w:rPr>
      </w:pPr>
      <w:r w:rsidDel="00000000" w:rsidR="00000000" w:rsidRPr="00000000">
        <w:rPr>
          <w:rtl w:val="0"/>
        </w:rPr>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3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0F5">
            <w:pPr>
              <w:widowControl w:val="0"/>
              <w:spacing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0F7">
            <w:pPr>
              <w:widowControl w:val="0"/>
              <w:spacing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0F8">
            <w:pPr>
              <w:widowControl w:val="0"/>
              <w:spacing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0F9">
            <w:pPr>
              <w:widowControl w:val="0"/>
              <w:spacing w:line="229"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0FA">
            <w:pPr>
              <w:widowControl w:val="0"/>
              <w:spacing w:before="6"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29"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0FD">
            <w:pPr>
              <w:widowControl w:val="0"/>
              <w:spacing w:before="2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FE">
            <w:pPr>
              <w:widowControl w:val="0"/>
              <w:spacing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0FF">
            <w:pPr>
              <w:widowControl w:val="0"/>
              <w:spacing w:before="1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0">
            <w:pPr>
              <w:widowControl w:val="0"/>
              <w:spacing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101">
            <w:pPr>
              <w:widowControl w:val="0"/>
              <w:spacing w:before="1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2">
            <w:pPr>
              <w:widowControl w:val="0"/>
              <w:spacing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103">
            <w:pPr>
              <w:widowControl w:val="0"/>
              <w:spacing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105">
            <w:pPr>
              <w:widowControl w:val="0"/>
              <w:spacing w:line="229"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29"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109">
            <w:pPr>
              <w:widowControl w:val="0"/>
              <w:spacing w:before="6"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10A">
            <w:pPr>
              <w:widowControl w:val="0"/>
              <w:spacing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10C">
            <w:pPr>
              <w:widowControl w:val="0"/>
              <w:spacing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110">
            <w:pPr>
              <w:widowControl w:val="0"/>
              <w:spacing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111">
            <w:pPr>
              <w:widowControl w:val="0"/>
              <w:spacing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112">
            <w:pPr>
              <w:widowControl w:val="0"/>
              <w:spacing w:line="229"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113">
            <w:pPr>
              <w:widowControl w:val="0"/>
              <w:spacing w:before="6"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114">
            <w:pPr>
              <w:widowControl w:val="0"/>
              <w:spacing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16">
            <w:pPr>
              <w:widowControl w:val="0"/>
              <w:spacing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17">
            <w:pPr>
              <w:widowControl w:val="0"/>
              <w:spacing w:before="271"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18">
            <w:pPr>
              <w:widowControl w:val="0"/>
              <w:spacing w:line="459"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29"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1A">
            <w:pPr>
              <w:widowControl w:val="0"/>
              <w:spacing w:before="6"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ind w:left="121" w:firstLine="0"/>
              <w:rPr>
                <w:sz w:val="24"/>
                <w:szCs w:val="24"/>
              </w:rPr>
            </w:pPr>
            <w:bookmarkStart w:colFirst="0" w:colLast="0" w:name="_heading=h.30j0zll" w:id="1"/>
            <w:bookmarkEnd w:id="1"/>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1C">
      <w:pPr>
        <w:widowControl w:val="0"/>
        <w:rPr/>
      </w:pPr>
      <w:r w:rsidDel="00000000" w:rsidR="00000000" w:rsidRPr="00000000">
        <w:rPr>
          <w:rtl w:val="0"/>
        </w:rPr>
      </w:r>
    </w:p>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6VrJEJs51MfVF6MbZwHsvpYzw==">AMUW2mUSmtL3QhGkl0+U8JDwVOMqemDO4vG6TOMlnLXg3Gf4a2I5xvB+aTHLx37+UhLAQaN0vtpEitg10YAKEU39Qw+HQjrGaOkGXmh8Cbhc5X1j6OBPi9TT3QgGQydi7jJWs/Nnf6cn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