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3FB4B" w14:textId="77777777" w:rsidR="00B81291" w:rsidRDefault="00B81291" w:rsidP="00B8129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81291">
        <w:rPr>
          <w:rFonts w:ascii="Arial" w:eastAsia="Times New Roman" w:hAnsi="Arial" w:cs="Arial"/>
          <w:b/>
          <w:lang w:eastAsia="en-GB"/>
        </w:rPr>
        <w:t>BAE Systems (Operations) Ltd</w:t>
      </w:r>
    </w:p>
    <w:p w14:paraId="7A4BD6D6" w14:textId="09A32F34" w:rsidR="00B81291" w:rsidRPr="009F3D7F" w:rsidRDefault="0084655D" w:rsidP="00E5244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81291">
        <w:rPr>
          <w:rFonts w:ascii="Arial" w:eastAsia="Times New Roman" w:hAnsi="Arial" w:cs="Arial"/>
          <w:b/>
          <w:lang w:eastAsia="en-GB"/>
        </w:rPr>
        <w:br/>
      </w:r>
      <w:r w:rsidR="00E52443">
        <w:rPr>
          <w:rFonts w:ascii="Arial" w:eastAsia="Times New Roman" w:hAnsi="Arial" w:cs="Arial"/>
          <w:b/>
          <w:lang w:eastAsia="en-GB"/>
        </w:rPr>
        <w:t>REDACTED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1A32DC61" w:rsidR="00426F1E" w:rsidRDefault="00B8129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E52443">
        <w:rPr>
          <w:rFonts w:ascii="Arial" w:eastAsia="Times New Roman" w:hAnsi="Arial" w:cs="Arial"/>
          <w:lang w:eastAsia="en-GB"/>
        </w:rPr>
        <w:t>REDACTED</w:t>
      </w:r>
    </w:p>
    <w:p w14:paraId="0E425FB9" w14:textId="22FF936E" w:rsidR="0084655D" w:rsidRP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55EDF8E" w:rsidR="0084655D" w:rsidRPr="00B81291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B81291">
        <w:rPr>
          <w:rFonts w:ascii="Arial" w:eastAsia="Times New Roman" w:hAnsi="Arial" w:cs="Arial"/>
        </w:rPr>
        <w:t xml:space="preserve">Date: </w:t>
      </w:r>
      <w:r w:rsidR="00B81291" w:rsidRPr="00B81291">
        <w:rPr>
          <w:rFonts w:ascii="Arial" w:eastAsia="Times New Roman" w:hAnsi="Arial" w:cs="Arial"/>
        </w:rPr>
        <w:t>Tuesday 10</w:t>
      </w:r>
      <w:r w:rsidR="00B81291" w:rsidRPr="00B81291">
        <w:rPr>
          <w:rFonts w:ascii="Arial" w:eastAsia="Times New Roman" w:hAnsi="Arial" w:cs="Arial"/>
          <w:vertAlign w:val="superscript"/>
        </w:rPr>
        <w:t>th</w:t>
      </w:r>
      <w:r w:rsidR="00B81291" w:rsidRPr="00B81291">
        <w:rPr>
          <w:rFonts w:ascii="Arial" w:eastAsia="Times New Roman" w:hAnsi="Arial" w:cs="Arial"/>
        </w:rPr>
        <w:t xml:space="preserve"> October 2017</w:t>
      </w:r>
      <w:r w:rsidRPr="00B81291">
        <w:rPr>
          <w:rFonts w:ascii="Arial" w:eastAsia="Times New Roman" w:hAnsi="Arial" w:cs="Arial"/>
        </w:rPr>
        <w:t xml:space="preserve"> </w:t>
      </w:r>
    </w:p>
    <w:p w14:paraId="3547D31E" w14:textId="4B53BC48" w:rsidR="0084655D" w:rsidRPr="0084655D" w:rsidRDefault="00B81291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B81291">
        <w:rPr>
          <w:rFonts w:ascii="Arial" w:eastAsia="Times New Roman" w:hAnsi="Arial" w:cs="Arial"/>
        </w:rPr>
        <w:t>Contract Reference</w:t>
      </w:r>
      <w:r w:rsidR="0084655D" w:rsidRPr="00B81291">
        <w:rPr>
          <w:rFonts w:ascii="Arial" w:eastAsia="Times New Roman" w:hAnsi="Arial" w:cs="Arial"/>
        </w:rPr>
        <w:t xml:space="preserve">: </w:t>
      </w:r>
      <w:r w:rsidRPr="00B81291">
        <w:rPr>
          <w:rFonts w:ascii="Arial" w:eastAsia="Times New Roman" w:hAnsi="Arial" w:cs="Arial"/>
        </w:rPr>
        <w:t>CCCC17A83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72E03C3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B812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Consultancy for Understanding the Dependencies and Impacts on Common Airport Data Systems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9C863CA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B81291">
        <w:rPr>
          <w:rFonts w:ascii="Arial" w:eastAsia="Times New Roman" w:hAnsi="Arial" w:cs="Arial"/>
          <w:lang w:eastAsia="en-GB"/>
        </w:rPr>
        <w:t>/ proposal for the Provision of Consultancy for Understanding the Dependencies and Impacts on Common Airport Data Systems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B81291">
        <w:rPr>
          <w:rFonts w:ascii="Arial" w:eastAsia="Times New Roman" w:hAnsi="Arial" w:cs="Arial"/>
          <w:lang w:eastAsia="en-GB"/>
        </w:rPr>
        <w:t>BAE Systems (Operations</w:t>
      </w:r>
      <w:r w:rsidR="00B81291" w:rsidRPr="00B81291">
        <w:rPr>
          <w:rFonts w:ascii="Arial" w:eastAsia="Times New Roman" w:hAnsi="Arial" w:cs="Arial"/>
          <w:lang w:eastAsia="en-GB"/>
        </w:rPr>
        <w:t>) Ltd</w:t>
      </w:r>
      <w:r w:rsidRPr="00B81291">
        <w:rPr>
          <w:rFonts w:ascii="Arial" w:eastAsia="Times New Roman" w:hAnsi="Arial" w:cs="Arial"/>
          <w:lang w:eastAsia="en-GB"/>
        </w:rPr>
        <w:t>, we</w:t>
      </w:r>
      <w:r w:rsidRPr="00880B11">
        <w:rPr>
          <w:rFonts w:ascii="Arial" w:eastAsia="Times New Roman" w:hAnsi="Arial" w:cs="Arial"/>
          <w:lang w:eastAsia="en-GB"/>
        </w:rPr>
        <w:t xml:space="preserve">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3EBBA823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B81291">
        <w:rPr>
          <w:rFonts w:ascii="Arial" w:eastAsia="Times New Roman" w:hAnsi="Arial" w:cs="Arial"/>
          <w:lang w:eastAsia="en-GB"/>
        </w:rPr>
        <w:t>This lette</w:t>
      </w:r>
      <w:r w:rsidR="00E17914" w:rsidRPr="00B81291">
        <w:rPr>
          <w:rFonts w:ascii="Arial" w:eastAsia="Times New Roman" w:hAnsi="Arial" w:cs="Arial"/>
          <w:lang w:eastAsia="en-GB"/>
        </w:rPr>
        <w:t>r (Award Letter) and its Annexes</w:t>
      </w:r>
      <w:r w:rsidRPr="00B8129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B81291" w:rsidRPr="00B81291">
        <w:rPr>
          <w:rFonts w:ascii="Arial" w:eastAsia="Times New Roman" w:hAnsi="Arial" w:cs="Arial"/>
          <w:lang w:eastAsia="en-GB"/>
        </w:rPr>
        <w:t xml:space="preserve"> the Department for Transport</w:t>
      </w:r>
      <w:r w:rsidRPr="00B81291">
        <w:rPr>
          <w:rFonts w:ascii="Arial" w:eastAsia="Times New Roman" w:hAnsi="Arial" w:cs="Arial"/>
          <w:lang w:eastAsia="en-GB"/>
        </w:rPr>
        <w:t xml:space="preserve"> as the Customer and </w:t>
      </w:r>
      <w:r w:rsidR="00B81291" w:rsidRPr="00B81291">
        <w:rPr>
          <w:rFonts w:ascii="Arial" w:eastAsia="Times New Roman" w:hAnsi="Arial" w:cs="Arial"/>
          <w:lang w:eastAsia="en-GB"/>
        </w:rPr>
        <w:t>BAE Systems (Operations) Ltd</w:t>
      </w:r>
      <w:r w:rsidRPr="00B81291">
        <w:rPr>
          <w:rFonts w:ascii="Arial" w:eastAsia="Times New Roman" w:hAnsi="Arial" w:cs="Arial"/>
          <w:lang w:eastAsia="en-GB"/>
        </w:rPr>
        <w:t xml:space="preserve"> as the Supplier for the provision of the Services. 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3A3C2B01" w:rsidR="00880B11" w:rsidRPr="00286EDC" w:rsidRDefault="0084655D" w:rsidP="00A017A6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286EDC">
        <w:rPr>
          <w:rFonts w:ascii="Arial" w:eastAsia="Times New Roman" w:hAnsi="Arial" w:cs="Arial"/>
          <w:lang w:eastAsia="en-GB"/>
        </w:rPr>
        <w:t>The Services shall be performed at</w:t>
      </w:r>
      <w:r w:rsidR="00286EDC" w:rsidRPr="00286EDC">
        <w:rPr>
          <w:rFonts w:ascii="Arial" w:eastAsia="Times New Roman" w:hAnsi="Arial" w:cs="Arial"/>
          <w:lang w:eastAsia="en-GB"/>
        </w:rPr>
        <w:t xml:space="preserve"> the Supplier’s Premises who’s address is </w:t>
      </w:r>
      <w:r w:rsidR="00E52443">
        <w:rPr>
          <w:rFonts w:ascii="Arial" w:eastAsia="Times New Roman" w:hAnsi="Arial" w:cs="Arial"/>
          <w:lang w:eastAsia="en-GB"/>
        </w:rPr>
        <w:t>REDACTED.</w:t>
      </w:r>
      <w:r w:rsidRPr="00286EDC">
        <w:rPr>
          <w:rFonts w:ascii="Arial" w:eastAsia="Times New Roman" w:hAnsi="Arial" w:cs="Arial"/>
          <w:lang w:eastAsia="en-GB"/>
        </w:rPr>
        <w:t xml:space="preserve"> </w:t>
      </w:r>
      <w:bookmarkEnd w:id="2"/>
    </w:p>
    <w:p w14:paraId="35875E11" w14:textId="77777777" w:rsidR="00286EDC" w:rsidRPr="00286EDC" w:rsidRDefault="00286EDC" w:rsidP="00286ED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6641EA42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286EDC">
        <w:rPr>
          <w:rFonts w:ascii="Arial" w:eastAsia="Times New Roman" w:hAnsi="Arial" w:cs="Arial"/>
          <w:lang w:eastAsia="en-GB"/>
        </w:rPr>
        <w:t>the S</w:t>
      </w:r>
      <w:r w:rsidR="00E17914" w:rsidRPr="00286EDC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286EDC">
        <w:rPr>
          <w:rFonts w:ascii="Arial" w:eastAsiaTheme="minorEastAsia" w:hAnsi="Arial" w:cs="Arial"/>
        </w:rPr>
        <w:t>contract value shall be £50,000.00 (ex VAT).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76BB58D7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</w:t>
      </w:r>
      <w:r w:rsidRPr="00286EDC">
        <w:rPr>
          <w:rFonts w:ascii="Arial" w:eastAsia="Times New Roman" w:hAnsi="Arial" w:cs="Arial"/>
          <w:lang w:eastAsia="en-GB"/>
        </w:rPr>
        <w:t>of the Services</w:t>
      </w:r>
      <w:r w:rsidR="00286EDC" w:rsidRPr="00286EDC">
        <w:rPr>
          <w:rFonts w:ascii="Arial" w:eastAsia="Times New Roman" w:hAnsi="Arial" w:cs="Arial"/>
          <w:lang w:eastAsia="en-GB"/>
        </w:rPr>
        <w:t xml:space="preserve"> </w:t>
      </w:r>
      <w:r w:rsidRPr="00286EDC">
        <w:rPr>
          <w:rFonts w:ascii="Arial" w:eastAsia="Times New Roman" w:hAnsi="Arial" w:cs="Arial"/>
          <w:lang w:eastAsia="en-GB"/>
        </w:rPr>
        <w:t>t</w:t>
      </w:r>
      <w:r w:rsidR="00E17914" w:rsidRPr="00286EDC">
        <w:rPr>
          <w:rFonts w:ascii="Arial" w:eastAsia="Times New Roman" w:hAnsi="Arial" w:cs="Arial"/>
          <w:lang w:eastAsia="en-GB"/>
        </w:rPr>
        <w:t>o be supplied</w:t>
      </w:r>
      <w:r w:rsidR="00E17914" w:rsidRPr="00880B11">
        <w:rPr>
          <w:rFonts w:ascii="Arial" w:eastAsia="Times New Roman" w:hAnsi="Arial" w:cs="Arial"/>
          <w:lang w:eastAsia="en-GB"/>
        </w:rPr>
        <w:t xml:space="preserve">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286EDC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12E5A1A1" w14:textId="4795A115" w:rsidR="003541BD" w:rsidRPr="00286EDC" w:rsidRDefault="003541BD" w:rsidP="00286EDC">
      <w:p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7649A0" w14:textId="0061DBE4" w:rsidR="003541BD" w:rsidRPr="006762F9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286EDC">
        <w:rPr>
          <w:rFonts w:ascii="Arial" w:eastAsia="Times New Roman" w:hAnsi="Arial" w:cs="Arial"/>
          <w:lang w:eastAsia="en-GB"/>
        </w:rPr>
        <w:t>Monday 16</w:t>
      </w:r>
      <w:r w:rsidR="00286EDC" w:rsidRPr="00286EDC">
        <w:rPr>
          <w:rFonts w:ascii="Arial" w:eastAsia="Times New Roman" w:hAnsi="Arial" w:cs="Arial"/>
          <w:vertAlign w:val="superscript"/>
          <w:lang w:eastAsia="en-GB"/>
        </w:rPr>
        <w:t>th</w:t>
      </w:r>
      <w:r w:rsidR="00286EDC">
        <w:rPr>
          <w:rFonts w:ascii="Arial" w:eastAsia="Times New Roman" w:hAnsi="Arial" w:cs="Arial"/>
          <w:lang w:eastAsia="en-GB"/>
        </w:rPr>
        <w:t xml:space="preserve"> October 2017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286EDC">
        <w:rPr>
          <w:rFonts w:ascii="Arial" w:eastAsia="Times New Roman" w:hAnsi="Arial" w:cs="Arial"/>
          <w:lang w:eastAsia="en-GB"/>
        </w:rPr>
        <w:t>Friday 16</w:t>
      </w:r>
      <w:r w:rsidR="00286EDC" w:rsidRPr="00286EDC">
        <w:rPr>
          <w:rFonts w:ascii="Arial" w:eastAsia="Times New Roman" w:hAnsi="Arial" w:cs="Arial"/>
          <w:vertAlign w:val="superscript"/>
          <w:lang w:eastAsia="en-GB"/>
        </w:rPr>
        <w:t>th</w:t>
      </w:r>
      <w:r w:rsidR="00286EDC">
        <w:rPr>
          <w:rFonts w:ascii="Arial" w:eastAsia="Times New Roman" w:hAnsi="Arial" w:cs="Arial"/>
          <w:lang w:eastAsia="en-GB"/>
        </w:rPr>
        <w:t xml:space="preserve"> February </w:t>
      </w:r>
      <w:bookmarkEnd w:id="5"/>
      <w:r w:rsidR="00286EDC">
        <w:rPr>
          <w:rFonts w:ascii="Arial" w:eastAsia="Times New Roman" w:hAnsi="Arial" w:cs="Arial"/>
          <w:lang w:eastAsia="en-GB"/>
        </w:rPr>
        <w:t>2018.</w:t>
      </w:r>
    </w:p>
    <w:p w14:paraId="6AF33213" w14:textId="453D59D3" w:rsidR="00F54ABC" w:rsidRPr="00F54ABC" w:rsidRDefault="00D6687B" w:rsidP="00286EDC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lastRenderedPageBreak/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8234248" w14:textId="4CADFBC1" w:rsidR="00C649FA" w:rsidRDefault="00E5244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REDACTED</w:t>
            </w:r>
          </w:p>
          <w:p w14:paraId="6375C84A" w14:textId="0B9E0AA6" w:rsidR="00C649FA" w:rsidRPr="00880B11" w:rsidRDefault="0084655D" w:rsidP="00E52443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 w:rsidR="00E52443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  <w:p w14:paraId="5E79627C" w14:textId="4013870B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649FA">
              <w:rPr>
                <w:rFonts w:ascii="Arial" w:eastAsia="Times New Roman" w:hAnsi="Arial" w:cs="Arial"/>
                <w:b/>
                <w:lang w:eastAsia="en-GB"/>
              </w:rPr>
              <w:t>Attention:</w:t>
            </w:r>
            <w:r w:rsidRPr="00FD19E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52443">
              <w:rPr>
                <w:rFonts w:ascii="Arial" w:eastAsia="Times New Roman" w:hAnsi="Arial" w:cs="Arial"/>
                <w:lang w:eastAsia="en-GB"/>
              </w:rPr>
              <w:t>REDACTED</w:t>
            </w:r>
            <w:r w:rsidR="00C649FA" w:rsidRPr="00C649FA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1C40A4F" w14:textId="1887EB85" w:rsidR="0084655D" w:rsidRPr="00FD19ED" w:rsidRDefault="00C649FA" w:rsidP="00E5244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649FA">
              <w:rPr>
                <w:rFonts w:ascii="Arial" w:eastAsia="Times New Roman" w:hAnsi="Arial" w:cs="Arial"/>
                <w:b/>
                <w:lang w:eastAsia="en-GB"/>
              </w:rPr>
              <w:t>Email: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52443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460C9D5D" w14:textId="6CFDC7C2" w:rsidR="00C649FA" w:rsidRPr="00C649FA" w:rsidRDefault="00C649FA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C649FA">
              <w:rPr>
                <w:rFonts w:ascii="Arial" w:eastAsia="Times New Roman" w:hAnsi="Arial" w:cs="Arial"/>
                <w:b/>
                <w:lang w:eastAsia="en-GB"/>
              </w:rPr>
              <w:t>BAE Systems (Operations) Ltd</w:t>
            </w:r>
          </w:p>
          <w:p w14:paraId="6ECBE276" w14:textId="77777777" w:rsidR="00C649FA" w:rsidRPr="00C649FA" w:rsidRDefault="00C649FA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2E5FA1B" w14:textId="7CAD8593" w:rsidR="0084655D" w:rsidRPr="00C649FA" w:rsidRDefault="00E52443" w:rsidP="0047653F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84655D" w:rsidRPr="00C649FA">
              <w:rPr>
                <w:rFonts w:ascii="Arial" w:eastAsia="Times New Roman" w:hAnsi="Arial" w:cs="Arial"/>
                <w:b/>
                <w:lang w:eastAsia="en-GB"/>
              </w:rPr>
              <w:br/>
              <w:t xml:space="preserve">Attention: </w:t>
            </w: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1665BEC2" w:rsidR="0084655D" w:rsidRPr="00C649FA" w:rsidRDefault="00C649FA" w:rsidP="00E52443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Email: </w:t>
            </w:r>
            <w:r w:rsidR="00E52443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17515EC5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6A6135" w:rsidRPr="0084655D" w14:paraId="579019ED" w14:textId="77777777" w:rsidTr="006A6135">
        <w:trPr>
          <w:trHeight w:val="317"/>
        </w:trPr>
        <w:tc>
          <w:tcPr>
            <w:tcW w:w="3812" w:type="dxa"/>
            <w:shd w:val="clear" w:color="auto" w:fill="auto"/>
          </w:tcPr>
          <w:p w14:paraId="341B60EA" w14:textId="3A459C0D" w:rsidR="006A6135" w:rsidRPr="006A6135" w:rsidRDefault="00E52443" w:rsidP="00E52443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  <w:shd w:val="clear" w:color="auto" w:fill="auto"/>
          </w:tcPr>
          <w:p w14:paraId="1961CA06" w14:textId="6413E6F4" w:rsidR="006A6135" w:rsidRPr="006A6135" w:rsidRDefault="00E52443" w:rsidP="006A613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804E53" w:rsidRPr="0084655D" w14:paraId="44EEDBBB" w14:textId="77777777" w:rsidTr="00804E53">
        <w:tc>
          <w:tcPr>
            <w:tcW w:w="3812" w:type="dxa"/>
            <w:shd w:val="clear" w:color="auto" w:fill="auto"/>
          </w:tcPr>
          <w:p w14:paraId="64C2C4A8" w14:textId="31CC1A4E" w:rsidR="00804E53" w:rsidRPr="006A6135" w:rsidRDefault="00E52443" w:rsidP="00804E53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bookmarkStart w:id="8" w:name="_GoBack"/>
            <w:bookmarkEnd w:id="8"/>
          </w:p>
        </w:tc>
        <w:tc>
          <w:tcPr>
            <w:tcW w:w="4500" w:type="dxa"/>
            <w:shd w:val="clear" w:color="auto" w:fill="auto"/>
          </w:tcPr>
          <w:p w14:paraId="1EFF5865" w14:textId="5739DD98" w:rsidR="00804E53" w:rsidRPr="006A6135" w:rsidRDefault="006A6135" w:rsidP="00804E53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A6135">
              <w:rPr>
                <w:rFonts w:ascii="Arial" w:eastAsia="Times New Roman" w:hAnsi="Arial" w:cs="Arial"/>
                <w:lang w:eastAsia="en-GB"/>
              </w:rPr>
              <w:t>Head of Service Delivery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1AAB5A92" w:rsidR="0084655D" w:rsidRPr="006A6135" w:rsidRDefault="00E52443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7BA606B0" w:rsidR="0084655D" w:rsidRPr="006A6135" w:rsidRDefault="006A613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A6135">
              <w:rPr>
                <w:rFonts w:ascii="Arial" w:eastAsia="Times New Roman" w:hAnsi="Arial" w:cs="Arial"/>
                <w:lang w:eastAsia="en-GB"/>
              </w:rPr>
              <w:t>Partner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7B4B04E2" w:rsidR="00271837" w:rsidRPr="006A6135" w:rsidRDefault="00E52443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6F5B44A4" w:rsidR="00271837" w:rsidRPr="006A6135" w:rsidRDefault="006A613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A6135">
              <w:rPr>
                <w:rFonts w:ascii="Arial" w:eastAsia="Times New Roman" w:hAnsi="Arial" w:cs="Arial"/>
                <w:lang w:eastAsia="en-GB"/>
              </w:rPr>
              <w:t>Partner</w:t>
            </w:r>
          </w:p>
        </w:tc>
      </w:tr>
      <w:tr w:rsidR="006A6135" w:rsidRPr="0084655D" w14:paraId="2B9DE698" w14:textId="77777777" w:rsidTr="00F54ABC">
        <w:tc>
          <w:tcPr>
            <w:tcW w:w="3812" w:type="dxa"/>
          </w:tcPr>
          <w:p w14:paraId="18BBB05B" w14:textId="5E5C51B0" w:rsidR="006A6135" w:rsidRPr="006A6135" w:rsidRDefault="00E52443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73695990" w14:textId="7D64D01C" w:rsidR="006A6135" w:rsidRPr="006A6135" w:rsidRDefault="006A613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A6135">
              <w:rPr>
                <w:rFonts w:ascii="Arial" w:eastAsia="Times New Roman" w:hAnsi="Arial" w:cs="Arial"/>
                <w:lang w:eastAsia="en-GB"/>
              </w:rPr>
              <w:t>Partner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E8C0D19" w14:textId="77777777" w:rsidR="00804E53" w:rsidRDefault="00804E53" w:rsidP="00804E53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3CDE266" w14:textId="29FC2631" w:rsidR="00804E53" w:rsidRPr="0047653F" w:rsidRDefault="0047653F" w:rsidP="00804E53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47653F">
        <w:rPr>
          <w:rFonts w:ascii="Arial" w:eastAsia="Times New Roman" w:hAnsi="Arial" w:cs="Arial"/>
          <w:lang w:eastAsia="en-GB"/>
        </w:rPr>
        <w:t>To avoid delay in payment it is important that the invoice is compliant and that it includes a valid PO Number, item number (if applicable) and the details (name and telephone number) of your Customer contact (i.e. Contract Manager). Non-compliant invoices will be returned, which may lead to a delay in payment. If you have a query regarding an outstanding payment please contact the Customer’s Accounts Payable section.</w:t>
      </w:r>
    </w:p>
    <w:p w14:paraId="4C733BEB" w14:textId="77777777" w:rsidR="00804E53" w:rsidRPr="00A7686A" w:rsidRDefault="00804E53" w:rsidP="00804E53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70210AAF" w:rsidR="0084655D" w:rsidRPr="0084655D" w:rsidRDefault="0047653F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3.1 </w:t>
      </w:r>
      <w:r w:rsidR="0084655D"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804E53">
        <w:rPr>
          <w:rFonts w:ascii="Arial" w:eastAsia="Times New Roman" w:hAnsi="Arial" w:cs="Arial"/>
          <w:lang w:eastAsia="en-GB"/>
        </w:rPr>
        <w:t>Oliver Brooks.</w:t>
      </w:r>
    </w:p>
    <w:p w14:paraId="40EE8F98" w14:textId="1508AD95" w:rsidR="0084655D" w:rsidRDefault="003F7831" w:rsidP="0047653F">
      <w:pPr>
        <w:spacing w:after="120" w:line="240" w:lineRule="atLeast"/>
        <w:ind w:left="851"/>
        <w:jc w:val="both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</w:t>
      </w:r>
      <w:r w:rsidR="0084655D" w:rsidRPr="00804E53">
        <w:rPr>
          <w:rFonts w:ascii="Arial" w:eastAsia="Times New Roman" w:hAnsi="Arial" w:cs="Arial"/>
          <w:lang w:eastAsia="en-GB"/>
        </w:rPr>
        <w:t>delivery of the Services</w:t>
      </w:r>
      <w:r w:rsidR="0047653F">
        <w:rPr>
          <w:rFonts w:ascii="Arial" w:eastAsia="Times New Roman" w:hAnsi="Arial" w:cs="Arial"/>
          <w:lang w:eastAsia="en-GB"/>
        </w:rPr>
        <w:t>.</w:t>
      </w:r>
      <w:r w:rsidR="0084655D" w:rsidRPr="00804E53">
        <w:rPr>
          <w:rFonts w:ascii="Arial" w:eastAsia="Times New Roman" w:hAnsi="Arial" w:cs="Arial"/>
          <w:lang w:eastAsia="en-GB"/>
        </w:rPr>
        <w:t xml:space="preserve"> </w:t>
      </w:r>
      <w:r w:rsidR="0047653F" w:rsidRPr="00263727">
        <w:rPr>
          <w:rFonts w:ascii="Arial" w:eastAsia="Times New Roman" w:hAnsi="Arial" w:cs="Arial"/>
          <w:lang w:eastAsia="en-GB"/>
        </w:rPr>
        <w:t xml:space="preserve">Please confirm your acceptance of the award of this </w:t>
      </w:r>
      <w:r w:rsidR="0047653F">
        <w:rPr>
          <w:rFonts w:ascii="Arial" w:eastAsia="Times New Roman" w:hAnsi="Arial" w:cs="Arial"/>
          <w:lang w:eastAsia="en-GB"/>
        </w:rPr>
        <w:t>C</w:t>
      </w:r>
      <w:r w:rsidR="0047653F" w:rsidRPr="00263727">
        <w:rPr>
          <w:rFonts w:ascii="Arial" w:eastAsia="Times New Roman" w:hAnsi="Arial" w:cs="Arial"/>
          <w:lang w:eastAsia="en-GB"/>
        </w:rPr>
        <w:t xml:space="preserve">ontract by signing and returning the enclosed copy of this letter via the eSourcing portal </w:t>
      </w:r>
      <w:r w:rsidR="0047653F" w:rsidRPr="00263727">
        <w:rPr>
          <w:rFonts w:ascii="Arial" w:eastAsia="Times New Roman" w:hAnsi="Arial" w:cs="Arial"/>
          <w:b/>
          <w:lang w:eastAsia="en-GB"/>
        </w:rPr>
        <w:t xml:space="preserve">within </w:t>
      </w:r>
      <w:r w:rsidR="0047653F">
        <w:rPr>
          <w:rFonts w:ascii="Arial" w:eastAsia="Times New Roman" w:hAnsi="Arial" w:cs="Arial"/>
          <w:b/>
          <w:lang w:eastAsia="en-GB"/>
        </w:rPr>
        <w:t>2</w:t>
      </w:r>
      <w:r w:rsidR="0047653F" w:rsidRPr="00263727">
        <w:rPr>
          <w:rFonts w:ascii="Arial" w:eastAsia="Times New Roman" w:hAnsi="Arial" w:cs="Arial"/>
          <w:b/>
          <w:lang w:eastAsia="en-GB"/>
        </w:rPr>
        <w:t xml:space="preserve"> </w:t>
      </w:r>
      <w:r w:rsidR="0047653F" w:rsidRPr="00263727">
        <w:rPr>
          <w:rFonts w:ascii="Arial" w:eastAsia="Times New Roman" w:hAnsi="Arial" w:cs="Arial"/>
          <w:lang w:eastAsia="en-GB"/>
        </w:rPr>
        <w:t>days from the date of this letter.  No other form of acknowledgement will be accepted</w:t>
      </w:r>
      <w:r w:rsidR="0047653F">
        <w:rPr>
          <w:rFonts w:ascii="Arial" w:eastAsia="Times New Roman" w:hAnsi="Arial" w:cs="Arial"/>
          <w:lang w:eastAsia="en-GB"/>
        </w:rPr>
        <w:t xml:space="preserve">. </w:t>
      </w:r>
      <w:r w:rsidR="0084655D" w:rsidRPr="00804E53">
        <w:rPr>
          <w:rFonts w:ascii="Arial" w:eastAsia="Times New Roman" w:hAnsi="Arial" w:cs="Arial"/>
          <w:lang w:eastAsia="en-GB"/>
        </w:rPr>
        <w:t xml:space="preserve">Please remember to quote the </w:t>
      </w:r>
      <w:r w:rsidRPr="00804E53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04E53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804E53">
        <w:rPr>
          <w:rFonts w:ascii="Arial" w:eastAsia="Times New Roman" w:hAnsi="Arial" w:cs="Arial"/>
          <w:lang w:eastAsia="en-GB"/>
        </w:rPr>
        <w:t xml:space="preserve"> </w:t>
      </w:r>
      <w:r w:rsidR="00B51C96" w:rsidRPr="00804E53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804E53" w:rsidRPr="00804E53">
        <w:rPr>
          <w:rFonts w:ascii="Arial" w:eastAsiaTheme="minorEastAsia" w:hAnsi="Arial" w:cs="Arial"/>
        </w:rPr>
        <w:t>the signed contract is received</w:t>
      </w:r>
      <w:r w:rsidR="00B51C96" w:rsidRPr="00804E53">
        <w:rPr>
          <w:rFonts w:ascii="Arial" w:eastAsiaTheme="minorEastAsia" w:hAnsi="Arial" w:cs="Arial"/>
        </w:rPr>
        <w:t>.</w:t>
      </w:r>
    </w:p>
    <w:p w14:paraId="36626F78" w14:textId="77777777" w:rsidR="0047653F" w:rsidRDefault="0047653F" w:rsidP="0047653F">
      <w:pPr>
        <w:spacing w:after="120" w:line="240" w:lineRule="atLeast"/>
        <w:ind w:left="851"/>
        <w:jc w:val="both"/>
        <w:rPr>
          <w:rFonts w:ascii="Arial" w:eastAsiaTheme="minorEastAsia" w:hAnsi="Arial" w:cs="Arial"/>
        </w:rPr>
      </w:pPr>
    </w:p>
    <w:p w14:paraId="795B15B3" w14:textId="77777777" w:rsidR="0047653F" w:rsidRPr="0084655D" w:rsidRDefault="0047653F" w:rsidP="0047653F">
      <w:pPr>
        <w:spacing w:after="120" w:line="240" w:lineRule="atLeast"/>
        <w:ind w:left="851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7D3C05F" w:rsidR="0084655D" w:rsidRPr="0084655D" w:rsidRDefault="0084655D" w:rsidP="0047653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47653F">
              <w:rPr>
                <w:rFonts w:ascii="Arial" w:eastAsia="Times New Roman" w:hAnsi="Arial" w:cs="Arial"/>
              </w:rPr>
              <w:t>and on behalf of</w:t>
            </w:r>
            <w:r w:rsidR="0047653F" w:rsidRPr="0047653F">
              <w:rPr>
                <w:rFonts w:ascii="Arial" w:eastAsia="Times New Roman" w:hAnsi="Arial" w:cs="Arial"/>
              </w:rPr>
              <w:t xml:space="preserve"> The Department for Transport</w:t>
            </w:r>
            <w:r w:rsidR="00770A8A" w:rsidRPr="0047653F">
              <w:rPr>
                <w:rFonts w:ascii="Arial" w:eastAsia="Times New Roman" w:hAnsi="Arial" w:cs="Arial"/>
                <w:bCs/>
              </w:rPr>
              <w:t xml:space="preserve"> (“the</w:t>
            </w:r>
            <w:r w:rsidR="00770A8A">
              <w:rPr>
                <w:rFonts w:ascii="Arial" w:eastAsia="Times New Roman" w:hAnsi="Arial" w:cs="Arial"/>
                <w:bCs/>
              </w:rPr>
              <w:t xml:space="preserve">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7653F">
              <w:rPr>
                <w:rFonts w:ascii="Arial" w:eastAsia="Times New Roman" w:hAnsi="Arial" w:cs="Arial"/>
              </w:rPr>
              <w:t>Name: [</w:t>
            </w:r>
            <w:r w:rsidRPr="0047653F">
              <w:rPr>
                <w:rFonts w:ascii="Arial" w:eastAsia="Times New Roman" w:hAnsi="Arial" w:cs="Arial"/>
                <w:b/>
                <w:i/>
              </w:rPr>
              <w:t>insert name</w:t>
            </w:r>
            <w:r w:rsidRPr="0047653F">
              <w:rPr>
                <w:rFonts w:ascii="Arial" w:eastAsia="Times New Roman" w:hAnsi="Arial" w:cs="Arial"/>
              </w:rPr>
              <w:t xml:space="preserve">] </w:t>
            </w:r>
            <w:r w:rsidRPr="0047653F">
              <w:rPr>
                <w:rFonts w:ascii="Arial" w:eastAsia="Times New Roman" w:hAnsi="Arial" w:cs="Arial"/>
              </w:rPr>
              <w:br/>
              <w:t>[</w:t>
            </w:r>
            <w:r w:rsidRPr="0047653F">
              <w:rPr>
                <w:rFonts w:ascii="Arial" w:eastAsia="Times New Roman" w:hAnsi="Arial" w:cs="Arial"/>
                <w:b/>
                <w:i/>
              </w:rPr>
              <w:t>insert job title</w:t>
            </w:r>
            <w:r w:rsidRPr="0047653F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5C34089F" w:rsidR="0084655D" w:rsidRPr="0084655D" w:rsidRDefault="0084655D" w:rsidP="0047653F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7653F">
              <w:rPr>
                <w:rFonts w:ascii="Arial" w:eastAsia="Times New Roman" w:hAnsi="Arial" w:cs="Arial"/>
              </w:rPr>
              <w:t xml:space="preserve">BAE Systems (Operations) Ltd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77777777" w:rsidR="0084655D" w:rsidRPr="0084655D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7653F">
              <w:rPr>
                <w:rFonts w:ascii="Arial" w:eastAsia="Times New Roman" w:hAnsi="Arial" w:cs="Arial"/>
              </w:rPr>
              <w:t>Name: [</w:t>
            </w:r>
            <w:r w:rsidRPr="0047653F">
              <w:rPr>
                <w:rFonts w:ascii="Arial" w:eastAsia="Times New Roman" w:hAnsi="Arial" w:cs="Arial"/>
                <w:b/>
                <w:i/>
              </w:rPr>
              <w:t>insert name</w:t>
            </w:r>
            <w:r w:rsidRPr="0047653F">
              <w:rPr>
                <w:rFonts w:ascii="Arial" w:eastAsia="Times New Roman" w:hAnsi="Arial" w:cs="Arial"/>
              </w:rPr>
              <w:t xml:space="preserve">] </w:t>
            </w:r>
            <w:r w:rsidRPr="0047653F">
              <w:rPr>
                <w:rFonts w:ascii="Arial" w:eastAsia="Times New Roman" w:hAnsi="Arial" w:cs="Arial"/>
              </w:rPr>
              <w:br/>
              <w:t>[</w:t>
            </w:r>
            <w:r w:rsidRPr="0047653F">
              <w:rPr>
                <w:rFonts w:ascii="Arial" w:eastAsia="Times New Roman" w:hAnsi="Arial" w:cs="Arial"/>
                <w:b/>
                <w:i/>
              </w:rPr>
              <w:t>insert job title</w:t>
            </w:r>
            <w:r w:rsidRPr="0047653F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14FCE" w14:textId="77777777" w:rsidR="00E67FE8" w:rsidRDefault="00E67FE8" w:rsidP="0071513A">
      <w:pPr>
        <w:spacing w:after="0" w:line="240" w:lineRule="auto"/>
      </w:pPr>
      <w:r>
        <w:separator/>
      </w:r>
    </w:p>
  </w:endnote>
  <w:endnote w:type="continuationSeparator" w:id="0">
    <w:p w14:paraId="1512679C" w14:textId="77777777" w:rsidR="00E67FE8" w:rsidRDefault="00E67FE8" w:rsidP="0071513A">
      <w:pPr>
        <w:spacing w:after="0" w:line="240" w:lineRule="auto"/>
      </w:pPr>
      <w:r>
        <w:continuationSeparator/>
      </w:r>
    </w:p>
  </w:endnote>
  <w:endnote w:type="continuationNotice" w:id="1">
    <w:p w14:paraId="4EC00E2A" w14:textId="77777777" w:rsidR="00E67FE8" w:rsidRDefault="00E67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560B4BA9" w:rsidR="00D6687B" w:rsidRDefault="00C649FA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D6687B">
      <w:rPr>
        <w:rFonts w:ascii="Arial" w:hAnsi="Arial" w:cs="Arial"/>
        <w:sz w:val="20"/>
        <w:szCs w:val="20"/>
      </w:rPr>
      <w:t xml:space="preserve">.0 </w:t>
    </w:r>
    <w:r>
      <w:rPr>
        <w:rFonts w:ascii="Arial" w:hAnsi="Arial" w:cs="Arial"/>
        <w:sz w:val="20"/>
        <w:szCs w:val="20"/>
      </w:rPr>
      <w:t>10/10/2017</w:t>
    </w:r>
  </w:p>
  <w:p w14:paraId="0EEA54C1" w14:textId="77777777" w:rsidR="00D6687B" w:rsidRPr="00F00F8A" w:rsidRDefault="00E67FE8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52443">
          <w:rPr>
            <w:rFonts w:ascii="Arial" w:hAnsi="Arial" w:cs="Arial"/>
            <w:noProof/>
            <w:sz w:val="20"/>
            <w:szCs w:val="20"/>
          </w:rPr>
          <w:t>3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9C9FC" w14:textId="77777777" w:rsidR="00E67FE8" w:rsidRDefault="00E67FE8" w:rsidP="0071513A">
      <w:pPr>
        <w:spacing w:after="0" w:line="240" w:lineRule="auto"/>
      </w:pPr>
      <w:r>
        <w:separator/>
      </w:r>
    </w:p>
  </w:footnote>
  <w:footnote w:type="continuationSeparator" w:id="0">
    <w:p w14:paraId="0CBDF2A3" w14:textId="77777777" w:rsidR="00E67FE8" w:rsidRDefault="00E67FE8" w:rsidP="0071513A">
      <w:pPr>
        <w:spacing w:after="0" w:line="240" w:lineRule="auto"/>
      </w:pPr>
      <w:r>
        <w:continuationSeparator/>
      </w:r>
    </w:p>
  </w:footnote>
  <w:footnote w:type="continuationNotice" w:id="1">
    <w:p w14:paraId="4839170E" w14:textId="77777777" w:rsidR="00E67FE8" w:rsidRDefault="00E67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E67FE8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46F2F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23A6E"/>
    <w:rsid w:val="00170E8A"/>
    <w:rsid w:val="0017409A"/>
    <w:rsid w:val="001B2C91"/>
    <w:rsid w:val="001F684C"/>
    <w:rsid w:val="00202B5D"/>
    <w:rsid w:val="002412E5"/>
    <w:rsid w:val="00252849"/>
    <w:rsid w:val="00271837"/>
    <w:rsid w:val="00286EDC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7653F"/>
    <w:rsid w:val="004A5B2C"/>
    <w:rsid w:val="004B258E"/>
    <w:rsid w:val="004F049F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A6135"/>
    <w:rsid w:val="006D3025"/>
    <w:rsid w:val="006F20BA"/>
    <w:rsid w:val="006F3116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04E53"/>
    <w:rsid w:val="00813A56"/>
    <w:rsid w:val="0084655D"/>
    <w:rsid w:val="00872420"/>
    <w:rsid w:val="008738F8"/>
    <w:rsid w:val="00880B11"/>
    <w:rsid w:val="00884E03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81291"/>
    <w:rsid w:val="00B96861"/>
    <w:rsid w:val="00BA7699"/>
    <w:rsid w:val="00C008A6"/>
    <w:rsid w:val="00C008D5"/>
    <w:rsid w:val="00C649FA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52443"/>
    <w:rsid w:val="00E67FE8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2017-10-30T11:23:00Z</dcterms:created>
  <dcterms:modified xsi:type="dcterms:W3CDTF">2017-10-30T11:23:00Z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