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0" w:type="dxa"/>
        <w:tblInd w:w="93" w:type="dxa"/>
        <w:tblLook w:val="00A0" w:firstRow="1" w:lastRow="0" w:firstColumn="1" w:lastColumn="0" w:noHBand="0" w:noVBand="0"/>
      </w:tblPr>
      <w:tblGrid>
        <w:gridCol w:w="2425"/>
        <w:gridCol w:w="6655"/>
      </w:tblGrid>
      <w:tr w:rsidR="005869EC" w:rsidRPr="00246A9D" w:rsidTr="00D06970">
        <w:trPr>
          <w:trHeight w:val="315"/>
          <w:tblHeader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bookmarkStart w:id="0" w:name="_GoBack"/>
            <w:bookmarkEnd w:id="0"/>
            <w:r w:rsidRPr="00246A9D">
              <w:rPr>
                <w:rFonts w:ascii="Arial" w:hAnsi="Arial" w:cs="Arial"/>
                <w:b/>
                <w:bCs/>
                <w:lang w:eastAsia="en-GB"/>
              </w:rPr>
              <w:t xml:space="preserve">TERMS 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 xml:space="preserve">LIST OF DEFINITIONS </w:t>
            </w:r>
          </w:p>
        </w:tc>
      </w:tr>
      <w:tr w:rsidR="005869EC" w:rsidRPr="00246A9D" w:rsidTr="00D06970">
        <w:trPr>
          <w:trHeight w:val="85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425BAD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8632FA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 xml:space="preserve">In the Arrangement, in addition to the definitions listed in DEFCON 501, unless </w:t>
            </w:r>
            <w:r w:rsidR="008632FA" w:rsidRPr="00246A9D">
              <w:rPr>
                <w:rFonts w:ascii="Arial" w:hAnsi="Arial" w:cs="Arial"/>
                <w:lang w:eastAsia="en-GB"/>
              </w:rPr>
              <w:t>stated</w:t>
            </w:r>
            <w:r w:rsidRPr="00246A9D">
              <w:rPr>
                <w:rFonts w:ascii="Arial" w:hAnsi="Arial" w:cs="Arial"/>
                <w:lang w:eastAsia="en-GB"/>
              </w:rPr>
              <w:t xml:space="preserve"> otherwise </w:t>
            </w:r>
            <w:r w:rsidR="008632FA" w:rsidRPr="00246A9D">
              <w:rPr>
                <w:rFonts w:ascii="Arial" w:hAnsi="Arial" w:cs="Arial"/>
                <w:lang w:eastAsia="en-GB"/>
              </w:rPr>
              <w:t xml:space="preserve">in an individual document, </w:t>
            </w:r>
            <w:r w:rsidRPr="00246A9D">
              <w:rPr>
                <w:rFonts w:ascii="Arial" w:hAnsi="Arial" w:cs="Arial"/>
                <w:lang w:eastAsia="en-GB"/>
              </w:rPr>
              <w:t>the following words and expressions shall have the meanings respectively assigned to them:</w:t>
            </w:r>
          </w:p>
        </w:tc>
      </w:tr>
      <w:tr w:rsidR="005869EC" w:rsidRPr="00246A9D" w:rsidTr="00D06970">
        <w:trPr>
          <w:trHeight w:val="6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Authorised Demander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9D6D0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Any one of the persons authorised by the Authority to place Demand Orders</w:t>
            </w:r>
            <w:r w:rsidR="009D6D07" w:rsidRPr="00246A9D">
              <w:rPr>
                <w:rFonts w:ascii="Arial" w:hAnsi="Arial" w:cs="Arial"/>
                <w:lang w:eastAsia="en-GB"/>
              </w:rPr>
              <w:t xml:space="preserve"> or Tasks</w:t>
            </w:r>
            <w:r w:rsidRPr="00246A9D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5869EC" w:rsidRPr="00246A9D" w:rsidTr="00D0697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Contract Award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The date on which the contract is awarded and comes into effect</w:t>
            </w:r>
          </w:p>
        </w:tc>
      </w:tr>
      <w:tr w:rsidR="005869EC" w:rsidRPr="00246A9D" w:rsidTr="00D06970">
        <w:trPr>
          <w:trHeight w:val="57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Contract Start Date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The date from which the Contractor provides services under the Contract.</w:t>
            </w:r>
          </w:p>
        </w:tc>
      </w:tr>
      <w:tr w:rsidR="001A5D04" w:rsidRPr="00246A9D" w:rsidTr="00D06970">
        <w:trPr>
          <w:trHeight w:val="85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D04" w:rsidRPr="00246A9D" w:rsidRDefault="001A5D04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Fiscal Period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D04" w:rsidRDefault="001A5D04" w:rsidP="001A5D04">
            <w:pPr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 xml:space="preserve">The </w:t>
            </w:r>
            <w:r>
              <w:rPr>
                <w:rFonts w:ascii="Arial" w:hAnsi="Arial" w:cs="Arial"/>
                <w:lang w:eastAsia="en-GB"/>
              </w:rPr>
              <w:t>Authority’s financial accounting periods, which are as follows:</w:t>
            </w:r>
          </w:p>
          <w:p w:rsidR="001A5D04" w:rsidRPr="00246A9D" w:rsidRDefault="001A5D04" w:rsidP="001A5D04">
            <w:pPr>
              <w:spacing w:after="0" w:line="240" w:lineRule="auto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April = AP01, May = AP02, June = AP03, July = AP04, August = AP05, September = AP06, October = AP07, November = AP08, December = AP09, January = AP10, February = AP11, March = AP12</w:t>
            </w:r>
          </w:p>
        </w:tc>
      </w:tr>
      <w:tr w:rsidR="005869EC" w:rsidRPr="00246A9D" w:rsidTr="00D06970">
        <w:trPr>
          <w:trHeight w:val="57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KPI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Key Performance Indicator, specified levels of expected contract performance.</w:t>
            </w:r>
          </w:p>
        </w:tc>
      </w:tr>
      <w:tr w:rsidR="005869EC" w:rsidRPr="00246A9D" w:rsidTr="00D06970">
        <w:trPr>
          <w:trHeight w:val="85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NSN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NATO Stock Number, a unique 13 digit reference number identifying all the standardised material items of supply as they have been recognized by all NATO countries.</w:t>
            </w:r>
          </w:p>
        </w:tc>
      </w:tr>
      <w:tr w:rsidR="005869EC" w:rsidRPr="00246A9D" w:rsidTr="00D0697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Party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The Contractor or the Authority</w:t>
            </w:r>
          </w:p>
        </w:tc>
      </w:tr>
      <w:tr w:rsidR="005869EC" w:rsidRPr="00246A9D" w:rsidTr="00D0697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Parties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Both the Contractor and the Authority</w:t>
            </w:r>
          </w:p>
        </w:tc>
      </w:tr>
      <w:tr w:rsidR="005869EC" w:rsidRPr="00246A9D" w:rsidTr="00D06970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SAQ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Supplier Assessment Questionnaire</w:t>
            </w:r>
          </w:p>
        </w:tc>
      </w:tr>
      <w:tr w:rsidR="005869EC" w:rsidRPr="00246A9D" w:rsidTr="00D06970">
        <w:trPr>
          <w:trHeight w:val="6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Service Provider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An organisation contracted by the Authority to provide goods or services.</w:t>
            </w:r>
          </w:p>
        </w:tc>
      </w:tr>
      <w:tr w:rsidR="005869EC" w:rsidRPr="00246A9D" w:rsidTr="001A5D04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SOR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1A5D0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Schedule of Requirements - the service required –</w:t>
            </w:r>
            <w:r w:rsidR="001A5D04">
              <w:rPr>
                <w:rFonts w:ascii="Arial" w:hAnsi="Arial" w:cs="Arial"/>
                <w:lang w:eastAsia="en-GB"/>
              </w:rPr>
              <w:t xml:space="preserve"> </w:t>
            </w:r>
            <w:r w:rsidRPr="00246A9D">
              <w:rPr>
                <w:rFonts w:ascii="Arial" w:hAnsi="Arial" w:cs="Arial"/>
                <w:lang w:eastAsia="en-GB"/>
              </w:rPr>
              <w:t>Schedule 1.</w:t>
            </w:r>
          </w:p>
        </w:tc>
      </w:tr>
      <w:tr w:rsidR="005869EC" w:rsidRPr="00246A9D" w:rsidTr="00D06970">
        <w:trPr>
          <w:trHeight w:val="57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 xml:space="preserve">StOR  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1A5D0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 xml:space="preserve">Statement of Requirements - Schedule </w:t>
            </w:r>
            <w:r w:rsidR="001A5D04">
              <w:rPr>
                <w:rFonts w:ascii="Arial" w:hAnsi="Arial" w:cs="Arial"/>
                <w:lang w:eastAsia="en-GB"/>
              </w:rPr>
              <w:t>3</w:t>
            </w:r>
            <w:r w:rsidRPr="00246A9D">
              <w:rPr>
                <w:rFonts w:ascii="Arial" w:hAnsi="Arial" w:cs="Arial"/>
                <w:lang w:eastAsia="en-GB"/>
              </w:rPr>
              <w:t xml:space="preserve"> which defines the requirement in detail.</w:t>
            </w:r>
          </w:p>
        </w:tc>
      </w:tr>
      <w:tr w:rsidR="005869EC" w:rsidRPr="00246A9D" w:rsidTr="00D06970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Task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1A5D0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 xml:space="preserve">A firm instruction placed on the Contractor by the Authority, which requires the Contractor to collect and dispose of </w:t>
            </w:r>
            <w:r w:rsidR="001A5D04">
              <w:rPr>
                <w:rFonts w:ascii="Arial" w:hAnsi="Arial" w:cs="Arial"/>
                <w:lang w:eastAsia="en-GB"/>
              </w:rPr>
              <w:t xml:space="preserve">Waste </w:t>
            </w:r>
            <w:r w:rsidRPr="00246A9D">
              <w:rPr>
                <w:rFonts w:ascii="Arial" w:hAnsi="Arial" w:cs="Arial"/>
                <w:lang w:eastAsia="en-GB"/>
              </w:rPr>
              <w:t>in accordance with the provisions of the Contract.</w:t>
            </w:r>
          </w:p>
        </w:tc>
      </w:tr>
      <w:tr w:rsidR="005869EC" w:rsidRPr="00246A9D" w:rsidTr="00D06970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TFS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Transfrontier Shipment of Waste</w:t>
            </w:r>
          </w:p>
        </w:tc>
      </w:tr>
      <w:tr w:rsidR="005869EC" w:rsidRPr="00246A9D" w:rsidTr="00D06970">
        <w:trPr>
          <w:trHeight w:val="6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UIN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Unit Identity Number -  a unique reference to identify Units, sub-units, Organisations within the MOD and UK Armed Forces</w:t>
            </w:r>
          </w:p>
        </w:tc>
      </w:tr>
      <w:tr w:rsidR="005869EC" w:rsidRPr="00246A9D" w:rsidTr="00D06970">
        <w:trPr>
          <w:trHeight w:val="6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46A9D">
              <w:rPr>
                <w:rFonts w:ascii="Arial" w:hAnsi="Arial" w:cs="Arial"/>
                <w:b/>
                <w:bCs/>
                <w:lang w:eastAsia="en-GB"/>
              </w:rPr>
              <w:t>Unit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9EC" w:rsidRPr="00246A9D" w:rsidRDefault="005869EC" w:rsidP="003E3AC2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246A9D">
              <w:rPr>
                <w:rFonts w:ascii="Arial" w:hAnsi="Arial" w:cs="Arial"/>
                <w:lang w:eastAsia="en-GB"/>
              </w:rPr>
              <w:t>1. The entity referred to be a UIN                                                         2. a defined quantity or measure</w:t>
            </w:r>
          </w:p>
        </w:tc>
      </w:tr>
    </w:tbl>
    <w:p w:rsidR="005869EC" w:rsidRPr="00246A9D" w:rsidRDefault="005869EC">
      <w:pPr>
        <w:rPr>
          <w:rFonts w:ascii="Arial" w:hAnsi="Arial" w:cs="Arial"/>
        </w:rPr>
      </w:pPr>
    </w:p>
    <w:sectPr w:rsidR="005869EC" w:rsidRPr="00246A9D" w:rsidSect="00B53E5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32" w:rsidRDefault="00F94F32" w:rsidP="0011427C">
      <w:pPr>
        <w:spacing w:after="0" w:line="240" w:lineRule="auto"/>
      </w:pPr>
      <w:r>
        <w:separator/>
      </w:r>
    </w:p>
  </w:endnote>
  <w:endnote w:type="continuationSeparator" w:id="0">
    <w:p w:rsidR="00F94F32" w:rsidRDefault="00F94F32" w:rsidP="0011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38740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81F6C" w:rsidRDefault="00481F6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6D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6D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1F6C" w:rsidRDefault="00481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32" w:rsidRDefault="00F94F32" w:rsidP="0011427C">
      <w:pPr>
        <w:spacing w:after="0" w:line="240" w:lineRule="auto"/>
      </w:pPr>
      <w:r>
        <w:separator/>
      </w:r>
    </w:p>
  </w:footnote>
  <w:footnote w:type="continuationSeparator" w:id="0">
    <w:p w:rsidR="00F94F32" w:rsidRDefault="00F94F32" w:rsidP="0011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EC" w:rsidRDefault="005869EC" w:rsidP="00757161">
    <w:pPr>
      <w:pStyle w:val="Header"/>
      <w:jc w:val="right"/>
    </w:pPr>
    <w:r>
      <w:t>DSACOMDD/</w:t>
    </w:r>
    <w:r w:rsidR="001744D6">
      <w:t>50</w:t>
    </w:r>
    <w:r w:rsidR="00F145C8">
      <w:t>59</w:t>
    </w:r>
  </w:p>
  <w:p w:rsidR="005869EC" w:rsidRDefault="005869EC" w:rsidP="00757161">
    <w:pPr>
      <w:pStyle w:val="Header"/>
      <w:jc w:val="right"/>
    </w:pPr>
    <w:r>
      <w:t xml:space="preserve">Annex </w:t>
    </w:r>
    <w:r w:rsidR="001A5D04">
      <w:t>A</w:t>
    </w:r>
    <w:r w:rsidR="00F35ABF">
      <w:t xml:space="preserve"> t</w:t>
    </w:r>
    <w:r w:rsidR="001A5D04">
      <w:t>o Schedule 2</w:t>
    </w:r>
  </w:p>
  <w:p w:rsidR="005869EC" w:rsidRDefault="00586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C2"/>
    <w:rsid w:val="0011427C"/>
    <w:rsid w:val="001744D6"/>
    <w:rsid w:val="001924E9"/>
    <w:rsid w:val="001A5D04"/>
    <w:rsid w:val="00246A9D"/>
    <w:rsid w:val="00376D97"/>
    <w:rsid w:val="003E3AC2"/>
    <w:rsid w:val="00415594"/>
    <w:rsid w:val="00425BAD"/>
    <w:rsid w:val="00450946"/>
    <w:rsid w:val="00481F6C"/>
    <w:rsid w:val="004E2AD0"/>
    <w:rsid w:val="00557F51"/>
    <w:rsid w:val="005869EC"/>
    <w:rsid w:val="005F728F"/>
    <w:rsid w:val="0062604C"/>
    <w:rsid w:val="006559A6"/>
    <w:rsid w:val="006C414E"/>
    <w:rsid w:val="00757161"/>
    <w:rsid w:val="007648DE"/>
    <w:rsid w:val="008632FA"/>
    <w:rsid w:val="00876D52"/>
    <w:rsid w:val="0088516B"/>
    <w:rsid w:val="008C6164"/>
    <w:rsid w:val="00920419"/>
    <w:rsid w:val="009D0246"/>
    <w:rsid w:val="009D6D07"/>
    <w:rsid w:val="00A5365E"/>
    <w:rsid w:val="00A8383C"/>
    <w:rsid w:val="00A90DBC"/>
    <w:rsid w:val="00A9537C"/>
    <w:rsid w:val="00AB0999"/>
    <w:rsid w:val="00AD243C"/>
    <w:rsid w:val="00B53E59"/>
    <w:rsid w:val="00D06970"/>
    <w:rsid w:val="00E77F95"/>
    <w:rsid w:val="00EA6E27"/>
    <w:rsid w:val="00F145C8"/>
    <w:rsid w:val="00F35ABF"/>
    <w:rsid w:val="00F841AD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42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142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2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0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2AD0"/>
  </w:style>
  <w:style w:type="character" w:styleId="Hyperlink">
    <w:name w:val="Hyperlink"/>
    <w:basedOn w:val="DefaultParagraphFont"/>
    <w:uiPriority w:val="99"/>
    <w:semiHidden/>
    <w:unhideWhenUsed/>
    <w:rsid w:val="004E2A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42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142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2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0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2AD0"/>
  </w:style>
  <w:style w:type="character" w:styleId="Hyperlink">
    <w:name w:val="Hyperlink"/>
    <w:basedOn w:val="DefaultParagraphFont"/>
    <w:uiPriority w:val="99"/>
    <w:semiHidden/>
    <w:unhideWhenUsed/>
    <w:rsid w:val="004E2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7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mclevys823</dc:creator>
  <cp:lastModifiedBy>mclevys823</cp:lastModifiedBy>
  <cp:revision>2</cp:revision>
  <cp:lastPrinted>2016-11-02T16:23:00Z</cp:lastPrinted>
  <dcterms:created xsi:type="dcterms:W3CDTF">2018-03-06T12:37:00Z</dcterms:created>
  <dcterms:modified xsi:type="dcterms:W3CDTF">2018-03-06T12:37:00Z</dcterms:modified>
</cp:coreProperties>
</file>