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F69A0" w14:textId="1E6D32A7" w:rsidR="00F75276" w:rsidRPr="0053714F" w:rsidRDefault="000C2C2C">
      <w:pPr>
        <w:rPr>
          <w:b/>
          <w:bCs/>
          <w:i/>
          <w:iCs/>
          <w:sz w:val="28"/>
          <w:szCs w:val="28"/>
        </w:rPr>
      </w:pPr>
      <w:r w:rsidRPr="0053714F">
        <w:rPr>
          <w:b/>
          <w:bCs/>
          <w:i/>
          <w:iCs/>
          <w:sz w:val="28"/>
          <w:szCs w:val="28"/>
        </w:rPr>
        <w:t xml:space="preserve">Specification for consultancy services to assess the potential </w:t>
      </w:r>
      <w:r w:rsidR="00837699" w:rsidRPr="0053714F">
        <w:rPr>
          <w:b/>
          <w:bCs/>
          <w:i/>
          <w:iCs/>
          <w:sz w:val="28"/>
          <w:szCs w:val="28"/>
        </w:rPr>
        <w:t>for raising finance for the West London Orbital from new development</w:t>
      </w:r>
    </w:p>
    <w:p w14:paraId="1201C4D4" w14:textId="6AF0992A" w:rsidR="00837699" w:rsidRDefault="00837699">
      <w:r>
        <w:t>The West London Alliance</w:t>
      </w:r>
      <w:r>
        <w:rPr>
          <w:rStyle w:val="FootnoteReference"/>
        </w:rPr>
        <w:footnoteReference w:id="1"/>
      </w:r>
      <w:r>
        <w:t xml:space="preserve"> and Transport for London </w:t>
      </w:r>
      <w:r w:rsidR="0092651E">
        <w:t xml:space="preserve">are seeking to appoint consultants to advise on the scope for securing </w:t>
      </w:r>
      <w:r w:rsidR="00A642B9">
        <w:t>contributions</w:t>
      </w:r>
      <w:r w:rsidR="0092651E">
        <w:t xml:space="preserve"> from new development to</w:t>
      </w:r>
      <w:r w:rsidR="00A642B9">
        <w:t xml:space="preserve">ward the costs of </w:t>
      </w:r>
      <w:r w:rsidR="0092651E">
        <w:t xml:space="preserve">development and delivery of the West London Orbital (WLO) overground railway project, taking forward high-level work </w:t>
      </w:r>
      <w:r w:rsidR="00A642B9">
        <w:t>on funding and financing issues completed by Grant Thornton/Mott Macdonald.</w:t>
      </w:r>
    </w:p>
    <w:p w14:paraId="2B30DEAA" w14:textId="19500C2B" w:rsidR="00A642B9" w:rsidRPr="0053714F" w:rsidRDefault="00A642B9">
      <w:pPr>
        <w:rPr>
          <w:b/>
          <w:bCs/>
          <w:i/>
          <w:iCs/>
        </w:rPr>
      </w:pPr>
      <w:r w:rsidRPr="0053714F">
        <w:rPr>
          <w:b/>
          <w:bCs/>
          <w:i/>
          <w:iCs/>
        </w:rPr>
        <w:t>The West London Orbital</w:t>
      </w:r>
    </w:p>
    <w:p w14:paraId="2EEF8838" w14:textId="40AB0B3E" w:rsidR="00A642B9" w:rsidRDefault="007A3CF3">
      <w:r>
        <w:rPr>
          <w:noProof/>
        </w:rPr>
        <w:drawing>
          <wp:anchor distT="0" distB="0" distL="114300" distR="114300" simplePos="0" relativeHeight="251658240" behindDoc="0" locked="0" layoutInCell="1" allowOverlap="1" wp14:anchorId="43EBACD6" wp14:editId="44A24414">
            <wp:simplePos x="0" y="0"/>
            <wp:positionH relativeFrom="margin">
              <wp:align>left</wp:align>
            </wp:positionH>
            <wp:positionV relativeFrom="page">
              <wp:posOffset>4173855</wp:posOffset>
            </wp:positionV>
            <wp:extent cx="3297600" cy="4453200"/>
            <wp:effectExtent l="0" t="0" r="0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00" cy="445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2B9">
        <w:t xml:space="preserve">The WLO </w:t>
      </w:r>
      <w:r w:rsidR="00A642B9" w:rsidRPr="00A642B9">
        <w:t xml:space="preserve">is </w:t>
      </w:r>
      <w:r w:rsidR="00A642B9">
        <w:t xml:space="preserve">a proposed overground heavy rail link </w:t>
      </w:r>
      <w:r>
        <w:t>that would</w:t>
      </w:r>
      <w:r w:rsidR="00A642B9" w:rsidRPr="00A642B9">
        <w:t xml:space="preserve"> form part of the London Overground network</w:t>
      </w:r>
      <w:r w:rsidR="00A642B9">
        <w:t xml:space="preserve"> </w:t>
      </w:r>
      <w:r w:rsidR="005D48F4">
        <w:t xml:space="preserve">to </w:t>
      </w:r>
      <w:r w:rsidR="00A642B9" w:rsidRPr="00A642B9">
        <w:t>connec</w:t>
      </w:r>
      <w:r w:rsidR="005D48F4">
        <w:t>t</w:t>
      </w:r>
      <w:r w:rsidR="00A642B9" w:rsidRPr="00A642B9">
        <w:t xml:space="preserve"> West Hampstead and Hendon at the northern/eastern end with Hounslow and Kew Bridge at the western</w:t>
      </w:r>
      <w:r>
        <w:t xml:space="preserve"> end</w:t>
      </w:r>
      <w:r w:rsidR="00A642B9" w:rsidRPr="00A642B9">
        <w:t xml:space="preserve">, with stations </w:t>
      </w:r>
      <w:r>
        <w:t>including</w:t>
      </w:r>
      <w:r w:rsidR="00A642B9" w:rsidRPr="00A642B9">
        <w:t xml:space="preserve"> Brent Cross West, Neasden, Harlesden, Acton and Brentford along the way. It will link strategic development opportunities at Brent Cross/Cricklewood, Staples Corner, Neasden, Old Oak/Park Royal and the Great West Corridor and provid</w:t>
      </w:r>
      <w:r w:rsidR="00A642B9">
        <w:t>e</w:t>
      </w:r>
      <w:r w:rsidR="00A642B9" w:rsidRPr="00A642B9">
        <w:t xml:space="preserve"> interconnectivity between Thameslink; the Jubilee and Bakerloo London Underground lines; Euston-Watford Junction and North London TfL Overground Rail lines; and HS2 and Elizabeth lines</w:t>
      </w:r>
      <w:r w:rsidR="00A642B9">
        <w:t>:</w:t>
      </w:r>
    </w:p>
    <w:p w14:paraId="3381EF0E" w14:textId="77777777" w:rsidR="007A3CF3" w:rsidRDefault="007A3CF3" w:rsidP="003A3D50"/>
    <w:p w14:paraId="26A1FF1D" w14:textId="7AA11E38" w:rsidR="003A3D50" w:rsidRPr="003A3D50" w:rsidRDefault="003A3D50" w:rsidP="003A3D50">
      <w:r w:rsidRPr="003A3D50">
        <w:t xml:space="preserve">The WLO will use existing infrastructure – </w:t>
      </w:r>
      <w:r w:rsidR="007A3CF3">
        <w:t xml:space="preserve">using the Midland main line freight lines, </w:t>
      </w:r>
      <w:r w:rsidRPr="003A3D50">
        <w:t xml:space="preserve">bringing the Dudding Hill line between Cricklewood and </w:t>
      </w:r>
      <w:r w:rsidR="007A3CF3">
        <w:t>Old Oak Common</w:t>
      </w:r>
      <w:r w:rsidRPr="003A3D50">
        <w:t xml:space="preserve"> back into passenger use and then </w:t>
      </w:r>
      <w:r w:rsidRPr="003A3D50">
        <w:lastRenderedPageBreak/>
        <w:t>following the North London Overground</w:t>
      </w:r>
      <w:r w:rsidR="007A3CF3">
        <w:t xml:space="preserve"> line, the freight only line to Kew</w:t>
      </w:r>
      <w:r w:rsidRPr="003A3D50">
        <w:t xml:space="preserve"> and Hounslow Loop </w:t>
      </w:r>
      <w:r w:rsidR="007A3CF3">
        <w:t>route</w:t>
      </w:r>
      <w:r w:rsidRPr="003A3D50">
        <w:t xml:space="preserve"> to Hounslow. </w:t>
      </w:r>
    </w:p>
    <w:p w14:paraId="5390B0B3" w14:textId="1113FA62" w:rsidR="00A31276" w:rsidRPr="00A31276" w:rsidRDefault="00EB340D" w:rsidP="00A31276">
      <w:pPr>
        <w:rPr>
          <w:lang w:val="en-US"/>
        </w:rPr>
      </w:pPr>
      <w:r>
        <w:t xml:space="preserve">It will </w:t>
      </w:r>
      <w:r w:rsidR="00A31276" w:rsidRPr="00A31276">
        <w:rPr>
          <w:lang w:val="en-US"/>
        </w:rPr>
        <w:t>directly link four opportunity areas</w:t>
      </w:r>
      <w:r w:rsidR="00A31276">
        <w:rPr>
          <w:lang w:val="en-US"/>
        </w:rPr>
        <w:t xml:space="preserve"> designated in the London Plan,</w:t>
      </w:r>
      <w:r w:rsidR="00A31276" w:rsidRPr="00A31276">
        <w:rPr>
          <w:lang w:val="en-US"/>
        </w:rPr>
        <w:t xml:space="preserve"> which together can provide at least 56,500 homes and 118,500 jobs:</w:t>
      </w:r>
    </w:p>
    <w:p w14:paraId="70D7B571" w14:textId="68216E74" w:rsidR="00A31276" w:rsidRPr="00A31276" w:rsidRDefault="00A31276" w:rsidP="00A31276">
      <w:pPr>
        <w:numPr>
          <w:ilvl w:val="0"/>
          <w:numId w:val="12"/>
        </w:numPr>
        <w:rPr>
          <w:lang w:val="en-US"/>
        </w:rPr>
      </w:pPr>
      <w:r w:rsidRPr="00A31276">
        <w:rPr>
          <w:lang w:val="en-US"/>
        </w:rPr>
        <w:t>Brent Cross/Cricklewood, with capacity for 9,500 homes and 26,000 jobs</w:t>
      </w:r>
    </w:p>
    <w:p w14:paraId="1E5897E7" w14:textId="16716EE5" w:rsidR="00A31276" w:rsidRPr="00A31276" w:rsidRDefault="00A31276" w:rsidP="00A31276">
      <w:pPr>
        <w:numPr>
          <w:ilvl w:val="0"/>
          <w:numId w:val="12"/>
        </w:numPr>
        <w:rPr>
          <w:lang w:val="en-US"/>
        </w:rPr>
      </w:pPr>
      <w:r w:rsidRPr="00A31276">
        <w:rPr>
          <w:lang w:val="en-US"/>
        </w:rPr>
        <w:t>Wembley, with capacity for 14,000 homes and 13,500 jobs</w:t>
      </w:r>
    </w:p>
    <w:p w14:paraId="47C84977" w14:textId="569004F1" w:rsidR="00A31276" w:rsidRPr="00A31276" w:rsidRDefault="00A31276" w:rsidP="00A31276">
      <w:pPr>
        <w:numPr>
          <w:ilvl w:val="0"/>
          <w:numId w:val="12"/>
        </w:numPr>
        <w:rPr>
          <w:lang w:val="en-US"/>
        </w:rPr>
      </w:pPr>
      <w:r w:rsidRPr="00A31276">
        <w:rPr>
          <w:lang w:val="en-US"/>
        </w:rPr>
        <w:t>Old Oak/Park Royal, with capacity for 25,500 homes and 65,000 jobs</w:t>
      </w:r>
    </w:p>
    <w:p w14:paraId="69B73E2F" w14:textId="477C913B" w:rsidR="00A31276" w:rsidRPr="00A31276" w:rsidRDefault="00A31276" w:rsidP="00A31276">
      <w:pPr>
        <w:numPr>
          <w:ilvl w:val="0"/>
          <w:numId w:val="12"/>
        </w:numPr>
        <w:rPr>
          <w:lang w:val="en-US"/>
        </w:rPr>
      </w:pPr>
      <w:r w:rsidRPr="00A31276">
        <w:rPr>
          <w:lang w:val="en-US"/>
        </w:rPr>
        <w:t>Great West Corridor, with capacity for 7,500 homes and 14,000 jobs</w:t>
      </w:r>
    </w:p>
    <w:p w14:paraId="404895B4" w14:textId="121131F9" w:rsidR="0083494D" w:rsidRPr="0083494D" w:rsidRDefault="007A3CF3" w:rsidP="0083494D">
      <w:pPr>
        <w:rPr>
          <w:lang w:val="en-US"/>
        </w:rPr>
      </w:pPr>
      <w:r>
        <w:rPr>
          <w:lang w:val="en-US"/>
        </w:rPr>
        <w:t>The WLO will also</w:t>
      </w:r>
      <w:r w:rsidR="0083494D">
        <w:rPr>
          <w:lang w:val="en-US"/>
        </w:rPr>
        <w:t xml:space="preserve"> </w:t>
      </w:r>
      <w:r w:rsidR="0083494D" w:rsidRPr="0083494D">
        <w:rPr>
          <w:lang w:val="en-US"/>
        </w:rPr>
        <w:t>improve accessibility</w:t>
      </w:r>
      <w:r w:rsidR="0083494D">
        <w:rPr>
          <w:lang w:val="en-US"/>
        </w:rPr>
        <w:t xml:space="preserve"> by providing interchange </w:t>
      </w:r>
      <w:r w:rsidR="0083494D" w:rsidRPr="0083494D">
        <w:rPr>
          <w:lang w:val="en-US"/>
        </w:rPr>
        <w:t>to five more</w:t>
      </w:r>
      <w:r w:rsidR="00A02E55">
        <w:rPr>
          <w:lang w:val="en-US"/>
        </w:rPr>
        <w:t xml:space="preserve"> opportunity areas</w:t>
      </w:r>
      <w:r w:rsidR="0083494D" w:rsidRPr="0083494D">
        <w:rPr>
          <w:lang w:val="en-US"/>
        </w:rPr>
        <w:t>, which could provide an additional 38,000 homes and 18,000 jobs:</w:t>
      </w:r>
    </w:p>
    <w:p w14:paraId="3BA3E1DF" w14:textId="37582C1B" w:rsidR="0083494D" w:rsidRPr="0083494D" w:rsidRDefault="0083494D" w:rsidP="0083494D">
      <w:pPr>
        <w:numPr>
          <w:ilvl w:val="0"/>
          <w:numId w:val="13"/>
        </w:numPr>
        <w:rPr>
          <w:lang w:val="en-US"/>
        </w:rPr>
      </w:pPr>
      <w:r w:rsidRPr="0083494D">
        <w:rPr>
          <w:lang w:val="en-US"/>
        </w:rPr>
        <w:t>Colindale/Burnt Oak, with capacity for 7,000 homes and 2,000 jobs</w:t>
      </w:r>
    </w:p>
    <w:p w14:paraId="191D0CCB" w14:textId="751317ED" w:rsidR="0083494D" w:rsidRPr="0083494D" w:rsidRDefault="0083494D" w:rsidP="0083494D">
      <w:pPr>
        <w:numPr>
          <w:ilvl w:val="0"/>
          <w:numId w:val="13"/>
        </w:numPr>
        <w:rPr>
          <w:lang w:val="en-US"/>
        </w:rPr>
      </w:pPr>
      <w:r w:rsidRPr="0083494D">
        <w:rPr>
          <w:lang w:val="en-US"/>
        </w:rPr>
        <w:t>Harrow and Wealdstone, with capacity for 5,000 homes and 1,000 jobs</w:t>
      </w:r>
    </w:p>
    <w:p w14:paraId="0A8086FD" w14:textId="1BA057AC" w:rsidR="0083494D" w:rsidRPr="0083494D" w:rsidRDefault="0083494D" w:rsidP="0083494D">
      <w:pPr>
        <w:numPr>
          <w:ilvl w:val="0"/>
          <w:numId w:val="13"/>
        </w:numPr>
        <w:rPr>
          <w:lang w:val="en-US"/>
        </w:rPr>
      </w:pPr>
      <w:r w:rsidRPr="0083494D">
        <w:rPr>
          <w:lang w:val="en-US"/>
        </w:rPr>
        <w:t>Hayes, with capacity for 4,000 homes and 1,000 jobs</w:t>
      </w:r>
    </w:p>
    <w:p w14:paraId="7FC75712" w14:textId="77777777" w:rsidR="0083494D" w:rsidRPr="0083494D" w:rsidRDefault="0083494D" w:rsidP="0083494D">
      <w:pPr>
        <w:numPr>
          <w:ilvl w:val="0"/>
          <w:numId w:val="13"/>
        </w:numPr>
        <w:rPr>
          <w:lang w:val="en-US"/>
        </w:rPr>
      </w:pPr>
      <w:r w:rsidRPr="0083494D">
        <w:rPr>
          <w:lang w:val="en-US"/>
        </w:rPr>
        <w:t>Heathrow, with capacity for 13,000 homes and 11,000 jobs</w:t>
      </w:r>
    </w:p>
    <w:p w14:paraId="1D645277" w14:textId="02B8B29A" w:rsidR="0083494D" w:rsidRDefault="0083494D" w:rsidP="0083494D">
      <w:pPr>
        <w:numPr>
          <w:ilvl w:val="0"/>
          <w:numId w:val="13"/>
        </w:numPr>
        <w:rPr>
          <w:lang w:val="en-US"/>
        </w:rPr>
      </w:pPr>
      <w:r w:rsidRPr="0083494D">
        <w:rPr>
          <w:lang w:val="en-US"/>
        </w:rPr>
        <w:t>Southall, with capacity for 9,000 homes and 3,000 jobs)</w:t>
      </w:r>
    </w:p>
    <w:p w14:paraId="75D7F701" w14:textId="63DC6756" w:rsidR="003A30F6" w:rsidRPr="0083494D" w:rsidRDefault="005D4B89" w:rsidP="003A30F6">
      <w:pPr>
        <w:rPr>
          <w:lang w:val="en-US"/>
        </w:rPr>
      </w:pPr>
      <w:r w:rsidRPr="005D4B89">
        <w:rPr>
          <w:rFonts w:ascii="Calibri" w:eastAsia="Calibri" w:hAnsi="Calibri" w:cs="Mangal"/>
          <w:noProof/>
          <w:color w:val="161B21"/>
        </w:rPr>
        <w:drawing>
          <wp:inline distT="0" distB="0" distL="0" distR="0" wp14:anchorId="19753B31" wp14:editId="475481B9">
            <wp:extent cx="5731510" cy="4056287"/>
            <wp:effectExtent l="0" t="0" r="2540" b="1905"/>
            <wp:docPr id="20" name="Picture 20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4_WLO_Route_v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E194A" w14:textId="598A529F" w:rsidR="00B33CC8" w:rsidRDefault="00B33CC8">
      <w:r>
        <w:lastRenderedPageBreak/>
        <w:t>For the purposes of this study, t</w:t>
      </w:r>
      <w:r w:rsidRPr="00B33CC8">
        <w:t xml:space="preserve">he cost of the WLO is </w:t>
      </w:r>
      <w:r>
        <w:t xml:space="preserve">taken to be </w:t>
      </w:r>
      <w:r w:rsidRPr="00B33CC8">
        <w:t>£</w:t>
      </w:r>
      <w:r w:rsidR="00C36586">
        <w:t>435</w:t>
      </w:r>
      <w:r w:rsidRPr="00B33CC8">
        <w:t>m – £</w:t>
      </w:r>
      <w:r w:rsidR="00C36586">
        <w:t>605</w:t>
      </w:r>
      <w:r w:rsidRPr="00B33CC8">
        <w:t>m (2017 prices) or £</w:t>
      </w:r>
      <w:r w:rsidR="00C36586">
        <w:t>524</w:t>
      </w:r>
      <w:r w:rsidRPr="00B33CC8">
        <w:t>m – £</w:t>
      </w:r>
      <w:r w:rsidR="00C36586">
        <w:t>728</w:t>
      </w:r>
      <w:r w:rsidRPr="00B33CC8">
        <w:t>m (</w:t>
      </w:r>
      <w:r w:rsidR="00C36586">
        <w:t>outturn costs</w:t>
      </w:r>
      <w:r w:rsidRPr="00B33CC8">
        <w:t>)</w:t>
      </w:r>
      <w:r w:rsidR="00C36586">
        <w:rPr>
          <w:rStyle w:val="FootnoteReference"/>
        </w:rPr>
        <w:footnoteReference w:id="2"/>
      </w:r>
      <w:r w:rsidRPr="00B33CC8">
        <w:t xml:space="preserve">. Construction is </w:t>
      </w:r>
      <w:r>
        <w:t>projected</w:t>
      </w:r>
      <w:r w:rsidRPr="00B33CC8">
        <w:t xml:space="preserve"> to commence </w:t>
      </w:r>
      <w:r>
        <w:t xml:space="preserve">in 2026 </w:t>
      </w:r>
      <w:r w:rsidRPr="00B33CC8">
        <w:t xml:space="preserve">and complete around </w:t>
      </w:r>
      <w:r w:rsidR="00D62F60">
        <w:t>2029</w:t>
      </w:r>
      <w:r w:rsidRPr="00B33CC8">
        <w:t>.</w:t>
      </w:r>
      <w:r w:rsidR="006F672F">
        <w:t xml:space="preserve"> Development of the scheme is at an early GRIP2 (feasibility) stage. </w:t>
      </w:r>
    </w:p>
    <w:p w14:paraId="0BE22617" w14:textId="77777777" w:rsidR="003A3D50" w:rsidRDefault="003A3D50">
      <w:pPr>
        <w:rPr>
          <w:b/>
          <w:bCs/>
          <w:i/>
          <w:iCs/>
        </w:rPr>
      </w:pPr>
    </w:p>
    <w:p w14:paraId="6AB1BF0F" w14:textId="1FDD67C1" w:rsidR="006F672F" w:rsidRPr="0053714F" w:rsidRDefault="006F672F">
      <w:pPr>
        <w:rPr>
          <w:b/>
          <w:bCs/>
          <w:i/>
          <w:iCs/>
        </w:rPr>
      </w:pPr>
      <w:r w:rsidRPr="0053714F">
        <w:rPr>
          <w:b/>
          <w:bCs/>
          <w:i/>
          <w:iCs/>
        </w:rPr>
        <w:t>Funding the WLO</w:t>
      </w:r>
    </w:p>
    <w:p w14:paraId="089D2A7E" w14:textId="1A2A6550" w:rsidR="006F672F" w:rsidRDefault="006F672F">
      <w:r>
        <w:t xml:space="preserve">Development of the project is proceeding on the basis that </w:t>
      </w:r>
      <w:r w:rsidR="005B32CC" w:rsidRPr="005B32CC">
        <w:t xml:space="preserve">TfL’s financial situation </w:t>
      </w:r>
      <w:r w:rsidR="00682A48">
        <w:t xml:space="preserve">means </w:t>
      </w:r>
      <w:r w:rsidR="005B32CC" w:rsidRPr="005B32CC">
        <w:t>they will</w:t>
      </w:r>
      <w:r w:rsidR="00682A48">
        <w:t xml:space="preserve"> not </w:t>
      </w:r>
      <w:r w:rsidR="005B32CC" w:rsidRPr="005B32CC">
        <w:t xml:space="preserve">have </w:t>
      </w:r>
      <w:r w:rsidR="00BB605A">
        <w:t xml:space="preserve">the funds </w:t>
      </w:r>
      <w:r w:rsidR="005B32CC" w:rsidRPr="005B32CC">
        <w:t xml:space="preserve">available for </w:t>
      </w:r>
      <w:r w:rsidR="00BB605A">
        <w:t xml:space="preserve">the project </w:t>
      </w:r>
      <w:r w:rsidR="009507A5">
        <w:t xml:space="preserve">until the 2030s at the earliest. Consequently </w:t>
      </w:r>
      <w:r w:rsidR="00C55E8A">
        <w:t xml:space="preserve">WLA/TfL have been exploring </w:t>
      </w:r>
      <w:r w:rsidR="005054C4">
        <w:t xml:space="preserve">other options for raising </w:t>
      </w:r>
      <w:r w:rsidR="0020530E">
        <w:t xml:space="preserve">the required funding. In 2019 Grant Thornton and Mott Macdonald were commissioned to </w:t>
      </w:r>
      <w:r w:rsidR="00731B27" w:rsidRPr="00731B27">
        <w:t>assess the different funding options available</w:t>
      </w:r>
      <w:r w:rsidR="00731B27">
        <w:t xml:space="preserve">, </w:t>
      </w:r>
      <w:r w:rsidR="00731B27" w:rsidRPr="00731B27">
        <w:t>model the potential contribution they could provide and</w:t>
      </w:r>
      <w:r w:rsidR="009307DC">
        <w:t xml:space="preserve"> </w:t>
      </w:r>
      <w:r w:rsidR="00731B27" w:rsidRPr="00731B27">
        <w:t>set out the key actions that TfL/WL</w:t>
      </w:r>
      <w:r w:rsidR="00731B27">
        <w:t>A</w:t>
      </w:r>
      <w:r w:rsidR="00731B27" w:rsidRPr="00731B27">
        <w:t xml:space="preserve"> need to take to implement them.</w:t>
      </w:r>
      <w:r w:rsidR="00CB7A90">
        <w:t xml:space="preserve"> The </w:t>
      </w:r>
      <w:r w:rsidR="00DF0D1D" w:rsidRPr="00DF0D1D">
        <w:t>West London Orbital Funding Study</w:t>
      </w:r>
      <w:r w:rsidR="00DF0D1D">
        <w:t xml:space="preserve"> has now been completed.</w:t>
      </w:r>
    </w:p>
    <w:p w14:paraId="39253DBB" w14:textId="55A331B8" w:rsidR="00882C6A" w:rsidRDefault="00882C6A">
      <w:r>
        <w:t>This study considered</w:t>
      </w:r>
      <w:r w:rsidR="00CB5E2B">
        <w:t xml:space="preserve"> a long list of funding options and identified the following </w:t>
      </w:r>
      <w:r w:rsidR="00837EE7">
        <w:t>short list of options which were assessed in more detail</w:t>
      </w:r>
      <w:r>
        <w:t>:</w:t>
      </w:r>
    </w:p>
    <w:p w14:paraId="40E4227F" w14:textId="77777777" w:rsidR="00C62666" w:rsidRPr="00C62666" w:rsidRDefault="00C62666" w:rsidP="00C62666">
      <w:pPr>
        <w:pStyle w:val="ListParagraph"/>
        <w:numPr>
          <w:ilvl w:val="0"/>
          <w:numId w:val="1"/>
        </w:numPr>
      </w:pPr>
      <w:r w:rsidRPr="00C62666">
        <w:t>Community Infrastructure Levy (CIL);</w:t>
      </w:r>
    </w:p>
    <w:p w14:paraId="0B0C3CF4" w14:textId="77777777" w:rsidR="00C62666" w:rsidRPr="00C62666" w:rsidRDefault="00C62666" w:rsidP="00C62666">
      <w:pPr>
        <w:pStyle w:val="ListParagraph"/>
        <w:numPr>
          <w:ilvl w:val="0"/>
          <w:numId w:val="1"/>
        </w:numPr>
      </w:pPr>
      <w:r w:rsidRPr="00C62666">
        <w:t>Section 106;</w:t>
      </w:r>
    </w:p>
    <w:p w14:paraId="6F8B15CF" w14:textId="77777777" w:rsidR="00C62666" w:rsidRPr="00C62666" w:rsidRDefault="00C62666" w:rsidP="00C62666">
      <w:pPr>
        <w:pStyle w:val="ListParagraph"/>
        <w:numPr>
          <w:ilvl w:val="0"/>
          <w:numId w:val="1"/>
        </w:numPr>
      </w:pPr>
      <w:r w:rsidRPr="00C62666">
        <w:t>Business Rates Retention;</w:t>
      </w:r>
    </w:p>
    <w:p w14:paraId="45D096BE" w14:textId="77777777" w:rsidR="00C62666" w:rsidRPr="00C62666" w:rsidRDefault="00C62666" w:rsidP="00C62666">
      <w:pPr>
        <w:pStyle w:val="ListParagraph"/>
        <w:numPr>
          <w:ilvl w:val="0"/>
          <w:numId w:val="1"/>
        </w:numPr>
      </w:pPr>
      <w:r w:rsidRPr="00C62666">
        <w:t>Redevelopment of Public Sector Land;</w:t>
      </w:r>
    </w:p>
    <w:p w14:paraId="6E33CA44" w14:textId="77777777" w:rsidR="00C62666" w:rsidRPr="00C62666" w:rsidRDefault="00C62666" w:rsidP="00C62666">
      <w:pPr>
        <w:pStyle w:val="ListParagraph"/>
        <w:numPr>
          <w:ilvl w:val="0"/>
          <w:numId w:val="1"/>
        </w:numPr>
      </w:pPr>
      <w:r w:rsidRPr="00C62666">
        <w:t>Workplace Parking Levy; and</w:t>
      </w:r>
    </w:p>
    <w:p w14:paraId="53E38B56" w14:textId="70B74871" w:rsidR="00C62666" w:rsidRPr="00C62666" w:rsidRDefault="00E27216" w:rsidP="00C62666">
      <w:pPr>
        <w:pStyle w:val="ListParagraph"/>
        <w:numPr>
          <w:ilvl w:val="0"/>
          <w:numId w:val="1"/>
        </w:numPr>
      </w:pPr>
      <w:r>
        <w:t>National Homebuilding Fund</w:t>
      </w:r>
      <w:r w:rsidR="00837EE7">
        <w:t xml:space="preserve"> </w:t>
      </w:r>
      <w:r w:rsidR="00C62666" w:rsidRPr="00C62666">
        <w:t>/ Other Government grants.</w:t>
      </w:r>
    </w:p>
    <w:p w14:paraId="40066943" w14:textId="6DB9A104" w:rsidR="00CB7A90" w:rsidRDefault="00136E85">
      <w:r>
        <w:t>This current commission relates to options 1 and 2</w:t>
      </w:r>
      <w:r w:rsidR="009307DC">
        <w:t xml:space="preserve"> and is intended to supplement the </w:t>
      </w:r>
      <w:r w:rsidR="00A038FB">
        <w:t>Study by quantifying the contribution that can realistically be sought from development</w:t>
      </w:r>
      <w:r w:rsidR="00676975">
        <w:t>, in particular having regard to viability issues</w:t>
      </w:r>
      <w:r>
        <w:t xml:space="preserve">. </w:t>
      </w:r>
    </w:p>
    <w:p w14:paraId="6ED09FFF" w14:textId="0F5999EE" w:rsidR="00136E85" w:rsidRDefault="00136E85">
      <w:r>
        <w:t xml:space="preserve">The </w:t>
      </w:r>
      <w:r w:rsidR="00837EE7">
        <w:t xml:space="preserve"> </w:t>
      </w:r>
      <w:r w:rsidR="006152E7">
        <w:t>Funding S</w:t>
      </w:r>
      <w:r w:rsidR="00A41F4B">
        <w:t xml:space="preserve">tudy drew on information </w:t>
      </w:r>
      <w:r w:rsidR="00785DBC">
        <w:t xml:space="preserve">about past development trends (using data from the London Development Database) and about </w:t>
      </w:r>
      <w:r w:rsidR="00DB382A">
        <w:t xml:space="preserve">future plans from borough local plan site allocations compiled as part of a parallel </w:t>
      </w:r>
      <w:r w:rsidR="00583CC9">
        <w:t>economic benefits study carried out by Steer/Arcadis.</w:t>
      </w:r>
    </w:p>
    <w:p w14:paraId="742F15CE" w14:textId="7B7FBF08" w:rsidR="00882C6A" w:rsidRDefault="009F207D">
      <w:r>
        <w:t xml:space="preserve">On CIL, </w:t>
      </w:r>
      <w:r w:rsidR="00B17BA9">
        <w:t>the study considered two options:</w:t>
      </w:r>
    </w:p>
    <w:p w14:paraId="19F61D15" w14:textId="0404112F" w:rsidR="00B17BA9" w:rsidRDefault="00B17BA9" w:rsidP="00B17BA9">
      <w:pPr>
        <w:pStyle w:val="ListParagraph"/>
        <w:numPr>
          <w:ilvl w:val="0"/>
          <w:numId w:val="2"/>
        </w:numPr>
      </w:pPr>
      <w:r>
        <w:t xml:space="preserve">A broad </w:t>
      </w:r>
      <w:r w:rsidR="005F6982">
        <w:t xml:space="preserve">CIL rate for all development in boroughs </w:t>
      </w:r>
      <w:r w:rsidR="00136E85">
        <w:t>benefitting from the WLO</w:t>
      </w:r>
      <w:r w:rsidR="000D0A06">
        <w:t xml:space="preserve"> (£20psm in the boroughs the WLO runs through – Barnet, Brent, Ealing and Hounslow - and £10</w:t>
      </w:r>
      <w:r w:rsidR="00837EE7">
        <w:t>psm</w:t>
      </w:r>
      <w:r w:rsidR="000D0A06">
        <w:t xml:space="preserve"> in </w:t>
      </w:r>
      <w:r w:rsidR="000B05B4">
        <w:t xml:space="preserve">the other West London boroughs who can be shown to benefit from </w:t>
      </w:r>
      <w:r w:rsidR="006152E7">
        <w:t xml:space="preserve">it - </w:t>
      </w:r>
      <w:r w:rsidR="000D0A06">
        <w:t>Hammersmith and Fulham, Harrow, Hillingdon)</w:t>
      </w:r>
      <w:r w:rsidR="00150EA0">
        <w:t xml:space="preserve">. </w:t>
      </w:r>
      <w:r w:rsidR="00B01F7F">
        <w:t>Modelling suggests</w:t>
      </w:r>
      <w:r w:rsidR="002E042F">
        <w:t xml:space="preserve"> that over 25 years</w:t>
      </w:r>
      <w:r w:rsidR="00B01F7F">
        <w:t xml:space="preserve"> this could raise </w:t>
      </w:r>
      <w:r w:rsidR="00837EE7">
        <w:t xml:space="preserve">between </w:t>
      </w:r>
      <w:r w:rsidR="00B01F7F">
        <w:t>£</w:t>
      </w:r>
      <w:r w:rsidR="00AF595B">
        <w:t>214</w:t>
      </w:r>
      <w:r w:rsidR="00837EE7">
        <w:t>m</w:t>
      </w:r>
      <w:r w:rsidR="00AA025C">
        <w:t xml:space="preserve"> (</w:t>
      </w:r>
      <w:r w:rsidR="00837EE7">
        <w:t xml:space="preserve">based on </w:t>
      </w:r>
      <w:r w:rsidR="00AA025C">
        <w:t xml:space="preserve">past </w:t>
      </w:r>
      <w:r w:rsidR="00CB76C1">
        <w:t>t</w:t>
      </w:r>
      <w:r w:rsidR="00AA025C">
        <w:t xml:space="preserve">rends) </w:t>
      </w:r>
      <w:r w:rsidR="00837EE7">
        <w:t>and £</w:t>
      </w:r>
      <w:r w:rsidR="00CE2302">
        <w:t xml:space="preserve">285m </w:t>
      </w:r>
      <w:r w:rsidR="00AA025C">
        <w:t>(</w:t>
      </w:r>
      <w:r w:rsidR="00837EE7">
        <w:t xml:space="preserve">based on </w:t>
      </w:r>
      <w:r w:rsidR="00AA025C">
        <w:t>future plans)</w:t>
      </w:r>
      <w:r w:rsidR="00CB76C1">
        <w:t>.</w:t>
      </w:r>
      <w:r w:rsidR="002E042F">
        <w:t xml:space="preserve"> </w:t>
      </w:r>
    </w:p>
    <w:p w14:paraId="5E306AF6" w14:textId="2B13DBF7" w:rsidR="00CB76C1" w:rsidRDefault="00CB76C1" w:rsidP="00B17BA9">
      <w:pPr>
        <w:pStyle w:val="ListParagraph"/>
        <w:numPr>
          <w:ilvl w:val="0"/>
          <w:numId w:val="2"/>
        </w:numPr>
      </w:pPr>
      <w:r>
        <w:t>A</w:t>
      </w:r>
      <w:r w:rsidR="00246CF1">
        <w:t>n additional “above plan”</w:t>
      </w:r>
      <w:r w:rsidR="006B6926">
        <w:t xml:space="preserve"> </w:t>
      </w:r>
      <w:r w:rsidR="00947751">
        <w:t xml:space="preserve">£20 psm </w:t>
      </w:r>
      <w:r w:rsidR="006B6926">
        <w:t xml:space="preserve">supplementary levy charged for development within 1 km of WLO stations that can be shown to be </w:t>
      </w:r>
      <w:r w:rsidR="001D5650">
        <w:t xml:space="preserve">directly </w:t>
      </w:r>
      <w:r w:rsidR="00837EE7">
        <w:t>dependent</w:t>
      </w:r>
      <w:r w:rsidR="006B6926">
        <w:t xml:space="preserve"> on </w:t>
      </w:r>
      <w:r w:rsidR="00FD79BB">
        <w:t>the project</w:t>
      </w:r>
      <w:r w:rsidR="00947751">
        <w:t xml:space="preserve">. Modelling suggests this could raise </w:t>
      </w:r>
      <w:r w:rsidR="005B1423">
        <w:t xml:space="preserve">£13.3m from residential development and </w:t>
      </w:r>
      <w:r w:rsidR="00E42EE3">
        <w:t>£7m from commercial development.</w:t>
      </w:r>
    </w:p>
    <w:p w14:paraId="50A58819" w14:textId="435C8E53" w:rsidR="00E42EE3" w:rsidRDefault="00E42EE3" w:rsidP="00E42EE3">
      <w:r>
        <w:t xml:space="preserve">On s106, modelling was </w:t>
      </w:r>
      <w:r w:rsidR="00837EE7">
        <w:t>undertaken</w:t>
      </w:r>
      <w:r>
        <w:t xml:space="preserve"> to show </w:t>
      </w:r>
      <w:r w:rsidR="00837EE7">
        <w:t>how much</w:t>
      </w:r>
      <w:r>
        <w:t xml:space="preserve"> could be raised using planning obligations </w:t>
      </w:r>
      <w:r w:rsidR="00B33EA2">
        <w:t xml:space="preserve">to secure </w:t>
      </w:r>
      <w:r w:rsidR="0009480B">
        <w:t>part of the additional land value the WLO would support if the project was prioritised over other calls</w:t>
      </w:r>
      <w:r w:rsidR="00B7719C">
        <w:t xml:space="preserve"> on it (affordable housing and other infrastructure)</w:t>
      </w:r>
      <w:r w:rsidR="003F7B35">
        <w:t xml:space="preserve"> for development within 1 km of a WLO station</w:t>
      </w:r>
      <w:r w:rsidR="00B7719C">
        <w:t xml:space="preserve">. This showed that </w:t>
      </w:r>
      <w:r w:rsidR="00837EE7">
        <w:t xml:space="preserve">the </w:t>
      </w:r>
      <w:r w:rsidR="00B7719C">
        <w:t xml:space="preserve">total value </w:t>
      </w:r>
      <w:r w:rsidR="003F7B35">
        <w:t xml:space="preserve">that could be tapped </w:t>
      </w:r>
      <w:r w:rsidR="00837EE7">
        <w:t xml:space="preserve">based on hypothetical affordable housing targets </w:t>
      </w:r>
      <w:r w:rsidR="003F7B35">
        <w:t>was:</w:t>
      </w:r>
    </w:p>
    <w:tbl>
      <w:tblPr>
        <w:tblStyle w:val="GTTable"/>
        <w:tblW w:w="8288" w:type="dxa"/>
        <w:tblLook w:val="04A0" w:firstRow="1" w:lastRow="0" w:firstColumn="1" w:lastColumn="0" w:noHBand="0" w:noVBand="1"/>
      </w:tblPr>
      <w:tblGrid>
        <w:gridCol w:w="2072"/>
        <w:gridCol w:w="2072"/>
        <w:gridCol w:w="2072"/>
        <w:gridCol w:w="2072"/>
      </w:tblGrid>
      <w:tr w:rsidR="00AE713D" w14:paraId="048AE0F1" w14:textId="77777777" w:rsidTr="00820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</w:tcPr>
          <w:p w14:paraId="7B655B34" w14:textId="77777777" w:rsidR="00AE713D" w:rsidRPr="00CB7E75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</w:pPr>
            <w:r w:rsidRPr="00CB7E75">
              <w:lastRenderedPageBreak/>
              <w:t>Affordable Housing Target</w:t>
            </w:r>
          </w:p>
        </w:tc>
        <w:tc>
          <w:tcPr>
            <w:tcW w:w="2072" w:type="dxa"/>
          </w:tcPr>
          <w:p w14:paraId="7A68D78B" w14:textId="77777777" w:rsidR="00AE713D" w:rsidRPr="00CB7E75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E75">
              <w:t>WLO-dependent RLV uplift, £m</w:t>
            </w:r>
          </w:p>
        </w:tc>
        <w:tc>
          <w:tcPr>
            <w:tcW w:w="2072" w:type="dxa"/>
          </w:tcPr>
          <w:p w14:paraId="2321E0DD" w14:textId="77777777" w:rsidR="00AE713D" w:rsidRPr="00CB7E75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E75">
              <w:t>Difference</w:t>
            </w:r>
          </w:p>
        </w:tc>
        <w:tc>
          <w:tcPr>
            <w:tcW w:w="2072" w:type="dxa"/>
          </w:tcPr>
          <w:p w14:paraId="65BC5161" w14:textId="77777777" w:rsidR="00AE713D" w:rsidRPr="00CB7E75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E75">
              <w:t>% above baseline</w:t>
            </w:r>
          </w:p>
        </w:tc>
      </w:tr>
      <w:tr w:rsidR="00AE713D" w14:paraId="2628F558" w14:textId="77777777" w:rsidTr="008206E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vAlign w:val="center"/>
          </w:tcPr>
          <w:p w14:paraId="5EE423D6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</w:pPr>
            <w:r>
              <w:t>50%</w:t>
            </w:r>
          </w:p>
        </w:tc>
        <w:tc>
          <w:tcPr>
            <w:tcW w:w="2072" w:type="dxa"/>
          </w:tcPr>
          <w:p w14:paraId="713FC1F9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797.9</w:t>
            </w:r>
          </w:p>
        </w:tc>
        <w:tc>
          <w:tcPr>
            <w:tcW w:w="2072" w:type="dxa"/>
          </w:tcPr>
          <w:p w14:paraId="3601699D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Baseline</w:t>
            </w:r>
          </w:p>
        </w:tc>
        <w:tc>
          <w:tcPr>
            <w:tcW w:w="2072" w:type="dxa"/>
          </w:tcPr>
          <w:p w14:paraId="6F3D851F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Baseline</w:t>
            </w:r>
          </w:p>
        </w:tc>
      </w:tr>
      <w:tr w:rsidR="00AE713D" w14:paraId="442B9993" w14:textId="77777777" w:rsidTr="008206E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vAlign w:val="center"/>
          </w:tcPr>
          <w:p w14:paraId="0C58E6D8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</w:pPr>
            <w:r>
              <w:t>35%</w:t>
            </w:r>
          </w:p>
        </w:tc>
        <w:tc>
          <w:tcPr>
            <w:tcW w:w="2072" w:type="dxa"/>
          </w:tcPr>
          <w:p w14:paraId="499CB6F2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896.4</w:t>
            </w:r>
          </w:p>
        </w:tc>
        <w:tc>
          <w:tcPr>
            <w:tcW w:w="2072" w:type="dxa"/>
          </w:tcPr>
          <w:p w14:paraId="1C2350E3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98.5</w:t>
            </w:r>
          </w:p>
        </w:tc>
        <w:tc>
          <w:tcPr>
            <w:tcW w:w="2072" w:type="dxa"/>
          </w:tcPr>
          <w:p w14:paraId="11E2C852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12.3%</w:t>
            </w:r>
          </w:p>
        </w:tc>
      </w:tr>
      <w:tr w:rsidR="00AE713D" w14:paraId="01091F8F" w14:textId="77777777" w:rsidTr="008206E6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vAlign w:val="center"/>
          </w:tcPr>
          <w:p w14:paraId="57AF878C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</w:pPr>
            <w:r>
              <w:t>0%</w:t>
            </w:r>
          </w:p>
        </w:tc>
        <w:tc>
          <w:tcPr>
            <w:tcW w:w="2072" w:type="dxa"/>
          </w:tcPr>
          <w:p w14:paraId="03EFFC53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1,126.4</w:t>
            </w:r>
          </w:p>
        </w:tc>
        <w:tc>
          <w:tcPr>
            <w:tcW w:w="2072" w:type="dxa"/>
          </w:tcPr>
          <w:p w14:paraId="28AFB64C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328.5</w:t>
            </w:r>
          </w:p>
        </w:tc>
        <w:tc>
          <w:tcPr>
            <w:tcW w:w="2072" w:type="dxa"/>
          </w:tcPr>
          <w:p w14:paraId="77F159A6" w14:textId="77777777" w:rsidR="00AE713D" w:rsidRDefault="00AE713D" w:rsidP="008206E6">
            <w:pPr>
              <w:pStyle w:val="NumText"/>
              <w:numPr>
                <w:ilvl w:val="0"/>
                <w:numId w:val="0"/>
              </w:numPr>
              <w:spacing w:after="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41.2%</w:t>
            </w:r>
          </w:p>
        </w:tc>
      </w:tr>
    </w:tbl>
    <w:p w14:paraId="4B705F9C" w14:textId="09110CB0" w:rsidR="003F7B35" w:rsidRDefault="003F7B35" w:rsidP="00E42EE3"/>
    <w:p w14:paraId="6E205EA0" w14:textId="50CCD32E" w:rsidR="00AE713D" w:rsidRDefault="00632639" w:rsidP="00E42EE3">
      <w:r>
        <w:t xml:space="preserve">The </w:t>
      </w:r>
      <w:r w:rsidR="0015024B">
        <w:t>S</w:t>
      </w:r>
      <w:r>
        <w:t>tudy</w:t>
      </w:r>
      <w:r w:rsidR="0015024B">
        <w:t xml:space="preserve"> deal</w:t>
      </w:r>
      <w:r w:rsidR="00CD6CEF">
        <w:t>t</w:t>
      </w:r>
      <w:r w:rsidR="0015024B">
        <w:t xml:space="preserve"> with</w:t>
      </w:r>
      <w:r>
        <w:t xml:space="preserve"> </w:t>
      </w:r>
      <w:r w:rsidR="0013049A">
        <w:t>the CIL and section 106 options separately</w:t>
      </w:r>
      <w:r w:rsidR="000344EE">
        <w:t xml:space="preserve"> and did not consider development viability. </w:t>
      </w:r>
    </w:p>
    <w:p w14:paraId="56D82A2C" w14:textId="3229A187" w:rsidR="00DD4B21" w:rsidRDefault="00DD4B21" w:rsidP="00E42EE3">
      <w:r>
        <w:t xml:space="preserve">The report and supporting technical </w:t>
      </w:r>
      <w:r w:rsidR="00662578">
        <w:t>report are attached as annexes to this specification.</w:t>
      </w:r>
    </w:p>
    <w:p w14:paraId="02267B1C" w14:textId="0FD2D2BF" w:rsidR="00EA13EA" w:rsidRPr="00EE2E48" w:rsidRDefault="00EA13EA" w:rsidP="00E42EE3">
      <w:pPr>
        <w:rPr>
          <w:b/>
          <w:bCs/>
          <w:i/>
          <w:iCs/>
        </w:rPr>
      </w:pPr>
      <w:r w:rsidRPr="00EE2E48">
        <w:rPr>
          <w:b/>
          <w:bCs/>
          <w:i/>
          <w:iCs/>
        </w:rPr>
        <w:t>Accelerating housing delivery</w:t>
      </w:r>
    </w:p>
    <w:p w14:paraId="1A5C4F10" w14:textId="7A76DE3B" w:rsidR="00EA13EA" w:rsidRDefault="00EA13EA" w:rsidP="00EA13EA">
      <w:r w:rsidRPr="00EA13EA">
        <w:t>The Economic Narrative</w:t>
      </w:r>
      <w:r>
        <w:t xml:space="preserve"> produced by Steer/Arcadis </w:t>
      </w:r>
      <w:r w:rsidR="001359F4">
        <w:t>referred to earlier</w:t>
      </w:r>
      <w:r w:rsidRPr="00EA13EA">
        <w:t xml:space="preserve"> sought to estimate the potential impact the WLO might have in terms of accelerating housing delivery. It did this by estimating the effect of reduced financing costs for a development due to a developer shortening their development cashflow. An accelerated programme would be expected to result in a larger quantum of receipts being received and the ability to pay off borrowing more quickly, resulting a reduced interest charge for the developer. The approach taken is described in more detail in paragraphs 6.14-6.16 of the Economic Narrative report.</w:t>
      </w:r>
    </w:p>
    <w:p w14:paraId="4DD1328F" w14:textId="38B0D34E" w:rsidR="00EA13EA" w:rsidRDefault="001359F4" w:rsidP="00E42EE3">
      <w:r w:rsidRPr="001359F4">
        <w:t xml:space="preserve">Discussions with Homes England and others </w:t>
      </w:r>
      <w:r>
        <w:t xml:space="preserve">and the monitoring of build-out of sites along the route by TfL/WLA </w:t>
      </w:r>
      <w:r w:rsidRPr="001359F4">
        <w:t>have reinforced the importance of this aspect of the business case for the WLO.</w:t>
      </w:r>
    </w:p>
    <w:p w14:paraId="585195C4" w14:textId="086C0D0B" w:rsidR="00662578" w:rsidRPr="0053714F" w:rsidRDefault="002F2D2F" w:rsidP="00E42EE3">
      <w:pPr>
        <w:rPr>
          <w:b/>
          <w:bCs/>
          <w:i/>
          <w:iCs/>
        </w:rPr>
      </w:pPr>
      <w:r w:rsidRPr="0053714F">
        <w:rPr>
          <w:b/>
          <w:bCs/>
          <w:i/>
          <w:iCs/>
        </w:rPr>
        <w:t xml:space="preserve">Purpose </w:t>
      </w:r>
      <w:r w:rsidR="005167E6" w:rsidRPr="0053714F">
        <w:rPr>
          <w:b/>
          <w:bCs/>
          <w:i/>
          <w:iCs/>
        </w:rPr>
        <w:t>and scope of the commission</w:t>
      </w:r>
    </w:p>
    <w:p w14:paraId="41D4747B" w14:textId="77777777" w:rsidR="00022D0B" w:rsidRDefault="002F2D2F" w:rsidP="00E42EE3">
      <w:r>
        <w:t xml:space="preserve">TfL/WLA now </w:t>
      </w:r>
      <w:r w:rsidR="009C4308">
        <w:t>want to procure consultants to build on</w:t>
      </w:r>
      <w:r w:rsidR="00DF0D1D">
        <w:t xml:space="preserve"> the analysis in the </w:t>
      </w:r>
      <w:r w:rsidR="00DF0D1D" w:rsidRPr="00DF0D1D">
        <w:t>West London Orbital Funding Study</w:t>
      </w:r>
      <w:r w:rsidR="00DD39E1">
        <w:t xml:space="preserve"> and provide </w:t>
      </w:r>
      <w:r w:rsidR="004F4366">
        <w:t xml:space="preserve">senior decision-makers at the Greater London Authority, Transport for London, West London boroughs and the West London Alliance </w:t>
      </w:r>
      <w:r w:rsidR="00A4342A">
        <w:t xml:space="preserve">with </w:t>
      </w:r>
      <w:r w:rsidR="00B5311C">
        <w:t xml:space="preserve">sufficient information to take decisions </w:t>
      </w:r>
      <w:r w:rsidR="00E54B62">
        <w:t xml:space="preserve">about further work </w:t>
      </w:r>
      <w:r w:rsidR="00380D67">
        <w:t xml:space="preserve">relating to development contributions </w:t>
      </w:r>
      <w:r w:rsidR="00E54B62">
        <w:t>to</w:t>
      </w:r>
      <w:r w:rsidR="00380D67">
        <w:t xml:space="preserve"> help</w:t>
      </w:r>
      <w:r w:rsidR="00E54B62">
        <w:t xml:space="preserve"> refine a WLO funding strategy.</w:t>
      </w:r>
    </w:p>
    <w:p w14:paraId="1369530A" w14:textId="77777777" w:rsidR="008F7628" w:rsidRDefault="00E54B62" w:rsidP="00E42EE3">
      <w:r>
        <w:t xml:space="preserve"> </w:t>
      </w:r>
      <w:r w:rsidR="00F75B0D">
        <w:t xml:space="preserve">Given the increased salience </w:t>
      </w:r>
      <w:r w:rsidR="009E491B">
        <w:t xml:space="preserve">of the potential for the project to support acceleration of housing delivery as well as an increase in overall </w:t>
      </w:r>
      <w:r w:rsidR="00022D0B">
        <w:t xml:space="preserve">numbers of units, TfL/WLA also want to </w:t>
      </w:r>
      <w:r w:rsidR="000034EB">
        <w:t>have a more detailed review of this aspect</w:t>
      </w:r>
      <w:r w:rsidR="002F68B3">
        <w:t xml:space="preserve"> to inform </w:t>
      </w:r>
      <w:r w:rsidR="008F7628">
        <w:t>development of the business case for the WLO.</w:t>
      </w:r>
    </w:p>
    <w:p w14:paraId="21F303E7" w14:textId="3F7A6DD7" w:rsidR="00E54B62" w:rsidRDefault="00E54B62" w:rsidP="00E42EE3">
      <w:r>
        <w:t xml:space="preserve">It </w:t>
      </w:r>
      <w:r w:rsidR="008F7628">
        <w:t xml:space="preserve">therefore </w:t>
      </w:r>
      <w:r>
        <w:t xml:space="preserve">falls in </w:t>
      </w:r>
      <w:r w:rsidR="008F7628">
        <w:t>three</w:t>
      </w:r>
      <w:r>
        <w:t xml:space="preserve"> parts:</w:t>
      </w:r>
    </w:p>
    <w:p w14:paraId="53C0698A" w14:textId="3D0DFE9C" w:rsidR="00E54B62" w:rsidRPr="0053714F" w:rsidRDefault="00E54B62" w:rsidP="00E42EE3">
      <w:pPr>
        <w:rPr>
          <w:i/>
          <w:iCs/>
        </w:rPr>
      </w:pPr>
      <w:r w:rsidRPr="0053714F">
        <w:rPr>
          <w:i/>
          <w:iCs/>
        </w:rPr>
        <w:t>Part 1:</w:t>
      </w:r>
    </w:p>
    <w:p w14:paraId="416AEC7F" w14:textId="0A80AEE9" w:rsidR="009326FD" w:rsidRDefault="00E54B62" w:rsidP="00E42EE3">
      <w:r>
        <w:t xml:space="preserve">Provision of </w:t>
      </w:r>
      <w:r w:rsidR="00A4342A">
        <w:t>information about</w:t>
      </w:r>
      <w:r w:rsidR="009326FD">
        <w:t>:</w:t>
      </w:r>
    </w:p>
    <w:p w14:paraId="789CCF9A" w14:textId="1CFA3D31" w:rsidR="009326FD" w:rsidRDefault="00B41E7B" w:rsidP="009326FD">
      <w:pPr>
        <w:pStyle w:val="ListParagraph"/>
        <w:numPr>
          <w:ilvl w:val="0"/>
          <w:numId w:val="4"/>
        </w:numPr>
      </w:pPr>
      <w:r>
        <w:t>The</w:t>
      </w:r>
      <w:r w:rsidR="00A4342A">
        <w:t xml:space="preserve"> amounts that could realistically be sought from development in West London</w:t>
      </w:r>
      <w:r w:rsidR="00E26B3A">
        <w:t xml:space="preserve"> </w:t>
      </w:r>
      <w:r w:rsidR="009326FD">
        <w:t>through CIL</w:t>
      </w:r>
      <w:r w:rsidR="00D7571F">
        <w:t xml:space="preserve"> and</w:t>
      </w:r>
      <w:r w:rsidR="009326FD">
        <w:t>/</w:t>
      </w:r>
      <w:r w:rsidR="00D7571F">
        <w:t xml:space="preserve">or </w:t>
      </w:r>
      <w:r w:rsidR="009326FD">
        <w:t>s106</w:t>
      </w:r>
      <w:r w:rsidR="00894B2E">
        <w:t xml:space="preserve"> to contribute towards the costs of developing/implementing the WLO</w:t>
      </w:r>
      <w:r w:rsidR="00D7571F">
        <w:t>, building on the modelling in the WLO Funding Study</w:t>
      </w:r>
      <w:r w:rsidR="0054407D">
        <w:t xml:space="preserve">. This should consider </w:t>
      </w:r>
      <w:r w:rsidR="00946BFF">
        <w:t xml:space="preserve">options for </w:t>
      </w:r>
      <w:r w:rsidR="00FD51D4">
        <w:t xml:space="preserve">“broad” options and ones more focussed on areas nearer WLO stations and so </w:t>
      </w:r>
      <w:r w:rsidR="00A74FAC">
        <w:t>potentially more able to bear higher rates</w:t>
      </w:r>
      <w:r>
        <w:t>.</w:t>
      </w:r>
    </w:p>
    <w:p w14:paraId="05AD9A84" w14:textId="470A4C54" w:rsidR="009326FD" w:rsidRDefault="00B41E7B" w:rsidP="009326FD">
      <w:pPr>
        <w:pStyle w:val="ListParagraph"/>
        <w:numPr>
          <w:ilvl w:val="0"/>
          <w:numId w:val="4"/>
        </w:numPr>
      </w:pPr>
      <w:r>
        <w:t>Potential</w:t>
      </w:r>
      <w:r w:rsidR="00E26B3A">
        <w:t xml:space="preserve"> impacts on development viability </w:t>
      </w:r>
      <w:r w:rsidR="00A83BD5">
        <w:t>and steps that could be taken to mitigate them (such as differential CIL rates by use/location/scale of development)</w:t>
      </w:r>
      <w:r>
        <w:t>.</w:t>
      </w:r>
    </w:p>
    <w:p w14:paraId="6CA9C32C" w14:textId="711F0FF3" w:rsidR="00925FC7" w:rsidRDefault="00B41E7B" w:rsidP="009326FD">
      <w:pPr>
        <w:pStyle w:val="ListParagraph"/>
        <w:numPr>
          <w:ilvl w:val="0"/>
          <w:numId w:val="4"/>
        </w:numPr>
      </w:pPr>
      <w:r>
        <w:lastRenderedPageBreak/>
        <w:t>Potential</w:t>
      </w:r>
      <w:r w:rsidR="009326FD">
        <w:t xml:space="preserve"> impacts o</w:t>
      </w:r>
      <w:r w:rsidR="00E26B3A">
        <w:t>n</w:t>
      </w:r>
      <w:r w:rsidR="00AC619F">
        <w:t xml:space="preserve"> other policy requirements made of development – such as affordable housing and other infrastructure.</w:t>
      </w:r>
      <w:r w:rsidR="00D6688D">
        <w:t xml:space="preserve"> </w:t>
      </w:r>
    </w:p>
    <w:p w14:paraId="4CEB105C" w14:textId="02087FB0" w:rsidR="002F2D2F" w:rsidRDefault="00012D55" w:rsidP="00E42EE3">
      <w:r>
        <w:t xml:space="preserve">This </w:t>
      </w:r>
      <w:r w:rsidR="009256EA">
        <w:t>needs to be in a format allowing the testing of different options (such as CIL rates and levels of s106 contributi</w:t>
      </w:r>
      <w:r w:rsidR="00925FC7">
        <w:t xml:space="preserve">ons and different levels of affordable housing). </w:t>
      </w:r>
      <w:r w:rsidR="00E762E8">
        <w:t>It should also include sensitivity testing to take account of potential changes in the West London development market.</w:t>
      </w:r>
    </w:p>
    <w:p w14:paraId="07A53333" w14:textId="43B3EBCA" w:rsidR="0089401A" w:rsidRDefault="0089401A" w:rsidP="00E42EE3">
      <w:r>
        <w:t xml:space="preserve">It </w:t>
      </w:r>
      <w:r w:rsidR="003370CD">
        <w:t xml:space="preserve">must </w:t>
      </w:r>
      <w:r>
        <w:t xml:space="preserve">be informed by knowledge of development viability </w:t>
      </w:r>
      <w:r w:rsidR="005D05A8">
        <w:t>essentials across West London local planning authorities</w:t>
      </w:r>
      <w:r w:rsidR="00E762E8">
        <w:t>.</w:t>
      </w:r>
    </w:p>
    <w:p w14:paraId="206FC27E" w14:textId="09738893" w:rsidR="00E54B62" w:rsidRPr="0053714F" w:rsidRDefault="00E54B62" w:rsidP="00E42EE3">
      <w:pPr>
        <w:rPr>
          <w:i/>
          <w:iCs/>
        </w:rPr>
      </w:pPr>
      <w:r w:rsidRPr="0053714F">
        <w:rPr>
          <w:i/>
          <w:iCs/>
        </w:rPr>
        <w:t>Part 2:</w:t>
      </w:r>
    </w:p>
    <w:p w14:paraId="304B2EDE" w14:textId="4FB3CA86" w:rsidR="00E54B62" w:rsidRDefault="00E54B62" w:rsidP="00E42EE3">
      <w:r>
        <w:t xml:space="preserve">Advice on </w:t>
      </w:r>
      <w:r w:rsidR="005418B1">
        <w:t>steps that could be taken now to start seeking s106 contributions to fund development of the WLO project</w:t>
      </w:r>
      <w:r w:rsidR="004E3974">
        <w:t xml:space="preserve">, including support for </w:t>
      </w:r>
      <w:r w:rsidR="00804096">
        <w:t xml:space="preserve">setting </w:t>
      </w:r>
      <w:r w:rsidR="004E3974">
        <w:t xml:space="preserve">a </w:t>
      </w:r>
      <w:r w:rsidR="00804096">
        <w:t xml:space="preserve">benchmark contribution level per square metre for </w:t>
      </w:r>
      <w:r w:rsidR="00C740F8">
        <w:t>different types of development in the vicinity of proposed WLO stations, drawing on the analysis carried out for Part 1</w:t>
      </w:r>
      <w:r w:rsidR="00904782">
        <w:t>.</w:t>
      </w:r>
    </w:p>
    <w:p w14:paraId="2A751093" w14:textId="39155648" w:rsidR="004459C9" w:rsidRDefault="004459C9" w:rsidP="00E42EE3">
      <w:r>
        <w:t xml:space="preserve">It is not currently envisaged that </w:t>
      </w:r>
      <w:r w:rsidR="003370CD">
        <w:t xml:space="preserve">either aspect of </w:t>
      </w:r>
      <w:r>
        <w:t>this commission will involve large-scale engagement with individual local planning authorities; the WLA will ensure that any information required from them is sought</w:t>
      </w:r>
      <w:r w:rsidR="00CC6840">
        <w:t xml:space="preserve"> and passed on.</w:t>
      </w:r>
    </w:p>
    <w:p w14:paraId="029BC7A0" w14:textId="61838B34" w:rsidR="003E330D" w:rsidRDefault="003E330D" w:rsidP="00E42EE3">
      <w:pPr>
        <w:rPr>
          <w:i/>
          <w:iCs/>
        </w:rPr>
      </w:pPr>
      <w:r>
        <w:rPr>
          <w:i/>
          <w:iCs/>
        </w:rPr>
        <w:t>Part 3</w:t>
      </w:r>
    </w:p>
    <w:p w14:paraId="052E9114" w14:textId="545FF705" w:rsidR="00485678" w:rsidRDefault="0047336F" w:rsidP="00485678">
      <w:r>
        <w:t xml:space="preserve">Building on the </w:t>
      </w:r>
      <w:r w:rsidR="00C41F15">
        <w:t>Steer/Arcadis Economic Narrative referred to earlier</w:t>
      </w:r>
      <w:r>
        <w:t xml:space="preserve"> and informed by the </w:t>
      </w:r>
      <w:r w:rsidR="00B4595E">
        <w:t xml:space="preserve">overview of the West London development market </w:t>
      </w:r>
      <w:r w:rsidR="002D7433">
        <w:t>underpinning parts 1 and 2 of this commission, articulate and</w:t>
      </w:r>
      <w:r w:rsidR="003C2DCB">
        <w:t>,</w:t>
      </w:r>
      <w:r w:rsidR="002D7433">
        <w:t xml:space="preserve"> as far as possible</w:t>
      </w:r>
      <w:r w:rsidR="003C2DCB">
        <w:t>,</w:t>
      </w:r>
      <w:r w:rsidR="002D7433">
        <w:t xml:space="preserve"> quantify the </w:t>
      </w:r>
      <w:r w:rsidR="00EA13EA">
        <w:t xml:space="preserve">scope for the WLO to accelerate </w:t>
      </w:r>
      <w:r w:rsidR="00C41F15">
        <w:t xml:space="preserve"> </w:t>
      </w:r>
      <w:r w:rsidR="0042192B">
        <w:t>h</w:t>
      </w:r>
      <w:r w:rsidR="00081256">
        <w:t>ousing delivery</w:t>
      </w:r>
      <w:r w:rsidR="00404FA2">
        <w:t xml:space="preserve"> in West London</w:t>
      </w:r>
      <w:r w:rsidR="00081256">
        <w:t xml:space="preserve"> as well as supporting an increase in overall numbers</w:t>
      </w:r>
      <w:r w:rsidR="00106795">
        <w:t xml:space="preserve">. </w:t>
      </w:r>
    </w:p>
    <w:p w14:paraId="009456C2" w14:textId="00B3BD8F" w:rsidR="006C7750" w:rsidRDefault="006C7750" w:rsidP="00485678">
      <w:r>
        <w:t xml:space="preserve">This should draw on available </w:t>
      </w:r>
      <w:r w:rsidR="00B10F32">
        <w:t xml:space="preserve">literature about the effects of transport investment on accelerating development and experience of </w:t>
      </w:r>
      <w:r w:rsidR="00B946D7">
        <w:t>other relevant projects.</w:t>
      </w:r>
      <w:r w:rsidR="000870DC">
        <w:t xml:space="preserve"> It should </w:t>
      </w:r>
      <w:r w:rsidR="00034F1E">
        <w:t xml:space="preserve">be of sufficient robustness to be drawn on in </w:t>
      </w:r>
      <w:r w:rsidR="003040C5">
        <w:t>developing the business case for the project.</w:t>
      </w:r>
    </w:p>
    <w:p w14:paraId="0E802202" w14:textId="2DB7C756" w:rsidR="003E330D" w:rsidRPr="003E330D" w:rsidRDefault="003E330D" w:rsidP="00B44A3E"/>
    <w:p w14:paraId="5F027E1F" w14:textId="75C45F9D" w:rsidR="00904782" w:rsidRPr="0053714F" w:rsidRDefault="00456EC8" w:rsidP="00E42EE3">
      <w:pPr>
        <w:rPr>
          <w:b/>
          <w:bCs/>
          <w:i/>
          <w:iCs/>
        </w:rPr>
      </w:pPr>
      <w:r w:rsidRPr="0053714F">
        <w:rPr>
          <w:b/>
          <w:bCs/>
          <w:i/>
          <w:iCs/>
        </w:rPr>
        <w:t>Analysis required</w:t>
      </w:r>
    </w:p>
    <w:p w14:paraId="27AB3FEA" w14:textId="77777777" w:rsidR="00D7571F" w:rsidRDefault="00375587" w:rsidP="00445296">
      <w:r>
        <w:t xml:space="preserve">The </w:t>
      </w:r>
      <w:r w:rsidR="00C53E01">
        <w:t>analysis should</w:t>
      </w:r>
      <w:r w:rsidR="00D7571F">
        <w:t>:</w:t>
      </w:r>
    </w:p>
    <w:p w14:paraId="30FE9A6B" w14:textId="7150212C" w:rsidR="00EB7D13" w:rsidRDefault="00D7571F" w:rsidP="00D7571F">
      <w:pPr>
        <w:pStyle w:val="ListParagraph"/>
        <w:numPr>
          <w:ilvl w:val="0"/>
          <w:numId w:val="6"/>
        </w:numPr>
      </w:pPr>
      <w:r>
        <w:t>I</w:t>
      </w:r>
      <w:r w:rsidR="00445296">
        <w:t>dentify the scale of contributions that could be sought from new development in West London</w:t>
      </w:r>
      <w:r w:rsidR="00A74FAC">
        <w:t xml:space="preserve"> </w:t>
      </w:r>
      <w:r w:rsidR="004A3B35">
        <w:t xml:space="preserve">without having impacts on development viability that would </w:t>
      </w:r>
      <w:r w:rsidR="00815C30">
        <w:t>put delivery of London Plan and local development plan policies at risk</w:t>
      </w:r>
      <w:r w:rsidR="0048392A">
        <w:t xml:space="preserve">. </w:t>
      </w:r>
    </w:p>
    <w:p w14:paraId="42317B47" w14:textId="6E408BD6" w:rsidR="000F737F" w:rsidRDefault="0048392A" w:rsidP="00D7571F">
      <w:pPr>
        <w:ind w:left="720"/>
      </w:pPr>
      <w:r>
        <w:t xml:space="preserve">Viability should be considered on a </w:t>
      </w:r>
      <w:r w:rsidR="00BD1DF9">
        <w:t>broad, area-based basis</w:t>
      </w:r>
      <w:r w:rsidR="00D7571F">
        <w:t xml:space="preserve"> in accordance with relevant national planning guidance on vi</w:t>
      </w:r>
      <w:r w:rsidR="00093DA5">
        <w:t>a</w:t>
      </w:r>
      <w:r w:rsidR="00D7571F">
        <w:t>bility testing of local plan policies.</w:t>
      </w:r>
      <w:r w:rsidR="00301FFA">
        <w:t xml:space="preserve"> </w:t>
      </w:r>
      <w:r w:rsidR="00A23060">
        <w:t xml:space="preserve">The analysis should be based on </w:t>
      </w:r>
      <w:r w:rsidR="000D6232">
        <w:t xml:space="preserve">an agreed number of residential and commercial typologies typical of </w:t>
      </w:r>
      <w:r w:rsidR="00EB7D13" w:rsidRPr="00EB7D13">
        <w:t>sites that are likely to come forward for development over the plan period</w:t>
      </w:r>
      <w:r w:rsidR="00A23060">
        <w:t xml:space="preserve">, where necessary differentiating between viability issues specific to </w:t>
      </w:r>
      <w:r w:rsidR="0089065E">
        <w:t xml:space="preserve">the designated opportunity areas in West London boroughs (see annex) and in other parts of </w:t>
      </w:r>
      <w:r w:rsidR="000F737F">
        <w:t>the boroughs concerned</w:t>
      </w:r>
      <w:r w:rsidR="00EB7D13" w:rsidRPr="00EB7D13">
        <w:t>.</w:t>
      </w:r>
    </w:p>
    <w:p w14:paraId="25D24E06" w14:textId="3943FCE0" w:rsidR="00C51F9E" w:rsidRDefault="000F737F" w:rsidP="000F737F">
      <w:pPr>
        <w:pStyle w:val="ListParagraph"/>
        <w:numPr>
          <w:ilvl w:val="0"/>
          <w:numId w:val="6"/>
        </w:numPr>
      </w:pPr>
      <w:r>
        <w:t>Using the output from this assessment,</w:t>
      </w:r>
      <w:r w:rsidR="007C19B6">
        <w:t xml:space="preserve"> identify</w:t>
      </w:r>
      <w:r w:rsidR="00C51F9E">
        <w:t>:</w:t>
      </w:r>
    </w:p>
    <w:p w14:paraId="1E1F9393" w14:textId="0FD3B9E3" w:rsidR="00C51F9E" w:rsidRDefault="000F737F" w:rsidP="00C51F9E">
      <w:pPr>
        <w:pStyle w:val="ListParagraph"/>
        <w:numPr>
          <w:ilvl w:val="1"/>
          <w:numId w:val="6"/>
        </w:numPr>
      </w:pPr>
      <w:r>
        <w:t xml:space="preserve">  the contributions per square metre that </w:t>
      </w:r>
      <w:r w:rsidR="003654E9">
        <w:t xml:space="preserve">could be sought from different types of development </w:t>
      </w:r>
      <w:r w:rsidR="006E2E05">
        <w:t xml:space="preserve">in different parts of West London </w:t>
      </w:r>
      <w:r w:rsidR="003654E9">
        <w:t>without rendering them unviable</w:t>
      </w:r>
      <w:r w:rsidR="007C19B6">
        <w:t xml:space="preserve"> and</w:t>
      </w:r>
    </w:p>
    <w:p w14:paraId="3705E524" w14:textId="2A157DF6" w:rsidR="007C19B6" w:rsidRDefault="00C51F9E" w:rsidP="00C51F9E">
      <w:pPr>
        <w:pStyle w:val="ListParagraph"/>
        <w:numPr>
          <w:ilvl w:val="1"/>
          <w:numId w:val="6"/>
        </w:numPr>
      </w:pPr>
      <w:r>
        <w:lastRenderedPageBreak/>
        <w:t xml:space="preserve">the potential </w:t>
      </w:r>
      <w:r w:rsidR="007C19B6">
        <w:t>overall contribution that could be sought from development in West London.</w:t>
      </w:r>
    </w:p>
    <w:p w14:paraId="0E150A70" w14:textId="158E0C47" w:rsidR="00C53E01" w:rsidRDefault="006E2E05" w:rsidP="00211051">
      <w:pPr>
        <w:ind w:left="360"/>
      </w:pPr>
      <w:r>
        <w:t xml:space="preserve"> Options should include the broad and more focussed approaches considered in the WLO Funding Study</w:t>
      </w:r>
      <w:r w:rsidR="007C19B6">
        <w:t xml:space="preserve"> (see above)</w:t>
      </w:r>
      <w:r w:rsidR="00824B9D">
        <w:t>.</w:t>
      </w:r>
    </w:p>
    <w:p w14:paraId="6D3E51EF" w14:textId="77777777" w:rsidR="00F9119B" w:rsidRDefault="00F9119B" w:rsidP="00F9119B">
      <w:pPr>
        <w:pStyle w:val="ListParagraph"/>
      </w:pPr>
    </w:p>
    <w:p w14:paraId="7089D8C3" w14:textId="7C682A58" w:rsidR="003654E9" w:rsidRDefault="003654E9" w:rsidP="000F737F">
      <w:pPr>
        <w:pStyle w:val="ListParagraph"/>
        <w:numPr>
          <w:ilvl w:val="0"/>
          <w:numId w:val="6"/>
        </w:numPr>
      </w:pPr>
      <w:r>
        <w:t xml:space="preserve">Identify any potential impacts on delivery of </w:t>
      </w:r>
      <w:r w:rsidR="007C19B6">
        <w:t>National/</w:t>
      </w:r>
      <w:r>
        <w:t xml:space="preserve">Mayoral/borough </w:t>
      </w:r>
      <w:r w:rsidR="00F9119B">
        <w:t xml:space="preserve">policy requirements from seeking WLO contributions – including in particular </w:t>
      </w:r>
      <w:r w:rsidR="00713752">
        <w:t>affordable housing requirements.</w:t>
      </w:r>
    </w:p>
    <w:p w14:paraId="4B92DFC3" w14:textId="77777777" w:rsidR="007320BC" w:rsidRDefault="007320BC" w:rsidP="007320BC">
      <w:pPr>
        <w:pStyle w:val="ListParagraph"/>
      </w:pPr>
    </w:p>
    <w:p w14:paraId="2E99565C" w14:textId="376CBA90" w:rsidR="007320BC" w:rsidRDefault="007320BC" w:rsidP="000F737F">
      <w:pPr>
        <w:pStyle w:val="ListParagraph"/>
        <w:numPr>
          <w:ilvl w:val="0"/>
          <w:numId w:val="6"/>
        </w:numPr>
      </w:pPr>
      <w:r>
        <w:t xml:space="preserve">Advise </w:t>
      </w:r>
      <w:r w:rsidR="00C36586">
        <w:t xml:space="preserve">how </w:t>
      </w:r>
      <w:r>
        <w:t xml:space="preserve"> the </w:t>
      </w:r>
      <w:r w:rsidR="00C36586">
        <w:t>most effective use could be made of</w:t>
      </w:r>
      <w:r>
        <w:t xml:space="preserve"> CIL and/or s106</w:t>
      </w:r>
      <w:r w:rsidR="00C36586">
        <w:t xml:space="preserve"> (or combination of the two) to secure contributions towards the cost of the WLO having regard to the evidence about viability and relevant legislation and guidance</w:t>
      </w:r>
      <w:r w:rsidR="00287C90">
        <w:t>, identifying the opportunities and risks associated with each</w:t>
      </w:r>
      <w:r w:rsidR="00C36586">
        <w:t xml:space="preserve"> option</w:t>
      </w:r>
      <w:r w:rsidR="006602C2">
        <w:t xml:space="preserve"> and the scope for using different tools to obtain contributions for the same project.</w:t>
      </w:r>
    </w:p>
    <w:p w14:paraId="18AA376F" w14:textId="77777777" w:rsidR="00713752" w:rsidRDefault="00713752" w:rsidP="00713752">
      <w:pPr>
        <w:pStyle w:val="ListParagraph"/>
      </w:pPr>
    </w:p>
    <w:p w14:paraId="1858829B" w14:textId="7F068639" w:rsidR="0038697D" w:rsidRDefault="0067311F" w:rsidP="00093DA5">
      <w:pPr>
        <w:pStyle w:val="ListParagraph"/>
        <w:numPr>
          <w:ilvl w:val="0"/>
          <w:numId w:val="6"/>
        </w:numPr>
      </w:pPr>
      <w:r>
        <w:t>Consider</w:t>
      </w:r>
      <w:r w:rsidR="00713752">
        <w:t xml:space="preserve"> the effects of introduction of a national </w:t>
      </w:r>
      <w:r w:rsidR="00F42C0E">
        <w:t>Infrastructure levy</w:t>
      </w:r>
      <w:r>
        <w:t xml:space="preserve"> linked to </w:t>
      </w:r>
      <w:r w:rsidR="007501C5">
        <w:t>development values as proposed in the “</w:t>
      </w:r>
      <w:r w:rsidR="0038697D">
        <w:t>Planning for the Future” white paper</w:t>
      </w:r>
      <w:r w:rsidR="00093DA5">
        <w:t>.</w:t>
      </w:r>
    </w:p>
    <w:p w14:paraId="2A9A9F42" w14:textId="77777777" w:rsidR="00093DA5" w:rsidRDefault="00093DA5" w:rsidP="00093DA5">
      <w:pPr>
        <w:pStyle w:val="ListParagraph"/>
      </w:pPr>
    </w:p>
    <w:p w14:paraId="3858329E" w14:textId="7EAFDE52" w:rsidR="00093DA5" w:rsidRDefault="00692054" w:rsidP="00692054">
      <w:pPr>
        <w:pStyle w:val="ListParagraph"/>
        <w:numPr>
          <w:ilvl w:val="0"/>
          <w:numId w:val="6"/>
        </w:numPr>
      </w:pPr>
      <w:r>
        <w:t xml:space="preserve">Provide advice on the potential for seeking </w:t>
      </w:r>
      <w:r w:rsidR="000052C2">
        <w:t xml:space="preserve">early </w:t>
      </w:r>
      <w:r w:rsidR="00D96F1D">
        <w:t>contributions from development towards the cost of WLO project development (</w:t>
      </w:r>
      <w:r w:rsidR="00364695">
        <w:t>e.g.</w:t>
      </w:r>
      <w:r w:rsidR="00D96F1D">
        <w:t xml:space="preserve"> engineering and design, </w:t>
      </w:r>
      <w:r w:rsidR="003966D8">
        <w:t xml:space="preserve">environmental and other assessments, </w:t>
      </w:r>
      <w:r w:rsidR="00364695">
        <w:t xml:space="preserve">and </w:t>
      </w:r>
      <w:r w:rsidR="003966D8">
        <w:t xml:space="preserve">preparation of </w:t>
      </w:r>
      <w:r w:rsidR="00364695">
        <w:t xml:space="preserve">the </w:t>
      </w:r>
      <w:r w:rsidR="003966D8">
        <w:t>case for powers)</w:t>
      </w:r>
      <w:r w:rsidR="00A8224A">
        <w:t xml:space="preserve"> – in particular to help support the agreement of </w:t>
      </w:r>
      <w:r w:rsidR="00364695">
        <w:t xml:space="preserve">a </w:t>
      </w:r>
      <w:r w:rsidR="00A8224A">
        <w:t xml:space="preserve">benchmark </w:t>
      </w:r>
      <w:r w:rsidR="0031597C">
        <w:t xml:space="preserve">£/sq m </w:t>
      </w:r>
      <w:r w:rsidR="00364695">
        <w:t xml:space="preserve">rate </w:t>
      </w:r>
      <w:r w:rsidR="0031597C">
        <w:t>to inform discussions between local planning authorities and developers</w:t>
      </w:r>
      <w:r w:rsidR="000052C2">
        <w:t>.</w:t>
      </w:r>
    </w:p>
    <w:p w14:paraId="2281D40F" w14:textId="77777777" w:rsidR="003C2DCB" w:rsidRDefault="003C2DCB" w:rsidP="00EE2E48">
      <w:pPr>
        <w:pStyle w:val="ListParagraph"/>
      </w:pPr>
    </w:p>
    <w:p w14:paraId="3BF0DE02" w14:textId="287CFE27" w:rsidR="003C2DCB" w:rsidRDefault="003C2DCB" w:rsidP="00692054">
      <w:pPr>
        <w:pStyle w:val="ListParagraph"/>
        <w:numPr>
          <w:ilvl w:val="0"/>
          <w:numId w:val="6"/>
        </w:numPr>
      </w:pPr>
      <w:r>
        <w:t xml:space="preserve">Draw on the evidence </w:t>
      </w:r>
      <w:r w:rsidR="006C7750">
        <w:t xml:space="preserve">about viability essentials in </w:t>
      </w:r>
      <w:r w:rsidR="00B946D7">
        <w:t>West London</w:t>
      </w:r>
      <w:r w:rsidR="00F8594A">
        <w:t xml:space="preserve"> (including in particular the</w:t>
      </w:r>
      <w:r w:rsidR="00E55E48">
        <w:t xml:space="preserve"> agreed development typologies)</w:t>
      </w:r>
      <w:r w:rsidR="00B946D7">
        <w:t xml:space="preserve">, </w:t>
      </w:r>
      <w:r w:rsidR="004F7219">
        <w:t xml:space="preserve">technical literature and experience of similar transport projects to articulate and, as far as possible, </w:t>
      </w:r>
      <w:r w:rsidR="00E55E48">
        <w:t xml:space="preserve">quantify the </w:t>
      </w:r>
      <w:r w:rsidR="00F81F8B">
        <w:t>potential for implementation of the WLO to contribute to acceleration in housing delivery.</w:t>
      </w:r>
    </w:p>
    <w:p w14:paraId="07C9F9E0" w14:textId="0BED24C5" w:rsidR="00685964" w:rsidRDefault="00685964" w:rsidP="00685964">
      <w:r>
        <w:t xml:space="preserve">This analysis </w:t>
      </w:r>
      <w:r w:rsidR="00D07186">
        <w:t>is likely to be drawn on by local planning authorities in preparing local plan policies, in setting CIL rates and policy documents dealing with use of planning obligations</w:t>
      </w:r>
      <w:r w:rsidR="00BD544E">
        <w:t xml:space="preserve"> and in taking planning decisions</w:t>
      </w:r>
      <w:r w:rsidR="00364695">
        <w:t>,</w:t>
      </w:r>
      <w:r w:rsidR="00BD544E">
        <w:t xml:space="preserve"> and must </w:t>
      </w:r>
      <w:r w:rsidR="00364695">
        <w:t xml:space="preserve">therefore </w:t>
      </w:r>
      <w:r w:rsidR="00BD544E">
        <w:t xml:space="preserve">be </w:t>
      </w:r>
      <w:r w:rsidR="00573570">
        <w:t>sufficiently robust for these purposes.</w:t>
      </w:r>
    </w:p>
    <w:p w14:paraId="6FFC98F9" w14:textId="77777777" w:rsidR="00596D2C" w:rsidRDefault="00596D2C" w:rsidP="00DD4AD8">
      <w:pPr>
        <w:rPr>
          <w:b/>
          <w:bCs/>
          <w:i/>
          <w:iCs/>
        </w:rPr>
      </w:pPr>
    </w:p>
    <w:p w14:paraId="5D3EA2A1" w14:textId="2638E6D7" w:rsidR="00DD4AD8" w:rsidRPr="0053714F" w:rsidRDefault="00DD4AD8" w:rsidP="00DD4AD8">
      <w:pPr>
        <w:rPr>
          <w:b/>
          <w:bCs/>
          <w:i/>
          <w:iCs/>
        </w:rPr>
      </w:pPr>
      <w:r w:rsidRPr="0053714F">
        <w:rPr>
          <w:b/>
          <w:bCs/>
          <w:i/>
          <w:iCs/>
        </w:rPr>
        <w:t>Required outputs:</w:t>
      </w:r>
    </w:p>
    <w:p w14:paraId="454F5958" w14:textId="23D5B0F8" w:rsidR="00DD4AD8" w:rsidRDefault="00ED204C" w:rsidP="00ED204C">
      <w:pPr>
        <w:pStyle w:val="ListParagraph"/>
        <w:numPr>
          <w:ilvl w:val="0"/>
          <w:numId w:val="7"/>
        </w:numPr>
      </w:pPr>
      <w:r>
        <w:t xml:space="preserve">A concise report backed by detailed annexes setting out </w:t>
      </w:r>
      <w:r w:rsidR="007D536D">
        <w:t xml:space="preserve">the results of typology </w:t>
      </w:r>
      <w:r w:rsidR="00540CB1">
        <w:t>viability testing giving:</w:t>
      </w:r>
    </w:p>
    <w:p w14:paraId="57F2DA9B" w14:textId="78A23AB0" w:rsidR="00540CB1" w:rsidRDefault="00540CB1" w:rsidP="00540CB1">
      <w:pPr>
        <w:pStyle w:val="ListParagraph"/>
        <w:numPr>
          <w:ilvl w:val="1"/>
          <w:numId w:val="7"/>
        </w:numPr>
      </w:pPr>
      <w:r>
        <w:t xml:space="preserve">An overview of relevant viability essentials across West London, for each West London borough and, where </w:t>
      </w:r>
      <w:r w:rsidR="005238CD">
        <w:t>distinctive, in designated opportunity areas.</w:t>
      </w:r>
    </w:p>
    <w:p w14:paraId="02B2609C" w14:textId="4E0FDB86" w:rsidR="005238CD" w:rsidRDefault="005238CD" w:rsidP="00540CB1">
      <w:pPr>
        <w:pStyle w:val="ListParagraph"/>
        <w:numPr>
          <w:ilvl w:val="1"/>
          <w:numId w:val="7"/>
        </w:numPr>
      </w:pPr>
      <w:r>
        <w:t xml:space="preserve">An assessment of </w:t>
      </w:r>
      <w:r w:rsidR="0065229B">
        <w:t xml:space="preserve">the quantum of contribution that could be sought from development </w:t>
      </w:r>
      <w:r w:rsidR="00CD06B5">
        <w:t xml:space="preserve">in different parts of West London, including zones </w:t>
      </w:r>
      <w:r w:rsidR="00D069C4">
        <w:t xml:space="preserve"> 1, 1.5 and 2km</w:t>
      </w:r>
      <w:r w:rsidR="00720BA1">
        <w:t xml:space="preserve"> </w:t>
      </w:r>
      <w:r w:rsidR="00CD06B5">
        <w:t>around p</w:t>
      </w:r>
      <w:r w:rsidR="00243D08">
        <w:t>r</w:t>
      </w:r>
      <w:r w:rsidR="00CD06B5">
        <w:t xml:space="preserve">oposed WLO stations, </w:t>
      </w:r>
      <w:r w:rsidR="0065229B">
        <w:t xml:space="preserve">without an undue impact on </w:t>
      </w:r>
      <w:r w:rsidR="00073BE5">
        <w:t>viability or other regional/local policy requirements</w:t>
      </w:r>
      <w:r w:rsidR="000617E1">
        <w:t xml:space="preserve"> and existing agreed transport infrastructure upgrades</w:t>
      </w:r>
      <w:r w:rsidR="00936886">
        <w:t xml:space="preserve">. This should include </w:t>
      </w:r>
      <w:r w:rsidR="00BF6764">
        <w:t>analysis on a “per unit” basis</w:t>
      </w:r>
      <w:r w:rsidR="00C36586">
        <w:t xml:space="preserve"> using the typologies used for study element 2 above</w:t>
      </w:r>
      <w:r w:rsidR="00BF6764">
        <w:t xml:space="preserve"> so the local impacts of different contribution levels can be </w:t>
      </w:r>
      <w:r w:rsidR="000B4DAC">
        <w:t>readily identified.</w:t>
      </w:r>
    </w:p>
    <w:p w14:paraId="6A119598" w14:textId="498ABA03" w:rsidR="00073BE5" w:rsidRDefault="003053D1" w:rsidP="00540CB1">
      <w:pPr>
        <w:pStyle w:val="ListParagraph"/>
        <w:numPr>
          <w:ilvl w:val="1"/>
          <w:numId w:val="7"/>
        </w:numPr>
      </w:pPr>
      <w:r>
        <w:lastRenderedPageBreak/>
        <w:t>Informed by this analysis, a</w:t>
      </w:r>
      <w:r w:rsidR="00073BE5">
        <w:t xml:space="preserve">dvice on the </w:t>
      </w:r>
      <w:r>
        <w:t>optimum use of CIL</w:t>
      </w:r>
      <w:r w:rsidR="007320BC">
        <w:t xml:space="preserve"> and/or s106 </w:t>
      </w:r>
      <w:r w:rsidR="000617E1">
        <w:t xml:space="preserve">by Local Planning Authorities, </w:t>
      </w:r>
      <w:r w:rsidR="007320BC">
        <w:t xml:space="preserve">having regard to the </w:t>
      </w:r>
      <w:r w:rsidR="00B02954">
        <w:t>opportunities/risks presented by each.</w:t>
      </w:r>
    </w:p>
    <w:p w14:paraId="380EF204" w14:textId="6AF342B7" w:rsidR="00B02954" w:rsidRDefault="00B02954" w:rsidP="00540CB1">
      <w:pPr>
        <w:pStyle w:val="ListParagraph"/>
        <w:numPr>
          <w:ilvl w:val="1"/>
          <w:numId w:val="7"/>
        </w:numPr>
      </w:pPr>
      <w:r>
        <w:t xml:space="preserve">An assessment of potential issues that might be presented by changes to national legislation </w:t>
      </w:r>
      <w:r w:rsidR="00EC6C62">
        <w:t>along the lines of the “Planning for the Future” white paper.</w:t>
      </w:r>
    </w:p>
    <w:p w14:paraId="11535FF1" w14:textId="1A08615D" w:rsidR="00EC6C62" w:rsidRDefault="00EC6C62" w:rsidP="00540CB1">
      <w:pPr>
        <w:pStyle w:val="ListParagraph"/>
        <w:numPr>
          <w:ilvl w:val="1"/>
          <w:numId w:val="7"/>
        </w:numPr>
      </w:pPr>
      <w:r>
        <w:t>Benchmarks that could be used in the short/medium-term to inform negotiations between local planning author</w:t>
      </w:r>
      <w:r w:rsidR="00936886">
        <w:t>ities</w:t>
      </w:r>
      <w:r w:rsidR="000B4DAC">
        <w:t>.</w:t>
      </w:r>
    </w:p>
    <w:p w14:paraId="4E8BE1E9" w14:textId="0564E81A" w:rsidR="00CD6411" w:rsidRDefault="00CD6411" w:rsidP="00540CB1">
      <w:pPr>
        <w:pStyle w:val="ListParagraph"/>
        <w:numPr>
          <w:ilvl w:val="1"/>
          <w:numId w:val="7"/>
        </w:numPr>
      </w:pPr>
      <w:r>
        <w:t xml:space="preserve">An account </w:t>
      </w:r>
      <w:r w:rsidR="006764BA">
        <w:t xml:space="preserve">of the linkages between implementation of the West London Orbital and the West London development market that </w:t>
      </w:r>
      <w:r w:rsidR="00305C51">
        <w:t xml:space="preserve">might accelerate the delivery of housing units and, drawing on the evidence of viability essentials in West London </w:t>
      </w:r>
      <w:r w:rsidR="00311F1D">
        <w:t>developed for the other elements of this commission, seek to quanti</w:t>
      </w:r>
      <w:r w:rsidR="0075595B">
        <w:t xml:space="preserve">fy these impacts </w:t>
      </w:r>
      <w:r w:rsidR="006764BA">
        <w:t xml:space="preserve"> </w:t>
      </w:r>
    </w:p>
    <w:p w14:paraId="32AEAC46" w14:textId="0830EC67" w:rsidR="000B4DAC" w:rsidRDefault="00B8406F" w:rsidP="000B4DAC">
      <w:pPr>
        <w:pStyle w:val="ListParagraph"/>
        <w:numPr>
          <w:ilvl w:val="0"/>
          <w:numId w:val="7"/>
        </w:numPr>
      </w:pPr>
      <w:r>
        <w:t xml:space="preserve">A </w:t>
      </w:r>
      <w:r w:rsidR="006975AB">
        <w:t xml:space="preserve">slide deck </w:t>
      </w:r>
      <w:r w:rsidR="00063129">
        <w:t>presentation of key findings</w:t>
      </w:r>
    </w:p>
    <w:p w14:paraId="1FE0CE33" w14:textId="080B5D12" w:rsidR="00063129" w:rsidRDefault="00063129" w:rsidP="00063129">
      <w:r>
        <w:t xml:space="preserve">The successful consultant may </w:t>
      </w:r>
      <w:r w:rsidR="00685964">
        <w:t xml:space="preserve">also </w:t>
      </w:r>
      <w:r>
        <w:t xml:space="preserve">be asked to attend a meeting of the joint TfL/GLA/WLA Project Oversight Group </w:t>
      </w:r>
      <w:r w:rsidR="00914FEC">
        <w:t xml:space="preserve">and a </w:t>
      </w:r>
      <w:r w:rsidR="00073656">
        <w:t xml:space="preserve">wider </w:t>
      </w:r>
      <w:r w:rsidR="00914FEC">
        <w:t>workshop of</w:t>
      </w:r>
      <w:r w:rsidR="00073656">
        <w:t xml:space="preserve"> senior</w:t>
      </w:r>
      <w:r w:rsidR="00914FEC">
        <w:t xml:space="preserve"> borough officers</w:t>
      </w:r>
      <w:r w:rsidR="00073656">
        <w:t xml:space="preserve"> on WLO funding issues</w:t>
      </w:r>
      <w:r w:rsidR="00914FEC">
        <w:t xml:space="preserve"> </w:t>
      </w:r>
      <w:r w:rsidR="00685964">
        <w:t>to present the findings.</w:t>
      </w:r>
    </w:p>
    <w:p w14:paraId="4529E2FD" w14:textId="4F34533C" w:rsidR="006E4EDF" w:rsidRPr="0053714F" w:rsidRDefault="00D72953" w:rsidP="00063129">
      <w:pPr>
        <w:rPr>
          <w:b/>
          <w:bCs/>
          <w:i/>
          <w:iCs/>
        </w:rPr>
      </w:pPr>
      <w:r w:rsidRPr="0053714F">
        <w:rPr>
          <w:b/>
          <w:bCs/>
          <w:i/>
          <w:iCs/>
        </w:rPr>
        <w:t>Work stages and deliverables</w:t>
      </w:r>
    </w:p>
    <w:p w14:paraId="2569F9B1" w14:textId="6A6570A5" w:rsidR="00D72953" w:rsidRDefault="005E2E4D" w:rsidP="00063129">
      <w:r>
        <w:t>Stage 1:</w:t>
      </w:r>
      <w:r>
        <w:tab/>
      </w:r>
      <w:r>
        <w:tab/>
      </w:r>
      <w:r w:rsidRPr="001F146B">
        <w:rPr>
          <w:i/>
          <w:iCs/>
        </w:rPr>
        <w:t>Familiarisation:</w:t>
      </w:r>
    </w:p>
    <w:p w14:paraId="509F52B1" w14:textId="7EDDBB8E" w:rsidR="005E2E4D" w:rsidRDefault="00765857" w:rsidP="00B45441">
      <w:pPr>
        <w:ind w:left="1440"/>
      </w:pPr>
      <w:r>
        <w:t>Gaining familiari</w:t>
      </w:r>
      <w:r w:rsidR="004E36E1">
        <w:t>ty</w:t>
      </w:r>
      <w:r>
        <w:t xml:space="preserve"> with the West London Orbital project and the </w:t>
      </w:r>
      <w:r w:rsidR="00B45441">
        <w:t>case development work to date including in particular:</w:t>
      </w:r>
    </w:p>
    <w:p w14:paraId="10301DD7" w14:textId="0242ED7F" w:rsidR="00B45441" w:rsidRDefault="00B45441" w:rsidP="00B45441">
      <w:pPr>
        <w:pStyle w:val="ListParagraph"/>
        <w:numPr>
          <w:ilvl w:val="0"/>
          <w:numId w:val="8"/>
        </w:numPr>
      </w:pPr>
      <w:r>
        <w:t>The West London Orbital Funding Study (</w:t>
      </w:r>
      <w:r w:rsidR="00C36586">
        <w:t>attached</w:t>
      </w:r>
      <w:r>
        <w:t>)</w:t>
      </w:r>
    </w:p>
    <w:p w14:paraId="6BE9A624" w14:textId="72D0F294" w:rsidR="00B45441" w:rsidRDefault="00B45441" w:rsidP="00B45441">
      <w:pPr>
        <w:pStyle w:val="ListParagraph"/>
        <w:numPr>
          <w:ilvl w:val="0"/>
          <w:numId w:val="8"/>
        </w:numPr>
      </w:pPr>
      <w:r>
        <w:t xml:space="preserve">The West London Orbital Economic Narrative </w:t>
      </w:r>
    </w:p>
    <w:p w14:paraId="54F71066" w14:textId="0579C555" w:rsidR="00703A54" w:rsidRDefault="00703A54" w:rsidP="00703A54">
      <w:pPr>
        <w:ind w:left="1440"/>
      </w:pPr>
      <w:r>
        <w:t>Gaining fami</w:t>
      </w:r>
      <w:r w:rsidR="004E36E1">
        <w:t xml:space="preserve">liarity with relevant planning policies – the London Plan and </w:t>
      </w:r>
      <w:r w:rsidR="0008657B">
        <w:t>West London local planning authorities</w:t>
      </w:r>
      <w:r w:rsidR="0001656E">
        <w:t>’</w:t>
      </w:r>
      <w:r w:rsidR="0008657B">
        <w:t xml:space="preserve"> local plans (both adopted and those in progress)</w:t>
      </w:r>
      <w:r w:rsidR="00243D08">
        <w:t xml:space="preserve"> and relevant CIL charging schedules</w:t>
      </w:r>
      <w:r w:rsidR="0001656E">
        <w:t>,</w:t>
      </w:r>
      <w:r w:rsidR="00243D08">
        <w:t xml:space="preserve"> planning obligations </w:t>
      </w:r>
      <w:r w:rsidR="0001656E">
        <w:t xml:space="preserve">and </w:t>
      </w:r>
      <w:r w:rsidR="00243D08">
        <w:t>supplementary planning documents.</w:t>
      </w:r>
    </w:p>
    <w:p w14:paraId="6C20BC25" w14:textId="5DE83CD9" w:rsidR="00D7051A" w:rsidRDefault="000C2359" w:rsidP="00D7051A">
      <w:pPr>
        <w:ind w:left="1440"/>
      </w:pPr>
      <w:r>
        <w:t xml:space="preserve">An inception meeting </w:t>
      </w:r>
      <w:r w:rsidR="00C36586">
        <w:t>to</w:t>
      </w:r>
      <w:r w:rsidR="00C51F9E">
        <w:t xml:space="preserve"> confirm arrangements and assumptions for the project, any additional data required and</w:t>
      </w:r>
      <w:r w:rsidR="00D7051A" w:rsidRPr="00D7051A">
        <w:t>, to agree the approach to be taken to stakeholder engagement and to ensure the client officers’ requirements are understood.</w:t>
      </w:r>
    </w:p>
    <w:p w14:paraId="2008732D" w14:textId="3C9EC8D4" w:rsidR="008825E6" w:rsidRDefault="008825E6" w:rsidP="00D7051A">
      <w:pPr>
        <w:ind w:left="1440"/>
      </w:pPr>
    </w:p>
    <w:p w14:paraId="3C1F9379" w14:textId="549CF5E8" w:rsidR="00897C3F" w:rsidRDefault="00897C3F" w:rsidP="00897C3F">
      <w:r>
        <w:t>Stage 2:</w:t>
      </w:r>
      <w:r>
        <w:tab/>
      </w:r>
      <w:r>
        <w:tab/>
      </w:r>
      <w:r w:rsidRPr="001F146B">
        <w:rPr>
          <w:i/>
          <w:iCs/>
        </w:rPr>
        <w:t>Initial results</w:t>
      </w:r>
      <w:r w:rsidR="001F146B">
        <w:rPr>
          <w:i/>
          <w:iCs/>
        </w:rPr>
        <w:t>:</w:t>
      </w:r>
    </w:p>
    <w:p w14:paraId="61DC523F" w14:textId="69F88E6A" w:rsidR="00897C3F" w:rsidRDefault="00915800" w:rsidP="000E1E0B">
      <w:pPr>
        <w:ind w:left="1440"/>
      </w:pPr>
      <w:r>
        <w:t>Present</w:t>
      </w:r>
      <w:r w:rsidR="000E1E0B">
        <w:t xml:space="preserve"> initial findings regarding potential quantum of contributions </w:t>
      </w:r>
      <w:r w:rsidR="00F44B31">
        <w:t xml:space="preserve">that could be sought </w:t>
      </w:r>
      <w:r w:rsidR="000E1E0B">
        <w:t>and viability impacts</w:t>
      </w:r>
      <w:r w:rsidR="00CC6840">
        <w:t>.</w:t>
      </w:r>
    </w:p>
    <w:p w14:paraId="67E70B3F" w14:textId="328B4F8C" w:rsidR="00F44B31" w:rsidRDefault="005975E9" w:rsidP="000E1E0B">
      <w:pPr>
        <w:ind w:left="1440"/>
      </w:pPr>
      <w:r>
        <w:t xml:space="preserve">Hold a progress meeting with </w:t>
      </w:r>
      <w:r w:rsidR="0046636A">
        <w:t xml:space="preserve">TfL/WLA and </w:t>
      </w:r>
      <w:r w:rsidR="008825E6">
        <w:t>provide weekly email updates.</w:t>
      </w:r>
    </w:p>
    <w:p w14:paraId="2577823B" w14:textId="6B3E9F92" w:rsidR="005115F0" w:rsidRDefault="005115F0" w:rsidP="000E1E0B">
      <w:pPr>
        <w:ind w:left="1440"/>
      </w:pPr>
      <w:r>
        <w:t xml:space="preserve">Deadline for initial results: </w:t>
      </w:r>
      <w:r w:rsidR="00CD77B6">
        <w:t>29</w:t>
      </w:r>
      <w:r w:rsidR="00CD77B6" w:rsidRPr="00CD77B6">
        <w:rPr>
          <w:vertAlign w:val="superscript"/>
        </w:rPr>
        <w:t>th</w:t>
      </w:r>
      <w:r w:rsidR="00CD77B6">
        <w:t xml:space="preserve"> October 2021</w:t>
      </w:r>
    </w:p>
    <w:p w14:paraId="5EFEBDB7" w14:textId="77777777" w:rsidR="008825E6" w:rsidRDefault="008825E6" w:rsidP="000E1E0B">
      <w:pPr>
        <w:ind w:left="1440"/>
      </w:pPr>
    </w:p>
    <w:p w14:paraId="5041C31B" w14:textId="2492B6BA" w:rsidR="008825E6" w:rsidRDefault="008825E6" w:rsidP="008825E6">
      <w:r>
        <w:t xml:space="preserve">Stage 3: </w:t>
      </w:r>
      <w:r>
        <w:tab/>
      </w:r>
      <w:r w:rsidR="00915800" w:rsidRPr="001F146B">
        <w:rPr>
          <w:i/>
          <w:iCs/>
        </w:rPr>
        <w:t>Final reporting</w:t>
      </w:r>
      <w:r w:rsidR="001F146B">
        <w:rPr>
          <w:i/>
          <w:iCs/>
        </w:rPr>
        <w:t>:</w:t>
      </w:r>
    </w:p>
    <w:p w14:paraId="7F72700C" w14:textId="77777777" w:rsidR="00155704" w:rsidRDefault="00B57D59" w:rsidP="000E1E0B">
      <w:pPr>
        <w:ind w:left="1440"/>
      </w:pPr>
      <w:r>
        <w:t xml:space="preserve">Attend meeting with TfL/WLA to </w:t>
      </w:r>
      <w:r w:rsidR="00155704" w:rsidRPr="00155704">
        <w:t>present draft reports and emerging recommendations, and to collect any feedback</w:t>
      </w:r>
      <w:r w:rsidR="00155704">
        <w:t>.</w:t>
      </w:r>
    </w:p>
    <w:p w14:paraId="6324F15F" w14:textId="59B74E27" w:rsidR="003839CB" w:rsidRPr="003839CB" w:rsidRDefault="00915800" w:rsidP="003839CB">
      <w:pPr>
        <w:ind w:left="360"/>
      </w:pPr>
      <w:r>
        <w:t xml:space="preserve"> </w:t>
      </w:r>
      <w:r w:rsidR="003839CB">
        <w:tab/>
      </w:r>
      <w:r w:rsidR="003839CB">
        <w:tab/>
      </w:r>
      <w:r w:rsidR="003839CB" w:rsidRPr="003839CB">
        <w:t>Make adjustments necessary to accommodate this feedback</w:t>
      </w:r>
      <w:r w:rsidR="001E2EA4">
        <w:t>.</w:t>
      </w:r>
    </w:p>
    <w:p w14:paraId="1B4CAE98" w14:textId="77777777" w:rsidR="003839CB" w:rsidRPr="003839CB" w:rsidRDefault="003839CB" w:rsidP="003839CB">
      <w:pPr>
        <w:ind w:left="1080" w:firstLine="360"/>
      </w:pPr>
      <w:r w:rsidRPr="003839CB">
        <w:lastRenderedPageBreak/>
        <w:t>Produce a final report which contains full detail.</w:t>
      </w:r>
    </w:p>
    <w:p w14:paraId="01F6A5ED" w14:textId="71613F32" w:rsidR="008825E6" w:rsidRDefault="005115F0" w:rsidP="000E1E0B">
      <w:pPr>
        <w:ind w:left="1440"/>
      </w:pPr>
      <w:r>
        <w:t>Deadline for final report</w:t>
      </w:r>
      <w:r w:rsidR="00C51F9E">
        <w:t xml:space="preserve">: </w:t>
      </w:r>
      <w:r w:rsidR="00E63B61">
        <w:t>30</w:t>
      </w:r>
      <w:r w:rsidR="00E63B61" w:rsidRPr="00E63B61">
        <w:rPr>
          <w:vertAlign w:val="superscript"/>
        </w:rPr>
        <w:t>th</w:t>
      </w:r>
      <w:r w:rsidR="00E63B61">
        <w:t xml:space="preserve"> November 2021</w:t>
      </w:r>
    </w:p>
    <w:p w14:paraId="783F71C7" w14:textId="663BF47A" w:rsidR="00B108E7" w:rsidRDefault="00B108E7" w:rsidP="00B108E7">
      <w:r>
        <w:t>It is envisaged that payment will be made on the basis of 3</w:t>
      </w:r>
      <w:r w:rsidR="00FA73A2">
        <w:t>% on commencement, 33% at the end of phase 2 and 33% on completion.</w:t>
      </w:r>
    </w:p>
    <w:p w14:paraId="7F3ED33A" w14:textId="77777777" w:rsidR="00B108E7" w:rsidRPr="00D7051A" w:rsidRDefault="00B108E7" w:rsidP="00B108E7"/>
    <w:p w14:paraId="24E327DC" w14:textId="782CC26A" w:rsidR="008918F1" w:rsidRPr="008918F1" w:rsidRDefault="008918F1" w:rsidP="008918F1">
      <w:pPr>
        <w:rPr>
          <w:b/>
          <w:bCs/>
          <w:i/>
          <w:iCs/>
        </w:rPr>
      </w:pPr>
      <w:r w:rsidRPr="008918F1">
        <w:rPr>
          <w:b/>
          <w:bCs/>
          <w:i/>
          <w:iCs/>
        </w:rPr>
        <w:t>Submission requirements</w:t>
      </w:r>
    </w:p>
    <w:p w14:paraId="12C4E3E7" w14:textId="77777777" w:rsidR="001163AB" w:rsidRPr="001163AB" w:rsidRDefault="001163AB" w:rsidP="001163AB">
      <w:r w:rsidRPr="001163AB">
        <w:t>Written submissions are invited from interested consultants setting out understanding of, and proposed approach to, the brief and setting out:</w:t>
      </w:r>
    </w:p>
    <w:p w14:paraId="2667CB65" w14:textId="30964393" w:rsidR="001163AB" w:rsidRDefault="001163AB" w:rsidP="001163AB">
      <w:pPr>
        <w:numPr>
          <w:ilvl w:val="0"/>
          <w:numId w:val="11"/>
        </w:numPr>
      </w:pPr>
      <w:r w:rsidRPr="001163AB">
        <w:t xml:space="preserve">Experience and technical knowledge of </w:t>
      </w:r>
      <w:r w:rsidR="00F377FD">
        <w:t xml:space="preserve">the issues involved in seeking contributions for strategic infrastructure projects through the planning system including, in particular, development viability and </w:t>
      </w:r>
      <w:r w:rsidR="00437C3E">
        <w:t>the relevant requirements of national planning policy and guidance</w:t>
      </w:r>
    </w:p>
    <w:p w14:paraId="0FAB3446" w14:textId="0D78118F" w:rsidR="00437C3E" w:rsidRDefault="00437C3E" w:rsidP="001163AB">
      <w:pPr>
        <w:numPr>
          <w:ilvl w:val="0"/>
          <w:numId w:val="11"/>
        </w:numPr>
      </w:pPr>
      <w:r>
        <w:t xml:space="preserve">Understanding of relevant national, London-wide and local planning policy </w:t>
      </w:r>
      <w:r w:rsidR="000D3F4D">
        <w:t>requirements</w:t>
      </w:r>
    </w:p>
    <w:p w14:paraId="52464D3A" w14:textId="243A5F6C" w:rsidR="000D3F4D" w:rsidRPr="001163AB" w:rsidRDefault="000D3F4D" w:rsidP="001163AB">
      <w:pPr>
        <w:numPr>
          <w:ilvl w:val="0"/>
          <w:numId w:val="11"/>
        </w:numPr>
      </w:pPr>
      <w:r>
        <w:t xml:space="preserve">Experience of preparing evidence base documents for use in </w:t>
      </w:r>
      <w:r w:rsidR="00923656">
        <w:t>planning policy-making and decision-taking</w:t>
      </w:r>
    </w:p>
    <w:p w14:paraId="76F29730" w14:textId="795979C2" w:rsidR="001163AB" w:rsidRDefault="001163AB" w:rsidP="001163AB">
      <w:pPr>
        <w:numPr>
          <w:ilvl w:val="0"/>
          <w:numId w:val="11"/>
        </w:numPr>
      </w:pPr>
      <w:r w:rsidRPr="001163AB">
        <w:t>Potential to add value</w:t>
      </w:r>
    </w:p>
    <w:p w14:paraId="78A0F099" w14:textId="54BEC7C9" w:rsidR="007C19B6" w:rsidRPr="001163AB" w:rsidRDefault="007C19B6" w:rsidP="007C19B6">
      <w:pPr>
        <w:numPr>
          <w:ilvl w:val="0"/>
          <w:numId w:val="11"/>
        </w:numPr>
      </w:pPr>
      <w:r w:rsidRPr="007C19B6">
        <w:t>CVs</w:t>
      </w:r>
      <w:r>
        <w:t xml:space="preserve"> for staff that will work on the project</w:t>
      </w:r>
      <w:r w:rsidRPr="007C19B6">
        <w:t xml:space="preserve"> stating the individual contribution each will make. The proposed project manager</w:t>
      </w:r>
      <w:r>
        <w:t xml:space="preserve"> </w:t>
      </w:r>
      <w:r w:rsidRPr="007C19B6">
        <w:t>should be identified</w:t>
      </w:r>
    </w:p>
    <w:p w14:paraId="243F1519" w14:textId="25432328" w:rsidR="007C19B6" w:rsidRPr="007C19B6" w:rsidRDefault="007C19B6" w:rsidP="007C19B6">
      <w:pPr>
        <w:numPr>
          <w:ilvl w:val="0"/>
          <w:numId w:val="11"/>
        </w:numPr>
      </w:pPr>
      <w:r w:rsidRPr="007C19B6">
        <w:t>The fee proposal</w:t>
      </w:r>
      <w:r>
        <w:t xml:space="preserve">, identifying </w:t>
      </w:r>
      <w:r w:rsidRPr="007C19B6">
        <w:t>Details of the number of days to be spent on the key areas of the brief and the proposed breakdown of costs/time for each broken down into days and rates</w:t>
      </w:r>
      <w:r>
        <w:t xml:space="preserve">, including </w:t>
      </w:r>
      <w:r w:rsidRPr="007C19B6">
        <w:t>costs/time breakdown (including hourly billing rates) of all staff that will work on the project</w:t>
      </w:r>
      <w:r w:rsidR="0075614C">
        <w:t xml:space="preserve">. </w:t>
      </w:r>
      <w:r w:rsidR="0075614C" w:rsidRPr="0075614C">
        <w:t>Day rates should be given for any subsequent additional work.</w:t>
      </w:r>
    </w:p>
    <w:p w14:paraId="7CF412C8" w14:textId="613DEB65" w:rsidR="001163AB" w:rsidRPr="001163AB" w:rsidRDefault="001163AB" w:rsidP="008F27FE">
      <w:pPr>
        <w:numPr>
          <w:ilvl w:val="0"/>
          <w:numId w:val="11"/>
        </w:numPr>
      </w:pPr>
      <w:r w:rsidRPr="001163AB">
        <w:t xml:space="preserve">.Any additional considerations consultants consider necessary in meeting the aims of the project. </w:t>
      </w:r>
    </w:p>
    <w:p w14:paraId="3A8184A8" w14:textId="6E6B7A17" w:rsidR="001163AB" w:rsidRPr="001163AB" w:rsidRDefault="001163AB" w:rsidP="001163AB">
      <w:pPr>
        <w:numPr>
          <w:ilvl w:val="0"/>
          <w:numId w:val="11"/>
        </w:numPr>
      </w:pPr>
      <w:r w:rsidRPr="001163AB">
        <w:t>Three examples of similar projects undertaken elsewhere in the last five years, with project budget, client name, email address and contact number for references.</w:t>
      </w:r>
    </w:p>
    <w:p w14:paraId="11B298A8" w14:textId="77777777" w:rsidR="001163AB" w:rsidRPr="001163AB" w:rsidRDefault="001163AB" w:rsidP="001163AB">
      <w:pPr>
        <w:numPr>
          <w:ilvl w:val="0"/>
          <w:numId w:val="11"/>
        </w:numPr>
      </w:pPr>
      <w:r w:rsidRPr="001163AB">
        <w:t>Details of internal quality assurance systems that will be used for the project.</w:t>
      </w:r>
    </w:p>
    <w:p w14:paraId="0B97295F" w14:textId="77777777" w:rsidR="001163AB" w:rsidRPr="001163AB" w:rsidRDefault="001163AB" w:rsidP="001163AB">
      <w:pPr>
        <w:numPr>
          <w:ilvl w:val="0"/>
          <w:numId w:val="11"/>
        </w:numPr>
      </w:pPr>
      <w:r w:rsidRPr="001163AB">
        <w:t>Details of levels of professional indemnity insurance and public liability insurance held.</w:t>
      </w:r>
    </w:p>
    <w:p w14:paraId="411AC7CD" w14:textId="77777777" w:rsidR="001163AB" w:rsidRPr="001163AB" w:rsidRDefault="001163AB" w:rsidP="001163AB">
      <w:pPr>
        <w:numPr>
          <w:ilvl w:val="0"/>
          <w:numId w:val="11"/>
        </w:numPr>
      </w:pPr>
      <w:r w:rsidRPr="001163AB">
        <w:t>Details of relevant equal opportunities policies.</w:t>
      </w:r>
    </w:p>
    <w:p w14:paraId="3B6FD658" w14:textId="77777777" w:rsidR="001163AB" w:rsidRPr="001163AB" w:rsidRDefault="001163AB" w:rsidP="001163AB">
      <w:pPr>
        <w:numPr>
          <w:ilvl w:val="0"/>
          <w:numId w:val="11"/>
        </w:numPr>
      </w:pPr>
      <w:r w:rsidRPr="001163AB">
        <w:t xml:space="preserve">If the Consultant is unable to provide all the works themselves, they must specify and give details of any sub-contractors. </w:t>
      </w:r>
    </w:p>
    <w:p w14:paraId="3628E8DB" w14:textId="6A8D9513" w:rsidR="001163AB" w:rsidRPr="00E84885" w:rsidRDefault="001163AB" w:rsidP="001163AB">
      <w:pPr>
        <w:rPr>
          <w:b/>
          <w:bCs/>
        </w:rPr>
      </w:pPr>
      <w:r w:rsidRPr="00E84885">
        <w:rPr>
          <w:b/>
          <w:bCs/>
        </w:rPr>
        <w:t xml:space="preserve">Submissions will be assessed on the basis of a 70% quality/30% price weighting. </w:t>
      </w:r>
    </w:p>
    <w:p w14:paraId="6ADFBD25" w14:textId="6765BD85" w:rsidR="00505CB2" w:rsidRDefault="00505CB2" w:rsidP="00063129"/>
    <w:p w14:paraId="45248503" w14:textId="77777777" w:rsidR="00D903BF" w:rsidRDefault="00D903BF" w:rsidP="00063129"/>
    <w:p w14:paraId="10BCEEF6" w14:textId="77777777" w:rsidR="00505CB2" w:rsidRDefault="00505CB2">
      <w:r>
        <w:br w:type="page"/>
      </w:r>
    </w:p>
    <w:p w14:paraId="79708F9C" w14:textId="080CD391" w:rsidR="00505CB2" w:rsidRDefault="00505CB2" w:rsidP="00063129">
      <w:r>
        <w:lastRenderedPageBreak/>
        <w:t>ANNE</w:t>
      </w:r>
      <w:r w:rsidR="00EB2894">
        <w:t>X</w:t>
      </w:r>
    </w:p>
    <w:p w14:paraId="6F1D10A7" w14:textId="4914D299" w:rsidR="00EB2894" w:rsidRDefault="00EB2894" w:rsidP="00063129"/>
    <w:p w14:paraId="3EE02235" w14:textId="56798F37" w:rsidR="00EB2894" w:rsidRDefault="00EB2894" w:rsidP="00063129">
      <w:r>
        <w:t>RELEVANT WEST LONDON OPPORTUNITY AREAS</w:t>
      </w:r>
    </w:p>
    <w:p w14:paraId="1078068D" w14:textId="67A01355" w:rsidR="00EB2894" w:rsidRDefault="00EB2894" w:rsidP="00063129"/>
    <w:tbl>
      <w:tblPr>
        <w:tblW w:w="94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1146"/>
        <w:gridCol w:w="2999"/>
        <w:gridCol w:w="2523"/>
      </w:tblGrid>
      <w:tr w:rsidR="004D3694" w:rsidRPr="004D3694" w14:paraId="24A4922C" w14:textId="77777777" w:rsidTr="004D3694">
        <w:trPr>
          <w:trHeight w:val="123"/>
        </w:trPr>
        <w:tc>
          <w:tcPr>
            <w:tcW w:w="2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D501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OA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5BC7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Indicative Housing units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4FA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Indicative Jobs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AADB1C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Borough(s) </w:t>
            </w:r>
          </w:p>
        </w:tc>
      </w:tr>
      <w:tr w:rsidR="004D3694" w:rsidRPr="004D3694" w14:paraId="6B7CEAD0" w14:textId="77777777" w:rsidTr="004D3694">
        <w:trPr>
          <w:trHeight w:val="119"/>
        </w:trPr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86305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Colindale / Burnt Oak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BAA23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7,000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A2BC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2,000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D1CB9B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Barnet </w:t>
            </w:r>
          </w:p>
        </w:tc>
      </w:tr>
      <w:tr w:rsidR="004D3694" w:rsidRPr="004D3694" w14:paraId="4E1974E6" w14:textId="77777777" w:rsidTr="004D3694">
        <w:trPr>
          <w:trHeight w:val="119"/>
        </w:trPr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92599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Brent Cross / Cricklewood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4381F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9,500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D96C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26,000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F6EE1B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Barnet</w:t>
            </w:r>
          </w:p>
        </w:tc>
      </w:tr>
      <w:tr w:rsidR="004D3694" w:rsidRPr="004D3694" w14:paraId="0995C929" w14:textId="77777777" w:rsidTr="004D3694">
        <w:trPr>
          <w:trHeight w:val="119"/>
        </w:trPr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67565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Wembley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755D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14,000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4A2C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13,500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636E93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Brent</w:t>
            </w:r>
          </w:p>
        </w:tc>
      </w:tr>
      <w:tr w:rsidR="004D3694" w:rsidRPr="004D3694" w14:paraId="26309F12" w14:textId="77777777" w:rsidTr="004D3694">
        <w:trPr>
          <w:trHeight w:val="119"/>
        </w:trPr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CF8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OOC / Park Royal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F8F1C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25,500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F9B0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65,000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E4D0F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Brent, Ealing and H+F (OPDC is local planning authority)</w:t>
            </w:r>
          </w:p>
        </w:tc>
      </w:tr>
      <w:tr w:rsidR="004D3694" w:rsidRPr="004D3694" w14:paraId="23E95305" w14:textId="77777777" w:rsidTr="004D3694">
        <w:trPr>
          <w:trHeight w:val="123"/>
        </w:trPr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302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Southall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A63D7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9,000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00A0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3,000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75EBF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Ealing</w:t>
            </w:r>
          </w:p>
        </w:tc>
      </w:tr>
      <w:tr w:rsidR="004D3694" w:rsidRPr="004D3694" w14:paraId="5CEF7EF9" w14:textId="77777777" w:rsidTr="004D3694">
        <w:trPr>
          <w:trHeight w:val="123"/>
        </w:trPr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B1D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White City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A3CF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7,000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2E8B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2,000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074504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H+F</w:t>
            </w:r>
          </w:p>
        </w:tc>
      </w:tr>
      <w:tr w:rsidR="004D3694" w:rsidRPr="004D3694" w14:paraId="35DD6902" w14:textId="77777777" w:rsidTr="004D3694">
        <w:trPr>
          <w:trHeight w:val="123"/>
        </w:trPr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2390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Harrow &amp; Wealdstone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1E5C1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5,000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809C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1,000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B3FDA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Harrow</w:t>
            </w:r>
          </w:p>
        </w:tc>
      </w:tr>
      <w:tr w:rsidR="004D3694" w:rsidRPr="004D3694" w14:paraId="000E26FF" w14:textId="77777777" w:rsidTr="004D3694">
        <w:trPr>
          <w:trHeight w:val="123"/>
        </w:trPr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25144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Hayes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44184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4,000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5E6A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1,000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BCCCEA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Hillingdon</w:t>
            </w:r>
          </w:p>
        </w:tc>
      </w:tr>
      <w:tr w:rsidR="004D3694" w:rsidRPr="004D3694" w14:paraId="314B0EDD" w14:textId="77777777" w:rsidTr="008F27FE">
        <w:trPr>
          <w:trHeight w:val="123"/>
        </w:trPr>
        <w:tc>
          <w:tcPr>
            <w:tcW w:w="2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AAD06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Heathrow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C9559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13,000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A5A77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11,000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BD46A0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 xml:space="preserve">Hounslow and Hillingdon </w:t>
            </w:r>
          </w:p>
        </w:tc>
      </w:tr>
      <w:tr w:rsidR="004D3694" w:rsidRPr="004D3694" w14:paraId="70ED2C7A" w14:textId="77777777" w:rsidTr="008F27FE">
        <w:trPr>
          <w:trHeight w:val="119"/>
        </w:trPr>
        <w:tc>
          <w:tcPr>
            <w:tcW w:w="2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0A9B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Great West Corridor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19960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7,500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D323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14,000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31C8B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Hounslow</w:t>
            </w:r>
          </w:p>
        </w:tc>
      </w:tr>
      <w:tr w:rsidR="004D3694" w:rsidRPr="004D3694" w14:paraId="54480029" w14:textId="77777777" w:rsidTr="008F27FE">
        <w:trPr>
          <w:trHeight w:val="119"/>
        </w:trPr>
        <w:tc>
          <w:tcPr>
            <w:tcW w:w="2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04007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TOTAL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2230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108,000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D5684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  <w:r w:rsidRPr="004D3694">
              <w:rPr>
                <w:rFonts w:ascii="Arial" w:hAnsi="Arial" w:cs="Arial"/>
              </w:rPr>
              <w:t>143,500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9CDFF2" w14:textId="77777777" w:rsidR="004D3694" w:rsidRPr="004D3694" w:rsidRDefault="004D3694" w:rsidP="004D369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31281FE" w14:textId="77777777" w:rsidR="00EB2894" w:rsidRPr="00D72953" w:rsidRDefault="00EB2894" w:rsidP="00063129"/>
    <w:sectPr w:rsidR="00EB2894" w:rsidRPr="00D72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0894" w14:textId="77777777" w:rsidR="0016122E" w:rsidRDefault="0016122E" w:rsidP="00837699">
      <w:pPr>
        <w:spacing w:after="0" w:line="240" w:lineRule="auto"/>
      </w:pPr>
      <w:r>
        <w:separator/>
      </w:r>
    </w:p>
  </w:endnote>
  <w:endnote w:type="continuationSeparator" w:id="0">
    <w:p w14:paraId="7F9B86DE" w14:textId="77777777" w:rsidR="0016122E" w:rsidRDefault="0016122E" w:rsidP="0083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9A26" w14:textId="77777777" w:rsidR="0016122E" w:rsidRDefault="0016122E" w:rsidP="00837699">
      <w:pPr>
        <w:spacing w:after="0" w:line="240" w:lineRule="auto"/>
      </w:pPr>
      <w:r>
        <w:separator/>
      </w:r>
    </w:p>
  </w:footnote>
  <w:footnote w:type="continuationSeparator" w:id="0">
    <w:p w14:paraId="06FA9B79" w14:textId="77777777" w:rsidR="0016122E" w:rsidRDefault="0016122E" w:rsidP="00837699">
      <w:pPr>
        <w:spacing w:after="0" w:line="240" w:lineRule="auto"/>
      </w:pPr>
      <w:r>
        <w:continuationSeparator/>
      </w:r>
    </w:p>
  </w:footnote>
  <w:footnote w:id="1">
    <w:p w14:paraId="25D6151E" w14:textId="12413B18" w:rsidR="00837699" w:rsidRDefault="00837699">
      <w:pPr>
        <w:pStyle w:val="FootnoteText"/>
      </w:pPr>
      <w:r>
        <w:rPr>
          <w:rStyle w:val="FootnoteReference"/>
        </w:rPr>
        <w:footnoteRef/>
      </w:r>
      <w:r>
        <w:t xml:space="preserve"> The West London Alliance is a sub-regional partnership comprising the boroughs of Barnet, Brent, Ealing, Hammersmith and Fulham, Harrow, Hillingdon and Hounslow</w:t>
      </w:r>
    </w:p>
  </w:footnote>
  <w:footnote w:id="2">
    <w:p w14:paraId="69A9EA30" w14:textId="137288CF" w:rsidR="00C36586" w:rsidRDefault="00C36586">
      <w:pPr>
        <w:pStyle w:val="FootnoteText"/>
      </w:pPr>
      <w:r>
        <w:rPr>
          <w:rStyle w:val="FootnoteReference"/>
        </w:rPr>
        <w:footnoteRef/>
      </w:r>
      <w:r>
        <w:t xml:space="preserve"> NB these figures have been updated since the Funding and Finance Study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29E"/>
    <w:multiLevelType w:val="hybridMultilevel"/>
    <w:tmpl w:val="C5328BC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EB0535"/>
    <w:multiLevelType w:val="hybridMultilevel"/>
    <w:tmpl w:val="DCB0E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22B6"/>
    <w:multiLevelType w:val="hybridMultilevel"/>
    <w:tmpl w:val="9A32F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0540"/>
    <w:multiLevelType w:val="hybridMultilevel"/>
    <w:tmpl w:val="3E4C7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A2BEE"/>
    <w:multiLevelType w:val="multilevel"/>
    <w:tmpl w:val="D8E44182"/>
    <w:lvl w:ilvl="0">
      <w:start w:val="1"/>
      <w:numFmt w:val="decimal"/>
      <w:lvlRestart w:val="0"/>
      <w:pStyle w:val="NumSection"/>
      <w:lvlText w:val="%1"/>
      <w:lvlJc w:val="left"/>
      <w:pPr>
        <w:ind w:left="1134" w:hanging="851"/>
      </w:pPr>
      <w:rPr>
        <w:rFonts w:hint="default"/>
      </w:rPr>
    </w:lvl>
    <w:lvl w:ilvl="1">
      <w:start w:val="1"/>
      <w:numFmt w:val="decimal"/>
      <w:pStyle w:val="NumText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7E4673"/>
    <w:multiLevelType w:val="hybridMultilevel"/>
    <w:tmpl w:val="B85C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31B58"/>
    <w:multiLevelType w:val="hybridMultilevel"/>
    <w:tmpl w:val="8886F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119E"/>
    <w:multiLevelType w:val="hybridMultilevel"/>
    <w:tmpl w:val="190EA5E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4907A19"/>
    <w:multiLevelType w:val="hybridMultilevel"/>
    <w:tmpl w:val="B05EA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D57BB"/>
    <w:multiLevelType w:val="hybridMultilevel"/>
    <w:tmpl w:val="C374E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53C4D"/>
    <w:multiLevelType w:val="hybridMultilevel"/>
    <w:tmpl w:val="1F9E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D6170"/>
    <w:multiLevelType w:val="hybridMultilevel"/>
    <w:tmpl w:val="A4805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E4E1C"/>
    <w:multiLevelType w:val="hybridMultilevel"/>
    <w:tmpl w:val="2BEE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2"/>
  </w:num>
  <w:num w:numId="7">
    <w:abstractNumId w:val="6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2C"/>
    <w:rsid w:val="000034EB"/>
    <w:rsid w:val="000052C2"/>
    <w:rsid w:val="00012D55"/>
    <w:rsid w:val="0001656E"/>
    <w:rsid w:val="00022D0B"/>
    <w:rsid w:val="000344EE"/>
    <w:rsid w:val="00034F1E"/>
    <w:rsid w:val="00061503"/>
    <w:rsid w:val="000617E1"/>
    <w:rsid w:val="00063129"/>
    <w:rsid w:val="00073656"/>
    <w:rsid w:val="00073BE5"/>
    <w:rsid w:val="00081256"/>
    <w:rsid w:val="00081FF2"/>
    <w:rsid w:val="0008657B"/>
    <w:rsid w:val="000870DC"/>
    <w:rsid w:val="00093DA5"/>
    <w:rsid w:val="0009480B"/>
    <w:rsid w:val="000B05B4"/>
    <w:rsid w:val="000B4DAC"/>
    <w:rsid w:val="000C2359"/>
    <w:rsid w:val="000C2C2C"/>
    <w:rsid w:val="000D0A06"/>
    <w:rsid w:val="000D3F4D"/>
    <w:rsid w:val="000D6232"/>
    <w:rsid w:val="000E1E0B"/>
    <w:rsid w:val="000F737F"/>
    <w:rsid w:val="00106795"/>
    <w:rsid w:val="00112701"/>
    <w:rsid w:val="001163AB"/>
    <w:rsid w:val="0013049A"/>
    <w:rsid w:val="001359F4"/>
    <w:rsid w:val="00136E85"/>
    <w:rsid w:val="0015024B"/>
    <w:rsid w:val="00150EA0"/>
    <w:rsid w:val="00155704"/>
    <w:rsid w:val="0016122E"/>
    <w:rsid w:val="00183BFD"/>
    <w:rsid w:val="00191F26"/>
    <w:rsid w:val="001A3445"/>
    <w:rsid w:val="001A6A68"/>
    <w:rsid w:val="001D5650"/>
    <w:rsid w:val="001E2EA4"/>
    <w:rsid w:val="001F146B"/>
    <w:rsid w:val="001F4F86"/>
    <w:rsid w:val="0020530E"/>
    <w:rsid w:val="002066D3"/>
    <w:rsid w:val="00211051"/>
    <w:rsid w:val="00243D08"/>
    <w:rsid w:val="00246CF1"/>
    <w:rsid w:val="00287C90"/>
    <w:rsid w:val="002B0DD6"/>
    <w:rsid w:val="002D7433"/>
    <w:rsid w:val="002E042F"/>
    <w:rsid w:val="002F2D2F"/>
    <w:rsid w:val="002F6093"/>
    <w:rsid w:val="002F68B3"/>
    <w:rsid w:val="00301FFA"/>
    <w:rsid w:val="003040C5"/>
    <w:rsid w:val="003053D1"/>
    <w:rsid w:val="00305C51"/>
    <w:rsid w:val="00311F1D"/>
    <w:rsid w:val="0031597C"/>
    <w:rsid w:val="003329CF"/>
    <w:rsid w:val="003370CD"/>
    <w:rsid w:val="00364695"/>
    <w:rsid w:val="003654E9"/>
    <w:rsid w:val="003754DD"/>
    <w:rsid w:val="00375587"/>
    <w:rsid w:val="00380D67"/>
    <w:rsid w:val="003839CB"/>
    <w:rsid w:val="0038697D"/>
    <w:rsid w:val="003966D8"/>
    <w:rsid w:val="003A30F6"/>
    <w:rsid w:val="003A3D50"/>
    <w:rsid w:val="003C2DCB"/>
    <w:rsid w:val="003E330D"/>
    <w:rsid w:val="003F7B35"/>
    <w:rsid w:val="00404FA2"/>
    <w:rsid w:val="00405A5E"/>
    <w:rsid w:val="0042192B"/>
    <w:rsid w:val="004357D3"/>
    <w:rsid w:val="00437C3E"/>
    <w:rsid w:val="0044335E"/>
    <w:rsid w:val="00445296"/>
    <w:rsid w:val="004459C9"/>
    <w:rsid w:val="00456EC8"/>
    <w:rsid w:val="0046636A"/>
    <w:rsid w:val="0047016E"/>
    <w:rsid w:val="0047336F"/>
    <w:rsid w:val="0048392A"/>
    <w:rsid w:val="00485678"/>
    <w:rsid w:val="004A3B35"/>
    <w:rsid w:val="004A6173"/>
    <w:rsid w:val="004C0326"/>
    <w:rsid w:val="004D3694"/>
    <w:rsid w:val="004E36E1"/>
    <w:rsid w:val="004E3974"/>
    <w:rsid w:val="004F4366"/>
    <w:rsid w:val="004F7219"/>
    <w:rsid w:val="005054C4"/>
    <w:rsid w:val="00505CB2"/>
    <w:rsid w:val="005115F0"/>
    <w:rsid w:val="005167E6"/>
    <w:rsid w:val="005238CD"/>
    <w:rsid w:val="00530963"/>
    <w:rsid w:val="0053714F"/>
    <w:rsid w:val="00540CB1"/>
    <w:rsid w:val="005418B1"/>
    <w:rsid w:val="0054407D"/>
    <w:rsid w:val="00566BDB"/>
    <w:rsid w:val="00573570"/>
    <w:rsid w:val="00583CC9"/>
    <w:rsid w:val="00596D2C"/>
    <w:rsid w:val="005975E9"/>
    <w:rsid w:val="005B1423"/>
    <w:rsid w:val="005B32CC"/>
    <w:rsid w:val="005D05A8"/>
    <w:rsid w:val="005D48F4"/>
    <w:rsid w:val="005D4B89"/>
    <w:rsid w:val="005E2E4D"/>
    <w:rsid w:val="005F6982"/>
    <w:rsid w:val="006026A0"/>
    <w:rsid w:val="006152E7"/>
    <w:rsid w:val="00632639"/>
    <w:rsid w:val="0065229B"/>
    <w:rsid w:val="006602C2"/>
    <w:rsid w:val="00662578"/>
    <w:rsid w:val="0067311F"/>
    <w:rsid w:val="006764BA"/>
    <w:rsid w:val="00676975"/>
    <w:rsid w:val="00682A48"/>
    <w:rsid w:val="00685964"/>
    <w:rsid w:val="00691803"/>
    <w:rsid w:val="00692054"/>
    <w:rsid w:val="006975AB"/>
    <w:rsid w:val="006B6926"/>
    <w:rsid w:val="006C7750"/>
    <w:rsid w:val="006E2E05"/>
    <w:rsid w:val="006E4EDF"/>
    <w:rsid w:val="006F672F"/>
    <w:rsid w:val="00703A54"/>
    <w:rsid w:val="007104B2"/>
    <w:rsid w:val="00713752"/>
    <w:rsid w:val="00720BA1"/>
    <w:rsid w:val="00731B27"/>
    <w:rsid w:val="007320BC"/>
    <w:rsid w:val="007501C5"/>
    <w:rsid w:val="0075595B"/>
    <w:rsid w:val="0075614C"/>
    <w:rsid w:val="00756F01"/>
    <w:rsid w:val="00765857"/>
    <w:rsid w:val="00785DBC"/>
    <w:rsid w:val="0079146D"/>
    <w:rsid w:val="00796855"/>
    <w:rsid w:val="007A3CF3"/>
    <w:rsid w:val="007C19B6"/>
    <w:rsid w:val="007D536D"/>
    <w:rsid w:val="007E1913"/>
    <w:rsid w:val="007F1219"/>
    <w:rsid w:val="00804096"/>
    <w:rsid w:val="00815C30"/>
    <w:rsid w:val="00824B9D"/>
    <w:rsid w:val="0083494D"/>
    <w:rsid w:val="00837699"/>
    <w:rsid w:val="00837EE7"/>
    <w:rsid w:val="008825E6"/>
    <w:rsid w:val="00882C6A"/>
    <w:rsid w:val="0089065E"/>
    <w:rsid w:val="008918F1"/>
    <w:rsid w:val="0089401A"/>
    <w:rsid w:val="00894B2E"/>
    <w:rsid w:val="00897C3F"/>
    <w:rsid w:val="008F27FE"/>
    <w:rsid w:val="008F7628"/>
    <w:rsid w:val="00904782"/>
    <w:rsid w:val="00914699"/>
    <w:rsid w:val="00914FEC"/>
    <w:rsid w:val="00915800"/>
    <w:rsid w:val="00923656"/>
    <w:rsid w:val="009256EA"/>
    <w:rsid w:val="00925FC7"/>
    <w:rsid w:val="0092651E"/>
    <w:rsid w:val="009307DC"/>
    <w:rsid w:val="009326FD"/>
    <w:rsid w:val="00936886"/>
    <w:rsid w:val="0094039F"/>
    <w:rsid w:val="00946BFF"/>
    <w:rsid w:val="00947751"/>
    <w:rsid w:val="009507A5"/>
    <w:rsid w:val="0098143D"/>
    <w:rsid w:val="00986F16"/>
    <w:rsid w:val="009C0075"/>
    <w:rsid w:val="009C4308"/>
    <w:rsid w:val="009D7A98"/>
    <w:rsid w:val="009E3BF0"/>
    <w:rsid w:val="009E491B"/>
    <w:rsid w:val="009E7AFF"/>
    <w:rsid w:val="009F207D"/>
    <w:rsid w:val="00A0043B"/>
    <w:rsid w:val="00A02E55"/>
    <w:rsid w:val="00A038FB"/>
    <w:rsid w:val="00A05683"/>
    <w:rsid w:val="00A23060"/>
    <w:rsid w:val="00A31276"/>
    <w:rsid w:val="00A41F4B"/>
    <w:rsid w:val="00A4342A"/>
    <w:rsid w:val="00A642B9"/>
    <w:rsid w:val="00A74FAC"/>
    <w:rsid w:val="00A816A2"/>
    <w:rsid w:val="00A8224A"/>
    <w:rsid w:val="00A83BD5"/>
    <w:rsid w:val="00A961AA"/>
    <w:rsid w:val="00AA025C"/>
    <w:rsid w:val="00AC619F"/>
    <w:rsid w:val="00AE0F31"/>
    <w:rsid w:val="00AE713D"/>
    <w:rsid w:val="00AF595B"/>
    <w:rsid w:val="00B01F7F"/>
    <w:rsid w:val="00B02954"/>
    <w:rsid w:val="00B108E7"/>
    <w:rsid w:val="00B10F32"/>
    <w:rsid w:val="00B17BA9"/>
    <w:rsid w:val="00B33CC8"/>
    <w:rsid w:val="00B33EA2"/>
    <w:rsid w:val="00B41E7B"/>
    <w:rsid w:val="00B44A3E"/>
    <w:rsid w:val="00B45441"/>
    <w:rsid w:val="00B4595E"/>
    <w:rsid w:val="00B5311C"/>
    <w:rsid w:val="00B57D59"/>
    <w:rsid w:val="00B7719C"/>
    <w:rsid w:val="00B8406F"/>
    <w:rsid w:val="00B946D7"/>
    <w:rsid w:val="00BB605A"/>
    <w:rsid w:val="00BD1DF9"/>
    <w:rsid w:val="00BD544E"/>
    <w:rsid w:val="00BE113D"/>
    <w:rsid w:val="00BF6764"/>
    <w:rsid w:val="00C22435"/>
    <w:rsid w:val="00C36586"/>
    <w:rsid w:val="00C41F15"/>
    <w:rsid w:val="00C51F9E"/>
    <w:rsid w:val="00C53E01"/>
    <w:rsid w:val="00C5598C"/>
    <w:rsid w:val="00C55E8A"/>
    <w:rsid w:val="00C62666"/>
    <w:rsid w:val="00C740F8"/>
    <w:rsid w:val="00CB5E2B"/>
    <w:rsid w:val="00CB76C1"/>
    <w:rsid w:val="00CB7A90"/>
    <w:rsid w:val="00CC2E78"/>
    <w:rsid w:val="00CC6840"/>
    <w:rsid w:val="00CD06B5"/>
    <w:rsid w:val="00CD6411"/>
    <w:rsid w:val="00CD6CEF"/>
    <w:rsid w:val="00CD77B6"/>
    <w:rsid w:val="00CE2302"/>
    <w:rsid w:val="00D069C4"/>
    <w:rsid w:val="00D07186"/>
    <w:rsid w:val="00D46DAA"/>
    <w:rsid w:val="00D62F60"/>
    <w:rsid w:val="00D6575F"/>
    <w:rsid w:val="00D6688D"/>
    <w:rsid w:val="00D7051A"/>
    <w:rsid w:val="00D72953"/>
    <w:rsid w:val="00D7571F"/>
    <w:rsid w:val="00D903BF"/>
    <w:rsid w:val="00D96F1D"/>
    <w:rsid w:val="00DB382A"/>
    <w:rsid w:val="00DD39E1"/>
    <w:rsid w:val="00DD4AD8"/>
    <w:rsid w:val="00DD4B21"/>
    <w:rsid w:val="00DF0D1D"/>
    <w:rsid w:val="00DF5A09"/>
    <w:rsid w:val="00E26B3A"/>
    <w:rsid w:val="00E27216"/>
    <w:rsid w:val="00E37546"/>
    <w:rsid w:val="00E4230B"/>
    <w:rsid w:val="00E42EE3"/>
    <w:rsid w:val="00E44D09"/>
    <w:rsid w:val="00E54B62"/>
    <w:rsid w:val="00E55E48"/>
    <w:rsid w:val="00E63B61"/>
    <w:rsid w:val="00E6606A"/>
    <w:rsid w:val="00E66AA6"/>
    <w:rsid w:val="00E67AFF"/>
    <w:rsid w:val="00E762E8"/>
    <w:rsid w:val="00E84885"/>
    <w:rsid w:val="00E952CC"/>
    <w:rsid w:val="00EA13EA"/>
    <w:rsid w:val="00EB2894"/>
    <w:rsid w:val="00EB340D"/>
    <w:rsid w:val="00EB7D13"/>
    <w:rsid w:val="00EC4A44"/>
    <w:rsid w:val="00EC6C62"/>
    <w:rsid w:val="00ED204C"/>
    <w:rsid w:val="00EE2E48"/>
    <w:rsid w:val="00F20481"/>
    <w:rsid w:val="00F377FD"/>
    <w:rsid w:val="00F42C0E"/>
    <w:rsid w:val="00F44B31"/>
    <w:rsid w:val="00F75276"/>
    <w:rsid w:val="00F75B0D"/>
    <w:rsid w:val="00F81F8B"/>
    <w:rsid w:val="00F8594A"/>
    <w:rsid w:val="00F9119B"/>
    <w:rsid w:val="00F954B5"/>
    <w:rsid w:val="00FA73A2"/>
    <w:rsid w:val="00FD51D4"/>
    <w:rsid w:val="00FD79BB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AF16E"/>
  <w15:chartTrackingRefBased/>
  <w15:docId w15:val="{E7C708BF-AA33-4935-A6F6-6BDFE431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1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376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76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7699"/>
    <w:rPr>
      <w:vertAlign w:val="superscript"/>
    </w:rPr>
  </w:style>
  <w:style w:type="paragraph" w:styleId="Revision">
    <w:name w:val="Revision"/>
    <w:hidden/>
    <w:uiPriority w:val="99"/>
    <w:semiHidden/>
    <w:rsid w:val="00731B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2666"/>
    <w:pPr>
      <w:ind w:left="720"/>
      <w:contextualSpacing/>
    </w:pPr>
  </w:style>
  <w:style w:type="paragraph" w:customStyle="1" w:styleId="NumText">
    <w:name w:val="NumText"/>
    <w:basedOn w:val="Normal"/>
    <w:uiPriority w:val="2"/>
    <w:qFormat/>
    <w:rsid w:val="00AE713D"/>
    <w:pPr>
      <w:numPr>
        <w:ilvl w:val="1"/>
        <w:numId w:val="3"/>
      </w:numPr>
      <w:spacing w:after="120" w:line="240" w:lineRule="atLeast"/>
    </w:pPr>
    <w:rPr>
      <w:rFonts w:ascii="Arial" w:eastAsia="Times New Roman" w:hAnsi="Arial" w:cs="Times New Roman"/>
      <w:sz w:val="18"/>
    </w:rPr>
  </w:style>
  <w:style w:type="paragraph" w:customStyle="1" w:styleId="NumSection">
    <w:name w:val="NumSection"/>
    <w:basedOn w:val="Normal"/>
    <w:next w:val="Heading1"/>
    <w:qFormat/>
    <w:rsid w:val="00AE713D"/>
    <w:pPr>
      <w:pageBreakBefore/>
      <w:framePr w:w="9434" w:wrap="notBeside" w:hAnchor="margin" w:x="-1133" w:yAlign="top"/>
      <w:numPr>
        <w:numId w:val="3"/>
      </w:numPr>
      <w:spacing w:after="800" w:line="240" w:lineRule="atLeast"/>
      <w:outlineLvl w:val="0"/>
    </w:pPr>
    <w:rPr>
      <w:rFonts w:ascii="Arial" w:eastAsia="Times New Roman" w:hAnsi="Arial" w:cs="Times New Roman"/>
      <w:color w:val="4F2D7F"/>
      <w:sz w:val="72"/>
      <w:szCs w:val="24"/>
    </w:rPr>
  </w:style>
  <w:style w:type="table" w:customStyle="1" w:styleId="GTTable">
    <w:name w:val="GT Table"/>
    <w:basedOn w:val="TableNormal"/>
    <w:uiPriority w:val="99"/>
    <w:rsid w:val="00AE713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85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olor w:val="E7E6E6" w:themeColor="background2"/>
      </w:rPr>
      <w:tblPr/>
      <w:tcPr>
        <w:shd w:val="clear" w:color="auto" w:fill="4472C4" w:themeFill="accent1"/>
      </w:tcPr>
    </w:tblStylePr>
    <w:tblStylePr w:type="lastRow">
      <w:rPr>
        <w:b/>
        <w:color w:val="4472C4" w:themeColor="accent1"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pPr>
        <w:jc w:val="left"/>
      </w:pPr>
    </w:tblStylePr>
  </w:style>
  <w:style w:type="character" w:customStyle="1" w:styleId="Heading1Char">
    <w:name w:val="Heading 1 Char"/>
    <w:basedOn w:val="DefaultParagraphFont"/>
    <w:link w:val="Heading1"/>
    <w:uiPriority w:val="9"/>
    <w:rsid w:val="00AE7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A3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C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C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6A94-DD5A-436D-A482-D34D3E88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Barry-Purssell</dc:creator>
  <cp:keywords/>
  <dc:description/>
  <cp:lastModifiedBy>Andrew Barry-Purssell</cp:lastModifiedBy>
  <cp:revision>12</cp:revision>
  <dcterms:created xsi:type="dcterms:W3CDTF">2021-08-09T13:35:00Z</dcterms:created>
  <dcterms:modified xsi:type="dcterms:W3CDTF">2021-08-27T12:10:00Z</dcterms:modified>
</cp:coreProperties>
</file>