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D3BA" w14:textId="5B57F83B" w:rsidR="00145FED" w:rsidRPr="00011CFC" w:rsidRDefault="00145FED" w:rsidP="00145FED">
      <w:pPr>
        <w:pStyle w:val="Heading1"/>
        <w:jc w:val="center"/>
        <w:rPr>
          <w:rFonts w:ascii="Verdana" w:hAnsi="Verdana"/>
          <w:b/>
          <w:bCs/>
          <w:color w:val="000000"/>
          <w:sz w:val="20"/>
        </w:rPr>
      </w:pPr>
      <w:r>
        <w:rPr>
          <w:rFonts w:ascii="Verdana" w:hAnsi="Verdana"/>
          <w:b/>
          <w:bCs/>
          <w:color w:val="000000"/>
          <w:sz w:val="20"/>
        </w:rPr>
        <w:t>Document 10</w:t>
      </w:r>
    </w:p>
    <w:p w14:paraId="486A4FA0" w14:textId="134C7CEF" w:rsidR="00145FED" w:rsidRDefault="00145FED" w:rsidP="00145FED">
      <w:pPr>
        <w:pStyle w:val="Heading1"/>
        <w:jc w:val="center"/>
        <w:rPr>
          <w:rFonts w:ascii="Verdana" w:hAnsi="Verdana"/>
          <w:b/>
          <w:bCs/>
          <w:color w:val="000000"/>
          <w:sz w:val="20"/>
        </w:rPr>
      </w:pPr>
      <w:r>
        <w:rPr>
          <w:rFonts w:ascii="Verdana" w:hAnsi="Verdana"/>
          <w:b/>
          <w:bCs/>
          <w:color w:val="000000"/>
          <w:sz w:val="20"/>
        </w:rPr>
        <w:t>Modern Slavery Statement</w:t>
      </w:r>
    </w:p>
    <w:p w14:paraId="78618642" w14:textId="77777777" w:rsidR="00145FED" w:rsidRPr="00145FED" w:rsidRDefault="00145FED" w:rsidP="00145FED"/>
    <w:p w14:paraId="538F44FB" w14:textId="3A7C6033" w:rsidR="00145FED" w:rsidRDefault="00145FED" w:rsidP="00145FED">
      <w:pPr>
        <w:shd w:val="clear" w:color="auto" w:fill="FFFFFF"/>
        <w:spacing w:after="180"/>
        <w:rPr>
          <w:rFonts w:ascii="Arial" w:hAnsi="Arial" w:cs="Arial"/>
          <w:color w:val="333333"/>
          <w:sz w:val="24"/>
          <w:szCs w:val="24"/>
          <w:lang w:eastAsia="en-GB"/>
        </w:rPr>
      </w:pPr>
      <w:r>
        <w:rPr>
          <w:rFonts w:ascii="Arial" w:hAnsi="Arial" w:cs="Arial"/>
          <w:color w:val="333333"/>
          <w:sz w:val="24"/>
          <w:szCs w:val="24"/>
          <w:lang w:eastAsia="en-GB"/>
        </w:rPr>
        <w:t xml:space="preserve">Any organisation </w:t>
      </w:r>
      <w:proofErr w:type="gramStart"/>
      <w:r>
        <w:rPr>
          <w:rFonts w:ascii="Arial" w:hAnsi="Arial" w:cs="Arial"/>
          <w:color w:val="333333"/>
          <w:sz w:val="24"/>
          <w:szCs w:val="24"/>
          <w:lang w:eastAsia="en-GB"/>
        </w:rPr>
        <w:t xml:space="preserve">is considered to </w:t>
      </w:r>
      <w:r w:rsidR="00B71600">
        <w:rPr>
          <w:rFonts w:ascii="Arial" w:hAnsi="Arial" w:cs="Arial"/>
          <w:color w:val="333333"/>
          <w:sz w:val="24"/>
          <w:szCs w:val="24"/>
          <w:lang w:eastAsia="en-GB"/>
        </w:rPr>
        <w:t>be</w:t>
      </w:r>
      <w:proofErr w:type="gramEnd"/>
      <w:r w:rsidR="00B71600">
        <w:rPr>
          <w:rFonts w:ascii="Arial" w:hAnsi="Arial" w:cs="Arial"/>
          <w:color w:val="333333"/>
          <w:sz w:val="24"/>
          <w:szCs w:val="24"/>
          <w:lang w:eastAsia="en-GB"/>
        </w:rPr>
        <w:t xml:space="preserve"> </w:t>
      </w:r>
      <w:r>
        <w:rPr>
          <w:rFonts w:ascii="Arial" w:hAnsi="Arial" w:cs="Arial"/>
          <w:color w:val="333333"/>
          <w:sz w:val="24"/>
          <w:szCs w:val="24"/>
          <w:lang w:eastAsia="en-GB"/>
        </w:rPr>
        <w:t xml:space="preserve">a Relevant Commercial Organisation which falls under </w:t>
      </w:r>
      <w:r w:rsidRPr="00E27E06">
        <w:rPr>
          <w:rFonts w:ascii="Arial" w:hAnsi="Arial" w:cs="Arial"/>
          <w:color w:val="333333"/>
          <w:sz w:val="24"/>
          <w:szCs w:val="24"/>
          <w:lang w:eastAsia="en-GB"/>
        </w:rPr>
        <w:t>Section 54 of the Modern Slavery Act 2015</w:t>
      </w:r>
      <w:r>
        <w:rPr>
          <w:rFonts w:ascii="Arial" w:hAnsi="Arial" w:cs="Arial"/>
          <w:color w:val="333333"/>
          <w:sz w:val="24"/>
          <w:szCs w:val="24"/>
          <w:lang w:eastAsia="en-GB"/>
        </w:rPr>
        <w:t>.</w:t>
      </w:r>
      <w:r w:rsidRPr="00E27E06">
        <w:rPr>
          <w:rFonts w:ascii="Arial" w:hAnsi="Arial" w:cs="Arial"/>
          <w:color w:val="333333"/>
          <w:sz w:val="24"/>
          <w:szCs w:val="24"/>
          <w:lang w:eastAsia="en-GB"/>
        </w:rPr>
        <w:t xml:space="preserve"> </w:t>
      </w:r>
      <w:r>
        <w:rPr>
          <w:rFonts w:ascii="Arial" w:hAnsi="Arial" w:cs="Arial"/>
          <w:color w:val="333333"/>
          <w:sz w:val="24"/>
          <w:szCs w:val="24"/>
          <w:lang w:eastAsia="en-GB"/>
        </w:rPr>
        <w:t xml:space="preserve">This </w:t>
      </w:r>
      <w:r w:rsidR="00934685">
        <w:rPr>
          <w:rFonts w:ascii="Arial" w:hAnsi="Arial" w:cs="Arial"/>
          <w:color w:val="333333"/>
          <w:sz w:val="24"/>
          <w:szCs w:val="24"/>
          <w:lang w:eastAsia="en-GB"/>
        </w:rPr>
        <w:t>Act requires</w:t>
      </w:r>
      <w:r w:rsidRPr="00E27E06">
        <w:rPr>
          <w:rFonts w:ascii="Arial" w:hAnsi="Arial" w:cs="Arial"/>
          <w:color w:val="333333"/>
          <w:sz w:val="24"/>
          <w:szCs w:val="24"/>
          <w:lang w:eastAsia="en-GB"/>
        </w:rPr>
        <w:t xml:space="preserve"> organisations </w:t>
      </w:r>
      <w:r>
        <w:rPr>
          <w:rFonts w:ascii="Arial" w:hAnsi="Arial" w:cs="Arial"/>
          <w:color w:val="333333"/>
          <w:sz w:val="24"/>
          <w:szCs w:val="24"/>
          <w:lang w:eastAsia="en-GB"/>
        </w:rPr>
        <w:t xml:space="preserve">who supply to the Public Sector, </w:t>
      </w:r>
      <w:r w:rsidRPr="00E27E06">
        <w:rPr>
          <w:rFonts w:ascii="Arial" w:hAnsi="Arial" w:cs="Arial"/>
          <w:color w:val="333333"/>
          <w:sz w:val="24"/>
          <w:szCs w:val="24"/>
          <w:lang w:eastAsia="en-GB"/>
        </w:rPr>
        <w:t>to prepare a slavery and human trafficking statement for each financial year</w:t>
      </w:r>
      <w:r>
        <w:rPr>
          <w:rFonts w:ascii="Arial" w:hAnsi="Arial" w:cs="Arial"/>
          <w:color w:val="333333"/>
          <w:sz w:val="24"/>
          <w:szCs w:val="24"/>
          <w:lang w:eastAsia="en-GB"/>
        </w:rPr>
        <w:t xml:space="preserve">. </w:t>
      </w:r>
    </w:p>
    <w:p w14:paraId="4968E82F" w14:textId="50687CF9" w:rsidR="00145FED" w:rsidRPr="00E27E06" w:rsidRDefault="00145FED" w:rsidP="00145FED">
      <w:pPr>
        <w:shd w:val="clear" w:color="auto" w:fill="FFFFFF"/>
        <w:spacing w:after="180"/>
        <w:rPr>
          <w:rFonts w:ascii="Arial" w:hAnsi="Arial" w:cs="Arial"/>
          <w:color w:val="333333"/>
          <w:sz w:val="24"/>
          <w:szCs w:val="24"/>
          <w:lang w:eastAsia="en-GB"/>
        </w:rPr>
      </w:pPr>
      <w:r>
        <w:rPr>
          <w:rFonts w:ascii="Arial" w:hAnsi="Arial" w:cs="Arial"/>
          <w:color w:val="333333"/>
          <w:sz w:val="24"/>
          <w:szCs w:val="24"/>
          <w:lang w:eastAsia="en-GB"/>
        </w:rPr>
        <w:t xml:space="preserve">The Statement should </w:t>
      </w:r>
      <w:r w:rsidRPr="00E27E06">
        <w:rPr>
          <w:rFonts w:ascii="Arial" w:hAnsi="Arial" w:cs="Arial"/>
          <w:color w:val="333333"/>
          <w:sz w:val="24"/>
          <w:szCs w:val="24"/>
          <w:lang w:eastAsia="en-GB"/>
        </w:rPr>
        <w:t>set out the steps that the organisation has taken during the year to ensure that slavery and human trafficking is not taking place in its supply chains or its own business (or setting out that it has taken no such steps).</w:t>
      </w:r>
    </w:p>
    <w:p w14:paraId="58A03142" w14:textId="0C77FA99" w:rsidR="00145FED" w:rsidRDefault="00145FED" w:rsidP="00145FED">
      <w:pPr>
        <w:shd w:val="clear" w:color="auto" w:fill="FFFFFF"/>
        <w:spacing w:after="180"/>
        <w:rPr>
          <w:rFonts w:ascii="Arial" w:hAnsi="Arial" w:cs="Arial"/>
          <w:color w:val="333333"/>
          <w:sz w:val="24"/>
          <w:szCs w:val="24"/>
          <w:lang w:eastAsia="en-GB"/>
        </w:rPr>
      </w:pPr>
      <w:r w:rsidRPr="00E27E06">
        <w:rPr>
          <w:rFonts w:ascii="Arial" w:hAnsi="Arial" w:cs="Arial"/>
          <w:color w:val="333333"/>
          <w:sz w:val="24"/>
          <w:szCs w:val="24"/>
          <w:lang w:eastAsia="en-GB"/>
        </w:rPr>
        <w:t>An employer is covered by the duty to prepare a statement under s</w:t>
      </w:r>
      <w:r>
        <w:rPr>
          <w:rFonts w:ascii="Arial" w:hAnsi="Arial" w:cs="Arial"/>
          <w:color w:val="333333"/>
          <w:sz w:val="24"/>
          <w:szCs w:val="24"/>
          <w:lang w:eastAsia="en-GB"/>
        </w:rPr>
        <w:t xml:space="preserve">ection </w:t>
      </w:r>
      <w:r w:rsidRPr="00E27E06">
        <w:rPr>
          <w:rFonts w:ascii="Arial" w:hAnsi="Arial" w:cs="Arial"/>
          <w:color w:val="333333"/>
          <w:sz w:val="24"/>
          <w:szCs w:val="24"/>
          <w:lang w:eastAsia="en-GB"/>
        </w:rPr>
        <w:t>54 if it:</w:t>
      </w:r>
    </w:p>
    <w:p w14:paraId="148E972F" w14:textId="77777777" w:rsidR="00145FED" w:rsidRPr="00145FED" w:rsidRDefault="00145FED" w:rsidP="00145FED">
      <w:pPr>
        <w:pStyle w:val="ListParagraph"/>
        <w:numPr>
          <w:ilvl w:val="0"/>
          <w:numId w:val="2"/>
        </w:numPr>
        <w:shd w:val="clear" w:color="auto" w:fill="FFFFFF"/>
        <w:spacing w:before="100" w:beforeAutospacing="1" w:after="180" w:line="240" w:lineRule="auto"/>
        <w:rPr>
          <w:rFonts w:ascii="Arial" w:hAnsi="Arial" w:cs="Arial"/>
          <w:color w:val="333333"/>
          <w:sz w:val="24"/>
          <w:szCs w:val="24"/>
          <w:lang w:eastAsia="en-GB"/>
        </w:rPr>
      </w:pPr>
      <w:r w:rsidRPr="00145FED">
        <w:rPr>
          <w:rFonts w:ascii="Arial" w:hAnsi="Arial" w:cs="Arial"/>
          <w:color w:val="333333"/>
          <w:sz w:val="24"/>
          <w:szCs w:val="24"/>
          <w:lang w:eastAsia="en-GB"/>
        </w:rPr>
        <w:t xml:space="preserve">is a body corporate or partnership, wherever incorporated or </w:t>
      </w:r>
      <w:proofErr w:type="gramStart"/>
      <w:r w:rsidRPr="00145FED">
        <w:rPr>
          <w:rFonts w:ascii="Arial" w:hAnsi="Arial" w:cs="Arial"/>
          <w:color w:val="333333"/>
          <w:sz w:val="24"/>
          <w:szCs w:val="24"/>
          <w:lang w:eastAsia="en-GB"/>
        </w:rPr>
        <w:t>formed;</w:t>
      </w:r>
      <w:proofErr w:type="gramEnd"/>
    </w:p>
    <w:p w14:paraId="3D4A9042" w14:textId="77777777" w:rsidR="00145FED" w:rsidRPr="00145FED" w:rsidRDefault="00145FED" w:rsidP="00145FED">
      <w:pPr>
        <w:pStyle w:val="ListParagraph"/>
        <w:numPr>
          <w:ilvl w:val="0"/>
          <w:numId w:val="2"/>
        </w:numPr>
        <w:shd w:val="clear" w:color="auto" w:fill="FFFFFF"/>
        <w:spacing w:before="100" w:beforeAutospacing="1" w:after="180" w:line="240" w:lineRule="auto"/>
        <w:rPr>
          <w:rFonts w:ascii="Arial" w:hAnsi="Arial" w:cs="Arial"/>
          <w:color w:val="333333"/>
          <w:sz w:val="24"/>
          <w:szCs w:val="24"/>
          <w:lang w:eastAsia="en-GB"/>
        </w:rPr>
      </w:pPr>
      <w:r w:rsidRPr="00145FED">
        <w:rPr>
          <w:rFonts w:ascii="Arial" w:hAnsi="Arial" w:cs="Arial"/>
          <w:color w:val="333333"/>
          <w:sz w:val="24"/>
          <w:szCs w:val="24"/>
          <w:lang w:eastAsia="en-GB"/>
        </w:rPr>
        <w:t xml:space="preserve">carries on a business, or part of a business, in any part of the </w:t>
      </w:r>
      <w:proofErr w:type="gramStart"/>
      <w:r w:rsidRPr="00145FED">
        <w:rPr>
          <w:rFonts w:ascii="Arial" w:hAnsi="Arial" w:cs="Arial"/>
          <w:color w:val="333333"/>
          <w:sz w:val="24"/>
          <w:szCs w:val="24"/>
          <w:lang w:eastAsia="en-GB"/>
        </w:rPr>
        <w:t>UK;</w:t>
      </w:r>
      <w:proofErr w:type="gramEnd"/>
    </w:p>
    <w:p w14:paraId="708D17EE" w14:textId="77777777" w:rsidR="00145FED" w:rsidRPr="00145FED" w:rsidRDefault="00145FED" w:rsidP="077E7DF7">
      <w:pPr>
        <w:pStyle w:val="ListParagraph"/>
        <w:numPr>
          <w:ilvl w:val="0"/>
          <w:numId w:val="2"/>
        </w:numPr>
        <w:shd w:val="clear" w:color="auto" w:fill="FFFFFF" w:themeFill="background1"/>
        <w:spacing w:before="100" w:beforeAutospacing="1" w:after="180" w:line="240" w:lineRule="auto"/>
        <w:rPr>
          <w:rFonts w:ascii="Arial" w:hAnsi="Arial" w:cs="Arial"/>
          <w:color w:val="333333"/>
          <w:sz w:val="24"/>
          <w:szCs w:val="24"/>
          <w:lang w:eastAsia="en-GB"/>
        </w:rPr>
      </w:pPr>
      <w:r w:rsidRPr="077E7DF7">
        <w:rPr>
          <w:rFonts w:ascii="Arial" w:hAnsi="Arial" w:cs="Arial"/>
          <w:color w:val="333333"/>
          <w:sz w:val="24"/>
          <w:szCs w:val="24"/>
          <w:lang w:eastAsia="en-GB"/>
        </w:rPr>
        <w:t xml:space="preserve">supplies goods and services; and </w:t>
      </w:r>
    </w:p>
    <w:p w14:paraId="6FDBEB23" w14:textId="77777777" w:rsidR="00145FED" w:rsidRPr="00145FED" w:rsidRDefault="00145FED" w:rsidP="00145FED">
      <w:pPr>
        <w:pStyle w:val="ListParagraph"/>
        <w:numPr>
          <w:ilvl w:val="0"/>
          <w:numId w:val="2"/>
        </w:numPr>
        <w:shd w:val="clear" w:color="auto" w:fill="FFFFFF"/>
        <w:spacing w:before="100" w:beforeAutospacing="1" w:after="180" w:line="240" w:lineRule="auto"/>
        <w:rPr>
          <w:rFonts w:ascii="Arial" w:hAnsi="Arial" w:cs="Arial"/>
          <w:color w:val="333333"/>
          <w:sz w:val="24"/>
          <w:szCs w:val="24"/>
          <w:lang w:eastAsia="en-GB"/>
        </w:rPr>
      </w:pPr>
      <w:r w:rsidRPr="00145FED">
        <w:rPr>
          <w:rFonts w:ascii="Arial" w:hAnsi="Arial" w:cs="Arial"/>
          <w:color w:val="333333"/>
          <w:sz w:val="24"/>
          <w:szCs w:val="24"/>
          <w:lang w:eastAsia="en-GB"/>
        </w:rPr>
        <w:t>has a total turnover of at least £36 million per year.</w:t>
      </w:r>
    </w:p>
    <w:p w14:paraId="120BA3F4" w14:textId="77777777" w:rsidR="00145FED" w:rsidRDefault="00145FED" w:rsidP="00145FED">
      <w:pPr>
        <w:shd w:val="clear" w:color="auto" w:fill="FFFFFF"/>
        <w:spacing w:before="100" w:beforeAutospacing="1" w:after="180"/>
        <w:rPr>
          <w:rFonts w:ascii="Arial" w:hAnsi="Arial" w:cs="Arial"/>
          <w:color w:val="333333"/>
          <w:sz w:val="24"/>
          <w:szCs w:val="24"/>
          <w:lang w:eastAsia="en-GB"/>
        </w:rPr>
      </w:pPr>
      <w:r w:rsidRPr="00E27E06">
        <w:rPr>
          <w:rFonts w:ascii="Arial" w:hAnsi="Arial" w:cs="Arial"/>
          <w:color w:val="333333"/>
          <w:sz w:val="24"/>
          <w:szCs w:val="24"/>
          <w:lang w:eastAsia="en-GB"/>
        </w:rPr>
        <w:t>The Home Office has issued </w:t>
      </w:r>
      <w:hyperlink r:id="rId8" w:history="1">
        <w:r w:rsidRPr="00E27E06">
          <w:rPr>
            <w:rStyle w:val="Hyperlink"/>
            <w:rFonts w:ascii="Arial" w:hAnsi="Arial" w:cs="Arial"/>
            <w:sz w:val="24"/>
            <w:szCs w:val="24"/>
            <w:lang w:eastAsia="en-GB"/>
          </w:rPr>
          <w:t>guidance on the issues around modern slavery statements in transparency in supply chains</w:t>
        </w:r>
      </w:hyperlink>
      <w:r w:rsidRPr="00E27E06">
        <w:rPr>
          <w:rFonts w:ascii="Arial" w:hAnsi="Arial" w:cs="Arial"/>
          <w:color w:val="333333"/>
          <w:sz w:val="24"/>
          <w:szCs w:val="24"/>
          <w:lang w:eastAsia="en-GB"/>
        </w:rPr>
        <w:t xml:space="preserve"> (pdf, 1.77MB). </w:t>
      </w:r>
    </w:p>
    <w:p w14:paraId="62D88A49" w14:textId="12508030" w:rsidR="00145FED" w:rsidRDefault="5F6EC48E" w:rsidP="11499782">
      <w:pPr>
        <w:shd w:val="clear" w:color="auto" w:fill="FFFFFF" w:themeFill="background1"/>
        <w:spacing w:before="100" w:beforeAutospacing="1" w:after="180"/>
        <w:rPr>
          <w:rFonts w:ascii="Arial" w:hAnsi="Arial" w:cs="Arial"/>
          <w:color w:val="333333"/>
          <w:sz w:val="24"/>
          <w:szCs w:val="24"/>
          <w:lang w:eastAsia="en-GB"/>
        </w:rPr>
      </w:pPr>
      <w:r w:rsidRPr="11499782">
        <w:rPr>
          <w:rFonts w:ascii="Arial" w:hAnsi="Arial" w:cs="Arial"/>
          <w:color w:val="333333"/>
          <w:sz w:val="24"/>
          <w:szCs w:val="24"/>
          <w:lang w:eastAsia="en-GB"/>
        </w:rPr>
        <w:t>T</w:t>
      </w:r>
      <w:r w:rsidR="00934685" w:rsidRPr="11499782">
        <w:rPr>
          <w:rFonts w:ascii="Arial" w:hAnsi="Arial" w:cs="Arial"/>
          <w:color w:val="333333"/>
          <w:sz w:val="24"/>
          <w:szCs w:val="24"/>
          <w:lang w:eastAsia="en-GB"/>
        </w:rPr>
        <w:t>he Corporate Responsibility Coalition (“CORE”)</w:t>
      </w:r>
      <w:r w:rsidR="00145FED" w:rsidRPr="11499782">
        <w:rPr>
          <w:rFonts w:ascii="Arial" w:hAnsi="Arial" w:cs="Arial"/>
          <w:color w:val="333333"/>
          <w:sz w:val="24"/>
          <w:szCs w:val="24"/>
          <w:lang w:eastAsia="en-GB"/>
        </w:rPr>
        <w:t xml:space="preserve"> has also published documents giving </w:t>
      </w:r>
      <w:hyperlink r:id="rId9">
        <w:r w:rsidR="00145FED" w:rsidRPr="11499782">
          <w:rPr>
            <w:rStyle w:val="Hyperlink"/>
            <w:rFonts w:ascii="Arial" w:hAnsi="Arial" w:cs="Arial"/>
            <w:sz w:val="24"/>
            <w:szCs w:val="24"/>
            <w:lang w:eastAsia="en-GB"/>
          </w:rPr>
          <w:t>recommended content for modern slavery statements</w:t>
        </w:r>
      </w:hyperlink>
      <w:r w:rsidR="00145FED" w:rsidRPr="11499782">
        <w:rPr>
          <w:rFonts w:ascii="Arial" w:hAnsi="Arial" w:cs="Arial"/>
          <w:color w:val="333333"/>
          <w:sz w:val="24"/>
          <w:szCs w:val="24"/>
          <w:lang w:eastAsia="en-GB"/>
        </w:rPr>
        <w:t> (pdf, 88KB), examples of </w:t>
      </w:r>
      <w:hyperlink r:id="rId10">
        <w:r w:rsidR="00145FED" w:rsidRPr="11499782">
          <w:rPr>
            <w:rStyle w:val="Hyperlink"/>
            <w:rFonts w:ascii="Arial" w:hAnsi="Arial" w:cs="Arial"/>
            <w:sz w:val="24"/>
            <w:szCs w:val="24"/>
            <w:lang w:eastAsia="en-GB"/>
          </w:rPr>
          <w:t>good and bad practice</w:t>
        </w:r>
      </w:hyperlink>
      <w:r w:rsidR="00145FED" w:rsidRPr="11499782">
        <w:rPr>
          <w:rFonts w:ascii="Arial" w:hAnsi="Arial" w:cs="Arial"/>
          <w:color w:val="333333"/>
          <w:sz w:val="24"/>
          <w:szCs w:val="24"/>
          <w:lang w:eastAsia="en-GB"/>
        </w:rPr>
        <w:t> (pdf, 90KB) and a fuller briefing on </w:t>
      </w:r>
      <w:hyperlink r:id="rId11">
        <w:r w:rsidR="00145FED" w:rsidRPr="11499782">
          <w:rPr>
            <w:rStyle w:val="Hyperlink"/>
            <w:rFonts w:ascii="Arial" w:hAnsi="Arial" w:cs="Arial"/>
            <w:sz w:val="24"/>
            <w:szCs w:val="24"/>
            <w:lang w:eastAsia="en-GB"/>
          </w:rPr>
          <w:t xml:space="preserve">effective reporting under the </w:t>
        </w:r>
        <w:proofErr w:type="spellStart"/>
        <w:r w:rsidR="00934685" w:rsidRPr="11499782">
          <w:rPr>
            <w:rStyle w:val="Hyperlink"/>
            <w:rFonts w:ascii="Arial" w:hAnsi="Arial" w:cs="Arial"/>
            <w:sz w:val="24"/>
            <w:szCs w:val="24"/>
            <w:lang w:eastAsia="en-GB"/>
          </w:rPr>
          <w:t>the</w:t>
        </w:r>
        <w:proofErr w:type="spellEnd"/>
        <w:r w:rsidR="00934685" w:rsidRPr="11499782">
          <w:rPr>
            <w:rStyle w:val="Hyperlink"/>
            <w:rFonts w:ascii="Arial" w:hAnsi="Arial" w:cs="Arial"/>
            <w:sz w:val="24"/>
            <w:szCs w:val="24"/>
            <w:lang w:eastAsia="en-GB"/>
          </w:rPr>
          <w:t xml:space="preserve"> Modern Slavery Act 2015 (“MSA”)</w:t>
        </w:r>
      </w:hyperlink>
      <w:r w:rsidR="00145FED" w:rsidRPr="11499782">
        <w:rPr>
          <w:rFonts w:ascii="Arial" w:hAnsi="Arial" w:cs="Arial"/>
          <w:color w:val="333333"/>
          <w:sz w:val="24"/>
          <w:szCs w:val="24"/>
          <w:lang w:eastAsia="en-GB"/>
        </w:rPr>
        <w:t> (pdf, 5.08MB).</w:t>
      </w:r>
    </w:p>
    <w:p w14:paraId="283DF401" w14:textId="77777777" w:rsidR="00145FED" w:rsidRPr="00145FED" w:rsidRDefault="00145FED" w:rsidP="00145FED">
      <w:pPr>
        <w:shd w:val="clear" w:color="auto" w:fill="FFFFFF"/>
        <w:spacing w:before="100" w:beforeAutospacing="1" w:after="180"/>
        <w:rPr>
          <w:rFonts w:ascii="Arial" w:hAnsi="Arial" w:cs="Arial"/>
          <w:b/>
          <w:color w:val="333333"/>
          <w:sz w:val="24"/>
          <w:szCs w:val="24"/>
          <w:lang w:eastAsia="en-GB"/>
        </w:rPr>
      </w:pPr>
      <w:r w:rsidRPr="00145FED">
        <w:rPr>
          <w:rFonts w:ascii="Arial" w:hAnsi="Arial" w:cs="Arial"/>
          <w:b/>
          <w:color w:val="333333"/>
          <w:sz w:val="24"/>
          <w:szCs w:val="24"/>
          <w:lang w:eastAsia="en-GB"/>
        </w:rPr>
        <w:t xml:space="preserve">Therefore, please can you provide us with a recent copy of your Modern Slavery Statement for us to review. </w:t>
      </w:r>
    </w:p>
    <w:p w14:paraId="4240A7E5" w14:textId="7AD6EF2B" w:rsidR="006B68A3" w:rsidRDefault="00145FED" w:rsidP="00145FED">
      <w:r>
        <w:rPr>
          <w:rFonts w:ascii="Arial" w:hAnsi="Arial" w:cs="Arial"/>
          <w:color w:val="333333"/>
          <w:sz w:val="24"/>
          <w:szCs w:val="24"/>
          <w:lang w:eastAsia="en-GB"/>
        </w:rPr>
        <w:t>If you have not got a Modern Slavery Statement available, please reply by way outlining how you plan to address this, and a timeline of when we should expect to see this statement.</w:t>
      </w:r>
    </w:p>
    <w:sectPr w:rsidR="006B6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AB4"/>
    <w:multiLevelType w:val="multilevel"/>
    <w:tmpl w:val="BC98B26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71D4275A"/>
    <w:multiLevelType w:val="hybridMultilevel"/>
    <w:tmpl w:val="C696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566826">
    <w:abstractNumId w:val="0"/>
  </w:num>
  <w:num w:numId="2" w16cid:durableId="1926524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8F"/>
    <w:rsid w:val="00145FED"/>
    <w:rsid w:val="002E5959"/>
    <w:rsid w:val="006B68A3"/>
    <w:rsid w:val="0090758F"/>
    <w:rsid w:val="00934685"/>
    <w:rsid w:val="00B71600"/>
    <w:rsid w:val="00CF0C04"/>
    <w:rsid w:val="077E7DF7"/>
    <w:rsid w:val="11499782"/>
    <w:rsid w:val="5F6EC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D055"/>
  <w15:chartTrackingRefBased/>
  <w15:docId w15:val="{1B52649F-957B-4D7A-8C19-BBF9A896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5FED"/>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FED"/>
    <w:rPr>
      <w:rFonts w:ascii="Times New Roman" w:eastAsia="Times New Roman" w:hAnsi="Times New Roman" w:cs="Times New Roman"/>
      <w:sz w:val="24"/>
      <w:szCs w:val="20"/>
    </w:rPr>
  </w:style>
  <w:style w:type="character" w:styleId="Hyperlink">
    <w:name w:val="Hyperlink"/>
    <w:uiPriority w:val="99"/>
    <w:unhideWhenUsed/>
    <w:rsid w:val="00145FED"/>
    <w:rPr>
      <w:color w:val="0563C1"/>
      <w:u w:val="single"/>
    </w:rPr>
  </w:style>
  <w:style w:type="paragraph" w:styleId="ListParagraph">
    <w:name w:val="List Paragraph"/>
    <w:basedOn w:val="Normal"/>
    <w:uiPriority w:val="34"/>
    <w:qFormat/>
    <w:rsid w:val="00145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9906/Transparency_in_Supply_Chains_A_Practical_Guide_2017.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responsibility.org/wp-content/uploads/2016/03/CSO_TISC_guidance_final_digitalversion_16.03.16.pdf" TargetMode="External"/><Relationship Id="rId5" Type="http://schemas.openxmlformats.org/officeDocument/2006/relationships/styles" Target="styles.xml"/><Relationship Id="rId10" Type="http://schemas.openxmlformats.org/officeDocument/2006/relationships/hyperlink" Target="http://corporate-responsibility.org/wp-content/uploads/2017/06/Core_ExamplesFINAL.pdf" TargetMode="External"/><Relationship Id="rId4" Type="http://schemas.openxmlformats.org/officeDocument/2006/relationships/numbering" Target="numbering.xml"/><Relationship Id="rId9" Type="http://schemas.openxmlformats.org/officeDocument/2006/relationships/hyperlink" Target="http://corporate-responsibility.org/wp-content/uploads/2017/06/Core_RecommendedcontentFINA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3BD11691758A40A232501D2B7A3353" ma:contentTypeVersion="14" ma:contentTypeDescription="Create a new document." ma:contentTypeScope="" ma:versionID="94159a7f811232ebc78ff98401684b4c">
  <xsd:schema xmlns:xsd="http://www.w3.org/2001/XMLSchema" xmlns:xs="http://www.w3.org/2001/XMLSchema" xmlns:p="http://schemas.microsoft.com/office/2006/metadata/properties" xmlns:ns2="a5404863-ac54-4370-a040-ebcda5ab73f8" xmlns:ns3="94e86d1a-abad-45b5-bd46-70286b165a25" targetNamespace="http://schemas.microsoft.com/office/2006/metadata/properties" ma:root="true" ma:fieldsID="b5b7246adbc9d9ed14875a6e0d56bb14" ns2:_="" ns3:_="">
    <xsd:import namespace="a5404863-ac54-4370-a040-ebcda5ab73f8"/>
    <xsd:import namespace="94e86d1a-abad-45b5-bd46-70286b165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04863-ac54-4370-a040-ebcda5ab7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7636e4-27fd-40f6-b66a-8c08e824a21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86d1a-abad-45b5-bd46-70286b165a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1d325c5-6e27-4e3e-a923-1f336dc8ac0b}" ma:internalName="TaxCatchAll" ma:showField="CatchAllData" ma:web="94e86d1a-abad-45b5-bd46-70286b165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e86d1a-abad-45b5-bd46-70286b165a25" xsi:nil="true"/>
    <lcf76f155ced4ddcb4097134ff3c332f xmlns="a5404863-ac54-4370-a040-ebcda5ab7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B3181-9913-4317-BBC8-28F80660E02C}">
  <ds:schemaRefs>
    <ds:schemaRef ds:uri="http://schemas.microsoft.com/sharepoint/v3/contenttype/forms"/>
  </ds:schemaRefs>
</ds:datastoreItem>
</file>

<file path=customXml/itemProps2.xml><?xml version="1.0" encoding="utf-8"?>
<ds:datastoreItem xmlns:ds="http://schemas.openxmlformats.org/officeDocument/2006/customXml" ds:itemID="{AADE0081-87E3-4CBA-B2D0-52AC76824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04863-ac54-4370-a040-ebcda5ab73f8"/>
    <ds:schemaRef ds:uri="94e86d1a-abad-45b5-bd46-70286b16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8490-20B3-4E67-B341-3E49C0C1A8BC}">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209568c-8f7e-4a25-939e-4f22fd0c2b25"/>
    <ds:schemaRef ds:uri="http://www.w3.org/XML/1998/namespace"/>
    <ds:schemaRef ds:uri="http://purl.org/dc/terms/"/>
    <ds:schemaRef ds:uri="94e86d1a-abad-45b5-bd46-70286b165a25"/>
    <ds:schemaRef ds:uri="a5404863-ac54-4370-a040-ebcda5ab73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Allan</dc:creator>
  <cp:keywords/>
  <dc:description/>
  <cp:lastModifiedBy>Rachel Ayres</cp:lastModifiedBy>
  <cp:revision>2</cp:revision>
  <dcterms:created xsi:type="dcterms:W3CDTF">2024-04-17T19:39:00Z</dcterms:created>
  <dcterms:modified xsi:type="dcterms:W3CDTF">2024-04-17T19:39:00Z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0x010100553BD11691758A40A232501D2B7A3353</vt:lpwstr>
  </property>
  <property fmtid="{D5CDD505-2E9C-101B-9397-08002B2CF9AE}" pid="3" name="WSCC_x0020_Category">
    <vt:lpwstr>2079;#Community:Social issues:Abuse:Slavery|8eb49573-d0ed-4ff2-8d88-daa036a167f0;#2214;#Community:Religion:Humanism|db5ff0f1-ee39-4137-826b-c82e651e2f4b;#263;#Community:Community safety and emergencies:Crime:Police:Community support officers|f1224143-b98c-4281-b82d-9e6965559d70</vt:lpwstr>
  </property>
  <property fmtid="{D5CDD505-2E9C-101B-9397-08002B2CF9AE}" pid="4" name="WSCC Category">
    <vt:lpwstr>2079;#Community:Social issues:Abuse:Slavery|8eb49573-d0ed-4ff2-8d88-daa036a167f0;#2214;#Community:Religion:Humanism|db5ff0f1-ee39-4137-826b-c82e651e2f4b;#263;#Community:Community safety and emergencies:Crime:Police:Community support officers|f1224143-b98c-4281-b82d-9e6965559d70</vt:lpwstr>
  </property>
  <property fmtid="{D5CDD505-2E9C-101B-9397-08002B2CF9AE}" pid="5" name="MediaServiceImageTags">
    <vt:lpwstr/>
  </property>
</Properties>
</file>