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FEA6" w14:textId="614F4B9D" w:rsidR="00DC35F6" w:rsidRPr="00165E46" w:rsidRDefault="00322305" w:rsidP="00DC35F6">
      <w:pPr>
        <w:pStyle w:val="Heading1"/>
      </w:pPr>
      <w:r w:rsidRPr="00165E46">
        <w:t xml:space="preserve">Invitation to </w:t>
      </w:r>
      <w:r w:rsidR="00DE7256" w:rsidRPr="00165E46">
        <w:t>Quot</w:t>
      </w:r>
      <w:r w:rsidRPr="00165E46">
        <w:t>e</w:t>
      </w:r>
      <w:r w:rsidR="00DE7256" w:rsidRPr="00165E46">
        <w:t xml:space="preserve">: </w:t>
      </w:r>
      <w:r w:rsidR="00692FE1" w:rsidRPr="00165E46">
        <w:t>Title</w:t>
      </w:r>
    </w:p>
    <w:p w14:paraId="537B0088" w14:textId="2754BC37" w:rsidR="0063774B" w:rsidRPr="00165E46" w:rsidRDefault="004E7800" w:rsidP="004E7800">
      <w:pPr>
        <w:rPr>
          <w:rFonts w:cs="Arial"/>
          <w:sz w:val="28"/>
          <w:szCs w:val="28"/>
        </w:rPr>
      </w:pPr>
      <w:r w:rsidRPr="00165E46">
        <w:rPr>
          <w:rFonts w:cs="Arial"/>
          <w:sz w:val="28"/>
          <w:szCs w:val="28"/>
        </w:rPr>
        <w:t>TIMETABLE FOR PROCUREMENT PROCESS</w:t>
      </w:r>
    </w:p>
    <w:p w14:paraId="78C564CA" w14:textId="77777777" w:rsidR="004E7800" w:rsidRPr="0052596A" w:rsidRDefault="004E7800" w:rsidP="004E7800">
      <w:pPr>
        <w:rPr>
          <w:rFonts w:asciiTheme="majorHAnsi" w:hAnsiTheme="majorHAnsi" w:cstheme="majorHAnsi"/>
        </w:rPr>
      </w:pPr>
    </w:p>
    <w:p w14:paraId="30D041C4" w14:textId="798AA89D" w:rsidR="0063774B" w:rsidRPr="00165E46" w:rsidRDefault="0063774B" w:rsidP="0063774B">
      <w:pPr>
        <w:rPr>
          <w:rFonts w:cs="Arial"/>
          <w:sz w:val="22"/>
          <w:szCs w:val="22"/>
        </w:rPr>
      </w:pPr>
      <w:r w:rsidRPr="00165E46">
        <w:rPr>
          <w:rFonts w:cs="Arial"/>
          <w:sz w:val="22"/>
          <w:szCs w:val="22"/>
        </w:rPr>
        <w:t>This procurement process will run to the provisional timetable</w:t>
      </w:r>
      <w:r w:rsidR="00C73B16" w:rsidRPr="00165E46">
        <w:rPr>
          <w:rFonts w:cs="Arial"/>
          <w:sz w:val="22"/>
          <w:szCs w:val="22"/>
        </w:rPr>
        <w:t>:</w:t>
      </w:r>
    </w:p>
    <w:p w14:paraId="4077C64F" w14:textId="77777777" w:rsidR="0063774B" w:rsidRPr="00165E46" w:rsidRDefault="0063774B" w:rsidP="0063774B">
      <w:pPr>
        <w:rPr>
          <w:rFonts w:cs="Arial"/>
          <w:sz w:val="22"/>
          <w:szCs w:val="22"/>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29"/>
        <w:gridCol w:w="5042"/>
      </w:tblGrid>
      <w:tr w:rsidR="004A4A5D" w:rsidRPr="00165E46" w14:paraId="77CDB74A" w14:textId="77777777" w:rsidTr="00246A6B">
        <w:tc>
          <w:tcPr>
            <w:tcW w:w="3929" w:type="dxa"/>
            <w:shd w:val="clear" w:color="auto" w:fill="FFFFFF" w:themeFill="background1"/>
          </w:tcPr>
          <w:p w14:paraId="6E84CB7F" w14:textId="0CCA405A" w:rsidR="004A4A5D" w:rsidRPr="00165E46" w:rsidRDefault="00AC10D8" w:rsidP="00246A6B">
            <w:pPr>
              <w:rPr>
                <w:rFonts w:eastAsia="Arial" w:cs="Arial"/>
                <w:sz w:val="22"/>
                <w:szCs w:val="22"/>
                <w:lang w:val="en-US"/>
              </w:rPr>
            </w:pPr>
            <w:proofErr w:type="gramStart"/>
            <w:r>
              <w:rPr>
                <w:rFonts w:cs="Arial"/>
                <w:sz w:val="22"/>
                <w:szCs w:val="22"/>
                <w:lang w:val="en-US"/>
              </w:rPr>
              <w:t xml:space="preserve">ITQ </w:t>
            </w:r>
            <w:r w:rsidR="004A4A5D" w:rsidRPr="00165E46">
              <w:rPr>
                <w:rFonts w:cs="Arial"/>
                <w:sz w:val="22"/>
                <w:szCs w:val="22"/>
                <w:lang w:val="en-US"/>
              </w:rPr>
              <w:t xml:space="preserve"> release</w:t>
            </w:r>
            <w:proofErr w:type="gramEnd"/>
          </w:p>
        </w:tc>
        <w:tc>
          <w:tcPr>
            <w:tcW w:w="5042" w:type="dxa"/>
            <w:shd w:val="clear" w:color="auto" w:fill="FFFFFF" w:themeFill="background1"/>
          </w:tcPr>
          <w:p w14:paraId="777FAAF0" w14:textId="2AF44D7D" w:rsidR="004A4A5D" w:rsidRPr="00165E46" w:rsidRDefault="00AC10D8" w:rsidP="003162A4">
            <w:pPr>
              <w:rPr>
                <w:rFonts w:eastAsia="Arial" w:cs="Arial"/>
                <w:sz w:val="22"/>
                <w:szCs w:val="22"/>
                <w:lang w:val="en-US"/>
              </w:rPr>
            </w:pPr>
            <w:r>
              <w:rPr>
                <w:rFonts w:eastAsia="Arial" w:cs="Arial"/>
                <w:sz w:val="22"/>
                <w:szCs w:val="22"/>
                <w:lang w:val="en-US"/>
              </w:rPr>
              <w:t>29/01/2024</w:t>
            </w:r>
          </w:p>
        </w:tc>
      </w:tr>
      <w:tr w:rsidR="00DA7FC8" w:rsidRPr="00165E46" w14:paraId="75647EA2" w14:textId="77777777" w:rsidTr="00246A6B">
        <w:tc>
          <w:tcPr>
            <w:tcW w:w="3929" w:type="dxa"/>
            <w:shd w:val="clear" w:color="auto" w:fill="FFFFFF" w:themeFill="background1"/>
          </w:tcPr>
          <w:p w14:paraId="29FD86B3" w14:textId="77777777" w:rsidR="00DA7FC8" w:rsidRPr="00165E46" w:rsidRDefault="00DA7FC8" w:rsidP="00DA7FC8">
            <w:pPr>
              <w:rPr>
                <w:rFonts w:eastAsia="Arial" w:cs="Arial"/>
                <w:sz w:val="22"/>
                <w:szCs w:val="22"/>
                <w:lang w:val="en-US"/>
              </w:rPr>
            </w:pPr>
            <w:r w:rsidRPr="00165E46">
              <w:rPr>
                <w:rFonts w:cs="Arial"/>
                <w:sz w:val="22"/>
                <w:szCs w:val="22"/>
                <w:lang w:val="en-US"/>
              </w:rPr>
              <w:t>Window for bidders to clarify bid parameters before application</w:t>
            </w:r>
          </w:p>
        </w:tc>
        <w:tc>
          <w:tcPr>
            <w:tcW w:w="5042" w:type="dxa"/>
            <w:shd w:val="clear" w:color="auto" w:fill="FFFFFF" w:themeFill="background1"/>
          </w:tcPr>
          <w:p w14:paraId="7E253B65" w14:textId="2E027D39" w:rsidR="00DA7FC8" w:rsidRPr="00165E46" w:rsidRDefault="00AC10D8" w:rsidP="00DA7FC8">
            <w:pPr>
              <w:rPr>
                <w:rFonts w:eastAsia="Arial" w:cs="Arial"/>
                <w:sz w:val="22"/>
                <w:szCs w:val="22"/>
                <w:lang w:val="en-US"/>
              </w:rPr>
            </w:pPr>
            <w:r>
              <w:rPr>
                <w:rFonts w:eastAsia="Arial" w:cs="Arial"/>
                <w:sz w:val="22"/>
                <w:szCs w:val="22"/>
                <w:lang w:val="en-US"/>
              </w:rPr>
              <w:t>From 05/02/2024 to 12/02/2024</w:t>
            </w:r>
          </w:p>
        </w:tc>
      </w:tr>
      <w:tr w:rsidR="00DA7FC8" w:rsidRPr="00165E46" w14:paraId="3BD12C9D" w14:textId="77777777" w:rsidTr="00246A6B">
        <w:tc>
          <w:tcPr>
            <w:tcW w:w="3929" w:type="dxa"/>
            <w:shd w:val="clear" w:color="auto" w:fill="auto"/>
            <w:tcMar>
              <w:top w:w="45" w:type="dxa"/>
              <w:left w:w="45" w:type="dxa"/>
              <w:bottom w:w="45" w:type="dxa"/>
              <w:right w:w="45" w:type="dxa"/>
            </w:tcMar>
          </w:tcPr>
          <w:p w14:paraId="2B5B1140" w14:textId="72FC7F67" w:rsidR="00DA7FC8" w:rsidRPr="00165E46" w:rsidRDefault="00FB08C1" w:rsidP="00DA7FC8">
            <w:pPr>
              <w:rPr>
                <w:rFonts w:eastAsia="Arial" w:cs="Arial"/>
                <w:b/>
                <w:sz w:val="22"/>
                <w:szCs w:val="22"/>
                <w:lang w:val="en-US"/>
              </w:rPr>
            </w:pPr>
            <w:r w:rsidRPr="00165E46">
              <w:rPr>
                <w:rFonts w:cs="Arial"/>
                <w:b/>
                <w:sz w:val="22"/>
                <w:szCs w:val="22"/>
                <w:lang w:val="en-US"/>
              </w:rPr>
              <w:t>ITQ</w:t>
            </w:r>
            <w:r w:rsidR="00DA7FC8" w:rsidRPr="00165E46">
              <w:rPr>
                <w:rFonts w:cs="Arial"/>
                <w:b/>
                <w:sz w:val="22"/>
                <w:szCs w:val="22"/>
                <w:lang w:val="en-US"/>
              </w:rPr>
              <w:t xml:space="preserve"> closure</w:t>
            </w:r>
            <w:r w:rsidRPr="00165E46">
              <w:rPr>
                <w:rFonts w:cs="Arial"/>
                <w:b/>
                <w:sz w:val="22"/>
                <w:szCs w:val="22"/>
                <w:lang w:val="en-US"/>
              </w:rPr>
              <w:t xml:space="preserve"> to submissions</w:t>
            </w:r>
          </w:p>
        </w:tc>
        <w:tc>
          <w:tcPr>
            <w:tcW w:w="5042" w:type="dxa"/>
            <w:shd w:val="clear" w:color="auto" w:fill="auto"/>
            <w:tcMar>
              <w:top w:w="45" w:type="dxa"/>
              <w:left w:w="45" w:type="dxa"/>
              <w:bottom w:w="45" w:type="dxa"/>
              <w:right w:w="45" w:type="dxa"/>
            </w:tcMar>
          </w:tcPr>
          <w:p w14:paraId="5FB19C97" w14:textId="1F17C6CE" w:rsidR="00DA7FC8" w:rsidRPr="00165E46" w:rsidRDefault="00AC10D8" w:rsidP="00DA7FC8">
            <w:pPr>
              <w:rPr>
                <w:rFonts w:eastAsia="Arial" w:cs="Arial"/>
                <w:b/>
                <w:sz w:val="22"/>
                <w:szCs w:val="22"/>
                <w:lang w:val="en-US"/>
              </w:rPr>
            </w:pPr>
            <w:r>
              <w:rPr>
                <w:rFonts w:eastAsia="Arial" w:cs="Arial"/>
                <w:b/>
                <w:sz w:val="22"/>
                <w:szCs w:val="22"/>
                <w:lang w:val="en-US"/>
              </w:rPr>
              <w:t>19/02/2024</w:t>
            </w:r>
          </w:p>
        </w:tc>
      </w:tr>
      <w:tr w:rsidR="00DA7FC8" w:rsidRPr="00165E46" w14:paraId="28C0CD19" w14:textId="77777777" w:rsidTr="00246A6B">
        <w:tc>
          <w:tcPr>
            <w:tcW w:w="3929" w:type="dxa"/>
            <w:shd w:val="clear" w:color="auto" w:fill="auto"/>
            <w:tcMar>
              <w:top w:w="45" w:type="dxa"/>
              <w:left w:w="45" w:type="dxa"/>
              <w:bottom w:w="45" w:type="dxa"/>
              <w:right w:w="45" w:type="dxa"/>
            </w:tcMar>
          </w:tcPr>
          <w:p w14:paraId="62A9621E" w14:textId="77777777" w:rsidR="00DA7FC8" w:rsidRPr="00165E46" w:rsidRDefault="00DA7FC8" w:rsidP="00DA7FC8">
            <w:pPr>
              <w:rPr>
                <w:rFonts w:eastAsia="Arial" w:cs="Arial"/>
                <w:sz w:val="22"/>
                <w:szCs w:val="22"/>
                <w:lang w:val="en-US"/>
              </w:rPr>
            </w:pPr>
            <w:r w:rsidRPr="00165E46">
              <w:rPr>
                <w:rFonts w:cs="Arial"/>
                <w:sz w:val="22"/>
                <w:szCs w:val="22"/>
                <w:lang w:val="en-US"/>
              </w:rPr>
              <w:t>Notification of successful bidder and feedback</w:t>
            </w:r>
          </w:p>
        </w:tc>
        <w:tc>
          <w:tcPr>
            <w:tcW w:w="5042" w:type="dxa"/>
            <w:shd w:val="clear" w:color="auto" w:fill="auto"/>
            <w:tcMar>
              <w:top w:w="45" w:type="dxa"/>
              <w:left w:w="45" w:type="dxa"/>
              <w:bottom w:w="45" w:type="dxa"/>
              <w:right w:w="45" w:type="dxa"/>
            </w:tcMar>
          </w:tcPr>
          <w:p w14:paraId="172605FF" w14:textId="0105E395" w:rsidR="00DA7FC8" w:rsidRPr="00165E46" w:rsidRDefault="00397EF7" w:rsidP="00DA7FC8">
            <w:pPr>
              <w:rPr>
                <w:rFonts w:eastAsia="Arial" w:cs="Arial"/>
                <w:sz w:val="22"/>
                <w:szCs w:val="22"/>
                <w:lang w:val="en-US"/>
              </w:rPr>
            </w:pPr>
            <w:r>
              <w:rPr>
                <w:rFonts w:eastAsia="Arial" w:cs="Arial"/>
                <w:sz w:val="22"/>
                <w:szCs w:val="22"/>
                <w:lang w:val="en-US"/>
              </w:rPr>
              <w:t>Week commencing 11/03/2024</w:t>
            </w:r>
          </w:p>
        </w:tc>
      </w:tr>
      <w:tr w:rsidR="00DA7FC8" w:rsidRPr="00165E46" w14:paraId="6091BBD4" w14:textId="77777777" w:rsidTr="00246A6B">
        <w:tc>
          <w:tcPr>
            <w:tcW w:w="3929" w:type="dxa"/>
            <w:shd w:val="clear" w:color="auto" w:fill="auto"/>
            <w:tcMar>
              <w:top w:w="45" w:type="dxa"/>
              <w:left w:w="45" w:type="dxa"/>
              <w:bottom w:w="45" w:type="dxa"/>
              <w:right w:w="45" w:type="dxa"/>
            </w:tcMar>
          </w:tcPr>
          <w:p w14:paraId="0788FA2C" w14:textId="77777777" w:rsidR="00DA7FC8" w:rsidRPr="00165E46" w:rsidRDefault="00DA7FC8" w:rsidP="00DA7FC8">
            <w:pPr>
              <w:rPr>
                <w:rFonts w:eastAsia="Arial" w:cs="Arial"/>
                <w:sz w:val="22"/>
                <w:szCs w:val="22"/>
                <w:lang w:val="en-US"/>
              </w:rPr>
            </w:pPr>
            <w:r w:rsidRPr="00165E46">
              <w:rPr>
                <w:rFonts w:cs="Arial"/>
                <w:sz w:val="22"/>
                <w:szCs w:val="22"/>
                <w:lang w:val="en-US"/>
              </w:rPr>
              <w:t>Contract signing</w:t>
            </w:r>
          </w:p>
        </w:tc>
        <w:tc>
          <w:tcPr>
            <w:tcW w:w="5042" w:type="dxa"/>
            <w:shd w:val="clear" w:color="auto" w:fill="auto"/>
            <w:tcMar>
              <w:top w:w="45" w:type="dxa"/>
              <w:left w:w="45" w:type="dxa"/>
              <w:bottom w:w="45" w:type="dxa"/>
              <w:right w:w="45" w:type="dxa"/>
            </w:tcMar>
          </w:tcPr>
          <w:p w14:paraId="2CF22567" w14:textId="6C9CF964" w:rsidR="00DA7FC8" w:rsidRPr="00165E46" w:rsidRDefault="00397EF7" w:rsidP="00DA7FC8">
            <w:pPr>
              <w:rPr>
                <w:rFonts w:eastAsia="Arial" w:cs="Arial"/>
                <w:sz w:val="22"/>
                <w:szCs w:val="22"/>
                <w:lang w:val="en-US"/>
              </w:rPr>
            </w:pPr>
            <w:r>
              <w:rPr>
                <w:rFonts w:eastAsia="Arial" w:cs="Arial"/>
                <w:sz w:val="22"/>
                <w:szCs w:val="22"/>
                <w:lang w:val="en-US"/>
              </w:rPr>
              <w:t>TBC</w:t>
            </w:r>
          </w:p>
        </w:tc>
      </w:tr>
      <w:tr w:rsidR="00DA7FC8" w:rsidRPr="00165E46" w14:paraId="74320325" w14:textId="77777777" w:rsidTr="00246A6B">
        <w:tc>
          <w:tcPr>
            <w:tcW w:w="3929" w:type="dxa"/>
            <w:shd w:val="clear" w:color="auto" w:fill="auto"/>
            <w:tcMar>
              <w:top w:w="45" w:type="dxa"/>
              <w:left w:w="45" w:type="dxa"/>
              <w:bottom w:w="45" w:type="dxa"/>
              <w:right w:w="45" w:type="dxa"/>
            </w:tcMar>
          </w:tcPr>
          <w:p w14:paraId="51DFA4EF" w14:textId="77777777" w:rsidR="00DA7FC8" w:rsidRPr="00165E46" w:rsidRDefault="00DA7FC8" w:rsidP="00DA7FC8">
            <w:pPr>
              <w:rPr>
                <w:rFonts w:eastAsia="Arial" w:cs="Arial"/>
                <w:sz w:val="22"/>
                <w:szCs w:val="22"/>
                <w:lang w:val="en-US"/>
              </w:rPr>
            </w:pPr>
            <w:r w:rsidRPr="00165E46">
              <w:rPr>
                <w:rFonts w:cs="Arial"/>
                <w:sz w:val="22"/>
                <w:szCs w:val="22"/>
                <w:lang w:val="en-US"/>
              </w:rPr>
              <w:t>Work commences</w:t>
            </w:r>
          </w:p>
        </w:tc>
        <w:tc>
          <w:tcPr>
            <w:tcW w:w="5042" w:type="dxa"/>
            <w:shd w:val="clear" w:color="auto" w:fill="auto"/>
            <w:tcMar>
              <w:top w:w="45" w:type="dxa"/>
              <w:left w:w="45" w:type="dxa"/>
              <w:bottom w:w="45" w:type="dxa"/>
              <w:right w:w="45" w:type="dxa"/>
            </w:tcMar>
          </w:tcPr>
          <w:p w14:paraId="0BC73467" w14:textId="06EB5568" w:rsidR="00DA7FC8" w:rsidRPr="00165E46" w:rsidRDefault="00AC10D8" w:rsidP="00DA7FC8">
            <w:pPr>
              <w:rPr>
                <w:rFonts w:eastAsia="Arial" w:cs="Arial"/>
                <w:sz w:val="22"/>
                <w:szCs w:val="22"/>
                <w:lang w:val="en-US"/>
              </w:rPr>
            </w:pPr>
            <w:r>
              <w:rPr>
                <w:rFonts w:eastAsia="Arial" w:cs="Arial"/>
                <w:sz w:val="22"/>
                <w:szCs w:val="22"/>
                <w:lang w:val="en-US"/>
              </w:rPr>
              <w:t>April 2024</w:t>
            </w:r>
          </w:p>
        </w:tc>
      </w:tr>
      <w:tr w:rsidR="00DA7FC8" w:rsidRPr="00165E46" w14:paraId="76619BEE" w14:textId="77777777" w:rsidTr="00246A6B">
        <w:tc>
          <w:tcPr>
            <w:tcW w:w="3929" w:type="dxa"/>
            <w:shd w:val="clear" w:color="auto" w:fill="auto"/>
            <w:tcMar>
              <w:top w:w="45" w:type="dxa"/>
              <w:left w:w="45" w:type="dxa"/>
              <w:bottom w:w="45" w:type="dxa"/>
              <w:right w:w="45" w:type="dxa"/>
            </w:tcMar>
          </w:tcPr>
          <w:p w14:paraId="3DAF9754" w14:textId="77777777" w:rsidR="00DA7FC8" w:rsidRPr="00165E46" w:rsidRDefault="00DA7FC8" w:rsidP="00DA7FC8">
            <w:pPr>
              <w:rPr>
                <w:rFonts w:eastAsia="Arial" w:cs="Arial"/>
                <w:sz w:val="22"/>
                <w:szCs w:val="22"/>
                <w:lang w:val="en-US"/>
              </w:rPr>
            </w:pPr>
            <w:r w:rsidRPr="00165E46">
              <w:rPr>
                <w:rFonts w:cs="Arial"/>
                <w:sz w:val="22"/>
                <w:szCs w:val="22"/>
                <w:lang w:val="en-US"/>
              </w:rPr>
              <w:t>Work completed</w:t>
            </w:r>
          </w:p>
        </w:tc>
        <w:tc>
          <w:tcPr>
            <w:tcW w:w="5042" w:type="dxa"/>
            <w:shd w:val="clear" w:color="auto" w:fill="auto"/>
            <w:tcMar>
              <w:top w:w="45" w:type="dxa"/>
              <w:left w:w="45" w:type="dxa"/>
              <w:bottom w:w="45" w:type="dxa"/>
              <w:right w:w="45" w:type="dxa"/>
            </w:tcMar>
          </w:tcPr>
          <w:p w14:paraId="144D5925" w14:textId="487BB0F0" w:rsidR="00DA7FC8" w:rsidRPr="00165E46" w:rsidRDefault="00AC10D8" w:rsidP="00DA7FC8">
            <w:pPr>
              <w:rPr>
                <w:rFonts w:eastAsia="Arial" w:cs="Arial"/>
                <w:sz w:val="22"/>
                <w:szCs w:val="22"/>
                <w:lang w:val="en-US"/>
              </w:rPr>
            </w:pPr>
            <w:r>
              <w:rPr>
                <w:rFonts w:eastAsia="Arial" w:cs="Arial"/>
                <w:sz w:val="22"/>
                <w:szCs w:val="22"/>
                <w:lang w:val="en-US"/>
              </w:rPr>
              <w:t xml:space="preserve">3-year contract with the provision to extend for a further 2 years on a </w:t>
            </w:r>
            <w:proofErr w:type="gramStart"/>
            <w:r>
              <w:rPr>
                <w:rFonts w:eastAsia="Arial" w:cs="Arial"/>
                <w:sz w:val="22"/>
                <w:szCs w:val="22"/>
                <w:lang w:val="en-US"/>
              </w:rPr>
              <w:t>12 month</w:t>
            </w:r>
            <w:proofErr w:type="gramEnd"/>
            <w:r>
              <w:rPr>
                <w:rFonts w:eastAsia="Arial" w:cs="Arial"/>
                <w:sz w:val="22"/>
                <w:szCs w:val="22"/>
                <w:lang w:val="en-US"/>
              </w:rPr>
              <w:t xml:space="preserve"> basis.</w:t>
            </w:r>
          </w:p>
        </w:tc>
      </w:tr>
    </w:tbl>
    <w:p w14:paraId="2563970C" w14:textId="77777777" w:rsidR="00193A83" w:rsidRPr="00165E46" w:rsidRDefault="00193A83" w:rsidP="00A0218E">
      <w:pPr>
        <w:rPr>
          <w:rFonts w:cs="Arial"/>
          <w:sz w:val="22"/>
          <w:szCs w:val="22"/>
        </w:rPr>
      </w:pPr>
    </w:p>
    <w:p w14:paraId="64C3292E" w14:textId="439FB60A" w:rsidR="00B30EFF" w:rsidRPr="00165E46" w:rsidRDefault="004E7800" w:rsidP="004E7800">
      <w:pPr>
        <w:rPr>
          <w:rFonts w:cs="Arial"/>
          <w:sz w:val="22"/>
          <w:szCs w:val="22"/>
        </w:rPr>
      </w:pPr>
      <w:r w:rsidRPr="00165E46">
        <w:rPr>
          <w:rFonts w:cs="Arial"/>
          <w:sz w:val="22"/>
          <w:szCs w:val="22"/>
        </w:rPr>
        <w:t>ITQ INFORMATION</w:t>
      </w:r>
    </w:p>
    <w:p w14:paraId="309DD614" w14:textId="77777777" w:rsidR="004E7800" w:rsidRPr="00165E46" w:rsidRDefault="004E7800" w:rsidP="004E7800">
      <w:pPr>
        <w:rPr>
          <w:rFonts w:cs="Arial"/>
          <w:sz w:val="22"/>
          <w:szCs w:val="22"/>
        </w:rPr>
      </w:pPr>
    </w:p>
    <w:p w14:paraId="2E0FA74C" w14:textId="77777777" w:rsidR="00B30EFF" w:rsidRPr="00165E46" w:rsidRDefault="00B30EFF" w:rsidP="37E71891">
      <w:pPr>
        <w:pStyle w:val="ITTtable"/>
        <w:spacing w:before="0" w:after="0"/>
        <w:rPr>
          <w:rFonts w:eastAsia="Arial"/>
          <w:sz w:val="22"/>
          <w:szCs w:val="22"/>
          <w:lang w:eastAsia="en-US"/>
        </w:rPr>
      </w:pPr>
      <w:r w:rsidRPr="00165E46">
        <w:rPr>
          <w:rFonts w:eastAsia="Arial"/>
          <w:sz w:val="22"/>
          <w:szCs w:val="22"/>
          <w:lang w:eastAsia="en-US"/>
        </w:rPr>
        <w:t xml:space="preserve">The Contracting Authority(s) is utilising an electronic tendering tool to manage this Procurement and to communicate with Bidders.   Accordingly, there will be no hard copy documents issued to Bidders and all communications with the Contracting Authority(s), including the submission of Bids, will be conducted electronically via the Portal. </w:t>
      </w:r>
    </w:p>
    <w:p w14:paraId="2991E36E" w14:textId="77777777" w:rsidR="00B30EFF" w:rsidRPr="00165E46" w:rsidRDefault="00B30EFF" w:rsidP="37E71891">
      <w:pPr>
        <w:pStyle w:val="ITTnormal"/>
        <w:spacing w:before="0" w:after="0"/>
        <w:ind w:left="0"/>
        <w:rPr>
          <w:lang w:eastAsia="en-US"/>
        </w:rPr>
      </w:pPr>
    </w:p>
    <w:p w14:paraId="5CCEBE1D" w14:textId="77777777" w:rsidR="00B30EFF" w:rsidRPr="00165E46" w:rsidRDefault="00B30EFF" w:rsidP="37E71891">
      <w:pPr>
        <w:pStyle w:val="ListParagraph"/>
        <w:ind w:left="0"/>
        <w:jc w:val="both"/>
        <w:rPr>
          <w:rFonts w:eastAsia="Arial" w:cs="Arial"/>
          <w:sz w:val="22"/>
          <w:szCs w:val="22"/>
        </w:rPr>
      </w:pPr>
      <w:r w:rsidRPr="00165E46">
        <w:rPr>
          <w:rFonts w:eastAsia="Arial" w:cs="Arial"/>
          <w:sz w:val="22"/>
          <w:szCs w:val="22"/>
        </w:rPr>
        <w:t xml:space="preserve">Should Bidders have problems using the portal, they should use the dedicated help number listed on the front page of the portal.  </w:t>
      </w:r>
    </w:p>
    <w:p w14:paraId="02603F7F" w14:textId="77777777" w:rsidR="00B30EFF" w:rsidRPr="00165E46" w:rsidRDefault="00B30EFF" w:rsidP="37E71891">
      <w:pPr>
        <w:rPr>
          <w:rFonts w:eastAsia="Arial" w:cs="Arial"/>
          <w:sz w:val="22"/>
          <w:szCs w:val="22"/>
        </w:rPr>
      </w:pPr>
    </w:p>
    <w:p w14:paraId="4170A043" w14:textId="77777777" w:rsidR="00B30EFF" w:rsidRPr="00165E46" w:rsidRDefault="00B30EFF" w:rsidP="37E71891">
      <w:pPr>
        <w:rPr>
          <w:rFonts w:eastAsia="Arial" w:cs="Arial"/>
          <w:sz w:val="22"/>
          <w:szCs w:val="22"/>
        </w:rPr>
      </w:pPr>
      <w:r w:rsidRPr="00165E46">
        <w:rPr>
          <w:rFonts w:eastAsia="Arial" w:cs="Arial"/>
          <w:sz w:val="22"/>
          <w:szCs w:val="22"/>
        </w:rPr>
        <w:t>The Contracting Authority(s) shall not be obliged to appoint any of the Bidders and reserves the right not to proceed with this Procurement, or any part thereof, at any time. Nothing in this ITQ should be interpreted as a commitment to award this Procurement.</w:t>
      </w:r>
    </w:p>
    <w:p w14:paraId="18C0FBDE" w14:textId="77777777" w:rsidR="00B30EFF" w:rsidRPr="00165E46" w:rsidRDefault="00B30EFF" w:rsidP="37E71891">
      <w:pPr>
        <w:rPr>
          <w:rFonts w:eastAsia="Arial" w:cs="Arial"/>
          <w:sz w:val="22"/>
          <w:szCs w:val="22"/>
        </w:rPr>
      </w:pPr>
    </w:p>
    <w:p w14:paraId="3E8B2FBE" w14:textId="77777777" w:rsidR="00B30EFF" w:rsidRPr="00165E46" w:rsidRDefault="00B30EFF" w:rsidP="37E71891">
      <w:pPr>
        <w:rPr>
          <w:rFonts w:eastAsia="Arial" w:cs="Arial"/>
          <w:sz w:val="22"/>
          <w:szCs w:val="22"/>
        </w:rPr>
      </w:pPr>
      <w:r w:rsidRPr="00165E46">
        <w:rPr>
          <w:rFonts w:eastAsia="Arial" w:cs="Arial"/>
          <w:sz w:val="22"/>
          <w:szCs w:val="22"/>
        </w:rPr>
        <w:t>The Contract concluded as a result of this ITQ shall be governed by English law and the exclusive jurisdiction of the English Courts.</w:t>
      </w:r>
    </w:p>
    <w:p w14:paraId="7CB3596C" w14:textId="77777777" w:rsidR="00B30EFF" w:rsidRPr="00165E46" w:rsidRDefault="00B30EFF" w:rsidP="37E71891">
      <w:pPr>
        <w:rPr>
          <w:rFonts w:eastAsia="Arial" w:cs="Arial"/>
          <w:sz w:val="22"/>
          <w:szCs w:val="22"/>
        </w:rPr>
      </w:pPr>
    </w:p>
    <w:p w14:paraId="077A766E" w14:textId="77777777" w:rsidR="00B30EFF" w:rsidRPr="00165E46" w:rsidRDefault="00B30EFF" w:rsidP="37E71891">
      <w:pPr>
        <w:rPr>
          <w:rFonts w:eastAsia="Arial" w:cs="Arial"/>
          <w:sz w:val="22"/>
          <w:szCs w:val="22"/>
        </w:rPr>
      </w:pPr>
      <w:r w:rsidRPr="00165E46">
        <w:rPr>
          <w:rFonts w:eastAsia="Arial" w:cs="Arial"/>
          <w:sz w:val="22"/>
          <w:szCs w:val="22"/>
        </w:rPr>
        <w:t>The ITQ is intended for the exclusive use of the Bidder and is provided on the express understanding that the ITQ and the information contained in it, or in connection with it, will be regarded and treated as strictly confidential.  Subject to the exceptions referred to below, the contents of this ITQ are being made available by the Contracting Authority(s) on condition that:</w:t>
      </w:r>
    </w:p>
    <w:p w14:paraId="001E068C" w14:textId="77777777" w:rsidR="00B30EFF" w:rsidRPr="00165E46" w:rsidRDefault="00B30EFF" w:rsidP="37E71891">
      <w:pPr>
        <w:rPr>
          <w:rFonts w:eastAsia="Arial" w:cs="Arial"/>
          <w:sz w:val="22"/>
          <w:szCs w:val="22"/>
        </w:rPr>
      </w:pPr>
    </w:p>
    <w:p w14:paraId="1AEDDF43" w14:textId="499EF63D" w:rsidR="00B30EFF" w:rsidRPr="00165E46" w:rsidRDefault="00B30EFF" w:rsidP="00165E46">
      <w:pPr>
        <w:pStyle w:val="ListParagraph"/>
        <w:numPr>
          <w:ilvl w:val="0"/>
          <w:numId w:val="22"/>
        </w:numPr>
        <w:rPr>
          <w:rFonts w:eastAsia="Arial" w:cs="Arial"/>
          <w:sz w:val="22"/>
          <w:szCs w:val="22"/>
        </w:rPr>
      </w:pPr>
      <w:r w:rsidRPr="00165E46">
        <w:rPr>
          <w:rFonts w:eastAsia="Arial" w:cs="Arial"/>
          <w:sz w:val="22"/>
          <w:szCs w:val="22"/>
        </w:rPr>
        <w:t xml:space="preserve">Bidders shall at all times treat the contents of this ITQ and any related documents (together called the “Information”) as </w:t>
      </w:r>
      <w:r w:rsidR="00165E46" w:rsidRPr="00165E46">
        <w:rPr>
          <w:rFonts w:eastAsia="Arial" w:cs="Arial"/>
          <w:sz w:val="22"/>
          <w:szCs w:val="22"/>
        </w:rPr>
        <w:t>confidential.</w:t>
      </w:r>
    </w:p>
    <w:p w14:paraId="329ABBDF" w14:textId="77777777" w:rsidR="00B30EFF" w:rsidRPr="00165E46" w:rsidRDefault="00B30EFF" w:rsidP="37E71891">
      <w:pPr>
        <w:rPr>
          <w:rFonts w:eastAsia="Arial" w:cs="Arial"/>
          <w:sz w:val="22"/>
          <w:szCs w:val="22"/>
        </w:rPr>
      </w:pPr>
    </w:p>
    <w:p w14:paraId="75263A84" w14:textId="7869579D" w:rsidR="00B30EFF" w:rsidRPr="00165E46" w:rsidRDefault="00B30EFF" w:rsidP="00165E46">
      <w:pPr>
        <w:pStyle w:val="ListParagraph"/>
        <w:numPr>
          <w:ilvl w:val="0"/>
          <w:numId w:val="22"/>
        </w:numPr>
        <w:rPr>
          <w:rFonts w:eastAsia="Arial" w:cs="Arial"/>
          <w:sz w:val="22"/>
          <w:szCs w:val="22"/>
        </w:rPr>
      </w:pPr>
      <w:r w:rsidRPr="00165E46">
        <w:rPr>
          <w:rFonts w:eastAsia="Arial" w:cs="Arial"/>
          <w:sz w:val="22"/>
          <w:szCs w:val="22"/>
        </w:rPr>
        <w:t xml:space="preserve">Bidders shall not disclose, copy, reproduce, </w:t>
      </w:r>
      <w:r w:rsidR="00C041DD" w:rsidRPr="00165E46">
        <w:rPr>
          <w:rFonts w:eastAsia="Arial" w:cs="Arial"/>
          <w:sz w:val="22"/>
          <w:szCs w:val="22"/>
        </w:rPr>
        <w:t>distribute,</w:t>
      </w:r>
      <w:r w:rsidRPr="00165E46">
        <w:rPr>
          <w:rFonts w:eastAsia="Arial" w:cs="Arial"/>
          <w:sz w:val="22"/>
          <w:szCs w:val="22"/>
        </w:rPr>
        <w:t xml:space="preserve"> or pass any of the Information to any person at any time or allow any of these things to </w:t>
      </w:r>
      <w:r w:rsidR="00165E46" w:rsidRPr="00165E46">
        <w:rPr>
          <w:rFonts w:eastAsia="Arial" w:cs="Arial"/>
          <w:sz w:val="22"/>
          <w:szCs w:val="22"/>
        </w:rPr>
        <w:t>happen.</w:t>
      </w:r>
    </w:p>
    <w:p w14:paraId="569FD85B" w14:textId="77777777" w:rsidR="00B30EFF" w:rsidRPr="00165E46" w:rsidRDefault="00B30EFF" w:rsidP="37E71891">
      <w:pPr>
        <w:rPr>
          <w:rFonts w:eastAsia="Arial" w:cs="Arial"/>
          <w:sz w:val="22"/>
          <w:szCs w:val="22"/>
        </w:rPr>
      </w:pPr>
    </w:p>
    <w:p w14:paraId="4D3C0562" w14:textId="7B098F79" w:rsidR="00B30EFF" w:rsidRPr="00165E46" w:rsidRDefault="00B30EFF" w:rsidP="00165E46">
      <w:pPr>
        <w:pStyle w:val="ListParagraph"/>
        <w:numPr>
          <w:ilvl w:val="0"/>
          <w:numId w:val="22"/>
        </w:numPr>
        <w:rPr>
          <w:rFonts w:eastAsia="Arial" w:cs="Arial"/>
          <w:sz w:val="22"/>
          <w:szCs w:val="22"/>
        </w:rPr>
      </w:pPr>
      <w:r w:rsidRPr="00165E46">
        <w:rPr>
          <w:rFonts w:eastAsia="Arial" w:cs="Arial"/>
          <w:sz w:val="22"/>
          <w:szCs w:val="22"/>
        </w:rPr>
        <w:t>Bidders shall not use any of the Information for any purpose other than for the purposes of submitting or deciding whether to submit a Bid; and</w:t>
      </w:r>
    </w:p>
    <w:p w14:paraId="12A750C7" w14:textId="77777777" w:rsidR="00B30EFF" w:rsidRPr="00165E46" w:rsidRDefault="00B30EFF" w:rsidP="37E71891">
      <w:pPr>
        <w:rPr>
          <w:rFonts w:eastAsia="Arial" w:cs="Arial"/>
          <w:sz w:val="22"/>
          <w:szCs w:val="22"/>
        </w:rPr>
      </w:pPr>
    </w:p>
    <w:p w14:paraId="37D2A368" w14:textId="428DA83F" w:rsidR="00B30EFF" w:rsidRPr="00165E46" w:rsidRDefault="00B30EFF" w:rsidP="00165E46">
      <w:pPr>
        <w:pStyle w:val="ListParagraph"/>
        <w:numPr>
          <w:ilvl w:val="0"/>
          <w:numId w:val="22"/>
        </w:numPr>
        <w:rPr>
          <w:rFonts w:eastAsia="Arial" w:cs="Arial"/>
          <w:sz w:val="22"/>
          <w:szCs w:val="22"/>
        </w:rPr>
      </w:pPr>
      <w:r w:rsidRPr="00165E46">
        <w:rPr>
          <w:rFonts w:eastAsia="Arial" w:cs="Arial"/>
          <w:sz w:val="22"/>
          <w:szCs w:val="22"/>
        </w:rPr>
        <w:t>Bidders shall not undertake any publicity activity within any section of the media.</w:t>
      </w:r>
    </w:p>
    <w:p w14:paraId="26D3A0B4" w14:textId="77777777" w:rsidR="00B30EFF" w:rsidRPr="00165E46" w:rsidRDefault="00B30EFF" w:rsidP="37E71891">
      <w:pPr>
        <w:rPr>
          <w:rFonts w:eastAsia="Arial" w:cs="Arial"/>
          <w:sz w:val="22"/>
          <w:szCs w:val="22"/>
        </w:rPr>
      </w:pPr>
    </w:p>
    <w:p w14:paraId="1FC8DDA7" w14:textId="1E6FF011" w:rsidR="00B30EFF" w:rsidRPr="00165E46" w:rsidRDefault="00B30EFF" w:rsidP="00165E46">
      <w:pPr>
        <w:pStyle w:val="ListParagraph"/>
        <w:numPr>
          <w:ilvl w:val="0"/>
          <w:numId w:val="22"/>
        </w:numPr>
        <w:rPr>
          <w:rFonts w:eastAsia="Arial" w:cs="Arial"/>
          <w:sz w:val="22"/>
          <w:szCs w:val="22"/>
        </w:rPr>
      </w:pPr>
      <w:r w:rsidRPr="00165E46">
        <w:rPr>
          <w:rFonts w:eastAsia="Arial" w:cs="Arial"/>
          <w:sz w:val="22"/>
          <w:szCs w:val="22"/>
        </w:rPr>
        <w:t xml:space="preserve">Bidders may disclose, </w:t>
      </w:r>
      <w:r w:rsidR="00165E46" w:rsidRPr="00165E46">
        <w:rPr>
          <w:rFonts w:eastAsia="Arial" w:cs="Arial"/>
          <w:sz w:val="22"/>
          <w:szCs w:val="22"/>
        </w:rPr>
        <w:t>distribute,</w:t>
      </w:r>
      <w:r w:rsidRPr="00165E46">
        <w:rPr>
          <w:rFonts w:eastAsia="Arial" w:cs="Arial"/>
          <w:sz w:val="22"/>
          <w:szCs w:val="22"/>
        </w:rPr>
        <w:t xml:space="preserve"> or pass any of the Information to their Bidder Members provided that either:</w:t>
      </w:r>
    </w:p>
    <w:p w14:paraId="77EC1559" w14:textId="77777777" w:rsidR="00B30EFF" w:rsidRPr="00165E46" w:rsidRDefault="00B30EFF" w:rsidP="37E71891">
      <w:pPr>
        <w:rPr>
          <w:rFonts w:eastAsia="Arial" w:cs="Arial"/>
          <w:sz w:val="22"/>
          <w:szCs w:val="22"/>
        </w:rPr>
      </w:pPr>
    </w:p>
    <w:p w14:paraId="36FBF4B0" w14:textId="3CE43B2D" w:rsidR="00B30EFF" w:rsidRPr="00165E46" w:rsidRDefault="00B30EFF" w:rsidP="00165E46">
      <w:pPr>
        <w:pStyle w:val="ListParagraph"/>
        <w:numPr>
          <w:ilvl w:val="0"/>
          <w:numId w:val="22"/>
        </w:numPr>
        <w:rPr>
          <w:rFonts w:eastAsia="Arial" w:cs="Arial"/>
          <w:sz w:val="22"/>
          <w:szCs w:val="22"/>
        </w:rPr>
      </w:pPr>
      <w:r w:rsidRPr="00165E46">
        <w:rPr>
          <w:rFonts w:eastAsia="Arial" w:cs="Arial"/>
          <w:sz w:val="22"/>
          <w:szCs w:val="22"/>
        </w:rPr>
        <w:t>this is done for the sole purposes of enabling a Bid to be submitted and the person receiving the Information undertakes in writing to keep the Information confidential on the same terms as if that person were the Bidder; or</w:t>
      </w:r>
    </w:p>
    <w:p w14:paraId="7AE6D96D" w14:textId="77777777" w:rsidR="00B30EFF" w:rsidRPr="00165E46" w:rsidRDefault="00B30EFF" w:rsidP="37E71891">
      <w:pPr>
        <w:rPr>
          <w:rFonts w:eastAsia="Arial" w:cs="Arial"/>
          <w:sz w:val="22"/>
          <w:szCs w:val="22"/>
        </w:rPr>
      </w:pPr>
    </w:p>
    <w:p w14:paraId="05303478" w14:textId="1DB5E812" w:rsidR="00B30EFF" w:rsidRPr="00165E46" w:rsidRDefault="00B30EFF" w:rsidP="00165E46">
      <w:pPr>
        <w:pStyle w:val="ListParagraph"/>
        <w:numPr>
          <w:ilvl w:val="0"/>
          <w:numId w:val="22"/>
        </w:numPr>
        <w:rPr>
          <w:rFonts w:eastAsia="Arial" w:cs="Arial"/>
          <w:sz w:val="22"/>
          <w:szCs w:val="22"/>
        </w:rPr>
      </w:pPr>
      <w:r w:rsidRPr="00165E46">
        <w:rPr>
          <w:rFonts w:eastAsia="Arial" w:cs="Arial"/>
          <w:sz w:val="22"/>
          <w:szCs w:val="22"/>
        </w:rPr>
        <w:t>the Bidder obtains the prior written consent of the Contracting Authority(s) in relation to disclosure, distribution or passing of Information; or</w:t>
      </w:r>
    </w:p>
    <w:p w14:paraId="25599B77" w14:textId="77777777" w:rsidR="00B30EFF" w:rsidRPr="00165E46" w:rsidRDefault="00B30EFF" w:rsidP="37E71891">
      <w:pPr>
        <w:rPr>
          <w:rFonts w:eastAsia="Arial" w:cs="Arial"/>
          <w:sz w:val="22"/>
          <w:szCs w:val="22"/>
        </w:rPr>
      </w:pPr>
    </w:p>
    <w:p w14:paraId="79ADDCB9" w14:textId="1B491C73" w:rsidR="00B30EFF" w:rsidRPr="00165E46" w:rsidRDefault="00B30EFF" w:rsidP="00165E46">
      <w:pPr>
        <w:pStyle w:val="ListParagraph"/>
        <w:numPr>
          <w:ilvl w:val="0"/>
          <w:numId w:val="22"/>
        </w:numPr>
        <w:rPr>
          <w:rFonts w:eastAsia="Arial" w:cs="Arial"/>
          <w:sz w:val="22"/>
          <w:szCs w:val="22"/>
        </w:rPr>
      </w:pPr>
      <w:r w:rsidRPr="00165E46">
        <w:rPr>
          <w:rFonts w:eastAsia="Arial" w:cs="Arial"/>
          <w:sz w:val="22"/>
          <w:szCs w:val="22"/>
        </w:rPr>
        <w:t>the disclosure is made for the sole purpose of obtaining legal advice from external lawyers in relation to the Procurement or to any Contract arising from it; or</w:t>
      </w:r>
    </w:p>
    <w:p w14:paraId="1DF9A3C3" w14:textId="77777777" w:rsidR="00B30EFF" w:rsidRPr="00165E46" w:rsidRDefault="00B30EFF" w:rsidP="37E71891">
      <w:pPr>
        <w:rPr>
          <w:rFonts w:eastAsia="Arial" w:cs="Arial"/>
          <w:sz w:val="22"/>
          <w:szCs w:val="22"/>
        </w:rPr>
      </w:pPr>
    </w:p>
    <w:p w14:paraId="0D0C41BD" w14:textId="200F0B47" w:rsidR="00B30EFF" w:rsidRPr="00165E46" w:rsidRDefault="00B30EFF" w:rsidP="00165E46">
      <w:pPr>
        <w:pStyle w:val="ListParagraph"/>
        <w:numPr>
          <w:ilvl w:val="0"/>
          <w:numId w:val="22"/>
        </w:numPr>
        <w:rPr>
          <w:rFonts w:eastAsia="Arial" w:cs="Arial"/>
          <w:sz w:val="22"/>
          <w:szCs w:val="22"/>
        </w:rPr>
      </w:pPr>
      <w:r w:rsidRPr="00165E46">
        <w:rPr>
          <w:rFonts w:eastAsia="Arial" w:cs="Arial"/>
          <w:sz w:val="22"/>
          <w:szCs w:val="22"/>
        </w:rPr>
        <w:t>the Bidder is legally required to make such disclosure.</w:t>
      </w:r>
    </w:p>
    <w:p w14:paraId="2A42B798" w14:textId="77777777" w:rsidR="00B30EFF" w:rsidRPr="00165E46" w:rsidRDefault="00B30EFF" w:rsidP="37E71891">
      <w:pPr>
        <w:rPr>
          <w:rFonts w:eastAsia="Arial" w:cs="Arial"/>
          <w:sz w:val="22"/>
          <w:szCs w:val="22"/>
        </w:rPr>
      </w:pPr>
    </w:p>
    <w:p w14:paraId="5C8A0414" w14:textId="77777777" w:rsidR="00B30EFF" w:rsidRPr="00165E46" w:rsidRDefault="00B30EFF" w:rsidP="37E71891">
      <w:pPr>
        <w:rPr>
          <w:rFonts w:eastAsia="Arial" w:cs="Arial"/>
          <w:sz w:val="22"/>
          <w:szCs w:val="22"/>
        </w:rPr>
      </w:pPr>
      <w:r w:rsidRPr="00165E46">
        <w:rPr>
          <w:rFonts w:eastAsia="Arial" w:cs="Arial"/>
          <w:sz w:val="22"/>
          <w:szCs w:val="22"/>
        </w:rPr>
        <w:t>Upon written request from the Contracting Authority(s), Bidders shall promptly provide evidence that such undertakings have been provided.</w:t>
      </w:r>
    </w:p>
    <w:p w14:paraId="35CB6682" w14:textId="77777777" w:rsidR="00B30EFF" w:rsidRPr="00165E46" w:rsidRDefault="00B30EFF" w:rsidP="37E71891">
      <w:pPr>
        <w:rPr>
          <w:rFonts w:eastAsia="Arial" w:cs="Arial"/>
          <w:sz w:val="22"/>
          <w:szCs w:val="22"/>
        </w:rPr>
      </w:pPr>
    </w:p>
    <w:p w14:paraId="57284AA3" w14:textId="77777777" w:rsidR="00B30EFF" w:rsidRPr="00165E46" w:rsidRDefault="00B30EFF" w:rsidP="37E71891">
      <w:pPr>
        <w:rPr>
          <w:rFonts w:eastAsia="Arial" w:cs="Arial"/>
          <w:sz w:val="22"/>
          <w:szCs w:val="22"/>
        </w:rPr>
      </w:pPr>
      <w:r w:rsidRPr="00165E46">
        <w:rPr>
          <w:rFonts w:eastAsia="Arial" w:cs="Arial"/>
          <w:sz w:val="22"/>
          <w:szCs w:val="22"/>
        </w:rPr>
        <w:t>FREEDOM OF INFORMATION</w:t>
      </w:r>
    </w:p>
    <w:p w14:paraId="3FC43F02" w14:textId="77777777" w:rsidR="00B30EFF" w:rsidRPr="00165E46" w:rsidRDefault="00B30EFF" w:rsidP="37E71891">
      <w:pPr>
        <w:rPr>
          <w:rFonts w:eastAsia="Arial" w:cs="Arial"/>
          <w:sz w:val="22"/>
          <w:szCs w:val="22"/>
        </w:rPr>
      </w:pPr>
    </w:p>
    <w:p w14:paraId="66B209DD" w14:textId="77777777" w:rsidR="00B30EFF" w:rsidRPr="00165E46" w:rsidRDefault="00B30EFF" w:rsidP="37E71891">
      <w:pPr>
        <w:rPr>
          <w:rFonts w:eastAsia="Arial" w:cs="Arial"/>
          <w:sz w:val="22"/>
          <w:szCs w:val="22"/>
        </w:rPr>
      </w:pPr>
      <w:r w:rsidRPr="00165E46">
        <w:rPr>
          <w:rFonts w:eastAsia="Arial" w:cs="Arial"/>
          <w:sz w:val="22"/>
          <w:szCs w:val="22"/>
        </w:rPr>
        <w:t>In accordance with the obligations and duties placed upon public authorities by the Freedom of Information Act 2000 (the “FOIA”), the Contracting Authority(s) may, acting in accordance with the Secretary of State’s Code of Practice on the Discharge of Functions of Public Authorities under Part 1 of the said Act or the Environmental Information Regulations 2004 (the “EIR”), be required to disclose information submitted by the Bidder to the Contracting Authority(s).</w:t>
      </w:r>
    </w:p>
    <w:p w14:paraId="573150D4" w14:textId="77777777" w:rsidR="00B30EFF" w:rsidRPr="00165E46" w:rsidRDefault="00B30EFF" w:rsidP="37E71891">
      <w:pPr>
        <w:rPr>
          <w:rFonts w:eastAsia="Arial" w:cs="Arial"/>
          <w:sz w:val="22"/>
          <w:szCs w:val="22"/>
        </w:rPr>
      </w:pPr>
    </w:p>
    <w:p w14:paraId="19F6C449" w14:textId="77777777" w:rsidR="00B30EFF" w:rsidRPr="00165E46" w:rsidRDefault="00B30EFF" w:rsidP="37E71891">
      <w:pPr>
        <w:rPr>
          <w:rFonts w:eastAsia="Arial" w:cs="Arial"/>
          <w:sz w:val="22"/>
          <w:szCs w:val="22"/>
        </w:rPr>
      </w:pPr>
      <w:r w:rsidRPr="00165E46">
        <w:rPr>
          <w:rFonts w:eastAsia="Arial" w:cs="Arial"/>
          <w:sz w:val="22"/>
          <w:szCs w:val="22"/>
        </w:rPr>
        <w:t>In respect of any information submitted by a Bidder that it considers commercially sensitive, the Bidder should complete and submit an additional Word document to:</w:t>
      </w:r>
    </w:p>
    <w:p w14:paraId="2AD4F43F" w14:textId="77777777" w:rsidR="00B30EFF" w:rsidRPr="00165E46" w:rsidRDefault="00B30EFF" w:rsidP="37E71891">
      <w:pPr>
        <w:rPr>
          <w:rFonts w:eastAsia="Arial" w:cs="Arial"/>
          <w:sz w:val="22"/>
          <w:szCs w:val="22"/>
        </w:rPr>
      </w:pPr>
    </w:p>
    <w:p w14:paraId="46AAD28D" w14:textId="50396784" w:rsidR="00B30EFF" w:rsidRPr="00165E46" w:rsidRDefault="00B30EFF" w:rsidP="00165E46">
      <w:pPr>
        <w:pStyle w:val="ListParagraph"/>
        <w:numPr>
          <w:ilvl w:val="0"/>
          <w:numId w:val="24"/>
        </w:numPr>
        <w:rPr>
          <w:rFonts w:eastAsia="Arial" w:cs="Arial"/>
          <w:sz w:val="22"/>
          <w:szCs w:val="22"/>
        </w:rPr>
      </w:pPr>
      <w:r w:rsidRPr="00165E46">
        <w:rPr>
          <w:rFonts w:eastAsia="Arial" w:cs="Arial"/>
          <w:sz w:val="22"/>
          <w:szCs w:val="22"/>
        </w:rPr>
        <w:t xml:space="preserve">clearly identify such information as commercially </w:t>
      </w:r>
      <w:r w:rsidR="00165E46" w:rsidRPr="00165E46">
        <w:rPr>
          <w:rFonts w:eastAsia="Arial" w:cs="Arial"/>
          <w:sz w:val="22"/>
          <w:szCs w:val="22"/>
        </w:rPr>
        <w:t>sensitive.</w:t>
      </w:r>
    </w:p>
    <w:p w14:paraId="225C57DF" w14:textId="77777777" w:rsidR="00B30EFF" w:rsidRPr="00165E46" w:rsidRDefault="00B30EFF" w:rsidP="37E71891">
      <w:pPr>
        <w:rPr>
          <w:rFonts w:eastAsia="Arial" w:cs="Arial"/>
          <w:sz w:val="22"/>
          <w:szCs w:val="22"/>
        </w:rPr>
      </w:pPr>
    </w:p>
    <w:p w14:paraId="4BA3C806" w14:textId="78ADB03F" w:rsidR="00B30EFF" w:rsidRPr="00165E46" w:rsidRDefault="00B30EFF" w:rsidP="00165E46">
      <w:pPr>
        <w:pStyle w:val="ListParagraph"/>
        <w:numPr>
          <w:ilvl w:val="0"/>
          <w:numId w:val="24"/>
        </w:numPr>
        <w:rPr>
          <w:rFonts w:eastAsia="Arial" w:cs="Arial"/>
          <w:sz w:val="22"/>
          <w:szCs w:val="22"/>
        </w:rPr>
      </w:pPr>
      <w:r w:rsidRPr="00165E46">
        <w:rPr>
          <w:rFonts w:eastAsia="Arial" w:cs="Arial"/>
          <w:sz w:val="22"/>
          <w:szCs w:val="22"/>
        </w:rPr>
        <w:t xml:space="preserve">explain the potential </w:t>
      </w:r>
      <w:r w:rsidR="00165E46" w:rsidRPr="00165E46">
        <w:rPr>
          <w:rFonts w:eastAsia="Arial" w:cs="Arial"/>
          <w:sz w:val="22"/>
          <w:szCs w:val="22"/>
        </w:rPr>
        <w:t>implications of</w:t>
      </w:r>
      <w:r w:rsidRPr="00165E46">
        <w:rPr>
          <w:rFonts w:eastAsia="Arial" w:cs="Arial"/>
          <w:sz w:val="22"/>
          <w:szCs w:val="22"/>
        </w:rPr>
        <w:t xml:space="preserve"> disclosure of such information; and</w:t>
      </w:r>
    </w:p>
    <w:p w14:paraId="653D68FE" w14:textId="77777777" w:rsidR="00B30EFF" w:rsidRPr="00165E46" w:rsidRDefault="00B30EFF" w:rsidP="37E71891">
      <w:pPr>
        <w:rPr>
          <w:rFonts w:eastAsia="Arial" w:cs="Arial"/>
          <w:sz w:val="22"/>
          <w:szCs w:val="22"/>
        </w:rPr>
      </w:pPr>
    </w:p>
    <w:p w14:paraId="7FF1B7CE" w14:textId="659E0E1B" w:rsidR="00B30EFF" w:rsidRPr="00165E46" w:rsidRDefault="00B30EFF" w:rsidP="00165E46">
      <w:pPr>
        <w:pStyle w:val="ListParagraph"/>
        <w:numPr>
          <w:ilvl w:val="0"/>
          <w:numId w:val="24"/>
        </w:numPr>
        <w:rPr>
          <w:rFonts w:eastAsia="Arial" w:cs="Arial"/>
          <w:sz w:val="22"/>
          <w:szCs w:val="22"/>
        </w:rPr>
      </w:pPr>
      <w:r w:rsidRPr="00165E46">
        <w:rPr>
          <w:rFonts w:eastAsia="Arial" w:cs="Arial"/>
          <w:sz w:val="22"/>
          <w:szCs w:val="22"/>
        </w:rPr>
        <w:t>provide an estimate of the period of time during which the Bidder believes that such information will remain commercially sensitive.</w:t>
      </w:r>
    </w:p>
    <w:p w14:paraId="77254A60" w14:textId="77777777" w:rsidR="00B30EFF" w:rsidRPr="00165E46" w:rsidRDefault="00B30EFF" w:rsidP="37E71891">
      <w:pPr>
        <w:rPr>
          <w:rFonts w:eastAsia="Arial" w:cs="Arial"/>
          <w:sz w:val="22"/>
          <w:szCs w:val="22"/>
        </w:rPr>
      </w:pPr>
    </w:p>
    <w:p w14:paraId="6CA33E7B" w14:textId="77777777" w:rsidR="00B30EFF" w:rsidRPr="00165E46" w:rsidRDefault="00B30EFF" w:rsidP="37E71891">
      <w:pPr>
        <w:rPr>
          <w:rFonts w:eastAsia="Arial" w:cs="Arial"/>
          <w:sz w:val="22"/>
          <w:szCs w:val="22"/>
        </w:rPr>
      </w:pPr>
      <w:r w:rsidRPr="00165E46">
        <w:rPr>
          <w:rFonts w:eastAsia="Arial" w:cs="Arial"/>
          <w:sz w:val="22"/>
          <w:szCs w:val="22"/>
        </w:rPr>
        <w:t xml:space="preserve">Where a Bidder identifies information as commercially sensitive, the Contracting Authority(s) will endeavour to maintain confidentiality.   Bidders should note however, that, even where information is identified as commercially sensitive, the Contracting Authority(s) may be required to disclose such information in accordance with the FOIA or EIR. In particular, the Contracting Authority(s) is required to form an independent judgement concerning whether the information is exempt from disclosure under the FOIA or the EIR and whether the public interest favours disclosure or not. Accordingly, the Contracting Authority(s) cannot guarantee that any information marked ‘confidential’ or ‘commercially sensitive’ will not be disclosed. </w:t>
      </w:r>
    </w:p>
    <w:p w14:paraId="4DA0ED64" w14:textId="77777777" w:rsidR="00B30EFF" w:rsidRPr="00165E46" w:rsidRDefault="00B30EFF" w:rsidP="37E71891">
      <w:pPr>
        <w:rPr>
          <w:rFonts w:eastAsia="Arial" w:cs="Arial"/>
          <w:sz w:val="22"/>
          <w:szCs w:val="22"/>
        </w:rPr>
      </w:pPr>
    </w:p>
    <w:p w14:paraId="31C00725" w14:textId="77777777" w:rsidR="00B30EFF" w:rsidRPr="00165E46" w:rsidRDefault="00B30EFF" w:rsidP="37E71891">
      <w:pPr>
        <w:rPr>
          <w:rFonts w:eastAsia="Arial" w:cs="Arial"/>
          <w:sz w:val="22"/>
          <w:szCs w:val="22"/>
        </w:rPr>
      </w:pPr>
      <w:r w:rsidRPr="00165E46">
        <w:rPr>
          <w:rFonts w:eastAsia="Arial" w:cs="Arial"/>
          <w:sz w:val="22"/>
          <w:szCs w:val="22"/>
        </w:rPr>
        <w:t>Where a Bidder receives a request for information under the FOIA or the EIR during the Procurement process, this should be immediately passed onto the Contracting Authority(s) and the Bidder should not attempt to answer the request without first consulting with the Contracting Authority.</w:t>
      </w:r>
    </w:p>
    <w:p w14:paraId="2EDEECE9" w14:textId="77777777" w:rsidR="00B30EFF" w:rsidRPr="00165E46" w:rsidRDefault="00B30EFF" w:rsidP="37E71891">
      <w:pPr>
        <w:rPr>
          <w:rFonts w:eastAsia="Arial" w:cs="Arial"/>
          <w:sz w:val="22"/>
          <w:szCs w:val="22"/>
        </w:rPr>
      </w:pPr>
    </w:p>
    <w:p w14:paraId="393371A6" w14:textId="77777777" w:rsidR="00B30EFF" w:rsidRPr="00165E46" w:rsidRDefault="00B30EFF" w:rsidP="37E71891">
      <w:pPr>
        <w:rPr>
          <w:rFonts w:eastAsia="Arial" w:cs="Arial"/>
          <w:sz w:val="22"/>
          <w:szCs w:val="22"/>
        </w:rPr>
      </w:pPr>
      <w:r w:rsidRPr="00165E46">
        <w:rPr>
          <w:rFonts w:eastAsia="Arial" w:cs="Arial"/>
          <w:sz w:val="22"/>
          <w:szCs w:val="22"/>
        </w:rPr>
        <w:t>CANVASSING</w:t>
      </w:r>
    </w:p>
    <w:p w14:paraId="059BC054" w14:textId="77777777" w:rsidR="00B30EFF" w:rsidRPr="00165E46" w:rsidRDefault="00B30EFF" w:rsidP="37E71891">
      <w:pPr>
        <w:rPr>
          <w:rFonts w:eastAsia="Arial" w:cs="Arial"/>
          <w:sz w:val="22"/>
          <w:szCs w:val="22"/>
        </w:rPr>
      </w:pPr>
    </w:p>
    <w:p w14:paraId="432E13E2" w14:textId="77777777" w:rsidR="00B30EFF" w:rsidRPr="00165E46" w:rsidRDefault="00B30EFF" w:rsidP="37E71891">
      <w:pPr>
        <w:rPr>
          <w:rFonts w:eastAsia="Arial" w:cs="Arial"/>
          <w:sz w:val="22"/>
          <w:szCs w:val="22"/>
        </w:rPr>
      </w:pPr>
      <w:r w:rsidRPr="00165E46">
        <w:rPr>
          <w:rFonts w:eastAsia="Arial" w:cs="Arial"/>
          <w:sz w:val="22"/>
          <w:szCs w:val="22"/>
        </w:rPr>
        <w:t>The Contracting Authority(s) reserves the right to disqualify (without prejudice to any other civil remedies available to the Contracting Authority(s) and without prejudice to any criminal liability which such conduct by a Bidder or any of their Bidder Members may attract) any Bidder or Bidder Member who, in connection with this ITQ:</w:t>
      </w:r>
    </w:p>
    <w:p w14:paraId="59BD95DF" w14:textId="77777777" w:rsidR="00B30EFF" w:rsidRPr="00165E46" w:rsidRDefault="00B30EFF" w:rsidP="37E71891">
      <w:pPr>
        <w:rPr>
          <w:rFonts w:eastAsia="Arial" w:cs="Arial"/>
          <w:sz w:val="22"/>
          <w:szCs w:val="22"/>
        </w:rPr>
      </w:pPr>
    </w:p>
    <w:p w14:paraId="592B84DF" w14:textId="1D32A5E0" w:rsidR="00B30EFF" w:rsidRPr="00165E46" w:rsidRDefault="00B30EFF" w:rsidP="00165E46">
      <w:pPr>
        <w:pStyle w:val="ListParagraph"/>
        <w:numPr>
          <w:ilvl w:val="0"/>
          <w:numId w:val="26"/>
        </w:numPr>
        <w:rPr>
          <w:rFonts w:eastAsia="Arial" w:cs="Arial"/>
          <w:sz w:val="22"/>
          <w:szCs w:val="22"/>
        </w:rPr>
      </w:pPr>
      <w:r w:rsidRPr="00165E46">
        <w:rPr>
          <w:rFonts w:eastAsia="Arial" w:cs="Arial"/>
          <w:sz w:val="22"/>
          <w:szCs w:val="22"/>
        </w:rPr>
        <w:t xml:space="preserve">offers any inducement, fee or reward to any representatives or advisors </w:t>
      </w:r>
      <w:r w:rsidR="00165E46" w:rsidRPr="00165E46">
        <w:rPr>
          <w:rFonts w:eastAsia="Arial" w:cs="Arial"/>
          <w:sz w:val="22"/>
          <w:szCs w:val="22"/>
        </w:rPr>
        <w:t>of the</w:t>
      </w:r>
      <w:r w:rsidRPr="00165E46">
        <w:rPr>
          <w:rFonts w:eastAsia="Arial" w:cs="Arial"/>
          <w:sz w:val="22"/>
          <w:szCs w:val="22"/>
        </w:rPr>
        <w:t xml:space="preserve"> Contracting Authority(s</w:t>
      </w:r>
      <w:r w:rsidR="00C041DD" w:rsidRPr="00165E46">
        <w:rPr>
          <w:rFonts w:eastAsia="Arial" w:cs="Arial"/>
          <w:sz w:val="22"/>
          <w:szCs w:val="22"/>
        </w:rPr>
        <w:t>).</w:t>
      </w:r>
    </w:p>
    <w:p w14:paraId="75953853" w14:textId="77777777" w:rsidR="00B30EFF" w:rsidRPr="00165E46" w:rsidRDefault="00B30EFF" w:rsidP="37E71891">
      <w:pPr>
        <w:rPr>
          <w:rFonts w:eastAsia="Arial" w:cs="Arial"/>
          <w:sz w:val="22"/>
          <w:szCs w:val="22"/>
        </w:rPr>
      </w:pPr>
    </w:p>
    <w:p w14:paraId="789EB5C5" w14:textId="1858F458" w:rsidR="00B30EFF" w:rsidRPr="00165E46" w:rsidRDefault="00B30EFF" w:rsidP="00165E46">
      <w:pPr>
        <w:pStyle w:val="ListParagraph"/>
        <w:numPr>
          <w:ilvl w:val="0"/>
          <w:numId w:val="26"/>
        </w:numPr>
        <w:rPr>
          <w:rFonts w:eastAsia="Arial" w:cs="Arial"/>
          <w:sz w:val="22"/>
          <w:szCs w:val="22"/>
        </w:rPr>
      </w:pPr>
      <w:r w:rsidRPr="00165E46">
        <w:rPr>
          <w:rFonts w:eastAsia="Arial" w:cs="Arial"/>
          <w:sz w:val="22"/>
          <w:szCs w:val="22"/>
        </w:rPr>
        <w:lastRenderedPageBreak/>
        <w:t xml:space="preserve">does anything which would constitute a breach of the Bribery Act </w:t>
      </w:r>
      <w:r w:rsidR="00165E46" w:rsidRPr="00165E46">
        <w:rPr>
          <w:rFonts w:eastAsia="Arial" w:cs="Arial"/>
          <w:sz w:val="22"/>
          <w:szCs w:val="22"/>
        </w:rPr>
        <w:t>2010.</w:t>
      </w:r>
      <w:r w:rsidRPr="00165E46">
        <w:rPr>
          <w:rFonts w:eastAsia="Arial" w:cs="Arial"/>
          <w:sz w:val="22"/>
          <w:szCs w:val="22"/>
        </w:rPr>
        <w:t xml:space="preserve"> </w:t>
      </w:r>
    </w:p>
    <w:p w14:paraId="7BB03CE0" w14:textId="77777777" w:rsidR="00B30EFF" w:rsidRPr="00165E46" w:rsidRDefault="00B30EFF" w:rsidP="37E71891">
      <w:pPr>
        <w:rPr>
          <w:rFonts w:eastAsia="Arial" w:cs="Arial"/>
          <w:sz w:val="22"/>
          <w:szCs w:val="22"/>
        </w:rPr>
      </w:pPr>
    </w:p>
    <w:p w14:paraId="331C5663" w14:textId="43DC13D8" w:rsidR="00B30EFF" w:rsidRPr="00165E46" w:rsidRDefault="00B30EFF" w:rsidP="00165E46">
      <w:pPr>
        <w:pStyle w:val="ListParagraph"/>
        <w:numPr>
          <w:ilvl w:val="0"/>
          <w:numId w:val="26"/>
        </w:numPr>
        <w:rPr>
          <w:rFonts w:eastAsia="Arial" w:cs="Arial"/>
          <w:sz w:val="22"/>
          <w:szCs w:val="22"/>
        </w:rPr>
      </w:pPr>
      <w:r w:rsidRPr="00165E46">
        <w:rPr>
          <w:rFonts w:eastAsia="Arial" w:cs="Arial"/>
          <w:sz w:val="22"/>
          <w:szCs w:val="22"/>
        </w:rPr>
        <w:t>canvasses any of the persons referred to above in connection with this ITQ; or</w:t>
      </w:r>
    </w:p>
    <w:p w14:paraId="612AD4ED" w14:textId="77777777" w:rsidR="00B30EFF" w:rsidRPr="00165E46" w:rsidRDefault="00B30EFF" w:rsidP="37E71891">
      <w:pPr>
        <w:rPr>
          <w:rFonts w:eastAsia="Arial" w:cs="Arial"/>
          <w:sz w:val="22"/>
          <w:szCs w:val="22"/>
        </w:rPr>
      </w:pPr>
    </w:p>
    <w:p w14:paraId="43377472" w14:textId="327DC396" w:rsidR="00B30EFF" w:rsidRPr="00165E46" w:rsidRDefault="00B30EFF" w:rsidP="00165E46">
      <w:pPr>
        <w:pStyle w:val="ListParagraph"/>
        <w:numPr>
          <w:ilvl w:val="0"/>
          <w:numId w:val="26"/>
        </w:numPr>
        <w:rPr>
          <w:rFonts w:eastAsia="Arial" w:cs="Arial"/>
          <w:sz w:val="22"/>
          <w:szCs w:val="22"/>
        </w:rPr>
      </w:pPr>
      <w:r w:rsidRPr="00165E46">
        <w:rPr>
          <w:rFonts w:eastAsia="Arial" w:cs="Arial"/>
          <w:sz w:val="22"/>
          <w:szCs w:val="22"/>
        </w:rPr>
        <w:t>contacts any of the persons referred to above prior to conclusion of the Contract with the Recommended Bidder about any aspect of the ITQ in a manner not permitted by this ITQ (including without limitation contact for the purposes of discussing the possible transfer to the employment of the Bidder of such person).</w:t>
      </w:r>
    </w:p>
    <w:p w14:paraId="417B05EB" w14:textId="77777777" w:rsidR="00B30EFF" w:rsidRPr="00165E46" w:rsidRDefault="00B30EFF" w:rsidP="37E71891">
      <w:pPr>
        <w:rPr>
          <w:rFonts w:eastAsia="Arial" w:cs="Arial"/>
          <w:sz w:val="22"/>
          <w:szCs w:val="22"/>
        </w:rPr>
      </w:pPr>
    </w:p>
    <w:p w14:paraId="279ECD4F" w14:textId="77777777" w:rsidR="00B30EFF" w:rsidRPr="00165E46" w:rsidRDefault="00B30EFF" w:rsidP="37E71891">
      <w:pPr>
        <w:rPr>
          <w:rFonts w:eastAsia="Arial" w:cs="Arial"/>
          <w:sz w:val="22"/>
          <w:szCs w:val="22"/>
        </w:rPr>
      </w:pPr>
      <w:r w:rsidRPr="00165E46">
        <w:rPr>
          <w:rFonts w:eastAsia="Arial" w:cs="Arial"/>
          <w:sz w:val="22"/>
          <w:szCs w:val="22"/>
        </w:rPr>
        <w:t>Other than where specifically permitted by this ITQ, no attempt should be made to contact the Contracting Authority’s project team office, nor to contact the Contracting Authority(s) or the Contracting Authority’s advisers as part of this Procurement.  Contact for the purposes of this section includes in person, telephone, e-mail, written or other communication.  Any enquiries made to persons other than the Contracting Authority(s) project team will be regarded as prima facie evidence of canvassing.</w:t>
      </w:r>
    </w:p>
    <w:p w14:paraId="12370760" w14:textId="77777777" w:rsidR="00B30EFF" w:rsidRPr="00165E46" w:rsidRDefault="00B30EFF" w:rsidP="37E71891">
      <w:pPr>
        <w:rPr>
          <w:rFonts w:eastAsia="Arial" w:cs="Arial"/>
          <w:sz w:val="22"/>
          <w:szCs w:val="22"/>
        </w:rPr>
      </w:pPr>
    </w:p>
    <w:p w14:paraId="64229FC6" w14:textId="77777777" w:rsidR="00B30EFF" w:rsidRPr="00165E46" w:rsidRDefault="00B30EFF" w:rsidP="37E71891">
      <w:pPr>
        <w:rPr>
          <w:rFonts w:eastAsia="Arial" w:cs="Arial"/>
          <w:sz w:val="22"/>
          <w:szCs w:val="22"/>
        </w:rPr>
      </w:pPr>
    </w:p>
    <w:p w14:paraId="1F586E16" w14:textId="54C0BBAE" w:rsidR="00B30EFF" w:rsidRPr="00165E46" w:rsidRDefault="00C041DD" w:rsidP="37E71891">
      <w:pPr>
        <w:rPr>
          <w:rFonts w:eastAsia="Arial" w:cs="Arial"/>
          <w:sz w:val="22"/>
          <w:szCs w:val="22"/>
        </w:rPr>
      </w:pPr>
      <w:r w:rsidRPr="00165E46">
        <w:rPr>
          <w:rFonts w:eastAsia="Arial" w:cs="Arial"/>
          <w:sz w:val="22"/>
          <w:szCs w:val="22"/>
        </w:rPr>
        <w:t>NON-COLLUSION</w:t>
      </w:r>
    </w:p>
    <w:p w14:paraId="1E83FED6" w14:textId="77777777" w:rsidR="00B30EFF" w:rsidRPr="00165E46" w:rsidRDefault="00B30EFF" w:rsidP="37E71891">
      <w:pPr>
        <w:rPr>
          <w:rFonts w:eastAsia="Arial" w:cs="Arial"/>
          <w:sz w:val="22"/>
          <w:szCs w:val="22"/>
        </w:rPr>
      </w:pPr>
    </w:p>
    <w:p w14:paraId="48D41E1A" w14:textId="77777777" w:rsidR="00B30EFF" w:rsidRPr="00165E46" w:rsidRDefault="00B30EFF" w:rsidP="37E71891">
      <w:pPr>
        <w:rPr>
          <w:rFonts w:eastAsia="Arial" w:cs="Arial"/>
          <w:sz w:val="22"/>
          <w:szCs w:val="22"/>
        </w:rPr>
      </w:pPr>
      <w:r w:rsidRPr="00165E46">
        <w:rPr>
          <w:rFonts w:eastAsia="Arial" w:cs="Arial"/>
          <w:sz w:val="22"/>
          <w:szCs w:val="22"/>
        </w:rPr>
        <w:t>The Contracting Authority(s) reserves the right to disqualify (without prejudice to any other civil remedies available to them and without prejudice to any criminal liability which such conduct by a Bidder may attract) any Bidder or Bidder Member who, in connection with this ITQ:</w:t>
      </w:r>
    </w:p>
    <w:p w14:paraId="0C93946E" w14:textId="77777777" w:rsidR="00B30EFF" w:rsidRPr="00165E46" w:rsidRDefault="00B30EFF" w:rsidP="37E71891">
      <w:pPr>
        <w:rPr>
          <w:rFonts w:eastAsia="Arial" w:cs="Arial"/>
          <w:sz w:val="22"/>
          <w:szCs w:val="22"/>
        </w:rPr>
      </w:pPr>
    </w:p>
    <w:p w14:paraId="14B1F04B" w14:textId="4C7D97B8" w:rsidR="00B30EFF" w:rsidRPr="00165E46" w:rsidRDefault="00B30EFF" w:rsidP="00165E46">
      <w:pPr>
        <w:pStyle w:val="ListParagraph"/>
        <w:numPr>
          <w:ilvl w:val="0"/>
          <w:numId w:val="28"/>
        </w:numPr>
        <w:rPr>
          <w:rFonts w:eastAsia="Arial" w:cs="Arial"/>
          <w:sz w:val="22"/>
          <w:szCs w:val="22"/>
        </w:rPr>
      </w:pPr>
      <w:r w:rsidRPr="00165E46">
        <w:rPr>
          <w:rFonts w:eastAsia="Arial" w:cs="Arial"/>
          <w:sz w:val="22"/>
          <w:szCs w:val="22"/>
        </w:rPr>
        <w:t>fixes or adjusts the amount of their Bid by or in accordance with any agreement or arrangement with any other Bidder or Bidder Member of another Bidder (other than a Bidder’s own Bidder Members); or</w:t>
      </w:r>
    </w:p>
    <w:p w14:paraId="095C26CB" w14:textId="77777777" w:rsidR="00B30EFF" w:rsidRPr="00165E46" w:rsidRDefault="00B30EFF" w:rsidP="37E71891">
      <w:pPr>
        <w:rPr>
          <w:rFonts w:eastAsia="Arial" w:cs="Arial"/>
          <w:sz w:val="22"/>
          <w:szCs w:val="22"/>
        </w:rPr>
      </w:pPr>
    </w:p>
    <w:p w14:paraId="2F490068" w14:textId="16972355" w:rsidR="00B30EFF" w:rsidRPr="00165E46" w:rsidRDefault="00B30EFF" w:rsidP="00165E46">
      <w:pPr>
        <w:pStyle w:val="ListParagraph"/>
        <w:numPr>
          <w:ilvl w:val="0"/>
          <w:numId w:val="28"/>
        </w:numPr>
        <w:rPr>
          <w:rFonts w:eastAsia="Arial" w:cs="Arial"/>
          <w:sz w:val="22"/>
          <w:szCs w:val="22"/>
        </w:rPr>
      </w:pPr>
      <w:r w:rsidRPr="00165E46">
        <w:rPr>
          <w:rFonts w:eastAsia="Arial" w:cs="Arial"/>
          <w:sz w:val="22"/>
          <w:szCs w:val="22"/>
        </w:rPr>
        <w:t>enters into any agreement or arrangement with any other Bidder or Bidder Member of another Bidder to the effect that they shall refrain from submitting a Bid or as to the amount of any Bid to be submitted; or</w:t>
      </w:r>
    </w:p>
    <w:p w14:paraId="1EA15446" w14:textId="77777777" w:rsidR="00B30EFF" w:rsidRPr="00165E46" w:rsidRDefault="00B30EFF" w:rsidP="37E71891">
      <w:pPr>
        <w:rPr>
          <w:rFonts w:eastAsia="Arial" w:cs="Arial"/>
          <w:sz w:val="22"/>
          <w:szCs w:val="22"/>
        </w:rPr>
      </w:pPr>
    </w:p>
    <w:p w14:paraId="2E2AC7A4" w14:textId="2696E668" w:rsidR="00B30EFF" w:rsidRPr="00165E46" w:rsidRDefault="00B30EFF" w:rsidP="00165E46">
      <w:pPr>
        <w:pStyle w:val="ListParagraph"/>
        <w:numPr>
          <w:ilvl w:val="0"/>
          <w:numId w:val="28"/>
        </w:numPr>
        <w:rPr>
          <w:rFonts w:eastAsia="Arial" w:cs="Arial"/>
          <w:sz w:val="22"/>
          <w:szCs w:val="22"/>
        </w:rPr>
      </w:pPr>
      <w:r w:rsidRPr="00165E46">
        <w:rPr>
          <w:rFonts w:eastAsia="Arial" w:cs="Arial"/>
          <w:sz w:val="22"/>
          <w:szCs w:val="22"/>
        </w:rPr>
        <w:t>offers or agrees to pay or give or does pay any sum or sums of money, inducement or valuable consideration directly or indirectly to any party for doing or having done or causing or having caused to be done in relation to any other Bid or proposed Bid, any act of omission (without prejudice to any other civil remedies available to the Contracting Authority(s) and without prejudice to any criminal liability which such conduct by a Bidder or Bidder Member may attract) relating to any other Bid or proposed Bid for this requirement; or</w:t>
      </w:r>
    </w:p>
    <w:p w14:paraId="3A39999F" w14:textId="77777777" w:rsidR="00B30EFF" w:rsidRPr="00165E46" w:rsidRDefault="00B30EFF" w:rsidP="37E71891">
      <w:pPr>
        <w:rPr>
          <w:rFonts w:eastAsia="Arial" w:cs="Arial"/>
          <w:sz w:val="22"/>
          <w:szCs w:val="22"/>
        </w:rPr>
      </w:pPr>
    </w:p>
    <w:p w14:paraId="4EC747B2" w14:textId="78FA0159" w:rsidR="00B30EFF" w:rsidRPr="00165E46" w:rsidRDefault="00B30EFF" w:rsidP="00165E46">
      <w:pPr>
        <w:pStyle w:val="ListParagraph"/>
        <w:numPr>
          <w:ilvl w:val="0"/>
          <w:numId w:val="28"/>
        </w:numPr>
        <w:rPr>
          <w:rFonts w:eastAsia="Arial" w:cs="Arial"/>
          <w:sz w:val="22"/>
          <w:szCs w:val="22"/>
        </w:rPr>
      </w:pPr>
      <w:r w:rsidRPr="00165E46">
        <w:rPr>
          <w:rFonts w:eastAsia="Arial" w:cs="Arial"/>
          <w:sz w:val="22"/>
          <w:szCs w:val="22"/>
        </w:rPr>
        <w:t>causes or induces any person to enter such agreement as is mentioned in either paragraph (a) or (b) or to inform the Bidder or Bidder Member of the amount or approximate amount of any rival Bid; or</w:t>
      </w:r>
    </w:p>
    <w:p w14:paraId="4E1656D3" w14:textId="77777777" w:rsidR="00B30EFF" w:rsidRPr="00165E46" w:rsidRDefault="00B30EFF" w:rsidP="37E71891">
      <w:pPr>
        <w:rPr>
          <w:rFonts w:eastAsia="Arial" w:cs="Arial"/>
          <w:sz w:val="22"/>
          <w:szCs w:val="22"/>
        </w:rPr>
      </w:pPr>
    </w:p>
    <w:p w14:paraId="4A0DAA5A" w14:textId="229DEABE" w:rsidR="00B30EFF" w:rsidRPr="00165E46" w:rsidRDefault="00B30EFF" w:rsidP="00165E46">
      <w:pPr>
        <w:pStyle w:val="ListParagraph"/>
        <w:numPr>
          <w:ilvl w:val="0"/>
          <w:numId w:val="28"/>
        </w:numPr>
        <w:rPr>
          <w:rFonts w:eastAsia="Arial" w:cs="Arial"/>
          <w:sz w:val="22"/>
          <w:szCs w:val="22"/>
        </w:rPr>
      </w:pPr>
      <w:r w:rsidRPr="00165E46">
        <w:rPr>
          <w:rFonts w:eastAsia="Arial" w:cs="Arial"/>
          <w:sz w:val="22"/>
          <w:szCs w:val="22"/>
        </w:rPr>
        <w:t xml:space="preserve">canvasses any of the persons referred to in </w:t>
      </w:r>
      <w:r w:rsidR="003E76D4" w:rsidRPr="00165E46">
        <w:rPr>
          <w:rFonts w:eastAsia="Arial" w:cs="Arial"/>
          <w:sz w:val="22"/>
          <w:szCs w:val="22"/>
        </w:rPr>
        <w:t xml:space="preserve">the </w:t>
      </w:r>
      <w:r w:rsidRPr="00165E46">
        <w:rPr>
          <w:rFonts w:eastAsia="Arial" w:cs="Arial"/>
          <w:sz w:val="22"/>
          <w:szCs w:val="22"/>
        </w:rPr>
        <w:t>paragraph (Canvassing) in connection with this ITQ; or</w:t>
      </w:r>
    </w:p>
    <w:p w14:paraId="094D2666" w14:textId="77777777" w:rsidR="00B30EFF" w:rsidRPr="00165E46" w:rsidRDefault="00B30EFF" w:rsidP="37E71891">
      <w:pPr>
        <w:rPr>
          <w:rFonts w:eastAsia="Arial" w:cs="Arial"/>
          <w:sz w:val="22"/>
          <w:szCs w:val="22"/>
        </w:rPr>
      </w:pPr>
    </w:p>
    <w:p w14:paraId="629A528C" w14:textId="08D62700" w:rsidR="00AB3F98" w:rsidRPr="00165E46" w:rsidRDefault="00B30EFF" w:rsidP="00165E46">
      <w:pPr>
        <w:pStyle w:val="ListParagraph"/>
        <w:numPr>
          <w:ilvl w:val="0"/>
          <w:numId w:val="28"/>
        </w:numPr>
        <w:rPr>
          <w:rFonts w:eastAsia="Arial" w:cs="Arial"/>
          <w:sz w:val="22"/>
          <w:szCs w:val="22"/>
        </w:rPr>
      </w:pPr>
      <w:r w:rsidRPr="00165E46">
        <w:rPr>
          <w:rFonts w:eastAsia="Arial" w:cs="Arial"/>
          <w:sz w:val="22"/>
          <w:szCs w:val="22"/>
        </w:rPr>
        <w:t>communicates to any party other than the Contracting Authority(s), the amount or approximate amount of its proposed Bid or information which would enable the amount or approximate amount to be calculated (except where such disclosure is made in confidence in order to obtain quotations necessary for the preparation of the Bid or insurance or any necessary security).</w:t>
      </w:r>
    </w:p>
    <w:p w14:paraId="555DAEBB" w14:textId="77777777" w:rsidR="00AB3F98" w:rsidRPr="00165E46" w:rsidRDefault="00AB3F98" w:rsidP="37E71891">
      <w:pPr>
        <w:rPr>
          <w:rFonts w:eastAsia="Arial" w:cs="Arial"/>
          <w:sz w:val="22"/>
          <w:szCs w:val="22"/>
        </w:rPr>
      </w:pPr>
    </w:p>
    <w:p w14:paraId="06052F07" w14:textId="77777777" w:rsidR="00AB3F98" w:rsidRPr="00165E46" w:rsidRDefault="00AB3F98" w:rsidP="37E71891">
      <w:pPr>
        <w:rPr>
          <w:rFonts w:eastAsia="Arial" w:cs="Arial"/>
          <w:sz w:val="22"/>
          <w:szCs w:val="22"/>
        </w:rPr>
      </w:pPr>
    </w:p>
    <w:p w14:paraId="46EAB3F0" w14:textId="77777777" w:rsidR="00B30EFF" w:rsidRPr="00165E46" w:rsidRDefault="00B30EFF" w:rsidP="37E71891">
      <w:pPr>
        <w:rPr>
          <w:rFonts w:eastAsia="Arial" w:cs="Arial"/>
          <w:sz w:val="22"/>
          <w:szCs w:val="22"/>
        </w:rPr>
      </w:pPr>
      <w:r w:rsidRPr="00165E46">
        <w:rPr>
          <w:rFonts w:eastAsia="Arial" w:cs="Arial"/>
          <w:sz w:val="22"/>
          <w:szCs w:val="22"/>
        </w:rPr>
        <w:t>RULES OF CONTACT</w:t>
      </w:r>
    </w:p>
    <w:p w14:paraId="3505D88D" w14:textId="77777777" w:rsidR="00B30EFF" w:rsidRPr="00165E46" w:rsidRDefault="00B30EFF" w:rsidP="37E71891">
      <w:pPr>
        <w:rPr>
          <w:rFonts w:eastAsia="Arial" w:cs="Arial"/>
          <w:sz w:val="22"/>
          <w:szCs w:val="22"/>
        </w:rPr>
      </w:pPr>
    </w:p>
    <w:p w14:paraId="3C51754F" w14:textId="2F54BF44" w:rsidR="00B30EFF" w:rsidRPr="00165E46" w:rsidRDefault="00B30EFF" w:rsidP="37E71891">
      <w:pPr>
        <w:rPr>
          <w:rFonts w:eastAsia="Arial" w:cs="Arial"/>
          <w:sz w:val="22"/>
          <w:szCs w:val="22"/>
        </w:rPr>
      </w:pPr>
      <w:r w:rsidRPr="00165E46">
        <w:rPr>
          <w:rFonts w:eastAsia="Arial" w:cs="Arial"/>
          <w:sz w:val="22"/>
          <w:szCs w:val="22"/>
        </w:rPr>
        <w:t xml:space="preserve">The rules of contact set out in this Section apply throughout the Procurement. These rules are designed to promote an open, fair, </w:t>
      </w:r>
      <w:r w:rsidR="00C041DD" w:rsidRPr="00165E46">
        <w:rPr>
          <w:rFonts w:eastAsia="Arial" w:cs="Arial"/>
          <w:sz w:val="22"/>
          <w:szCs w:val="22"/>
        </w:rPr>
        <w:t>unbiased,</w:t>
      </w:r>
      <w:r w:rsidRPr="00165E46">
        <w:rPr>
          <w:rFonts w:eastAsia="Arial" w:cs="Arial"/>
          <w:sz w:val="22"/>
          <w:szCs w:val="22"/>
        </w:rPr>
        <w:t xml:space="preserve"> and legally defensible Procurement.  Contact for the purposes of this section includes in person, telephone, e-mail, written or other communication.  The rules of contact are as follows: </w:t>
      </w:r>
    </w:p>
    <w:p w14:paraId="1C0E3A9B" w14:textId="77777777" w:rsidR="00B30EFF" w:rsidRPr="00165E46" w:rsidRDefault="00B30EFF" w:rsidP="37E71891">
      <w:pPr>
        <w:rPr>
          <w:rFonts w:eastAsia="Arial" w:cs="Arial"/>
          <w:sz w:val="22"/>
          <w:szCs w:val="22"/>
        </w:rPr>
      </w:pPr>
    </w:p>
    <w:p w14:paraId="68EB1D27" w14:textId="1F9EE117" w:rsidR="00B30EFF" w:rsidRPr="00165E46" w:rsidRDefault="00B30EFF" w:rsidP="00165E46">
      <w:pPr>
        <w:pStyle w:val="ListParagraph"/>
        <w:numPr>
          <w:ilvl w:val="0"/>
          <w:numId w:val="30"/>
        </w:numPr>
        <w:rPr>
          <w:rFonts w:eastAsia="Arial" w:cs="Arial"/>
          <w:sz w:val="22"/>
          <w:szCs w:val="22"/>
        </w:rPr>
      </w:pPr>
      <w:r w:rsidRPr="00165E46">
        <w:rPr>
          <w:rFonts w:eastAsia="Arial" w:cs="Arial"/>
          <w:sz w:val="22"/>
          <w:szCs w:val="22"/>
        </w:rPr>
        <w:lastRenderedPageBreak/>
        <w:t>no Bidder, no Bidder Member nor any of such Bidder's advisors, consultants or subcontractors may communicate with another Bidder, members of another Bidder team or the advisors, consultants or subcontractors of another Bidder with regard to the ITQ, the Procurement, the Contracting Authority(s) or the Bids.  This prohibition does not apply to -</w:t>
      </w:r>
    </w:p>
    <w:p w14:paraId="1ECA60FF" w14:textId="77777777" w:rsidR="00B30EFF" w:rsidRPr="00165E46" w:rsidRDefault="00B30EFF" w:rsidP="37E71891">
      <w:pPr>
        <w:rPr>
          <w:rFonts w:eastAsia="Arial" w:cs="Arial"/>
          <w:sz w:val="22"/>
          <w:szCs w:val="22"/>
        </w:rPr>
      </w:pPr>
    </w:p>
    <w:p w14:paraId="54F7EBD4" w14:textId="19990E76" w:rsidR="00B30EFF" w:rsidRPr="00165E46" w:rsidRDefault="00B30EFF" w:rsidP="00165E46">
      <w:pPr>
        <w:pStyle w:val="ListParagraph"/>
        <w:numPr>
          <w:ilvl w:val="1"/>
          <w:numId w:val="36"/>
        </w:numPr>
        <w:rPr>
          <w:rFonts w:eastAsia="Arial" w:cs="Arial"/>
          <w:sz w:val="22"/>
          <w:szCs w:val="22"/>
        </w:rPr>
      </w:pPr>
      <w:r w:rsidRPr="00165E46">
        <w:rPr>
          <w:rFonts w:eastAsia="Arial" w:cs="Arial"/>
          <w:sz w:val="22"/>
          <w:szCs w:val="22"/>
        </w:rPr>
        <w:t xml:space="preserve">communication between a Bidder and a subcontractor that is a Relevant Organisation to more than one Bidder, provided that such subcontractor does not act as a conduit of information between </w:t>
      </w:r>
      <w:r w:rsidR="00C041DD" w:rsidRPr="00165E46">
        <w:rPr>
          <w:rFonts w:eastAsia="Arial" w:cs="Arial"/>
          <w:sz w:val="22"/>
          <w:szCs w:val="22"/>
        </w:rPr>
        <w:t>Bidders:</w:t>
      </w:r>
      <w:r w:rsidRPr="00165E46">
        <w:rPr>
          <w:rFonts w:eastAsia="Arial" w:cs="Arial"/>
          <w:sz w:val="22"/>
          <w:szCs w:val="22"/>
        </w:rPr>
        <w:t xml:space="preserve"> and</w:t>
      </w:r>
    </w:p>
    <w:p w14:paraId="461F1203" w14:textId="77777777" w:rsidR="00B30EFF" w:rsidRPr="00165E46" w:rsidRDefault="00B30EFF" w:rsidP="00165E46">
      <w:pPr>
        <w:rPr>
          <w:rFonts w:eastAsia="Arial" w:cs="Arial"/>
          <w:sz w:val="22"/>
          <w:szCs w:val="22"/>
        </w:rPr>
      </w:pPr>
    </w:p>
    <w:p w14:paraId="3102C971" w14:textId="01994080" w:rsidR="00B30EFF" w:rsidRPr="00165E46" w:rsidRDefault="00B30EFF" w:rsidP="00165E46">
      <w:pPr>
        <w:pStyle w:val="ListParagraph"/>
        <w:numPr>
          <w:ilvl w:val="1"/>
          <w:numId w:val="36"/>
        </w:numPr>
        <w:rPr>
          <w:rFonts w:eastAsia="Arial" w:cs="Arial"/>
          <w:sz w:val="22"/>
          <w:szCs w:val="22"/>
        </w:rPr>
      </w:pPr>
      <w:r w:rsidRPr="00165E46">
        <w:rPr>
          <w:rFonts w:eastAsia="Arial" w:cs="Arial"/>
          <w:sz w:val="22"/>
          <w:szCs w:val="22"/>
        </w:rPr>
        <w:t>public discussion regarding the ITQ or any public or collective Bidder informational meeting sponsored and/or organised by the Contracting Authority(s</w:t>
      </w:r>
      <w:r w:rsidR="00C041DD" w:rsidRPr="00165E46">
        <w:rPr>
          <w:rFonts w:eastAsia="Arial" w:cs="Arial"/>
          <w:sz w:val="22"/>
          <w:szCs w:val="22"/>
        </w:rPr>
        <w:t>).</w:t>
      </w:r>
    </w:p>
    <w:p w14:paraId="52F6D169" w14:textId="77777777" w:rsidR="00B30EFF" w:rsidRPr="00165E46" w:rsidRDefault="00B30EFF" w:rsidP="37E71891">
      <w:pPr>
        <w:rPr>
          <w:rFonts w:eastAsia="Arial" w:cs="Arial"/>
          <w:sz w:val="22"/>
          <w:szCs w:val="22"/>
        </w:rPr>
      </w:pPr>
    </w:p>
    <w:p w14:paraId="61CC8F6B" w14:textId="72616B99" w:rsidR="00B30EFF" w:rsidRPr="00165E46" w:rsidRDefault="00B30EFF" w:rsidP="00165E46">
      <w:pPr>
        <w:pStyle w:val="ListParagraph"/>
        <w:numPr>
          <w:ilvl w:val="0"/>
          <w:numId w:val="30"/>
        </w:numPr>
        <w:rPr>
          <w:rFonts w:eastAsia="Arial" w:cs="Arial"/>
          <w:sz w:val="22"/>
          <w:szCs w:val="22"/>
        </w:rPr>
      </w:pPr>
      <w:r w:rsidRPr="00165E46">
        <w:rPr>
          <w:rFonts w:eastAsia="Arial" w:cs="Arial"/>
          <w:sz w:val="22"/>
          <w:szCs w:val="22"/>
        </w:rPr>
        <w:t xml:space="preserve">unless otherwise specifically noted in this ITQ or authorised by the Contracting Authority(s), all communications between the Contracting Authority(s) and a Bidder with regard to the ITQ will be between such Bidder's Authorised Representative and the Procurement Lead through the contract.  All such communication, for the period of this Procurement, must be issued via the Portal.  Strictly no other forms of communication to the Contracting Authority(s) will be accepted (including telephone calls, postal queries/submissions, </w:t>
      </w:r>
      <w:r w:rsidR="00C041DD" w:rsidRPr="00165E46">
        <w:rPr>
          <w:rFonts w:eastAsia="Arial" w:cs="Arial"/>
          <w:sz w:val="22"/>
          <w:szCs w:val="22"/>
        </w:rPr>
        <w:t>faxes,</w:t>
      </w:r>
      <w:r w:rsidRPr="00165E46">
        <w:rPr>
          <w:rFonts w:eastAsia="Arial" w:cs="Arial"/>
          <w:sz w:val="22"/>
          <w:szCs w:val="22"/>
        </w:rPr>
        <w:t xml:space="preserve"> or email communications).</w:t>
      </w:r>
    </w:p>
    <w:p w14:paraId="7FA6F9BF" w14:textId="77777777" w:rsidR="00B30EFF" w:rsidRPr="00165E46" w:rsidRDefault="00B30EFF" w:rsidP="37E71891">
      <w:pPr>
        <w:rPr>
          <w:rFonts w:eastAsia="Arial" w:cs="Arial"/>
          <w:sz w:val="22"/>
          <w:szCs w:val="22"/>
        </w:rPr>
      </w:pPr>
    </w:p>
    <w:p w14:paraId="43C81A95" w14:textId="3851F7F7" w:rsidR="00B30EFF" w:rsidRPr="00165E46" w:rsidRDefault="00B30EFF" w:rsidP="00165E46">
      <w:pPr>
        <w:pStyle w:val="ListParagraph"/>
        <w:numPr>
          <w:ilvl w:val="0"/>
          <w:numId w:val="30"/>
        </w:numPr>
        <w:rPr>
          <w:rFonts w:eastAsia="Arial" w:cs="Arial"/>
          <w:sz w:val="22"/>
          <w:szCs w:val="22"/>
        </w:rPr>
      </w:pPr>
      <w:r w:rsidRPr="00165E46">
        <w:rPr>
          <w:rFonts w:eastAsia="Arial" w:cs="Arial"/>
          <w:sz w:val="22"/>
          <w:szCs w:val="22"/>
        </w:rPr>
        <w:t>no Bidder, Bidder Member, or any of such Bidder's advisors, consultants or subcontractors may have ex parte communications with the Contracting Authority(s) or any of their employees, advisors, contractors or consultants regarding the ITQ, or the Procurement, other than as expressly permitted in this ITQ or through the procedures above;</w:t>
      </w:r>
    </w:p>
    <w:p w14:paraId="6EB0AC41" w14:textId="77777777" w:rsidR="00B30EFF" w:rsidRPr="00165E46" w:rsidRDefault="00B30EFF" w:rsidP="37E71891">
      <w:pPr>
        <w:rPr>
          <w:rFonts w:eastAsia="Arial" w:cs="Arial"/>
          <w:sz w:val="22"/>
          <w:szCs w:val="22"/>
        </w:rPr>
      </w:pPr>
    </w:p>
    <w:p w14:paraId="0ACD298F" w14:textId="2E2DE382" w:rsidR="00B30EFF" w:rsidRPr="00165E46" w:rsidRDefault="00B30EFF" w:rsidP="00165E46">
      <w:pPr>
        <w:pStyle w:val="ListParagraph"/>
        <w:numPr>
          <w:ilvl w:val="0"/>
          <w:numId w:val="30"/>
        </w:numPr>
        <w:rPr>
          <w:rFonts w:eastAsia="Arial" w:cs="Arial"/>
          <w:sz w:val="22"/>
          <w:szCs w:val="22"/>
        </w:rPr>
      </w:pPr>
      <w:r w:rsidRPr="00165E46">
        <w:rPr>
          <w:rFonts w:eastAsia="Arial" w:cs="Arial"/>
          <w:sz w:val="22"/>
          <w:szCs w:val="22"/>
        </w:rPr>
        <w:t>the Contracting Authority(s) will not be responsible for or bound by any oral communication or any other information or contact occurring outside the official communication procedures specified herein.</w:t>
      </w:r>
    </w:p>
    <w:p w14:paraId="7BC014CF" w14:textId="77777777" w:rsidR="00B30EFF" w:rsidRPr="00165E46" w:rsidRDefault="00B30EFF" w:rsidP="37E71891">
      <w:pPr>
        <w:rPr>
          <w:rFonts w:eastAsia="Arial" w:cs="Arial"/>
          <w:sz w:val="22"/>
          <w:szCs w:val="22"/>
        </w:rPr>
      </w:pPr>
    </w:p>
    <w:p w14:paraId="24E3B9B2" w14:textId="77777777" w:rsidR="006E1F6F" w:rsidRPr="00165E46" w:rsidRDefault="006E1F6F" w:rsidP="37E71891">
      <w:pPr>
        <w:rPr>
          <w:rFonts w:eastAsia="Arial" w:cs="Arial"/>
          <w:sz w:val="22"/>
          <w:szCs w:val="22"/>
        </w:rPr>
      </w:pPr>
    </w:p>
    <w:p w14:paraId="12EB3C71" w14:textId="77777777" w:rsidR="00B30EFF" w:rsidRPr="00165E46" w:rsidRDefault="00B30EFF" w:rsidP="37E71891">
      <w:pPr>
        <w:rPr>
          <w:rFonts w:eastAsia="Arial" w:cs="Arial"/>
          <w:sz w:val="22"/>
          <w:szCs w:val="22"/>
        </w:rPr>
      </w:pPr>
      <w:r w:rsidRPr="00165E46">
        <w:rPr>
          <w:rFonts w:eastAsia="Arial" w:cs="Arial"/>
          <w:sz w:val="22"/>
          <w:szCs w:val="22"/>
        </w:rPr>
        <w:t xml:space="preserve">RIGHT TO REJECT BIDS </w:t>
      </w:r>
    </w:p>
    <w:p w14:paraId="657A7C9C" w14:textId="77777777" w:rsidR="00B30EFF" w:rsidRPr="00165E46" w:rsidRDefault="00B30EFF" w:rsidP="37E71891">
      <w:pPr>
        <w:rPr>
          <w:rFonts w:eastAsia="Arial" w:cs="Arial"/>
          <w:sz w:val="22"/>
          <w:szCs w:val="22"/>
        </w:rPr>
      </w:pPr>
    </w:p>
    <w:p w14:paraId="270B6A67" w14:textId="77777777" w:rsidR="00B30EFF" w:rsidRPr="00165E46" w:rsidRDefault="00B30EFF" w:rsidP="37E71891">
      <w:pPr>
        <w:rPr>
          <w:rFonts w:eastAsia="Arial" w:cs="Arial"/>
          <w:sz w:val="22"/>
          <w:szCs w:val="22"/>
        </w:rPr>
      </w:pPr>
      <w:r w:rsidRPr="00165E46">
        <w:rPr>
          <w:rFonts w:eastAsia="Arial" w:cs="Arial"/>
          <w:sz w:val="22"/>
          <w:szCs w:val="22"/>
        </w:rPr>
        <w:t>Bidders acting in contravention of the provisions set out in this ITQ or any other information provided by the Contracting Authority(s), may, at the sole discretion of the Contracting Authority(s), be disqualified and excluded from further participation in this Procurement</w:t>
      </w:r>
    </w:p>
    <w:p w14:paraId="7BFDC350" w14:textId="77777777" w:rsidR="00B30EFF" w:rsidRPr="00165E46" w:rsidRDefault="00B30EFF" w:rsidP="37E71891">
      <w:pPr>
        <w:rPr>
          <w:rFonts w:eastAsia="Arial" w:cs="Arial"/>
          <w:sz w:val="22"/>
          <w:szCs w:val="22"/>
        </w:rPr>
      </w:pPr>
    </w:p>
    <w:p w14:paraId="513AC25B" w14:textId="77777777" w:rsidR="00B30EFF" w:rsidRPr="00165E46" w:rsidRDefault="00B30EFF" w:rsidP="37E71891">
      <w:pPr>
        <w:rPr>
          <w:rFonts w:eastAsia="Arial" w:cs="Arial"/>
          <w:sz w:val="22"/>
          <w:szCs w:val="22"/>
        </w:rPr>
      </w:pPr>
      <w:r w:rsidRPr="00165E46">
        <w:rPr>
          <w:rFonts w:eastAsia="Arial" w:cs="Arial"/>
          <w:sz w:val="22"/>
          <w:szCs w:val="22"/>
        </w:rPr>
        <w:t>The Contracting Authority(s) reserves the right to reject or disqualify a Bidder and/or its Bidder Members where:</w:t>
      </w:r>
    </w:p>
    <w:p w14:paraId="563F0548" w14:textId="77777777" w:rsidR="00B30EFF" w:rsidRPr="00165E46" w:rsidRDefault="00B30EFF" w:rsidP="37E71891">
      <w:pPr>
        <w:rPr>
          <w:rFonts w:eastAsia="Arial" w:cs="Arial"/>
          <w:sz w:val="22"/>
          <w:szCs w:val="22"/>
        </w:rPr>
      </w:pPr>
    </w:p>
    <w:p w14:paraId="4ABA8E65" w14:textId="57A09DB4" w:rsidR="00B30EFF" w:rsidRPr="00165E46" w:rsidRDefault="00B30EFF" w:rsidP="00165E46">
      <w:pPr>
        <w:pStyle w:val="ListParagraph"/>
        <w:numPr>
          <w:ilvl w:val="0"/>
          <w:numId w:val="37"/>
        </w:numPr>
        <w:rPr>
          <w:rFonts w:eastAsia="Arial" w:cs="Arial"/>
          <w:sz w:val="22"/>
          <w:szCs w:val="22"/>
        </w:rPr>
      </w:pPr>
      <w:r w:rsidRPr="00165E46">
        <w:rPr>
          <w:rFonts w:eastAsia="Arial" w:cs="Arial"/>
          <w:sz w:val="22"/>
          <w:szCs w:val="22"/>
        </w:rPr>
        <w:t xml:space="preserve">a Bid is submitted late, is completed incorrectly, is materially incomplete or fails to meet the submission requirements which have been notified to </w:t>
      </w:r>
      <w:r w:rsidR="00C041DD" w:rsidRPr="00165E46">
        <w:rPr>
          <w:rFonts w:eastAsia="Arial" w:cs="Arial"/>
          <w:sz w:val="22"/>
          <w:szCs w:val="22"/>
        </w:rPr>
        <w:t>Bidders.</w:t>
      </w:r>
      <w:r w:rsidRPr="00165E46">
        <w:rPr>
          <w:rFonts w:eastAsia="Arial" w:cs="Arial"/>
          <w:sz w:val="22"/>
          <w:szCs w:val="22"/>
        </w:rPr>
        <w:t xml:space="preserve"> </w:t>
      </w:r>
    </w:p>
    <w:p w14:paraId="71F5A077" w14:textId="77777777" w:rsidR="00B30EFF" w:rsidRPr="00165E46" w:rsidRDefault="00B30EFF" w:rsidP="37E71891">
      <w:pPr>
        <w:rPr>
          <w:rFonts w:eastAsia="Arial" w:cs="Arial"/>
          <w:sz w:val="22"/>
          <w:szCs w:val="22"/>
        </w:rPr>
      </w:pPr>
    </w:p>
    <w:p w14:paraId="7719E505" w14:textId="69EB86AD" w:rsidR="00B30EFF" w:rsidRPr="00165E46" w:rsidRDefault="00B30EFF" w:rsidP="00165E46">
      <w:pPr>
        <w:pStyle w:val="ListParagraph"/>
        <w:numPr>
          <w:ilvl w:val="0"/>
          <w:numId w:val="37"/>
        </w:numPr>
        <w:rPr>
          <w:rFonts w:eastAsia="Arial" w:cs="Arial"/>
          <w:sz w:val="22"/>
          <w:szCs w:val="22"/>
        </w:rPr>
      </w:pPr>
      <w:r w:rsidRPr="00165E46">
        <w:rPr>
          <w:rFonts w:eastAsia="Arial" w:cs="Arial"/>
          <w:sz w:val="22"/>
          <w:szCs w:val="22"/>
        </w:rPr>
        <w:t xml:space="preserve">the Bidder and/or its Bidder Members are unable to satisfy the terms of Regulation 57 of the Public Contracts Regulations 2015 at any stage during the Procurement </w:t>
      </w:r>
      <w:r w:rsidR="00C041DD" w:rsidRPr="00165E46">
        <w:rPr>
          <w:rFonts w:eastAsia="Arial" w:cs="Arial"/>
          <w:sz w:val="22"/>
          <w:szCs w:val="22"/>
        </w:rPr>
        <w:t>process.</w:t>
      </w:r>
    </w:p>
    <w:p w14:paraId="3773F152" w14:textId="77777777" w:rsidR="00B30EFF" w:rsidRPr="00165E46" w:rsidRDefault="00B30EFF" w:rsidP="37E71891">
      <w:pPr>
        <w:rPr>
          <w:rFonts w:eastAsia="Arial" w:cs="Arial"/>
          <w:sz w:val="22"/>
          <w:szCs w:val="22"/>
        </w:rPr>
      </w:pPr>
    </w:p>
    <w:p w14:paraId="75FD9E0B" w14:textId="41EB198C" w:rsidR="00B30EFF" w:rsidRPr="00165E46" w:rsidRDefault="00B30EFF" w:rsidP="00165E46">
      <w:pPr>
        <w:pStyle w:val="ListParagraph"/>
        <w:numPr>
          <w:ilvl w:val="0"/>
          <w:numId w:val="37"/>
        </w:numPr>
        <w:rPr>
          <w:rFonts w:eastAsia="Arial" w:cs="Arial"/>
          <w:sz w:val="22"/>
          <w:szCs w:val="22"/>
        </w:rPr>
      </w:pPr>
      <w:r w:rsidRPr="00165E46">
        <w:rPr>
          <w:rFonts w:eastAsia="Arial" w:cs="Arial"/>
          <w:sz w:val="22"/>
          <w:szCs w:val="22"/>
        </w:rPr>
        <w:t xml:space="preserve">the Bidder and/or its Bidder Members are guilty of material misrepresentation in relation to its application and/or the </w:t>
      </w:r>
      <w:r w:rsidR="00C041DD" w:rsidRPr="00165E46">
        <w:rPr>
          <w:rFonts w:eastAsia="Arial" w:cs="Arial"/>
          <w:sz w:val="22"/>
          <w:szCs w:val="22"/>
        </w:rPr>
        <w:t>process.</w:t>
      </w:r>
      <w:r w:rsidRPr="00165E46">
        <w:rPr>
          <w:rFonts w:eastAsia="Arial" w:cs="Arial"/>
          <w:sz w:val="22"/>
          <w:szCs w:val="22"/>
        </w:rPr>
        <w:t xml:space="preserve"> </w:t>
      </w:r>
    </w:p>
    <w:p w14:paraId="1DA5023C" w14:textId="77777777" w:rsidR="00B30EFF" w:rsidRPr="00165E46" w:rsidRDefault="00B30EFF" w:rsidP="37E71891">
      <w:pPr>
        <w:rPr>
          <w:rFonts w:eastAsia="Arial" w:cs="Arial"/>
          <w:sz w:val="22"/>
          <w:szCs w:val="22"/>
        </w:rPr>
      </w:pPr>
    </w:p>
    <w:p w14:paraId="5E53838C" w14:textId="741AFF09" w:rsidR="00B30EFF" w:rsidRPr="00165E46" w:rsidRDefault="00B30EFF" w:rsidP="00165E46">
      <w:pPr>
        <w:pStyle w:val="ListParagraph"/>
        <w:numPr>
          <w:ilvl w:val="0"/>
          <w:numId w:val="37"/>
        </w:numPr>
        <w:rPr>
          <w:rFonts w:eastAsia="Arial" w:cs="Arial"/>
          <w:sz w:val="22"/>
          <w:szCs w:val="22"/>
        </w:rPr>
      </w:pPr>
      <w:r w:rsidRPr="00165E46">
        <w:rPr>
          <w:rFonts w:eastAsia="Arial" w:cs="Arial"/>
          <w:sz w:val="22"/>
          <w:szCs w:val="22"/>
        </w:rPr>
        <w:t xml:space="preserve">the Bidder and/or its Bidder Members contravene any of the provisions set out in this </w:t>
      </w:r>
      <w:r w:rsidR="00C041DD" w:rsidRPr="00165E46">
        <w:rPr>
          <w:rFonts w:eastAsia="Arial" w:cs="Arial"/>
          <w:sz w:val="22"/>
          <w:szCs w:val="22"/>
        </w:rPr>
        <w:t>ITQ.</w:t>
      </w:r>
      <w:r w:rsidRPr="00165E46">
        <w:rPr>
          <w:rFonts w:eastAsia="Arial" w:cs="Arial"/>
          <w:sz w:val="22"/>
          <w:szCs w:val="22"/>
        </w:rPr>
        <w:t xml:space="preserve"> </w:t>
      </w:r>
    </w:p>
    <w:p w14:paraId="11AD4FA1" w14:textId="77777777" w:rsidR="00165E46" w:rsidRDefault="00165E46" w:rsidP="00165E46">
      <w:pPr>
        <w:rPr>
          <w:rFonts w:eastAsia="Arial" w:cs="Arial"/>
          <w:sz w:val="22"/>
          <w:szCs w:val="22"/>
        </w:rPr>
      </w:pPr>
    </w:p>
    <w:p w14:paraId="73DE7968" w14:textId="026C595F" w:rsidR="00B30EFF" w:rsidRPr="00165E46" w:rsidRDefault="00B30EFF" w:rsidP="00165E46">
      <w:pPr>
        <w:rPr>
          <w:rFonts w:eastAsia="Arial" w:cs="Arial"/>
          <w:sz w:val="22"/>
          <w:szCs w:val="22"/>
        </w:rPr>
      </w:pPr>
      <w:r w:rsidRPr="00165E46">
        <w:rPr>
          <w:rFonts w:eastAsia="Arial" w:cs="Arial"/>
          <w:sz w:val="22"/>
          <w:szCs w:val="22"/>
        </w:rPr>
        <w:t>or</w:t>
      </w:r>
    </w:p>
    <w:p w14:paraId="38E485AA" w14:textId="77777777" w:rsidR="00B30EFF" w:rsidRPr="00165E46" w:rsidRDefault="00B30EFF" w:rsidP="37E71891">
      <w:pPr>
        <w:rPr>
          <w:rFonts w:eastAsia="Arial" w:cs="Arial"/>
          <w:sz w:val="22"/>
          <w:szCs w:val="22"/>
        </w:rPr>
      </w:pPr>
    </w:p>
    <w:p w14:paraId="31E8A067" w14:textId="6F0798B6" w:rsidR="00B30EFF" w:rsidRPr="00165E46" w:rsidRDefault="00B30EFF" w:rsidP="00165E46">
      <w:pPr>
        <w:pStyle w:val="ListParagraph"/>
        <w:numPr>
          <w:ilvl w:val="0"/>
          <w:numId w:val="37"/>
        </w:numPr>
        <w:rPr>
          <w:rFonts w:eastAsia="Arial" w:cs="Arial"/>
          <w:sz w:val="22"/>
          <w:szCs w:val="22"/>
        </w:rPr>
      </w:pPr>
      <w:r w:rsidRPr="00165E46">
        <w:rPr>
          <w:rFonts w:eastAsia="Arial" w:cs="Arial"/>
          <w:sz w:val="22"/>
          <w:szCs w:val="22"/>
        </w:rPr>
        <w:t xml:space="preserve">there is a change in identity, control, financial </w:t>
      </w:r>
      <w:r w:rsidR="00C041DD" w:rsidRPr="00165E46">
        <w:rPr>
          <w:rFonts w:eastAsia="Arial" w:cs="Arial"/>
          <w:sz w:val="22"/>
          <w:szCs w:val="22"/>
        </w:rPr>
        <w:t>standing,</w:t>
      </w:r>
      <w:r w:rsidRPr="00165E46">
        <w:rPr>
          <w:rFonts w:eastAsia="Arial" w:cs="Arial"/>
          <w:sz w:val="22"/>
          <w:szCs w:val="22"/>
        </w:rPr>
        <w:t xml:space="preserve"> or other factor impacting on the selection and/or evaluation process affecting the Bidder and/or its Bidder Members.</w:t>
      </w:r>
    </w:p>
    <w:p w14:paraId="445E5A7F" w14:textId="77777777" w:rsidR="00B30EFF" w:rsidRPr="00165E46" w:rsidRDefault="00B30EFF" w:rsidP="37E71891">
      <w:pPr>
        <w:rPr>
          <w:rFonts w:eastAsia="Arial" w:cs="Arial"/>
          <w:sz w:val="22"/>
          <w:szCs w:val="22"/>
        </w:rPr>
      </w:pPr>
    </w:p>
    <w:p w14:paraId="72C2941F" w14:textId="77777777" w:rsidR="00B30EFF" w:rsidRPr="00165E46" w:rsidRDefault="00B30EFF" w:rsidP="37E71891">
      <w:pPr>
        <w:rPr>
          <w:rFonts w:eastAsia="Arial" w:cs="Arial"/>
          <w:sz w:val="22"/>
          <w:szCs w:val="22"/>
        </w:rPr>
      </w:pPr>
      <w:r w:rsidRPr="00165E46">
        <w:rPr>
          <w:rFonts w:eastAsia="Arial" w:cs="Arial"/>
          <w:sz w:val="22"/>
          <w:szCs w:val="22"/>
        </w:rPr>
        <w:t>The disqualification of a Bidder will not prejudice any other civil remedy available to the Contracting Authority(s) and will not prejudice any criminal liability that such conduct by a Bidder may attract.</w:t>
      </w:r>
    </w:p>
    <w:p w14:paraId="2DB96F3C" w14:textId="77777777" w:rsidR="00B30EFF" w:rsidRPr="00165E46" w:rsidRDefault="00B30EFF" w:rsidP="37E71891">
      <w:pPr>
        <w:rPr>
          <w:rFonts w:eastAsia="Arial" w:cs="Arial"/>
          <w:sz w:val="22"/>
          <w:szCs w:val="22"/>
        </w:rPr>
      </w:pPr>
    </w:p>
    <w:p w14:paraId="3DED21F2" w14:textId="77777777" w:rsidR="00B30EFF" w:rsidRPr="00165E46" w:rsidRDefault="00B30EFF" w:rsidP="37E71891">
      <w:pPr>
        <w:rPr>
          <w:rFonts w:eastAsia="Arial" w:cs="Arial"/>
          <w:sz w:val="22"/>
          <w:szCs w:val="22"/>
        </w:rPr>
      </w:pPr>
      <w:r w:rsidRPr="00165E46">
        <w:rPr>
          <w:rFonts w:eastAsia="Arial" w:cs="Arial"/>
          <w:sz w:val="22"/>
          <w:szCs w:val="22"/>
        </w:rPr>
        <w:lastRenderedPageBreak/>
        <w:t>PROCUREMENT COSTS</w:t>
      </w:r>
    </w:p>
    <w:p w14:paraId="4D3C0FE3" w14:textId="77777777" w:rsidR="00B30EFF" w:rsidRPr="00165E46" w:rsidRDefault="00B30EFF" w:rsidP="37E71891">
      <w:pPr>
        <w:rPr>
          <w:rFonts w:eastAsia="Arial" w:cs="Arial"/>
          <w:sz w:val="22"/>
          <w:szCs w:val="22"/>
        </w:rPr>
      </w:pPr>
    </w:p>
    <w:p w14:paraId="143A628A" w14:textId="77777777" w:rsidR="00B30EFF" w:rsidRPr="00165E46" w:rsidRDefault="00B30EFF" w:rsidP="37E71891">
      <w:pPr>
        <w:rPr>
          <w:rFonts w:eastAsia="Arial" w:cs="Arial"/>
          <w:sz w:val="22"/>
          <w:szCs w:val="22"/>
        </w:rPr>
      </w:pPr>
      <w:r w:rsidRPr="00165E46">
        <w:rPr>
          <w:rFonts w:eastAsia="Arial" w:cs="Arial"/>
          <w:sz w:val="22"/>
          <w:szCs w:val="22"/>
        </w:rPr>
        <w:t>Each Bidder and its advisers are fully responsible for all costs incurred by them arising out of or in connection with this document, or their responses to this ITQ. The Contracting Authority(s) will not be responsible for any costs, howsoever arising (including, without limitation, any loss of profit or economic loss), incurred by any Relevant Organisation or its advisers or any other person in relation to the Procurement including, but not limited to, any cancellation or variation to the Procurement exercised by the Contracting Authority(s) in its absolute discretion.</w:t>
      </w:r>
    </w:p>
    <w:p w14:paraId="39D7FAD0" w14:textId="77777777" w:rsidR="00881425" w:rsidRPr="00165E46" w:rsidRDefault="00881425" w:rsidP="37E71891">
      <w:pPr>
        <w:rPr>
          <w:rFonts w:eastAsia="Arial" w:cs="Arial"/>
          <w:sz w:val="22"/>
          <w:szCs w:val="22"/>
        </w:rPr>
      </w:pPr>
    </w:p>
    <w:p w14:paraId="6CAFD0C2" w14:textId="2449AF54" w:rsidR="00B30EFF" w:rsidRPr="00165E46" w:rsidRDefault="00B30EFF" w:rsidP="37E71891">
      <w:pPr>
        <w:rPr>
          <w:rFonts w:eastAsia="Arial" w:cs="Arial"/>
          <w:sz w:val="22"/>
          <w:szCs w:val="22"/>
        </w:rPr>
      </w:pPr>
      <w:r w:rsidRPr="00165E46">
        <w:rPr>
          <w:rFonts w:eastAsia="Arial" w:cs="Arial"/>
          <w:sz w:val="22"/>
          <w:szCs w:val="22"/>
        </w:rPr>
        <w:t>RIGHT TO CANCEL</w:t>
      </w:r>
    </w:p>
    <w:p w14:paraId="2FE8903F" w14:textId="77777777" w:rsidR="00B30EFF" w:rsidRPr="00165E46" w:rsidRDefault="00B30EFF" w:rsidP="37E71891">
      <w:pPr>
        <w:rPr>
          <w:rFonts w:eastAsia="Arial" w:cs="Arial"/>
          <w:sz w:val="22"/>
          <w:szCs w:val="22"/>
        </w:rPr>
      </w:pPr>
    </w:p>
    <w:p w14:paraId="07F29EC7" w14:textId="77777777" w:rsidR="00B30EFF" w:rsidRPr="00165E46" w:rsidRDefault="00B30EFF" w:rsidP="37E71891">
      <w:pPr>
        <w:rPr>
          <w:rFonts w:eastAsia="Arial" w:cs="Arial"/>
          <w:sz w:val="22"/>
          <w:szCs w:val="22"/>
        </w:rPr>
      </w:pPr>
      <w:r w:rsidRPr="00165E46">
        <w:rPr>
          <w:rFonts w:eastAsia="Arial" w:cs="Arial"/>
          <w:sz w:val="22"/>
          <w:szCs w:val="22"/>
        </w:rPr>
        <w:t>The Contracting Authority(s) reserves the right:</w:t>
      </w:r>
    </w:p>
    <w:p w14:paraId="01C1DC43" w14:textId="77777777" w:rsidR="00B30EFF" w:rsidRPr="00165E46" w:rsidRDefault="00B30EFF" w:rsidP="37E71891">
      <w:pPr>
        <w:rPr>
          <w:rFonts w:eastAsia="Arial" w:cs="Arial"/>
          <w:sz w:val="22"/>
          <w:szCs w:val="22"/>
        </w:rPr>
      </w:pPr>
    </w:p>
    <w:p w14:paraId="052BB103" w14:textId="1E7E98E4" w:rsidR="00B30EFF" w:rsidRPr="00165E46" w:rsidRDefault="00B30EFF" w:rsidP="00165E46">
      <w:pPr>
        <w:pStyle w:val="ListParagraph"/>
        <w:numPr>
          <w:ilvl w:val="0"/>
          <w:numId w:val="39"/>
        </w:numPr>
        <w:rPr>
          <w:rFonts w:eastAsia="Arial" w:cs="Arial"/>
          <w:sz w:val="22"/>
          <w:szCs w:val="22"/>
        </w:rPr>
      </w:pPr>
      <w:r w:rsidRPr="00165E46">
        <w:rPr>
          <w:rFonts w:eastAsia="Arial" w:cs="Arial"/>
          <w:sz w:val="22"/>
          <w:szCs w:val="22"/>
        </w:rPr>
        <w:t>to cancel or withdraw from this Procurement process at any stage whether in respect of all, or any of the Contracting Authorities in the Contracting Authority(s</w:t>
      </w:r>
      <w:r w:rsidR="00C041DD" w:rsidRPr="00165E46">
        <w:rPr>
          <w:rFonts w:eastAsia="Arial" w:cs="Arial"/>
          <w:sz w:val="22"/>
          <w:szCs w:val="22"/>
        </w:rPr>
        <w:t>).</w:t>
      </w:r>
    </w:p>
    <w:p w14:paraId="78327C2E" w14:textId="77777777" w:rsidR="00B30EFF" w:rsidRPr="00165E46" w:rsidRDefault="00B30EFF" w:rsidP="37E71891">
      <w:pPr>
        <w:rPr>
          <w:rFonts w:eastAsia="Arial" w:cs="Arial"/>
          <w:sz w:val="22"/>
          <w:szCs w:val="22"/>
        </w:rPr>
      </w:pPr>
    </w:p>
    <w:p w14:paraId="66105B2D" w14:textId="1CD324C6" w:rsidR="003707B6" w:rsidRPr="00165E46" w:rsidRDefault="00B30EFF" w:rsidP="00165E46">
      <w:pPr>
        <w:pStyle w:val="ListParagraph"/>
        <w:numPr>
          <w:ilvl w:val="0"/>
          <w:numId w:val="39"/>
        </w:numPr>
        <w:rPr>
          <w:rFonts w:eastAsia="Arial" w:cs="Arial"/>
          <w:sz w:val="22"/>
          <w:szCs w:val="22"/>
        </w:rPr>
      </w:pPr>
      <w:r w:rsidRPr="00165E46">
        <w:rPr>
          <w:rFonts w:eastAsia="Arial" w:cs="Arial"/>
          <w:sz w:val="22"/>
          <w:szCs w:val="22"/>
        </w:rPr>
        <w:t>not to award a contract under this Procurement process.</w:t>
      </w:r>
    </w:p>
    <w:p w14:paraId="71365F6F" w14:textId="77777777" w:rsidR="0052596A" w:rsidRPr="00165E46" w:rsidRDefault="0052596A" w:rsidP="37E71891">
      <w:pPr>
        <w:rPr>
          <w:rFonts w:eastAsia="Arial" w:cs="Arial"/>
          <w:sz w:val="22"/>
          <w:szCs w:val="22"/>
        </w:rPr>
      </w:pPr>
    </w:p>
    <w:p w14:paraId="1C86B653" w14:textId="77777777" w:rsidR="003707B6" w:rsidRPr="00165E46" w:rsidRDefault="003707B6" w:rsidP="37E71891">
      <w:pPr>
        <w:rPr>
          <w:rFonts w:eastAsia="Arial" w:cs="Arial"/>
          <w:sz w:val="22"/>
          <w:szCs w:val="22"/>
        </w:rPr>
      </w:pPr>
    </w:p>
    <w:p w14:paraId="51EAA7BD" w14:textId="77777777" w:rsidR="00B30EFF" w:rsidRPr="00165E46" w:rsidRDefault="00B30EFF" w:rsidP="37E71891">
      <w:pPr>
        <w:rPr>
          <w:rFonts w:eastAsia="Arial" w:cs="Arial"/>
          <w:sz w:val="22"/>
          <w:szCs w:val="22"/>
        </w:rPr>
      </w:pPr>
      <w:r w:rsidRPr="00165E46">
        <w:rPr>
          <w:rFonts w:eastAsia="Arial" w:cs="Arial"/>
          <w:sz w:val="22"/>
          <w:szCs w:val="22"/>
        </w:rPr>
        <w:t>BIDDER CLARIFICATION PROCESS</w:t>
      </w:r>
    </w:p>
    <w:p w14:paraId="3231CECF" w14:textId="77777777" w:rsidR="00B30EFF" w:rsidRPr="00165E46" w:rsidRDefault="00B30EFF" w:rsidP="37E71891">
      <w:pPr>
        <w:rPr>
          <w:rFonts w:eastAsia="Arial" w:cs="Arial"/>
          <w:sz w:val="22"/>
          <w:szCs w:val="22"/>
        </w:rPr>
      </w:pPr>
    </w:p>
    <w:p w14:paraId="3BD7AA2D" w14:textId="77777777" w:rsidR="00B30EFF" w:rsidRPr="00165E46" w:rsidRDefault="00B30EFF" w:rsidP="37E71891">
      <w:pPr>
        <w:rPr>
          <w:rFonts w:eastAsia="Arial" w:cs="Arial"/>
          <w:sz w:val="22"/>
          <w:szCs w:val="22"/>
        </w:rPr>
      </w:pPr>
      <w:r w:rsidRPr="00165E46">
        <w:rPr>
          <w:rFonts w:eastAsia="Arial" w:cs="Arial"/>
          <w:sz w:val="22"/>
          <w:szCs w:val="22"/>
        </w:rPr>
        <w:t>The objective of the ITQ Bidder clarification period is to give Bidders the opportunity to submit questions to the Contracting Authority(s) where they require clarification on the information contained in the ITQ, or otherwise provided by the Contracting Authority(s), or received by the Bidder.</w:t>
      </w:r>
    </w:p>
    <w:p w14:paraId="5BA8450E" w14:textId="77777777" w:rsidR="00B30EFF" w:rsidRPr="00165E46" w:rsidRDefault="00B30EFF" w:rsidP="37E71891">
      <w:pPr>
        <w:rPr>
          <w:rFonts w:eastAsia="Arial" w:cs="Arial"/>
          <w:sz w:val="22"/>
          <w:szCs w:val="22"/>
        </w:rPr>
      </w:pPr>
    </w:p>
    <w:p w14:paraId="616E1994" w14:textId="77777777" w:rsidR="00B30EFF" w:rsidRPr="00165E46" w:rsidRDefault="00B30EFF" w:rsidP="37E71891">
      <w:pPr>
        <w:rPr>
          <w:rFonts w:eastAsia="Arial" w:cs="Arial"/>
          <w:sz w:val="22"/>
          <w:szCs w:val="22"/>
        </w:rPr>
      </w:pPr>
      <w:r w:rsidRPr="00165E46">
        <w:rPr>
          <w:rFonts w:eastAsia="Arial" w:cs="Arial"/>
          <w:sz w:val="22"/>
          <w:szCs w:val="22"/>
        </w:rPr>
        <w:t xml:space="preserve">The Contracting Authority(s) will endeavour to respond to each clarification question received during the clarification period within three (3) working days. </w:t>
      </w:r>
    </w:p>
    <w:p w14:paraId="57D82765" w14:textId="77777777" w:rsidR="00B30EFF" w:rsidRPr="00165E46" w:rsidRDefault="00B30EFF" w:rsidP="37E71891">
      <w:pPr>
        <w:rPr>
          <w:rFonts w:eastAsia="Arial" w:cs="Arial"/>
          <w:sz w:val="22"/>
          <w:szCs w:val="22"/>
        </w:rPr>
      </w:pPr>
    </w:p>
    <w:p w14:paraId="1A6C255C" w14:textId="500168F1" w:rsidR="00B30EFF" w:rsidRPr="00165E46" w:rsidRDefault="00B30EFF" w:rsidP="37E71891">
      <w:pPr>
        <w:rPr>
          <w:rFonts w:eastAsia="Arial" w:cs="Arial"/>
          <w:sz w:val="22"/>
          <w:szCs w:val="22"/>
        </w:rPr>
      </w:pPr>
      <w:r w:rsidRPr="00165E46">
        <w:rPr>
          <w:rFonts w:eastAsia="Arial" w:cs="Arial"/>
          <w:sz w:val="22"/>
          <w:szCs w:val="22"/>
        </w:rPr>
        <w:t xml:space="preserve">Important Note: </w:t>
      </w:r>
      <w:r w:rsidR="00C041DD" w:rsidRPr="00165E46">
        <w:rPr>
          <w:rFonts w:eastAsia="Arial" w:cs="Arial"/>
          <w:sz w:val="22"/>
          <w:szCs w:val="22"/>
        </w:rPr>
        <w:t>The</w:t>
      </w:r>
      <w:r w:rsidRPr="00165E46">
        <w:rPr>
          <w:rFonts w:eastAsia="Arial" w:cs="Arial"/>
          <w:sz w:val="22"/>
          <w:szCs w:val="22"/>
        </w:rPr>
        <w:t xml:space="preserve"> Contracting Authority(s) will not accept/respond to clarification questions received after the closing date </w:t>
      </w:r>
      <w:r w:rsidR="00C041DD" w:rsidRPr="00165E46">
        <w:rPr>
          <w:rFonts w:eastAsia="Arial" w:cs="Arial"/>
          <w:sz w:val="22"/>
          <w:szCs w:val="22"/>
        </w:rPr>
        <w:t>i.e.</w:t>
      </w:r>
      <w:r w:rsidRPr="00165E46">
        <w:rPr>
          <w:rFonts w:eastAsia="Arial" w:cs="Arial"/>
          <w:sz w:val="22"/>
          <w:szCs w:val="22"/>
        </w:rPr>
        <w:t xml:space="preserve"> Bidder Clarification Deadline.</w:t>
      </w:r>
    </w:p>
    <w:p w14:paraId="41E201D4" w14:textId="77777777" w:rsidR="00B30EFF" w:rsidRPr="00165E46" w:rsidRDefault="00B30EFF" w:rsidP="37E71891">
      <w:pPr>
        <w:rPr>
          <w:rFonts w:eastAsia="Arial" w:cs="Arial"/>
          <w:sz w:val="22"/>
          <w:szCs w:val="22"/>
        </w:rPr>
      </w:pPr>
    </w:p>
    <w:p w14:paraId="166CFFD4" w14:textId="4C3DFFF1" w:rsidR="00B30EFF" w:rsidRPr="00165E46" w:rsidRDefault="00B30EFF" w:rsidP="37E71891">
      <w:pPr>
        <w:rPr>
          <w:rFonts w:eastAsia="Arial" w:cs="Arial"/>
          <w:sz w:val="22"/>
          <w:szCs w:val="22"/>
        </w:rPr>
      </w:pPr>
      <w:r w:rsidRPr="00165E46">
        <w:rPr>
          <w:rFonts w:eastAsia="Arial" w:cs="Arial"/>
          <w:sz w:val="22"/>
          <w:szCs w:val="22"/>
        </w:rPr>
        <w:t xml:space="preserve">Bidders must submit clarification questions using the Portal correspondence facility. Clarification requests made outside of the Portal will not be accepted (including those made by telephone, fax, </w:t>
      </w:r>
      <w:r w:rsidR="00C041DD" w:rsidRPr="00165E46">
        <w:rPr>
          <w:rFonts w:eastAsia="Arial" w:cs="Arial"/>
          <w:sz w:val="22"/>
          <w:szCs w:val="22"/>
        </w:rPr>
        <w:t>email,</w:t>
      </w:r>
      <w:r w:rsidRPr="00165E46">
        <w:rPr>
          <w:rFonts w:eastAsia="Arial" w:cs="Arial"/>
          <w:sz w:val="22"/>
          <w:szCs w:val="22"/>
        </w:rPr>
        <w:t xml:space="preserve"> or postal queries).</w:t>
      </w:r>
    </w:p>
    <w:p w14:paraId="6E9F2B60" w14:textId="77777777" w:rsidR="00B30EFF" w:rsidRPr="00165E46" w:rsidRDefault="00B30EFF" w:rsidP="37E71891">
      <w:pPr>
        <w:rPr>
          <w:rFonts w:eastAsia="Arial" w:cs="Arial"/>
          <w:sz w:val="22"/>
          <w:szCs w:val="22"/>
        </w:rPr>
      </w:pPr>
    </w:p>
    <w:p w14:paraId="6B4FE707" w14:textId="35106AB8" w:rsidR="00B30EFF" w:rsidRPr="00165E46" w:rsidRDefault="00B30EFF" w:rsidP="37E71891">
      <w:pPr>
        <w:rPr>
          <w:rFonts w:eastAsia="Arial" w:cs="Arial"/>
          <w:sz w:val="22"/>
          <w:szCs w:val="22"/>
        </w:rPr>
      </w:pPr>
      <w:r w:rsidRPr="00165E46">
        <w:rPr>
          <w:rFonts w:eastAsia="Arial" w:cs="Arial"/>
          <w:sz w:val="22"/>
          <w:szCs w:val="22"/>
        </w:rPr>
        <w:t>In order to ensure equality of treatment of Bidders</w:t>
      </w:r>
      <w:r w:rsidR="007F0522" w:rsidRPr="00165E46">
        <w:rPr>
          <w:rFonts w:eastAsia="Arial" w:cs="Arial"/>
          <w:sz w:val="22"/>
          <w:szCs w:val="22"/>
        </w:rPr>
        <w:t xml:space="preserve"> </w:t>
      </w:r>
      <w:r w:rsidRPr="00165E46">
        <w:rPr>
          <w:rFonts w:eastAsia="Arial" w:cs="Arial"/>
          <w:sz w:val="22"/>
          <w:szCs w:val="22"/>
        </w:rPr>
        <w:t>the Contracting Authority(s) will distribute the questions and clarifications raised by Bidders, together with the subsequent responses from the Contracting Authority(s), to all participants via the Portal.  The source of each question or clarification will not be disclosed.</w:t>
      </w:r>
    </w:p>
    <w:p w14:paraId="735ED9C5" w14:textId="77777777" w:rsidR="00B30EFF" w:rsidRPr="00165E46" w:rsidRDefault="00B30EFF" w:rsidP="37E71891">
      <w:pPr>
        <w:rPr>
          <w:rFonts w:eastAsia="Arial" w:cs="Arial"/>
          <w:sz w:val="22"/>
          <w:szCs w:val="22"/>
        </w:rPr>
      </w:pPr>
    </w:p>
    <w:p w14:paraId="18D55FDE" w14:textId="77777777" w:rsidR="00B30EFF" w:rsidRPr="00165E46" w:rsidRDefault="00B30EFF" w:rsidP="37E71891">
      <w:pPr>
        <w:rPr>
          <w:rFonts w:cs="Arial"/>
          <w:sz w:val="22"/>
          <w:szCs w:val="22"/>
        </w:rPr>
      </w:pPr>
      <w:r w:rsidRPr="00165E46">
        <w:rPr>
          <w:rFonts w:eastAsia="Arial" w:cs="Arial"/>
          <w:sz w:val="22"/>
          <w:szCs w:val="22"/>
        </w:rPr>
        <w:t>Bidders should indicate if a query is of a commercially sensitive or confidential nature – where disclosure of such query and the answer would, or would be likely, to prejudice its commercial interests.  Bidders must set out the reason(s) for non-disclosure of the clarification question to othe</w:t>
      </w:r>
      <w:r w:rsidRPr="00165E46">
        <w:rPr>
          <w:rFonts w:cs="Arial"/>
          <w:sz w:val="22"/>
          <w:szCs w:val="22"/>
        </w:rPr>
        <w:t>r Bidders, however, if the Contracting Authority(s) does not either:</w:t>
      </w:r>
    </w:p>
    <w:p w14:paraId="4CCB8085" w14:textId="77777777" w:rsidR="00B30EFF" w:rsidRPr="00165E46" w:rsidRDefault="00B30EFF" w:rsidP="00B30EFF">
      <w:pPr>
        <w:rPr>
          <w:rFonts w:cs="Arial"/>
          <w:sz w:val="22"/>
          <w:szCs w:val="22"/>
        </w:rPr>
      </w:pPr>
    </w:p>
    <w:p w14:paraId="360E42FC" w14:textId="525942FD" w:rsidR="00B30EFF" w:rsidRPr="00165E46" w:rsidRDefault="00B30EFF" w:rsidP="00165E46">
      <w:pPr>
        <w:pStyle w:val="ListParagraph"/>
        <w:numPr>
          <w:ilvl w:val="0"/>
          <w:numId w:val="41"/>
        </w:numPr>
        <w:rPr>
          <w:rFonts w:cs="Arial"/>
          <w:sz w:val="22"/>
          <w:szCs w:val="22"/>
        </w:rPr>
      </w:pPr>
      <w:r w:rsidRPr="00165E46">
        <w:rPr>
          <w:rFonts w:cs="Arial"/>
          <w:sz w:val="22"/>
          <w:szCs w:val="22"/>
        </w:rPr>
        <w:t>consider the query to be of a commercially sensitive; or</w:t>
      </w:r>
    </w:p>
    <w:p w14:paraId="5C2CA120" w14:textId="4725F198" w:rsidR="00B30EFF" w:rsidRPr="00165E46" w:rsidRDefault="00B30EFF" w:rsidP="00165E46">
      <w:pPr>
        <w:ind w:firstLine="60"/>
        <w:rPr>
          <w:rFonts w:cs="Arial"/>
          <w:sz w:val="22"/>
          <w:szCs w:val="22"/>
        </w:rPr>
      </w:pPr>
    </w:p>
    <w:p w14:paraId="372E31D3" w14:textId="15B220E0" w:rsidR="00B30EFF" w:rsidRPr="00165E46" w:rsidRDefault="00B30EFF" w:rsidP="00165E46">
      <w:pPr>
        <w:pStyle w:val="ListParagraph"/>
        <w:numPr>
          <w:ilvl w:val="0"/>
          <w:numId w:val="41"/>
        </w:numPr>
        <w:rPr>
          <w:rFonts w:cs="Arial"/>
          <w:sz w:val="22"/>
          <w:szCs w:val="22"/>
        </w:rPr>
      </w:pPr>
      <w:r w:rsidRPr="00165E46">
        <w:rPr>
          <w:rFonts w:cs="Arial"/>
          <w:sz w:val="22"/>
          <w:szCs w:val="22"/>
        </w:rPr>
        <w:t>confidential nature; or</w:t>
      </w:r>
    </w:p>
    <w:p w14:paraId="023A4665" w14:textId="77777777" w:rsidR="00B30EFF" w:rsidRPr="00165E46" w:rsidRDefault="00B30EFF" w:rsidP="00B30EFF">
      <w:pPr>
        <w:rPr>
          <w:rFonts w:cs="Arial"/>
          <w:sz w:val="22"/>
          <w:szCs w:val="22"/>
        </w:rPr>
      </w:pPr>
    </w:p>
    <w:p w14:paraId="10AB42E6" w14:textId="26821D58" w:rsidR="00B30EFF" w:rsidRPr="00165E46" w:rsidRDefault="00B30EFF" w:rsidP="00165E46">
      <w:pPr>
        <w:pStyle w:val="ListParagraph"/>
        <w:numPr>
          <w:ilvl w:val="0"/>
          <w:numId w:val="41"/>
        </w:numPr>
        <w:rPr>
          <w:rFonts w:cs="Arial"/>
          <w:sz w:val="22"/>
          <w:szCs w:val="22"/>
        </w:rPr>
      </w:pPr>
      <w:r w:rsidRPr="00165E46">
        <w:rPr>
          <w:rFonts w:cs="Arial"/>
          <w:sz w:val="22"/>
          <w:szCs w:val="22"/>
        </w:rPr>
        <w:t xml:space="preserve">one which all Bidders would potentially benefit from seeing both the query and the Contracting Authority(s)’s proposed </w:t>
      </w:r>
      <w:r w:rsidR="00C041DD" w:rsidRPr="00165E46">
        <w:rPr>
          <w:rFonts w:cs="Arial"/>
          <w:sz w:val="22"/>
          <w:szCs w:val="22"/>
        </w:rPr>
        <w:t>response.</w:t>
      </w:r>
    </w:p>
    <w:p w14:paraId="1532197F" w14:textId="77777777" w:rsidR="00B30EFF" w:rsidRPr="00165E46" w:rsidRDefault="00B30EFF" w:rsidP="00B30EFF">
      <w:pPr>
        <w:rPr>
          <w:rFonts w:cs="Arial"/>
          <w:sz w:val="22"/>
          <w:szCs w:val="22"/>
        </w:rPr>
      </w:pPr>
    </w:p>
    <w:p w14:paraId="144C2F29" w14:textId="44A7654B" w:rsidR="00142848" w:rsidRPr="00165E46" w:rsidRDefault="00B30EFF" w:rsidP="00B30EFF">
      <w:pPr>
        <w:pStyle w:val="ListParagraph"/>
        <w:numPr>
          <w:ilvl w:val="0"/>
          <w:numId w:val="41"/>
        </w:numPr>
        <w:rPr>
          <w:rFonts w:cs="Arial"/>
          <w:sz w:val="22"/>
          <w:szCs w:val="22"/>
        </w:rPr>
      </w:pPr>
      <w:r w:rsidRPr="00165E46">
        <w:rPr>
          <w:rFonts w:cs="Arial"/>
          <w:sz w:val="22"/>
          <w:szCs w:val="22"/>
        </w:rPr>
        <w:t>they will hold at their discretion the right to refuse such a request and will inform the requesting Bidder of any such decision (without advising them of the proposed response).  The Bidder will then have the right to withdraw the question or clarification.</w:t>
      </w:r>
    </w:p>
    <w:p w14:paraId="7D6D62D6" w14:textId="77777777" w:rsidR="00142848" w:rsidRPr="00165E46" w:rsidRDefault="00142848" w:rsidP="00B30EFF">
      <w:pPr>
        <w:rPr>
          <w:rFonts w:cs="Arial"/>
          <w:sz w:val="22"/>
          <w:szCs w:val="22"/>
        </w:rPr>
      </w:pPr>
    </w:p>
    <w:p w14:paraId="1536F1F8" w14:textId="49B9F15D" w:rsidR="00B30EFF" w:rsidRPr="00165E46" w:rsidRDefault="00B30EFF" w:rsidP="00B30EFF">
      <w:pPr>
        <w:rPr>
          <w:rFonts w:cs="Arial"/>
          <w:sz w:val="22"/>
          <w:szCs w:val="22"/>
        </w:rPr>
      </w:pPr>
      <w:r w:rsidRPr="00165E46">
        <w:rPr>
          <w:rFonts w:cs="Arial"/>
          <w:sz w:val="22"/>
          <w:szCs w:val="22"/>
        </w:rPr>
        <w:t>EVALUATION</w:t>
      </w:r>
    </w:p>
    <w:p w14:paraId="77ED61BA" w14:textId="77777777" w:rsidR="00B30EFF" w:rsidRPr="00165E46" w:rsidRDefault="00B30EFF" w:rsidP="00B30EFF">
      <w:pPr>
        <w:rPr>
          <w:rFonts w:cs="Arial"/>
          <w:sz w:val="22"/>
          <w:szCs w:val="22"/>
        </w:rPr>
      </w:pPr>
    </w:p>
    <w:p w14:paraId="68CB03F8" w14:textId="77777777" w:rsidR="00B30EFF" w:rsidRPr="00165E46" w:rsidRDefault="00B30EFF" w:rsidP="00B30EFF">
      <w:pPr>
        <w:rPr>
          <w:rFonts w:cs="Arial"/>
          <w:sz w:val="22"/>
          <w:szCs w:val="22"/>
        </w:rPr>
      </w:pPr>
      <w:r w:rsidRPr="00165E46">
        <w:rPr>
          <w:rFonts w:cs="Arial"/>
          <w:sz w:val="22"/>
          <w:szCs w:val="22"/>
        </w:rPr>
        <w:t>Evaluation will be carried out by a panel made up of representatives from the Contracting Authority(s) and their advisors. Only evaluators authorised by the Contracting Authority(s) will have access to Bid information.</w:t>
      </w:r>
    </w:p>
    <w:p w14:paraId="4F643468" w14:textId="77777777" w:rsidR="00B30EFF" w:rsidRPr="00165E46" w:rsidRDefault="00B30EFF" w:rsidP="00B30EFF">
      <w:pPr>
        <w:rPr>
          <w:rFonts w:cs="Arial"/>
          <w:sz w:val="22"/>
          <w:szCs w:val="22"/>
        </w:rPr>
      </w:pPr>
    </w:p>
    <w:p w14:paraId="523B6886" w14:textId="77777777" w:rsidR="00B30EFF" w:rsidRPr="00165E46" w:rsidRDefault="00B30EFF" w:rsidP="00B30EFF">
      <w:pPr>
        <w:rPr>
          <w:rFonts w:cs="Arial"/>
          <w:sz w:val="22"/>
          <w:szCs w:val="22"/>
        </w:rPr>
      </w:pPr>
      <w:r w:rsidRPr="00165E46">
        <w:rPr>
          <w:rFonts w:cs="Arial"/>
          <w:sz w:val="22"/>
          <w:szCs w:val="22"/>
        </w:rPr>
        <w:t>The members of the evaluation team will be subject matter experts in one or more areas and therefore may only evaluate a few questions based on their knowledge and expertise therefore bids responses may be evaluated by a Panel of experts or by individuals.</w:t>
      </w:r>
    </w:p>
    <w:p w14:paraId="4C25C85A" w14:textId="77777777" w:rsidR="00B30EFF" w:rsidRPr="00165E46" w:rsidRDefault="00B30EFF" w:rsidP="00B30EFF">
      <w:pPr>
        <w:rPr>
          <w:rFonts w:cs="Arial"/>
          <w:sz w:val="22"/>
          <w:szCs w:val="22"/>
        </w:rPr>
      </w:pPr>
    </w:p>
    <w:p w14:paraId="567B63B3" w14:textId="77777777" w:rsidR="00DD5795" w:rsidRPr="00165E46" w:rsidRDefault="00B30EFF" w:rsidP="00B30EFF">
      <w:pPr>
        <w:rPr>
          <w:rFonts w:cs="Arial"/>
          <w:sz w:val="22"/>
          <w:szCs w:val="22"/>
        </w:rPr>
      </w:pPr>
      <w:r w:rsidRPr="00165E46">
        <w:rPr>
          <w:rFonts w:cs="Arial"/>
          <w:sz w:val="22"/>
          <w:szCs w:val="22"/>
        </w:rPr>
        <w:t xml:space="preserve">Panel members will convene as a group and assess Bids collectively utilising a score sheet, as exampled by the Evaluation Criteria document.  </w:t>
      </w:r>
    </w:p>
    <w:p w14:paraId="3C197F27" w14:textId="77777777" w:rsidR="00DD5795" w:rsidRPr="00165E46" w:rsidRDefault="00DD5795" w:rsidP="00B30EFF">
      <w:pPr>
        <w:rPr>
          <w:rFonts w:cs="Arial"/>
          <w:sz w:val="22"/>
          <w:szCs w:val="22"/>
        </w:rPr>
      </w:pPr>
    </w:p>
    <w:p w14:paraId="22DAD851" w14:textId="221A7179" w:rsidR="00DD5795" w:rsidRPr="00165E46" w:rsidRDefault="00DD5795" w:rsidP="00DD5795">
      <w:pPr>
        <w:rPr>
          <w:rFonts w:cs="Arial"/>
          <w:sz w:val="22"/>
          <w:szCs w:val="22"/>
          <w:highlight w:val="yellow"/>
        </w:rPr>
      </w:pPr>
      <w:r w:rsidRPr="00165E46">
        <w:rPr>
          <w:rFonts w:cs="Arial"/>
          <w:sz w:val="22"/>
          <w:szCs w:val="22"/>
          <w:highlight w:val="yellow"/>
        </w:rPr>
        <w:t>Finance Scores: The total price question will be scored according to the Finance Score Example.</w:t>
      </w:r>
    </w:p>
    <w:p w14:paraId="40A96887" w14:textId="77777777" w:rsidR="00DD5795" w:rsidRPr="00165E46" w:rsidRDefault="00DD5795" w:rsidP="00DD5795">
      <w:pPr>
        <w:rPr>
          <w:rFonts w:cs="Arial"/>
          <w:sz w:val="22"/>
          <w:szCs w:val="22"/>
          <w:highlight w:val="yellow"/>
        </w:rPr>
      </w:pPr>
    </w:p>
    <w:p w14:paraId="392FC725" w14:textId="36BB61F4" w:rsidR="00DD5795" w:rsidRPr="00165E46" w:rsidRDefault="00DD5795" w:rsidP="00DD5795">
      <w:pPr>
        <w:rPr>
          <w:rFonts w:cs="Arial"/>
          <w:sz w:val="22"/>
          <w:szCs w:val="22"/>
          <w:highlight w:val="yellow"/>
        </w:rPr>
      </w:pPr>
      <w:r w:rsidRPr="00165E46">
        <w:rPr>
          <w:rFonts w:cs="Arial"/>
          <w:sz w:val="22"/>
          <w:szCs w:val="22"/>
          <w:highlight w:val="yellow"/>
        </w:rPr>
        <w:t>The total of both the Quality and Finance scores will be the overall weighted score out of 100%</w:t>
      </w:r>
      <w:r w:rsidR="002664D0" w:rsidRPr="00165E46">
        <w:rPr>
          <w:rFonts w:cs="Arial"/>
          <w:sz w:val="22"/>
          <w:szCs w:val="22"/>
          <w:highlight w:val="yellow"/>
        </w:rPr>
        <w:t>.</w:t>
      </w:r>
    </w:p>
    <w:p w14:paraId="76E7D3F5" w14:textId="77777777" w:rsidR="002664D0" w:rsidRPr="00165E46" w:rsidRDefault="002664D0" w:rsidP="00DD5795">
      <w:pPr>
        <w:rPr>
          <w:rFonts w:cs="Arial"/>
          <w:sz w:val="22"/>
          <w:szCs w:val="22"/>
          <w:highlight w:val="yellow"/>
        </w:rPr>
      </w:pPr>
    </w:p>
    <w:p w14:paraId="78F7B752" w14:textId="77777777" w:rsidR="00DD5795" w:rsidRPr="00165E46" w:rsidRDefault="00DD5795" w:rsidP="00B30EFF">
      <w:pPr>
        <w:rPr>
          <w:rFonts w:cs="Arial"/>
          <w:sz w:val="22"/>
          <w:szCs w:val="22"/>
        </w:rPr>
      </w:pPr>
    </w:p>
    <w:p w14:paraId="25FC8F8B" w14:textId="6E9382B9" w:rsidR="002A315C" w:rsidRPr="00165E46" w:rsidRDefault="002A315C" w:rsidP="00B30EFF">
      <w:pPr>
        <w:rPr>
          <w:rFonts w:cs="Arial"/>
          <w:sz w:val="22"/>
          <w:szCs w:val="22"/>
        </w:rPr>
      </w:pPr>
      <w:r w:rsidRPr="00165E46">
        <w:rPr>
          <w:rFonts w:cs="Arial"/>
          <w:sz w:val="22"/>
          <w:szCs w:val="22"/>
        </w:rPr>
        <w:t>The scoring matrix will be as follows:</w:t>
      </w:r>
    </w:p>
    <w:p w14:paraId="3AE3D7FF" w14:textId="7DDDDC03" w:rsidR="002A315C" w:rsidRPr="00165E46" w:rsidRDefault="002A315C" w:rsidP="002A315C">
      <w:pPr>
        <w:pStyle w:val="Heading2"/>
        <w:rPr>
          <w:rFonts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0"/>
        <w:gridCol w:w="7229"/>
      </w:tblGrid>
      <w:tr w:rsidR="002A315C" w:rsidRPr="00165E46" w14:paraId="05A8FAD4" w14:textId="77777777" w:rsidTr="00245B8D">
        <w:trPr>
          <w:trHeight w:val="103"/>
        </w:trPr>
        <w:tc>
          <w:tcPr>
            <w:tcW w:w="1668" w:type="dxa"/>
          </w:tcPr>
          <w:p w14:paraId="51E221CF" w14:textId="77777777" w:rsidR="002A315C" w:rsidRPr="00165E46" w:rsidRDefault="002A315C" w:rsidP="00245B8D">
            <w:pPr>
              <w:spacing w:after="200" w:line="276" w:lineRule="auto"/>
              <w:rPr>
                <w:rFonts w:cs="Arial"/>
                <w:sz w:val="22"/>
                <w:szCs w:val="22"/>
              </w:rPr>
            </w:pPr>
            <w:r w:rsidRPr="00165E46">
              <w:rPr>
                <w:rFonts w:cs="Arial"/>
                <w:b/>
                <w:bCs/>
                <w:sz w:val="22"/>
                <w:szCs w:val="22"/>
              </w:rPr>
              <w:t xml:space="preserve">Assessment </w:t>
            </w:r>
          </w:p>
        </w:tc>
        <w:tc>
          <w:tcPr>
            <w:tcW w:w="850" w:type="dxa"/>
          </w:tcPr>
          <w:p w14:paraId="6B37E9AC" w14:textId="77777777" w:rsidR="002A315C" w:rsidRPr="00165E46" w:rsidRDefault="002A315C" w:rsidP="00245B8D">
            <w:pPr>
              <w:spacing w:after="200" w:line="276" w:lineRule="auto"/>
              <w:rPr>
                <w:rFonts w:cs="Arial"/>
                <w:sz w:val="22"/>
                <w:szCs w:val="22"/>
              </w:rPr>
            </w:pPr>
            <w:r w:rsidRPr="00165E46">
              <w:rPr>
                <w:rFonts w:cs="Arial"/>
                <w:b/>
                <w:bCs/>
                <w:sz w:val="22"/>
                <w:szCs w:val="22"/>
              </w:rPr>
              <w:t xml:space="preserve">Score </w:t>
            </w:r>
          </w:p>
        </w:tc>
        <w:tc>
          <w:tcPr>
            <w:tcW w:w="7229" w:type="dxa"/>
          </w:tcPr>
          <w:p w14:paraId="5B0C65C4" w14:textId="77777777" w:rsidR="002A315C" w:rsidRPr="00165E46" w:rsidRDefault="002A315C" w:rsidP="00245B8D">
            <w:pPr>
              <w:spacing w:after="200" w:line="276" w:lineRule="auto"/>
              <w:rPr>
                <w:rFonts w:cs="Arial"/>
                <w:sz w:val="22"/>
                <w:szCs w:val="22"/>
              </w:rPr>
            </w:pPr>
            <w:r w:rsidRPr="00165E46">
              <w:rPr>
                <w:rFonts w:cs="Arial"/>
                <w:b/>
                <w:bCs/>
                <w:sz w:val="22"/>
                <w:szCs w:val="22"/>
              </w:rPr>
              <w:t xml:space="preserve">Interpretation </w:t>
            </w:r>
          </w:p>
        </w:tc>
      </w:tr>
      <w:tr w:rsidR="002A315C" w:rsidRPr="00165E46" w14:paraId="51024155" w14:textId="77777777" w:rsidTr="00142848">
        <w:trPr>
          <w:trHeight w:val="735"/>
        </w:trPr>
        <w:tc>
          <w:tcPr>
            <w:tcW w:w="1668" w:type="dxa"/>
            <w:shd w:val="clear" w:color="auto" w:fill="auto"/>
          </w:tcPr>
          <w:p w14:paraId="3EAB5CB3" w14:textId="77777777" w:rsidR="002A315C" w:rsidRPr="00165E46" w:rsidRDefault="002A315C" w:rsidP="00245B8D">
            <w:pPr>
              <w:spacing w:after="200" w:line="276" w:lineRule="auto"/>
              <w:rPr>
                <w:rFonts w:cs="Arial"/>
                <w:sz w:val="22"/>
                <w:szCs w:val="22"/>
              </w:rPr>
            </w:pPr>
            <w:r w:rsidRPr="00165E46">
              <w:rPr>
                <w:rFonts w:cs="Arial"/>
                <w:sz w:val="22"/>
                <w:szCs w:val="22"/>
              </w:rPr>
              <w:t xml:space="preserve">Excellent </w:t>
            </w:r>
          </w:p>
        </w:tc>
        <w:tc>
          <w:tcPr>
            <w:tcW w:w="850" w:type="dxa"/>
          </w:tcPr>
          <w:p w14:paraId="4F101605" w14:textId="77777777" w:rsidR="002A315C" w:rsidRPr="00165E46" w:rsidRDefault="002A315C" w:rsidP="00245B8D">
            <w:pPr>
              <w:spacing w:after="200" w:line="276" w:lineRule="auto"/>
              <w:rPr>
                <w:rFonts w:cs="Arial"/>
                <w:sz w:val="22"/>
                <w:szCs w:val="22"/>
              </w:rPr>
            </w:pPr>
            <w:r w:rsidRPr="00165E46">
              <w:rPr>
                <w:rFonts w:cs="Arial"/>
                <w:sz w:val="22"/>
                <w:szCs w:val="22"/>
              </w:rPr>
              <w:t xml:space="preserve">5 </w:t>
            </w:r>
          </w:p>
        </w:tc>
        <w:tc>
          <w:tcPr>
            <w:tcW w:w="7229" w:type="dxa"/>
          </w:tcPr>
          <w:p w14:paraId="3729933C" w14:textId="77777777" w:rsidR="002A315C" w:rsidRPr="00165E46" w:rsidRDefault="002A315C" w:rsidP="00245B8D">
            <w:pPr>
              <w:spacing w:after="200" w:line="276" w:lineRule="auto"/>
              <w:rPr>
                <w:rFonts w:cs="Arial"/>
                <w:sz w:val="22"/>
                <w:szCs w:val="22"/>
              </w:rPr>
            </w:pPr>
            <w:r w:rsidRPr="00165E46">
              <w:rPr>
                <w:rFonts w:cs="Arial"/>
                <w:sz w:val="22"/>
                <w:szCs w:val="22"/>
              </w:rPr>
              <w:t xml:space="preserve">Exceeds the requirement. Exceptional demonstration by the Bidder of the relevant ability, understanding, resource &amp; quality measures required to provide the services. Response identifies factors that will offer potential added value, with evidence to support the response. </w:t>
            </w:r>
          </w:p>
        </w:tc>
      </w:tr>
      <w:tr w:rsidR="002A315C" w:rsidRPr="00165E46" w14:paraId="06DB500F" w14:textId="77777777" w:rsidTr="00142848">
        <w:trPr>
          <w:trHeight w:val="735"/>
        </w:trPr>
        <w:tc>
          <w:tcPr>
            <w:tcW w:w="1668" w:type="dxa"/>
            <w:shd w:val="clear" w:color="auto" w:fill="auto"/>
          </w:tcPr>
          <w:p w14:paraId="5E91403B" w14:textId="77777777" w:rsidR="002A315C" w:rsidRPr="00165E46" w:rsidRDefault="002A315C" w:rsidP="00245B8D">
            <w:pPr>
              <w:spacing w:after="200" w:line="276" w:lineRule="auto"/>
              <w:rPr>
                <w:rFonts w:cs="Arial"/>
                <w:sz w:val="22"/>
                <w:szCs w:val="22"/>
              </w:rPr>
            </w:pPr>
            <w:r w:rsidRPr="00165E46">
              <w:rPr>
                <w:rFonts w:cs="Arial"/>
                <w:sz w:val="22"/>
                <w:szCs w:val="22"/>
              </w:rPr>
              <w:t xml:space="preserve">Good </w:t>
            </w:r>
          </w:p>
        </w:tc>
        <w:tc>
          <w:tcPr>
            <w:tcW w:w="850" w:type="dxa"/>
          </w:tcPr>
          <w:p w14:paraId="0559F5EC" w14:textId="77777777" w:rsidR="002A315C" w:rsidRPr="00165E46" w:rsidRDefault="002A315C" w:rsidP="00245B8D">
            <w:pPr>
              <w:spacing w:after="200" w:line="276" w:lineRule="auto"/>
              <w:rPr>
                <w:rFonts w:cs="Arial"/>
                <w:sz w:val="22"/>
                <w:szCs w:val="22"/>
              </w:rPr>
            </w:pPr>
            <w:r w:rsidRPr="00165E46">
              <w:rPr>
                <w:rFonts w:cs="Arial"/>
                <w:sz w:val="22"/>
                <w:szCs w:val="22"/>
              </w:rPr>
              <w:t xml:space="preserve">4 </w:t>
            </w:r>
          </w:p>
        </w:tc>
        <w:tc>
          <w:tcPr>
            <w:tcW w:w="7229" w:type="dxa"/>
          </w:tcPr>
          <w:p w14:paraId="673C1415" w14:textId="77777777" w:rsidR="002A315C" w:rsidRPr="00165E46" w:rsidRDefault="002A315C" w:rsidP="00245B8D">
            <w:pPr>
              <w:spacing w:after="200" w:line="276" w:lineRule="auto"/>
              <w:rPr>
                <w:rFonts w:cs="Arial"/>
                <w:sz w:val="22"/>
                <w:szCs w:val="22"/>
              </w:rPr>
            </w:pPr>
            <w:r w:rsidRPr="00165E46">
              <w:rPr>
                <w:rFonts w:cs="Arial"/>
                <w:sz w:val="22"/>
                <w:szCs w:val="22"/>
              </w:rPr>
              <w:t xml:space="preserve">Satisfies the requirement with minor additional benefits/added value. Above average demonstration by the Bidder of the relevant ability, understanding, resource &amp; quality measures required to provide the services. Response identifies factors that will offer potential added value, with evidence to support the response. </w:t>
            </w:r>
          </w:p>
        </w:tc>
      </w:tr>
      <w:tr w:rsidR="002A315C" w:rsidRPr="00165E46" w14:paraId="360901A9" w14:textId="77777777" w:rsidTr="00142848">
        <w:trPr>
          <w:trHeight w:val="482"/>
        </w:trPr>
        <w:tc>
          <w:tcPr>
            <w:tcW w:w="1668" w:type="dxa"/>
            <w:shd w:val="clear" w:color="auto" w:fill="auto"/>
          </w:tcPr>
          <w:p w14:paraId="269B0E8A" w14:textId="77777777" w:rsidR="002A315C" w:rsidRPr="00165E46" w:rsidRDefault="002A315C" w:rsidP="00245B8D">
            <w:pPr>
              <w:spacing w:after="200" w:line="276" w:lineRule="auto"/>
              <w:rPr>
                <w:rFonts w:cs="Arial"/>
                <w:sz w:val="22"/>
                <w:szCs w:val="22"/>
              </w:rPr>
            </w:pPr>
            <w:r w:rsidRPr="00165E46">
              <w:rPr>
                <w:rFonts w:cs="Arial"/>
                <w:sz w:val="22"/>
                <w:szCs w:val="22"/>
              </w:rPr>
              <w:t xml:space="preserve">Acceptable </w:t>
            </w:r>
          </w:p>
        </w:tc>
        <w:tc>
          <w:tcPr>
            <w:tcW w:w="850" w:type="dxa"/>
          </w:tcPr>
          <w:p w14:paraId="25899BBA" w14:textId="77777777" w:rsidR="002A315C" w:rsidRPr="00165E46" w:rsidRDefault="002A315C" w:rsidP="00245B8D">
            <w:pPr>
              <w:spacing w:after="200" w:line="276" w:lineRule="auto"/>
              <w:rPr>
                <w:rFonts w:cs="Arial"/>
                <w:sz w:val="22"/>
                <w:szCs w:val="22"/>
              </w:rPr>
            </w:pPr>
            <w:r w:rsidRPr="00165E46">
              <w:rPr>
                <w:rFonts w:cs="Arial"/>
                <w:sz w:val="22"/>
                <w:szCs w:val="22"/>
              </w:rPr>
              <w:t xml:space="preserve">3 </w:t>
            </w:r>
          </w:p>
        </w:tc>
        <w:tc>
          <w:tcPr>
            <w:tcW w:w="7229" w:type="dxa"/>
          </w:tcPr>
          <w:p w14:paraId="2B27EF03" w14:textId="1CA5B60B" w:rsidR="002A315C" w:rsidRPr="00165E46" w:rsidRDefault="002A315C" w:rsidP="00245B8D">
            <w:pPr>
              <w:spacing w:after="200" w:line="276" w:lineRule="auto"/>
              <w:rPr>
                <w:rFonts w:cs="Arial"/>
                <w:sz w:val="22"/>
                <w:szCs w:val="22"/>
              </w:rPr>
            </w:pPr>
            <w:r w:rsidRPr="00165E46">
              <w:rPr>
                <w:rFonts w:cs="Arial"/>
                <w:sz w:val="22"/>
                <w:szCs w:val="22"/>
              </w:rPr>
              <w:t>Satisfies the requirement. Demonstration by the Bidder of the relevant ability,</w:t>
            </w:r>
            <w:r w:rsidR="00C041DD">
              <w:rPr>
                <w:rFonts w:cs="Arial"/>
                <w:sz w:val="22"/>
                <w:szCs w:val="22"/>
              </w:rPr>
              <w:t xml:space="preserve"> </w:t>
            </w:r>
            <w:r w:rsidRPr="00165E46">
              <w:rPr>
                <w:rFonts w:cs="Arial"/>
                <w:sz w:val="22"/>
                <w:szCs w:val="22"/>
              </w:rPr>
              <w:t xml:space="preserve">understanding, resource </w:t>
            </w:r>
            <w:r w:rsidR="00C041DD">
              <w:rPr>
                <w:rFonts w:cs="Arial"/>
                <w:sz w:val="22"/>
                <w:szCs w:val="22"/>
              </w:rPr>
              <w:t>and</w:t>
            </w:r>
            <w:r w:rsidRPr="00165E46">
              <w:rPr>
                <w:rFonts w:cs="Arial"/>
                <w:sz w:val="22"/>
                <w:szCs w:val="22"/>
              </w:rPr>
              <w:t xml:space="preserve"> quality measures required to provide the services, with evidence to support the response. </w:t>
            </w:r>
          </w:p>
        </w:tc>
      </w:tr>
      <w:tr w:rsidR="002A315C" w:rsidRPr="00165E46" w14:paraId="388C40EE" w14:textId="77777777" w:rsidTr="00142848">
        <w:trPr>
          <w:trHeight w:val="608"/>
        </w:trPr>
        <w:tc>
          <w:tcPr>
            <w:tcW w:w="1668" w:type="dxa"/>
            <w:shd w:val="clear" w:color="auto" w:fill="auto"/>
          </w:tcPr>
          <w:p w14:paraId="12917362" w14:textId="77777777" w:rsidR="002A315C" w:rsidRPr="00165E46" w:rsidRDefault="002A315C" w:rsidP="00245B8D">
            <w:pPr>
              <w:spacing w:after="200" w:line="276" w:lineRule="auto"/>
              <w:rPr>
                <w:rFonts w:cs="Arial"/>
                <w:sz w:val="22"/>
                <w:szCs w:val="22"/>
              </w:rPr>
            </w:pPr>
            <w:r w:rsidRPr="00165E46">
              <w:rPr>
                <w:rFonts w:cs="Arial"/>
                <w:sz w:val="22"/>
                <w:szCs w:val="22"/>
              </w:rPr>
              <w:t xml:space="preserve">Minor Reservations </w:t>
            </w:r>
          </w:p>
        </w:tc>
        <w:tc>
          <w:tcPr>
            <w:tcW w:w="850" w:type="dxa"/>
          </w:tcPr>
          <w:p w14:paraId="710438E9" w14:textId="77777777" w:rsidR="002A315C" w:rsidRPr="00165E46" w:rsidRDefault="002A315C" w:rsidP="00245B8D">
            <w:pPr>
              <w:spacing w:after="200" w:line="276" w:lineRule="auto"/>
              <w:rPr>
                <w:rFonts w:cs="Arial"/>
                <w:sz w:val="22"/>
                <w:szCs w:val="22"/>
              </w:rPr>
            </w:pPr>
            <w:r w:rsidRPr="00165E46">
              <w:rPr>
                <w:rFonts w:cs="Arial"/>
                <w:sz w:val="22"/>
                <w:szCs w:val="22"/>
              </w:rPr>
              <w:t xml:space="preserve">2 </w:t>
            </w:r>
          </w:p>
        </w:tc>
        <w:tc>
          <w:tcPr>
            <w:tcW w:w="7229" w:type="dxa"/>
          </w:tcPr>
          <w:p w14:paraId="4A083955" w14:textId="0AD86457" w:rsidR="002A315C" w:rsidRPr="00165E46" w:rsidRDefault="002A315C" w:rsidP="00245B8D">
            <w:pPr>
              <w:spacing w:after="200" w:line="276" w:lineRule="auto"/>
              <w:rPr>
                <w:rFonts w:cs="Arial"/>
                <w:sz w:val="22"/>
                <w:szCs w:val="22"/>
              </w:rPr>
            </w:pPr>
            <w:r w:rsidRPr="00165E46">
              <w:rPr>
                <w:rFonts w:cs="Arial"/>
                <w:sz w:val="22"/>
                <w:szCs w:val="22"/>
              </w:rPr>
              <w:t xml:space="preserve">Does not fully satisfy the requirement, with minor reservations. Some minor reservations of the Bidder’s relevant ability, understanding, resource </w:t>
            </w:r>
            <w:r w:rsidR="00C041DD">
              <w:rPr>
                <w:rFonts w:cs="Arial"/>
                <w:sz w:val="22"/>
                <w:szCs w:val="22"/>
              </w:rPr>
              <w:t>and</w:t>
            </w:r>
            <w:r w:rsidRPr="00165E46">
              <w:rPr>
                <w:rFonts w:cs="Arial"/>
                <w:sz w:val="22"/>
                <w:szCs w:val="22"/>
              </w:rPr>
              <w:t xml:space="preserve"> quality measures required to provide the services, with little or no evidence to support the response. </w:t>
            </w:r>
          </w:p>
        </w:tc>
      </w:tr>
      <w:tr w:rsidR="002A315C" w:rsidRPr="00165E46" w14:paraId="15DEE2A8" w14:textId="77777777" w:rsidTr="00142848">
        <w:trPr>
          <w:trHeight w:val="609"/>
        </w:trPr>
        <w:tc>
          <w:tcPr>
            <w:tcW w:w="1668" w:type="dxa"/>
            <w:shd w:val="clear" w:color="auto" w:fill="auto"/>
          </w:tcPr>
          <w:p w14:paraId="77A3B623" w14:textId="77777777" w:rsidR="002A315C" w:rsidRPr="00165E46" w:rsidRDefault="002A315C" w:rsidP="00245B8D">
            <w:pPr>
              <w:spacing w:after="200" w:line="276" w:lineRule="auto"/>
              <w:rPr>
                <w:rFonts w:cs="Arial"/>
                <w:sz w:val="22"/>
                <w:szCs w:val="22"/>
              </w:rPr>
            </w:pPr>
            <w:r w:rsidRPr="00165E46">
              <w:rPr>
                <w:rFonts w:cs="Arial"/>
                <w:sz w:val="22"/>
                <w:szCs w:val="22"/>
              </w:rPr>
              <w:t xml:space="preserve">Serious Reservations </w:t>
            </w:r>
          </w:p>
        </w:tc>
        <w:tc>
          <w:tcPr>
            <w:tcW w:w="850" w:type="dxa"/>
          </w:tcPr>
          <w:p w14:paraId="5E8F4816" w14:textId="77777777" w:rsidR="002A315C" w:rsidRPr="00165E46" w:rsidRDefault="002A315C" w:rsidP="00245B8D">
            <w:pPr>
              <w:spacing w:after="200" w:line="276" w:lineRule="auto"/>
              <w:rPr>
                <w:rFonts w:cs="Arial"/>
                <w:sz w:val="22"/>
                <w:szCs w:val="22"/>
              </w:rPr>
            </w:pPr>
            <w:r w:rsidRPr="00165E46">
              <w:rPr>
                <w:rFonts w:cs="Arial"/>
                <w:sz w:val="22"/>
                <w:szCs w:val="22"/>
              </w:rPr>
              <w:t xml:space="preserve">1 </w:t>
            </w:r>
          </w:p>
        </w:tc>
        <w:tc>
          <w:tcPr>
            <w:tcW w:w="7229" w:type="dxa"/>
          </w:tcPr>
          <w:p w14:paraId="39CD5912" w14:textId="5191D227" w:rsidR="002A315C" w:rsidRPr="00165E46" w:rsidRDefault="002A315C" w:rsidP="00245B8D">
            <w:pPr>
              <w:spacing w:after="200" w:line="276" w:lineRule="auto"/>
              <w:rPr>
                <w:rFonts w:cs="Arial"/>
                <w:sz w:val="22"/>
                <w:szCs w:val="22"/>
              </w:rPr>
            </w:pPr>
            <w:r w:rsidRPr="00165E46">
              <w:rPr>
                <w:rFonts w:cs="Arial"/>
                <w:sz w:val="22"/>
                <w:szCs w:val="22"/>
              </w:rPr>
              <w:t xml:space="preserve">Does not satisfy the requirement, with major reservations. Considerable reservations of the Bidder’s relevant ability, understanding, resource </w:t>
            </w:r>
            <w:r w:rsidR="00C041DD">
              <w:rPr>
                <w:rFonts w:cs="Arial"/>
                <w:sz w:val="22"/>
                <w:szCs w:val="22"/>
              </w:rPr>
              <w:t>and</w:t>
            </w:r>
            <w:r w:rsidRPr="00165E46">
              <w:rPr>
                <w:rFonts w:cs="Arial"/>
                <w:sz w:val="22"/>
                <w:szCs w:val="22"/>
              </w:rPr>
              <w:t xml:space="preserve"> quality measures required to provide the services, with little or no evidence to support the response. </w:t>
            </w:r>
          </w:p>
        </w:tc>
      </w:tr>
      <w:tr w:rsidR="002A315C" w:rsidRPr="00165E46" w14:paraId="0D46A33E" w14:textId="77777777" w:rsidTr="00142848">
        <w:trPr>
          <w:trHeight w:val="610"/>
        </w:trPr>
        <w:tc>
          <w:tcPr>
            <w:tcW w:w="1668" w:type="dxa"/>
            <w:shd w:val="clear" w:color="auto" w:fill="auto"/>
          </w:tcPr>
          <w:p w14:paraId="22A9F5B7" w14:textId="77777777" w:rsidR="002A315C" w:rsidRPr="00165E46" w:rsidRDefault="002A315C" w:rsidP="00245B8D">
            <w:pPr>
              <w:spacing w:after="200" w:line="276" w:lineRule="auto"/>
              <w:rPr>
                <w:rFonts w:cs="Arial"/>
                <w:sz w:val="22"/>
                <w:szCs w:val="22"/>
              </w:rPr>
            </w:pPr>
            <w:r w:rsidRPr="00165E46">
              <w:rPr>
                <w:rFonts w:cs="Arial"/>
                <w:sz w:val="22"/>
                <w:szCs w:val="22"/>
              </w:rPr>
              <w:t xml:space="preserve">Unacceptable </w:t>
            </w:r>
          </w:p>
        </w:tc>
        <w:tc>
          <w:tcPr>
            <w:tcW w:w="850" w:type="dxa"/>
          </w:tcPr>
          <w:p w14:paraId="6D44272C" w14:textId="77777777" w:rsidR="002A315C" w:rsidRPr="00165E46" w:rsidRDefault="002A315C" w:rsidP="00245B8D">
            <w:pPr>
              <w:spacing w:after="200" w:line="276" w:lineRule="auto"/>
              <w:rPr>
                <w:rFonts w:cs="Arial"/>
                <w:sz w:val="22"/>
                <w:szCs w:val="22"/>
              </w:rPr>
            </w:pPr>
            <w:r w:rsidRPr="00165E46">
              <w:rPr>
                <w:rFonts w:cs="Arial"/>
                <w:sz w:val="22"/>
                <w:szCs w:val="22"/>
              </w:rPr>
              <w:t xml:space="preserve">0 </w:t>
            </w:r>
          </w:p>
        </w:tc>
        <w:tc>
          <w:tcPr>
            <w:tcW w:w="7229" w:type="dxa"/>
          </w:tcPr>
          <w:p w14:paraId="6A9FBDF0" w14:textId="77777777" w:rsidR="002A315C" w:rsidRPr="00165E46" w:rsidRDefault="002A315C" w:rsidP="00245B8D">
            <w:pPr>
              <w:spacing w:after="200" w:line="276" w:lineRule="auto"/>
              <w:rPr>
                <w:rFonts w:cs="Arial"/>
                <w:sz w:val="22"/>
                <w:szCs w:val="22"/>
              </w:rPr>
            </w:pPr>
            <w:r w:rsidRPr="00165E46">
              <w:rPr>
                <w:rFonts w:cs="Arial"/>
                <w:sz w:val="22"/>
                <w:szCs w:val="22"/>
              </w:rPr>
              <w:t xml:space="preserve">Does not meet the requirement. Does not comply and/or insufficient information provided to demonstrate that the Bidder has the ability, understanding, resource &amp; quality measures required to provide the services, with little or no evidence to support the response. </w:t>
            </w:r>
          </w:p>
        </w:tc>
      </w:tr>
    </w:tbl>
    <w:p w14:paraId="2C0AF19D" w14:textId="77777777" w:rsidR="002A315C" w:rsidRPr="00165E46" w:rsidRDefault="002A315C" w:rsidP="00B30EFF">
      <w:pPr>
        <w:rPr>
          <w:rFonts w:cs="Arial"/>
          <w:sz w:val="22"/>
          <w:szCs w:val="22"/>
        </w:rPr>
      </w:pPr>
    </w:p>
    <w:p w14:paraId="0507E380" w14:textId="77777777" w:rsidR="003628E1" w:rsidRPr="00165E46" w:rsidRDefault="003628E1" w:rsidP="00B30EFF">
      <w:pPr>
        <w:rPr>
          <w:rFonts w:cs="Arial"/>
          <w:sz w:val="22"/>
          <w:szCs w:val="22"/>
        </w:rPr>
      </w:pPr>
    </w:p>
    <w:p w14:paraId="1AAF4FCD" w14:textId="5D17318E" w:rsidR="003628E1" w:rsidRPr="00165E46" w:rsidRDefault="003628E1" w:rsidP="00B30EFF">
      <w:pPr>
        <w:rPr>
          <w:rFonts w:cs="Arial"/>
          <w:sz w:val="22"/>
          <w:szCs w:val="22"/>
        </w:rPr>
      </w:pPr>
      <w:r w:rsidRPr="00165E46">
        <w:rPr>
          <w:rFonts w:cs="Arial"/>
          <w:sz w:val="22"/>
          <w:szCs w:val="22"/>
          <w:highlight w:val="yellow"/>
        </w:rPr>
        <w:lastRenderedPageBreak/>
        <w:t>Any bid received that is over the £</w:t>
      </w:r>
      <w:r w:rsidR="00397EF7">
        <w:rPr>
          <w:rFonts w:cs="Arial"/>
          <w:sz w:val="22"/>
          <w:szCs w:val="22"/>
          <w:highlight w:val="yellow"/>
        </w:rPr>
        <w:t>75,000</w:t>
      </w:r>
      <w:r w:rsidRPr="00165E46">
        <w:rPr>
          <w:rFonts w:cs="Arial"/>
          <w:sz w:val="22"/>
          <w:szCs w:val="22"/>
          <w:highlight w:val="yellow"/>
        </w:rPr>
        <w:t xml:space="preserve"> maximum contract value (</w:t>
      </w:r>
      <w:r w:rsidR="00113C9F">
        <w:rPr>
          <w:rFonts w:cs="Arial"/>
          <w:sz w:val="22"/>
          <w:szCs w:val="22"/>
          <w:highlight w:val="yellow"/>
        </w:rPr>
        <w:t>Excluding</w:t>
      </w:r>
      <w:r w:rsidRPr="00165E46">
        <w:rPr>
          <w:rFonts w:cs="Arial"/>
          <w:sz w:val="22"/>
          <w:szCs w:val="22"/>
          <w:highlight w:val="yellow"/>
        </w:rPr>
        <w:t xml:space="preserve"> VAT) will be rejected.</w:t>
      </w:r>
      <w:r w:rsidRPr="00165E46">
        <w:rPr>
          <w:rFonts w:cs="Arial"/>
          <w:sz w:val="22"/>
          <w:szCs w:val="22"/>
        </w:rPr>
        <w:t xml:space="preserve"> </w:t>
      </w:r>
      <w:r w:rsidR="00113C9F" w:rsidRPr="00113C9F">
        <w:rPr>
          <w:rFonts w:cs="Arial"/>
          <w:sz w:val="22"/>
          <w:szCs w:val="22"/>
          <w:highlight w:val="yellow"/>
        </w:rPr>
        <w:t>Please also include the VAT Cost.</w:t>
      </w:r>
    </w:p>
    <w:p w14:paraId="42E27E47" w14:textId="77777777" w:rsidR="00B30EFF" w:rsidRPr="00165E46" w:rsidRDefault="00B30EFF" w:rsidP="00B30EFF">
      <w:pPr>
        <w:rPr>
          <w:rFonts w:cs="Arial"/>
          <w:sz w:val="22"/>
          <w:szCs w:val="22"/>
        </w:rPr>
      </w:pPr>
    </w:p>
    <w:p w14:paraId="06134476" w14:textId="77777777" w:rsidR="00B30EFF" w:rsidRPr="00165E46" w:rsidRDefault="00B30EFF" w:rsidP="00B30EFF">
      <w:pPr>
        <w:rPr>
          <w:rFonts w:cs="Arial"/>
          <w:sz w:val="22"/>
          <w:szCs w:val="22"/>
        </w:rPr>
      </w:pPr>
      <w:r w:rsidRPr="00165E46">
        <w:rPr>
          <w:rFonts w:cs="Arial"/>
          <w:sz w:val="22"/>
          <w:szCs w:val="22"/>
        </w:rPr>
        <w:t>In evaluating Bidder Responses, the Contracting Authority(s) / Evaluation Panel will only consider information provided in response to this ITQ. Any prior knowledge of the Bidder or their Bidder Members, its practice or reputation, or its involvement in existing services, projects or procurements will NOT be taken into consideration.</w:t>
      </w:r>
    </w:p>
    <w:p w14:paraId="2C360E1A" w14:textId="77777777" w:rsidR="00B30EFF" w:rsidRPr="00165E46" w:rsidRDefault="00B30EFF" w:rsidP="00B30EFF">
      <w:pPr>
        <w:rPr>
          <w:rFonts w:cs="Arial"/>
          <w:sz w:val="22"/>
          <w:szCs w:val="22"/>
        </w:rPr>
      </w:pPr>
    </w:p>
    <w:p w14:paraId="30C7CDDE" w14:textId="77777777" w:rsidR="00B30EFF" w:rsidRPr="00165E46" w:rsidRDefault="00B30EFF" w:rsidP="00B30EFF">
      <w:pPr>
        <w:rPr>
          <w:rFonts w:cs="Arial"/>
          <w:sz w:val="22"/>
          <w:szCs w:val="22"/>
        </w:rPr>
      </w:pPr>
      <w:r w:rsidRPr="00165E46">
        <w:rPr>
          <w:rFonts w:cs="Arial"/>
          <w:sz w:val="22"/>
          <w:szCs w:val="22"/>
        </w:rPr>
        <w:t>The evaluation process will be conducted to ascertain the most economically advantageous tender (MEAT).  Economic advantage is interpreted as affordable value for money (VfM) which in turn, is a combination of the following criteria, in conjunction with full acceptance of the terms and conditions of Contract:</w:t>
      </w:r>
    </w:p>
    <w:p w14:paraId="7C318FFE" w14:textId="77777777" w:rsidR="00B30EFF" w:rsidRPr="00165E46" w:rsidRDefault="00B30EFF" w:rsidP="00B30EFF">
      <w:pPr>
        <w:rPr>
          <w:rFonts w:cs="Arial"/>
          <w:sz w:val="22"/>
          <w:szCs w:val="22"/>
        </w:rPr>
      </w:pPr>
    </w:p>
    <w:p w14:paraId="146DF505" w14:textId="1A3B99D9" w:rsidR="00B30EFF" w:rsidRPr="00165E46" w:rsidRDefault="00B30EFF" w:rsidP="00165E46">
      <w:pPr>
        <w:pStyle w:val="ListParagraph"/>
        <w:numPr>
          <w:ilvl w:val="0"/>
          <w:numId w:val="43"/>
        </w:numPr>
        <w:rPr>
          <w:rFonts w:cs="Arial"/>
          <w:sz w:val="22"/>
          <w:szCs w:val="22"/>
        </w:rPr>
      </w:pPr>
      <w:r w:rsidRPr="00165E46">
        <w:rPr>
          <w:rFonts w:cs="Arial"/>
          <w:sz w:val="22"/>
          <w:szCs w:val="22"/>
        </w:rPr>
        <w:t xml:space="preserve">Quality - Service Delivery and </w:t>
      </w:r>
      <w:r w:rsidR="00C041DD" w:rsidRPr="00165E46">
        <w:rPr>
          <w:rFonts w:cs="Arial"/>
          <w:sz w:val="22"/>
          <w:szCs w:val="22"/>
        </w:rPr>
        <w:t>Performance.</w:t>
      </w:r>
    </w:p>
    <w:p w14:paraId="595D6A1A" w14:textId="77777777" w:rsidR="00B30EFF" w:rsidRPr="00165E46" w:rsidRDefault="00B30EFF" w:rsidP="00B30EFF">
      <w:pPr>
        <w:rPr>
          <w:rFonts w:cs="Arial"/>
          <w:sz w:val="22"/>
          <w:szCs w:val="22"/>
        </w:rPr>
      </w:pPr>
    </w:p>
    <w:p w14:paraId="6FBC4481" w14:textId="22828308" w:rsidR="00B30EFF" w:rsidRPr="00165E46" w:rsidRDefault="00B30EFF" w:rsidP="00165E46">
      <w:pPr>
        <w:pStyle w:val="ListParagraph"/>
        <w:numPr>
          <w:ilvl w:val="0"/>
          <w:numId w:val="43"/>
        </w:numPr>
        <w:rPr>
          <w:rFonts w:cs="Arial"/>
          <w:sz w:val="22"/>
          <w:szCs w:val="22"/>
        </w:rPr>
      </w:pPr>
      <w:r w:rsidRPr="00165E46">
        <w:rPr>
          <w:rFonts w:cs="Arial"/>
          <w:sz w:val="22"/>
          <w:szCs w:val="22"/>
        </w:rPr>
        <w:t>Cost and Affordability.</w:t>
      </w:r>
    </w:p>
    <w:p w14:paraId="249CF9A2" w14:textId="77777777" w:rsidR="00B30EFF" w:rsidRPr="00165E46" w:rsidRDefault="00B30EFF" w:rsidP="00B30EFF">
      <w:pPr>
        <w:rPr>
          <w:rFonts w:cs="Arial"/>
          <w:sz w:val="22"/>
          <w:szCs w:val="22"/>
        </w:rPr>
      </w:pPr>
    </w:p>
    <w:p w14:paraId="35217D91" w14:textId="77777777" w:rsidR="00B30EFF" w:rsidRPr="00165E46" w:rsidRDefault="00B30EFF" w:rsidP="00B30EFF">
      <w:pPr>
        <w:rPr>
          <w:rFonts w:cs="Arial"/>
          <w:sz w:val="22"/>
          <w:szCs w:val="22"/>
        </w:rPr>
      </w:pPr>
      <w:r w:rsidRPr="00165E46">
        <w:rPr>
          <w:rFonts w:cs="Arial"/>
          <w:sz w:val="22"/>
          <w:szCs w:val="22"/>
        </w:rPr>
        <w:t>The information supplied in the Compliance Questionnaire by each Bidder will be checked for completeness and compliance with the requirements of the ITQ before responses are evaluated. Where necessary the Contracting Authority may ask the bidders for clarification on any of the answers within the Compliance Questionnaire. Please note that each question within the Compliance Questionnaire requires an answer and will state whether it is: “For information” or “Pass/Fail”.  Any Bidder that “Fails” a question at this stage will not progress to the next evaluation stage.  Some questions will not result in a Fail if the Bidder is not currently compliant but will be a Pass with the Condition Precedent that compliance must be satisfied prior to commencement of this service, these questions will state “Pass/Pass with Condition Precedent”.</w:t>
      </w:r>
    </w:p>
    <w:p w14:paraId="60DAE29D" w14:textId="77777777" w:rsidR="00B30EFF" w:rsidRPr="00165E46" w:rsidRDefault="00B30EFF" w:rsidP="00B30EFF">
      <w:pPr>
        <w:rPr>
          <w:rFonts w:cs="Arial"/>
          <w:sz w:val="22"/>
          <w:szCs w:val="22"/>
        </w:rPr>
      </w:pPr>
    </w:p>
    <w:p w14:paraId="4834910E" w14:textId="4AECAE26" w:rsidR="00B30EFF" w:rsidRPr="00165E46" w:rsidRDefault="00B30EFF" w:rsidP="00B30EFF">
      <w:pPr>
        <w:rPr>
          <w:rFonts w:cs="Arial"/>
          <w:sz w:val="22"/>
          <w:szCs w:val="22"/>
        </w:rPr>
      </w:pPr>
      <w:r w:rsidRPr="00165E46">
        <w:rPr>
          <w:rFonts w:cs="Arial"/>
          <w:sz w:val="22"/>
          <w:szCs w:val="22"/>
        </w:rPr>
        <w:t>The Compliance Questionnaire is in the form</w:t>
      </w:r>
      <w:r w:rsidR="005B0FE4" w:rsidRPr="00165E46">
        <w:rPr>
          <w:rFonts w:cs="Arial"/>
          <w:sz w:val="22"/>
          <w:szCs w:val="22"/>
        </w:rPr>
        <w:t>at</w:t>
      </w:r>
      <w:r w:rsidRPr="00165E46">
        <w:rPr>
          <w:rFonts w:cs="Arial"/>
          <w:sz w:val="22"/>
          <w:szCs w:val="22"/>
        </w:rPr>
        <w:t xml:space="preserve"> of “tick boxes”</w:t>
      </w:r>
      <w:r w:rsidR="005B0FE4" w:rsidRPr="00165E46">
        <w:rPr>
          <w:rFonts w:cs="Arial"/>
          <w:sz w:val="22"/>
          <w:szCs w:val="22"/>
        </w:rPr>
        <w:t xml:space="preserve"> and comments</w:t>
      </w:r>
      <w:r w:rsidRPr="00165E46">
        <w:rPr>
          <w:rFonts w:cs="Arial"/>
          <w:sz w:val="22"/>
          <w:szCs w:val="22"/>
        </w:rPr>
        <w:t>.</w:t>
      </w:r>
    </w:p>
    <w:p w14:paraId="23AD8EC5" w14:textId="77777777" w:rsidR="00B30EFF" w:rsidRPr="00165E46" w:rsidRDefault="00B30EFF" w:rsidP="00B30EFF">
      <w:pPr>
        <w:rPr>
          <w:rFonts w:cs="Arial"/>
          <w:sz w:val="22"/>
          <w:szCs w:val="22"/>
        </w:rPr>
      </w:pPr>
    </w:p>
    <w:p w14:paraId="544AD662" w14:textId="77777777" w:rsidR="00B30EFF" w:rsidRPr="00165E46" w:rsidRDefault="00B30EFF" w:rsidP="00B30EFF">
      <w:pPr>
        <w:rPr>
          <w:rFonts w:cs="Arial"/>
          <w:sz w:val="22"/>
          <w:szCs w:val="22"/>
        </w:rPr>
      </w:pPr>
      <w:r w:rsidRPr="00165E46">
        <w:rPr>
          <w:rFonts w:cs="Arial"/>
          <w:sz w:val="22"/>
          <w:szCs w:val="22"/>
        </w:rPr>
        <w:t>Where, in the opinion of the Contracting Authority(s), a Bid Response is non-compliant as per evaluation criteria and this tender instruction, the Bidder may be disqualified. In this event, further evaluation of the ITQ will not be undertaken, and the Bidder will not be taken any further in this Procurement process.</w:t>
      </w:r>
    </w:p>
    <w:p w14:paraId="560F5DFE" w14:textId="77777777" w:rsidR="00B30EFF" w:rsidRPr="00165E46" w:rsidRDefault="00B30EFF" w:rsidP="00B30EFF">
      <w:pPr>
        <w:rPr>
          <w:rFonts w:cs="Arial"/>
          <w:sz w:val="22"/>
          <w:szCs w:val="22"/>
        </w:rPr>
      </w:pPr>
    </w:p>
    <w:p w14:paraId="76DC430E" w14:textId="2695C4CC" w:rsidR="00B30EFF" w:rsidRPr="00165E46" w:rsidRDefault="00B30EFF" w:rsidP="00B30EFF">
      <w:pPr>
        <w:rPr>
          <w:rFonts w:cs="Arial"/>
          <w:sz w:val="22"/>
          <w:szCs w:val="22"/>
        </w:rPr>
      </w:pPr>
      <w:r w:rsidRPr="00165E46">
        <w:rPr>
          <w:rFonts w:cs="Arial"/>
          <w:sz w:val="22"/>
          <w:szCs w:val="22"/>
        </w:rPr>
        <w:t>Clarifications may take place at the sole discretion of the Contracting Authority(s) when it is clear that documentation is missing due to a mere administrative error or similar.</w:t>
      </w:r>
    </w:p>
    <w:p w14:paraId="3D6DCE25" w14:textId="77777777" w:rsidR="00395FF3" w:rsidRPr="00165E46" w:rsidRDefault="00395FF3" w:rsidP="00B30EFF">
      <w:pPr>
        <w:rPr>
          <w:rFonts w:cs="Arial"/>
          <w:sz w:val="22"/>
          <w:szCs w:val="22"/>
        </w:rPr>
      </w:pPr>
    </w:p>
    <w:p w14:paraId="1253CFEC" w14:textId="77777777" w:rsidR="001C0B36" w:rsidRPr="00165E46" w:rsidRDefault="001C0B36" w:rsidP="001C0B36">
      <w:pPr>
        <w:jc w:val="both"/>
        <w:rPr>
          <w:rFonts w:cs="Arial"/>
          <w:sz w:val="22"/>
          <w:szCs w:val="22"/>
        </w:rPr>
      </w:pPr>
      <w:r w:rsidRPr="00165E46">
        <w:rPr>
          <w:rFonts w:cs="Arial"/>
          <w:sz w:val="22"/>
          <w:szCs w:val="22"/>
        </w:rPr>
        <w:t xml:space="preserve">All documentation must be in English.   </w:t>
      </w:r>
    </w:p>
    <w:p w14:paraId="345C518C" w14:textId="77777777" w:rsidR="001C0B36" w:rsidRPr="00165E46" w:rsidRDefault="001C0B36" w:rsidP="001C0B36">
      <w:pPr>
        <w:jc w:val="both"/>
        <w:rPr>
          <w:rFonts w:cs="Arial"/>
          <w:sz w:val="22"/>
          <w:szCs w:val="22"/>
        </w:rPr>
      </w:pPr>
    </w:p>
    <w:p w14:paraId="2FE199D0" w14:textId="58198990" w:rsidR="001C0B36" w:rsidRPr="00165E46" w:rsidRDefault="001C0B36" w:rsidP="001C0B36">
      <w:pPr>
        <w:rPr>
          <w:rFonts w:cs="Arial"/>
          <w:sz w:val="22"/>
          <w:szCs w:val="22"/>
        </w:rPr>
      </w:pPr>
      <w:r w:rsidRPr="00165E46">
        <w:rPr>
          <w:rFonts w:cs="Arial"/>
          <w:sz w:val="22"/>
          <w:szCs w:val="22"/>
        </w:rPr>
        <w:t xml:space="preserve">Response documents must be submitted in the original format and Bidders may be eliminated from evaluation and progression in the Procurement if documents are presented in a changed format </w:t>
      </w:r>
      <w:r w:rsidR="00C041DD" w:rsidRPr="00165E46">
        <w:rPr>
          <w:rFonts w:cs="Arial"/>
          <w:sz w:val="22"/>
          <w:szCs w:val="22"/>
        </w:rPr>
        <w:t>e.g.</w:t>
      </w:r>
      <w:r w:rsidRPr="00165E46">
        <w:rPr>
          <w:rFonts w:cs="Arial"/>
          <w:sz w:val="22"/>
          <w:szCs w:val="22"/>
        </w:rPr>
        <w:t xml:space="preserve"> PDF.   </w:t>
      </w:r>
    </w:p>
    <w:p w14:paraId="4CAF7877" w14:textId="77777777" w:rsidR="001C0B36" w:rsidRPr="00165E46" w:rsidRDefault="001C0B36" w:rsidP="001C0B36">
      <w:pPr>
        <w:rPr>
          <w:rFonts w:cs="Arial"/>
          <w:sz w:val="22"/>
          <w:szCs w:val="22"/>
        </w:rPr>
      </w:pPr>
    </w:p>
    <w:p w14:paraId="388A24CD" w14:textId="26AFBC9A" w:rsidR="00395FF3" w:rsidRPr="00165E46" w:rsidRDefault="00395FF3" w:rsidP="001C0B36">
      <w:pPr>
        <w:rPr>
          <w:rFonts w:cs="Arial"/>
          <w:sz w:val="22"/>
          <w:szCs w:val="22"/>
        </w:rPr>
      </w:pPr>
      <w:r w:rsidRPr="00165E46">
        <w:rPr>
          <w:rFonts w:cs="Arial"/>
          <w:sz w:val="22"/>
          <w:szCs w:val="22"/>
        </w:rPr>
        <w:t>The submission response</w:t>
      </w:r>
      <w:r w:rsidR="001C0B36" w:rsidRPr="00165E46">
        <w:rPr>
          <w:rFonts w:cs="Arial"/>
          <w:sz w:val="22"/>
          <w:szCs w:val="22"/>
        </w:rPr>
        <w:t>s</w:t>
      </w:r>
      <w:r w:rsidRPr="00165E46">
        <w:rPr>
          <w:rFonts w:cs="Arial"/>
          <w:sz w:val="22"/>
          <w:szCs w:val="22"/>
        </w:rPr>
        <w:t xml:space="preserve"> </w:t>
      </w:r>
      <w:r w:rsidR="001C0B36" w:rsidRPr="00165E46">
        <w:rPr>
          <w:rFonts w:cs="Arial"/>
          <w:sz w:val="22"/>
          <w:szCs w:val="22"/>
        </w:rPr>
        <w:t xml:space="preserve">MUST </w:t>
      </w:r>
      <w:r w:rsidRPr="00165E46">
        <w:rPr>
          <w:rFonts w:cs="Arial"/>
          <w:sz w:val="22"/>
          <w:szCs w:val="22"/>
        </w:rPr>
        <w:t>be made within the ITQ RESPONSE TEMPLATE.  No other formats will be accepted</w:t>
      </w:r>
      <w:r w:rsidR="00EA6BF4" w:rsidRPr="00165E46">
        <w:rPr>
          <w:rFonts w:cs="Arial"/>
          <w:sz w:val="22"/>
          <w:szCs w:val="22"/>
        </w:rPr>
        <w:t>.  Word limits must be adhered to.</w:t>
      </w:r>
    </w:p>
    <w:p w14:paraId="07FC9980" w14:textId="77777777" w:rsidR="00C95961" w:rsidRPr="00165E46" w:rsidRDefault="00C95961" w:rsidP="001C0B36">
      <w:pPr>
        <w:rPr>
          <w:rFonts w:cs="Arial"/>
          <w:sz w:val="22"/>
          <w:szCs w:val="22"/>
        </w:rPr>
      </w:pPr>
    </w:p>
    <w:p w14:paraId="00997555" w14:textId="7AB0BD86" w:rsidR="00C95961" w:rsidRPr="00165E46" w:rsidRDefault="00C95961" w:rsidP="001C0B36">
      <w:pPr>
        <w:rPr>
          <w:rFonts w:cs="Arial"/>
          <w:sz w:val="22"/>
          <w:szCs w:val="22"/>
        </w:rPr>
      </w:pPr>
      <w:r w:rsidRPr="00165E46">
        <w:rPr>
          <w:rFonts w:cs="Arial"/>
          <w:sz w:val="22"/>
          <w:szCs w:val="22"/>
          <w:highlight w:val="yellow"/>
        </w:rPr>
        <w:t>In the result of a tie break situation, i.e. where two or more Bidders achieve the same highest total percentage score over both Quality and Finance, the highest scoring bid for Quality will take precedence as the highest weighted element of the overall evaluation criteria.</w:t>
      </w:r>
    </w:p>
    <w:p w14:paraId="6963C4C6" w14:textId="17F2E425" w:rsidR="00F04D05" w:rsidRDefault="00F04D05" w:rsidP="001C0B36">
      <w:pPr>
        <w:rPr>
          <w:rFonts w:cs="Arial"/>
          <w:sz w:val="22"/>
          <w:szCs w:val="22"/>
        </w:rPr>
      </w:pPr>
    </w:p>
    <w:p w14:paraId="1F282389" w14:textId="77777777" w:rsidR="00D12CB0" w:rsidRDefault="00D12CB0" w:rsidP="0056379E">
      <w:pPr>
        <w:rPr>
          <w:rFonts w:cs="Arial"/>
          <w:sz w:val="22"/>
          <w:szCs w:val="22"/>
        </w:rPr>
      </w:pPr>
    </w:p>
    <w:p w14:paraId="524E645C" w14:textId="61E80619" w:rsidR="0056379E" w:rsidRDefault="0056379E" w:rsidP="0056379E">
      <w:pPr>
        <w:rPr>
          <w:rFonts w:cs="Arial"/>
          <w:sz w:val="22"/>
          <w:szCs w:val="22"/>
        </w:rPr>
      </w:pPr>
      <w:r w:rsidRPr="0056379E">
        <w:rPr>
          <w:rFonts w:cs="Arial"/>
          <w:sz w:val="22"/>
          <w:szCs w:val="22"/>
        </w:rPr>
        <w:t>PROCUREMENT TRANSPARENCY</w:t>
      </w:r>
    </w:p>
    <w:p w14:paraId="1D3EEA4A" w14:textId="77777777" w:rsidR="00D12CB0" w:rsidRPr="0056379E" w:rsidRDefault="00D12CB0" w:rsidP="0056379E">
      <w:pPr>
        <w:rPr>
          <w:rFonts w:cs="Arial"/>
          <w:sz w:val="22"/>
          <w:szCs w:val="22"/>
        </w:rPr>
      </w:pPr>
    </w:p>
    <w:p w14:paraId="246CF218" w14:textId="7DF0300C" w:rsidR="0056379E" w:rsidRDefault="0056379E" w:rsidP="0056379E">
      <w:pPr>
        <w:rPr>
          <w:rFonts w:cs="Arial"/>
          <w:sz w:val="22"/>
          <w:szCs w:val="22"/>
        </w:rPr>
      </w:pPr>
      <w:r w:rsidRPr="0056379E">
        <w:rPr>
          <w:rFonts w:cs="Arial"/>
          <w:sz w:val="22"/>
          <w:szCs w:val="22"/>
        </w:rPr>
        <w:t>The government is committed to greater transparency across its operations to enable the public to hold public bodies and politicians to account. This includes commitments relating to public procurement. These measures include:</w:t>
      </w:r>
    </w:p>
    <w:p w14:paraId="02702E68" w14:textId="77777777" w:rsidR="00DD5718" w:rsidRPr="0056379E" w:rsidRDefault="00DD5718" w:rsidP="0056379E">
      <w:pPr>
        <w:rPr>
          <w:rFonts w:cs="Arial"/>
          <w:sz w:val="22"/>
          <w:szCs w:val="22"/>
        </w:rPr>
      </w:pPr>
    </w:p>
    <w:p w14:paraId="02903FF0" w14:textId="745C7095" w:rsidR="0056379E" w:rsidRPr="0056379E" w:rsidRDefault="0056379E" w:rsidP="0056379E">
      <w:pPr>
        <w:pStyle w:val="ListParagraph"/>
        <w:numPr>
          <w:ilvl w:val="0"/>
          <w:numId w:val="46"/>
        </w:numPr>
        <w:rPr>
          <w:rFonts w:cs="Arial"/>
          <w:sz w:val="22"/>
          <w:szCs w:val="22"/>
        </w:rPr>
      </w:pPr>
      <w:r w:rsidRPr="0056379E">
        <w:rPr>
          <w:rFonts w:cs="Arial" w:hint="eastAsia"/>
          <w:sz w:val="22"/>
          <w:szCs w:val="22"/>
        </w:rPr>
        <w:lastRenderedPageBreak/>
        <w:t>Requirements in the Public Contracts Regulations 2015 to publish advertised opportunities and contract awards above certain low thresholds.</w:t>
      </w:r>
    </w:p>
    <w:p w14:paraId="72F19D05" w14:textId="2C4C807B" w:rsidR="0056379E" w:rsidRPr="0056379E" w:rsidRDefault="0056379E" w:rsidP="0056379E">
      <w:pPr>
        <w:pStyle w:val="ListParagraph"/>
        <w:numPr>
          <w:ilvl w:val="0"/>
          <w:numId w:val="46"/>
        </w:numPr>
        <w:rPr>
          <w:rFonts w:cs="Arial"/>
          <w:sz w:val="22"/>
          <w:szCs w:val="22"/>
        </w:rPr>
      </w:pPr>
      <w:r w:rsidRPr="0056379E">
        <w:rPr>
          <w:rFonts w:cs="Arial" w:hint="eastAsia"/>
          <w:sz w:val="22"/>
          <w:szCs w:val="22"/>
        </w:rPr>
        <w:t>Policy commitments to publish all central government contracts over the value of £10,000 to be published in full online.</w:t>
      </w:r>
    </w:p>
    <w:p w14:paraId="3D4C2BF1" w14:textId="24B0EA94" w:rsidR="0056379E" w:rsidRDefault="0056379E" w:rsidP="0056379E">
      <w:pPr>
        <w:pStyle w:val="ListParagraph"/>
        <w:numPr>
          <w:ilvl w:val="0"/>
          <w:numId w:val="46"/>
        </w:numPr>
        <w:rPr>
          <w:rFonts w:cs="Arial"/>
          <w:sz w:val="22"/>
          <w:szCs w:val="22"/>
        </w:rPr>
      </w:pPr>
      <w:r w:rsidRPr="0056379E">
        <w:rPr>
          <w:rFonts w:cs="Arial" w:hint="eastAsia"/>
          <w:sz w:val="22"/>
          <w:szCs w:val="22"/>
        </w:rPr>
        <w:t>Adoption of the Government</w:t>
      </w:r>
      <w:r w:rsidR="00DD5718">
        <w:rPr>
          <w:rFonts w:cs="Arial"/>
          <w:sz w:val="22"/>
          <w:szCs w:val="22"/>
        </w:rPr>
        <w:t>’</w:t>
      </w:r>
      <w:r w:rsidRPr="0056379E">
        <w:rPr>
          <w:rFonts w:cs="Arial" w:hint="eastAsia"/>
          <w:sz w:val="22"/>
          <w:szCs w:val="22"/>
        </w:rPr>
        <w:t>s Transparency Principles.</w:t>
      </w:r>
    </w:p>
    <w:p w14:paraId="3223FC59" w14:textId="77777777" w:rsidR="00DD5718" w:rsidRPr="0056379E" w:rsidRDefault="00DD5718" w:rsidP="00DD5718">
      <w:pPr>
        <w:pStyle w:val="ListParagraph"/>
        <w:rPr>
          <w:rFonts w:cs="Arial"/>
          <w:sz w:val="22"/>
          <w:szCs w:val="22"/>
        </w:rPr>
      </w:pPr>
    </w:p>
    <w:p w14:paraId="5C27286C" w14:textId="1FC92B64" w:rsidR="0056379E" w:rsidRPr="00165E46" w:rsidRDefault="0056379E" w:rsidP="0056379E">
      <w:pPr>
        <w:rPr>
          <w:rFonts w:cs="Arial"/>
          <w:sz w:val="22"/>
          <w:szCs w:val="22"/>
        </w:rPr>
      </w:pPr>
      <w:r w:rsidRPr="0056379E">
        <w:rPr>
          <w:rFonts w:cs="Arial"/>
          <w:sz w:val="22"/>
          <w:szCs w:val="22"/>
        </w:rPr>
        <w:t xml:space="preserve">Suppliers and those organisations looking to bid for public sector contracts should be aware that if they are awarded a new contract, the resulting contract between the supplier and </w:t>
      </w:r>
      <w:r w:rsidR="00D12CB0">
        <w:rPr>
          <w:rFonts w:cs="Arial"/>
          <w:sz w:val="22"/>
          <w:szCs w:val="22"/>
        </w:rPr>
        <w:t xml:space="preserve">the Authority </w:t>
      </w:r>
      <w:r w:rsidRPr="0056379E">
        <w:rPr>
          <w:rFonts w:cs="Arial"/>
          <w:sz w:val="22"/>
          <w:szCs w:val="22"/>
        </w:rPr>
        <w:t xml:space="preserve">will be published. In some circumstances, limited redactions will be made to some contracts before they are published </w:t>
      </w:r>
      <w:proofErr w:type="gramStart"/>
      <w:r w:rsidRPr="0056379E">
        <w:rPr>
          <w:rFonts w:cs="Arial"/>
          <w:sz w:val="22"/>
          <w:szCs w:val="22"/>
        </w:rPr>
        <w:t>in order to</w:t>
      </w:r>
      <w:proofErr w:type="gramEnd"/>
      <w:r w:rsidRPr="0056379E">
        <w:rPr>
          <w:rFonts w:cs="Arial"/>
          <w:sz w:val="22"/>
          <w:szCs w:val="22"/>
        </w:rPr>
        <w:t xml:space="preserve"> comply with existing law.</w:t>
      </w:r>
    </w:p>
    <w:p w14:paraId="0BCCF526" w14:textId="77777777" w:rsidR="0056379E" w:rsidRDefault="0056379E" w:rsidP="001C0B36">
      <w:pPr>
        <w:rPr>
          <w:rFonts w:cs="Arial"/>
          <w:sz w:val="22"/>
          <w:szCs w:val="22"/>
        </w:rPr>
      </w:pPr>
    </w:p>
    <w:p w14:paraId="089A065D" w14:textId="77777777" w:rsidR="0056379E" w:rsidRDefault="0056379E" w:rsidP="001C0B36">
      <w:pPr>
        <w:rPr>
          <w:rFonts w:cs="Arial"/>
          <w:sz w:val="22"/>
          <w:szCs w:val="22"/>
        </w:rPr>
      </w:pPr>
    </w:p>
    <w:p w14:paraId="6F436B21" w14:textId="0D942D49" w:rsidR="00F04D05" w:rsidRPr="00165E46" w:rsidRDefault="00F04D05" w:rsidP="001C0B36">
      <w:pPr>
        <w:rPr>
          <w:rFonts w:cs="Arial"/>
          <w:sz w:val="22"/>
          <w:szCs w:val="22"/>
        </w:rPr>
      </w:pPr>
      <w:r w:rsidRPr="00165E46">
        <w:rPr>
          <w:rFonts w:cs="Arial"/>
          <w:sz w:val="22"/>
          <w:szCs w:val="22"/>
        </w:rPr>
        <w:t>APPENDICES</w:t>
      </w:r>
    </w:p>
    <w:p w14:paraId="33C76AFC" w14:textId="046025E9" w:rsidR="00F04D05" w:rsidRPr="00165E46" w:rsidRDefault="00F04D05" w:rsidP="001C0B36">
      <w:pPr>
        <w:rPr>
          <w:rFonts w:cs="Arial"/>
          <w:sz w:val="22"/>
          <w:szCs w:val="22"/>
        </w:rPr>
      </w:pPr>
    </w:p>
    <w:tbl>
      <w:tblPr>
        <w:tblStyle w:val="TableGrid"/>
        <w:tblW w:w="0" w:type="auto"/>
        <w:tblLook w:val="04A0" w:firstRow="1" w:lastRow="0" w:firstColumn="1" w:lastColumn="0" w:noHBand="0" w:noVBand="1"/>
      </w:tblPr>
      <w:tblGrid>
        <w:gridCol w:w="2093"/>
        <w:gridCol w:w="3544"/>
      </w:tblGrid>
      <w:tr w:rsidR="00015D38" w:rsidRPr="00165E46" w14:paraId="0A2A8E4C" w14:textId="77777777" w:rsidTr="00F04D05">
        <w:tc>
          <w:tcPr>
            <w:tcW w:w="2093" w:type="dxa"/>
          </w:tcPr>
          <w:p w14:paraId="2AA7D8D5" w14:textId="14069DD8" w:rsidR="00015D38" w:rsidRPr="00871C3F" w:rsidRDefault="00015D38" w:rsidP="001C0B36">
            <w:pPr>
              <w:rPr>
                <w:rFonts w:cs="Arial"/>
                <w:b/>
                <w:bCs/>
                <w:sz w:val="22"/>
                <w:szCs w:val="22"/>
              </w:rPr>
            </w:pPr>
            <w:r w:rsidRPr="00871C3F">
              <w:rPr>
                <w:rFonts w:cs="Arial"/>
                <w:b/>
                <w:bCs/>
                <w:sz w:val="22"/>
                <w:szCs w:val="22"/>
              </w:rPr>
              <w:t>Appendix</w:t>
            </w:r>
          </w:p>
        </w:tc>
        <w:tc>
          <w:tcPr>
            <w:tcW w:w="3544" w:type="dxa"/>
          </w:tcPr>
          <w:p w14:paraId="043638CD" w14:textId="29999BF8" w:rsidR="00015D38" w:rsidRPr="00165E46" w:rsidRDefault="00015D38" w:rsidP="001C0B36">
            <w:pPr>
              <w:rPr>
                <w:rFonts w:cs="Arial"/>
                <w:b/>
                <w:bCs/>
                <w:sz w:val="22"/>
                <w:szCs w:val="22"/>
                <w:highlight w:val="yellow"/>
              </w:rPr>
            </w:pPr>
            <w:r w:rsidRPr="00871C3F">
              <w:rPr>
                <w:rFonts w:cs="Arial"/>
                <w:b/>
                <w:bCs/>
                <w:sz w:val="22"/>
                <w:szCs w:val="22"/>
              </w:rPr>
              <w:t>Title</w:t>
            </w:r>
          </w:p>
        </w:tc>
      </w:tr>
      <w:tr w:rsidR="00015D38" w:rsidRPr="00165E46" w14:paraId="7D9C7B9F" w14:textId="77777777" w:rsidTr="00F04D05">
        <w:tc>
          <w:tcPr>
            <w:tcW w:w="2093" w:type="dxa"/>
          </w:tcPr>
          <w:p w14:paraId="5D0F8205" w14:textId="1DC3ECEF" w:rsidR="00015D38" w:rsidRPr="00871C3F" w:rsidRDefault="00015D38" w:rsidP="001C0B36">
            <w:pPr>
              <w:rPr>
                <w:rFonts w:cs="Arial"/>
                <w:sz w:val="22"/>
                <w:szCs w:val="22"/>
              </w:rPr>
            </w:pPr>
            <w:r w:rsidRPr="00871C3F">
              <w:rPr>
                <w:rFonts w:cs="Arial"/>
                <w:sz w:val="22"/>
                <w:szCs w:val="22"/>
              </w:rPr>
              <w:t xml:space="preserve">Appendix </w:t>
            </w:r>
            <w:r w:rsidR="00397EF7" w:rsidRPr="00871C3F">
              <w:rPr>
                <w:rFonts w:cs="Arial"/>
                <w:sz w:val="22"/>
                <w:szCs w:val="22"/>
              </w:rPr>
              <w:t>A</w:t>
            </w:r>
          </w:p>
        </w:tc>
        <w:tc>
          <w:tcPr>
            <w:tcW w:w="3544" w:type="dxa"/>
          </w:tcPr>
          <w:p w14:paraId="36FBD681" w14:textId="608E94B4" w:rsidR="00015D38" w:rsidRPr="00165E46" w:rsidRDefault="00015D38" w:rsidP="001C0B36">
            <w:pPr>
              <w:rPr>
                <w:rFonts w:cs="Arial"/>
                <w:sz w:val="22"/>
                <w:szCs w:val="22"/>
              </w:rPr>
            </w:pPr>
            <w:r w:rsidRPr="00165E46">
              <w:rPr>
                <w:rFonts w:cs="Arial"/>
                <w:sz w:val="22"/>
                <w:szCs w:val="22"/>
              </w:rPr>
              <w:t xml:space="preserve">Specification </w:t>
            </w:r>
          </w:p>
        </w:tc>
      </w:tr>
      <w:tr w:rsidR="00015D38" w:rsidRPr="00165E46" w14:paraId="67B4A233" w14:textId="77777777" w:rsidTr="00F04D05">
        <w:tc>
          <w:tcPr>
            <w:tcW w:w="2093" w:type="dxa"/>
          </w:tcPr>
          <w:p w14:paraId="3355537D" w14:textId="4DC51728" w:rsidR="00015D38" w:rsidRPr="00871C3F" w:rsidRDefault="00015D38" w:rsidP="00F04D05">
            <w:pPr>
              <w:rPr>
                <w:rFonts w:cs="Arial"/>
                <w:sz w:val="22"/>
                <w:szCs w:val="22"/>
              </w:rPr>
            </w:pPr>
            <w:r w:rsidRPr="00871C3F">
              <w:rPr>
                <w:rFonts w:cs="Arial"/>
                <w:sz w:val="22"/>
                <w:szCs w:val="22"/>
              </w:rPr>
              <w:t xml:space="preserve">Appendix </w:t>
            </w:r>
            <w:r w:rsidR="00397EF7" w:rsidRPr="00871C3F">
              <w:rPr>
                <w:rFonts w:cs="Arial"/>
                <w:sz w:val="22"/>
                <w:szCs w:val="22"/>
              </w:rPr>
              <w:t>B</w:t>
            </w:r>
          </w:p>
        </w:tc>
        <w:tc>
          <w:tcPr>
            <w:tcW w:w="3544" w:type="dxa"/>
          </w:tcPr>
          <w:p w14:paraId="6B709EBA" w14:textId="2FA0210B" w:rsidR="00015D38" w:rsidRPr="00165E46" w:rsidRDefault="00015D38" w:rsidP="00F04D05">
            <w:pPr>
              <w:rPr>
                <w:rFonts w:cs="Arial"/>
                <w:sz w:val="22"/>
                <w:szCs w:val="22"/>
              </w:rPr>
            </w:pPr>
            <w:r w:rsidRPr="00165E46">
              <w:rPr>
                <w:rFonts w:cs="Arial"/>
                <w:sz w:val="22"/>
                <w:szCs w:val="22"/>
              </w:rPr>
              <w:t>Evaluation Criteria</w:t>
            </w:r>
          </w:p>
        </w:tc>
      </w:tr>
      <w:tr w:rsidR="00015D38" w:rsidRPr="00165E46" w14:paraId="6A678C9D" w14:textId="77777777" w:rsidTr="00F04D05">
        <w:tc>
          <w:tcPr>
            <w:tcW w:w="2093" w:type="dxa"/>
          </w:tcPr>
          <w:p w14:paraId="2219ADA4" w14:textId="7B35CD38" w:rsidR="00015D38" w:rsidRPr="00871C3F" w:rsidRDefault="00015D38" w:rsidP="00F04D05">
            <w:pPr>
              <w:rPr>
                <w:rFonts w:cs="Arial"/>
                <w:sz w:val="22"/>
                <w:szCs w:val="22"/>
              </w:rPr>
            </w:pPr>
            <w:r w:rsidRPr="00871C3F">
              <w:rPr>
                <w:rFonts w:cs="Arial"/>
                <w:sz w:val="22"/>
                <w:szCs w:val="22"/>
              </w:rPr>
              <w:t xml:space="preserve">Appendix </w:t>
            </w:r>
            <w:r w:rsidR="00397EF7" w:rsidRPr="00871C3F">
              <w:rPr>
                <w:rFonts w:cs="Arial"/>
                <w:sz w:val="22"/>
                <w:szCs w:val="22"/>
              </w:rPr>
              <w:t>C</w:t>
            </w:r>
          </w:p>
        </w:tc>
        <w:tc>
          <w:tcPr>
            <w:tcW w:w="3544" w:type="dxa"/>
          </w:tcPr>
          <w:p w14:paraId="4E273AF4" w14:textId="25F88D5D" w:rsidR="00015D38" w:rsidRPr="00165E46" w:rsidRDefault="00015D38" w:rsidP="00F04D05">
            <w:pPr>
              <w:rPr>
                <w:rFonts w:cs="Arial"/>
                <w:sz w:val="22"/>
                <w:szCs w:val="22"/>
              </w:rPr>
            </w:pPr>
            <w:r w:rsidRPr="00165E46">
              <w:rPr>
                <w:rFonts w:cs="Arial"/>
                <w:sz w:val="22"/>
                <w:szCs w:val="22"/>
              </w:rPr>
              <w:t>Example Finance Evaluation</w:t>
            </w:r>
          </w:p>
        </w:tc>
      </w:tr>
      <w:tr w:rsidR="00015D38" w:rsidRPr="00165E46" w14:paraId="01100111" w14:textId="77777777" w:rsidTr="00F04D05">
        <w:tc>
          <w:tcPr>
            <w:tcW w:w="2093" w:type="dxa"/>
          </w:tcPr>
          <w:p w14:paraId="218A44AB" w14:textId="6230DDD3" w:rsidR="00015D38" w:rsidRPr="00871C3F" w:rsidRDefault="00015D38" w:rsidP="00F04D05">
            <w:pPr>
              <w:rPr>
                <w:rFonts w:cs="Arial"/>
                <w:sz w:val="22"/>
                <w:szCs w:val="22"/>
              </w:rPr>
            </w:pPr>
            <w:r w:rsidRPr="00871C3F">
              <w:rPr>
                <w:rFonts w:cs="Arial"/>
                <w:sz w:val="22"/>
                <w:szCs w:val="22"/>
              </w:rPr>
              <w:t xml:space="preserve">Appendix </w:t>
            </w:r>
            <w:r w:rsidR="00397EF7" w:rsidRPr="00871C3F">
              <w:rPr>
                <w:rFonts w:cs="Arial"/>
                <w:sz w:val="22"/>
                <w:szCs w:val="22"/>
              </w:rPr>
              <w:t>D</w:t>
            </w:r>
          </w:p>
        </w:tc>
        <w:tc>
          <w:tcPr>
            <w:tcW w:w="3544" w:type="dxa"/>
          </w:tcPr>
          <w:p w14:paraId="50792199" w14:textId="4C3D3403" w:rsidR="00015D38" w:rsidRPr="00165E46" w:rsidRDefault="008A30BC" w:rsidP="00F04D05">
            <w:pPr>
              <w:rPr>
                <w:rFonts w:cs="Arial"/>
                <w:sz w:val="22"/>
                <w:szCs w:val="22"/>
              </w:rPr>
            </w:pPr>
            <w:r w:rsidRPr="00165E46">
              <w:rPr>
                <w:rFonts w:cs="Arial"/>
                <w:sz w:val="22"/>
                <w:szCs w:val="22"/>
              </w:rPr>
              <w:t>Contract</w:t>
            </w:r>
          </w:p>
        </w:tc>
      </w:tr>
      <w:tr w:rsidR="005F48F7" w:rsidRPr="00165E46" w14:paraId="5B8ADFB9" w14:textId="77777777" w:rsidTr="00F04D05">
        <w:tc>
          <w:tcPr>
            <w:tcW w:w="2093" w:type="dxa"/>
          </w:tcPr>
          <w:p w14:paraId="2C1652BD" w14:textId="06652E8A" w:rsidR="005F48F7" w:rsidRPr="00871C3F" w:rsidRDefault="005F48F7" w:rsidP="005F48F7">
            <w:pPr>
              <w:rPr>
                <w:rFonts w:cs="Arial"/>
                <w:sz w:val="22"/>
                <w:szCs w:val="22"/>
              </w:rPr>
            </w:pPr>
            <w:r w:rsidRPr="00871C3F">
              <w:rPr>
                <w:rFonts w:cs="Arial"/>
                <w:sz w:val="22"/>
                <w:szCs w:val="22"/>
              </w:rPr>
              <w:t xml:space="preserve">Appendix </w:t>
            </w:r>
            <w:r w:rsidR="00871C3F" w:rsidRPr="00871C3F">
              <w:rPr>
                <w:rFonts w:cs="Arial"/>
                <w:sz w:val="22"/>
                <w:szCs w:val="22"/>
              </w:rPr>
              <w:t>E</w:t>
            </w:r>
          </w:p>
        </w:tc>
        <w:tc>
          <w:tcPr>
            <w:tcW w:w="3544" w:type="dxa"/>
          </w:tcPr>
          <w:p w14:paraId="6F70F599" w14:textId="3A9FD5D8" w:rsidR="005F48F7" w:rsidRPr="00165E46" w:rsidRDefault="005F48F7" w:rsidP="005F48F7">
            <w:pPr>
              <w:rPr>
                <w:rFonts w:cs="Arial"/>
                <w:sz w:val="22"/>
                <w:szCs w:val="22"/>
              </w:rPr>
            </w:pPr>
            <w:r w:rsidRPr="00165E46">
              <w:rPr>
                <w:rFonts w:cs="Arial"/>
                <w:sz w:val="22"/>
                <w:szCs w:val="22"/>
              </w:rPr>
              <w:t>Response Template</w:t>
            </w:r>
          </w:p>
        </w:tc>
      </w:tr>
      <w:tr w:rsidR="00DB4C22" w:rsidRPr="00165E46" w14:paraId="482A3FC3" w14:textId="77777777" w:rsidTr="00F04D05">
        <w:tc>
          <w:tcPr>
            <w:tcW w:w="2093" w:type="dxa"/>
          </w:tcPr>
          <w:p w14:paraId="69B13B30" w14:textId="72D58714" w:rsidR="00DB4C22" w:rsidRPr="00871C3F" w:rsidRDefault="00DB4C22" w:rsidP="00DB4C22">
            <w:pPr>
              <w:rPr>
                <w:rFonts w:cs="Arial"/>
                <w:sz w:val="22"/>
                <w:szCs w:val="22"/>
              </w:rPr>
            </w:pPr>
            <w:r w:rsidRPr="00871C3F">
              <w:rPr>
                <w:rFonts w:cs="Arial"/>
                <w:sz w:val="22"/>
                <w:szCs w:val="22"/>
              </w:rPr>
              <w:t xml:space="preserve">Appendix </w:t>
            </w:r>
            <w:r w:rsidR="00871C3F" w:rsidRPr="00871C3F">
              <w:rPr>
                <w:rFonts w:cs="Arial"/>
                <w:sz w:val="22"/>
                <w:szCs w:val="22"/>
              </w:rPr>
              <w:t>F</w:t>
            </w:r>
          </w:p>
        </w:tc>
        <w:tc>
          <w:tcPr>
            <w:tcW w:w="3544" w:type="dxa"/>
          </w:tcPr>
          <w:p w14:paraId="4F389147" w14:textId="0C0A5292" w:rsidR="00DB4C22" w:rsidRPr="00165E46" w:rsidRDefault="00DB4C22" w:rsidP="00DB4C22">
            <w:pPr>
              <w:rPr>
                <w:rFonts w:cs="Arial"/>
                <w:sz w:val="22"/>
                <w:szCs w:val="22"/>
              </w:rPr>
            </w:pPr>
            <w:r w:rsidRPr="00165E46">
              <w:rPr>
                <w:rFonts w:cs="Arial"/>
                <w:sz w:val="22"/>
                <w:szCs w:val="22"/>
              </w:rPr>
              <w:t>ITQ Compliance Questions</w:t>
            </w:r>
          </w:p>
        </w:tc>
      </w:tr>
      <w:tr w:rsidR="00113C9F" w:rsidRPr="00165E46" w14:paraId="2F4E9FDB" w14:textId="77777777" w:rsidTr="00F04D05">
        <w:tc>
          <w:tcPr>
            <w:tcW w:w="2093" w:type="dxa"/>
          </w:tcPr>
          <w:p w14:paraId="574D4A5A" w14:textId="3EC71737" w:rsidR="00113C9F" w:rsidRPr="00871C3F" w:rsidRDefault="00113C9F" w:rsidP="00DB4C22">
            <w:pPr>
              <w:rPr>
                <w:rFonts w:cs="Arial"/>
                <w:sz w:val="22"/>
                <w:szCs w:val="22"/>
              </w:rPr>
            </w:pPr>
            <w:r>
              <w:rPr>
                <w:rFonts w:cs="Arial"/>
                <w:sz w:val="22"/>
                <w:szCs w:val="22"/>
              </w:rPr>
              <w:t>Appendix G</w:t>
            </w:r>
          </w:p>
        </w:tc>
        <w:tc>
          <w:tcPr>
            <w:tcW w:w="3544" w:type="dxa"/>
          </w:tcPr>
          <w:p w14:paraId="4B2A42B9" w14:textId="2F2A164E" w:rsidR="00113C9F" w:rsidRPr="00165E46" w:rsidRDefault="00113C9F" w:rsidP="00DB4C22">
            <w:pPr>
              <w:rPr>
                <w:rFonts w:cs="Arial"/>
                <w:sz w:val="22"/>
                <w:szCs w:val="22"/>
              </w:rPr>
            </w:pPr>
            <w:r>
              <w:rPr>
                <w:rFonts w:cs="Arial"/>
                <w:sz w:val="22"/>
                <w:szCs w:val="22"/>
              </w:rPr>
              <w:t>Contract Information</w:t>
            </w:r>
          </w:p>
        </w:tc>
      </w:tr>
      <w:tr w:rsidR="00113C9F" w:rsidRPr="00165E46" w14:paraId="43EC3A21" w14:textId="77777777" w:rsidTr="00F04D05">
        <w:tc>
          <w:tcPr>
            <w:tcW w:w="2093" w:type="dxa"/>
          </w:tcPr>
          <w:p w14:paraId="65C94D40" w14:textId="5A938D1C" w:rsidR="00113C9F" w:rsidRDefault="00113C9F" w:rsidP="00DB4C22">
            <w:pPr>
              <w:rPr>
                <w:rFonts w:cs="Arial"/>
                <w:sz w:val="22"/>
                <w:szCs w:val="22"/>
              </w:rPr>
            </w:pPr>
            <w:r>
              <w:rPr>
                <w:rFonts w:cs="Arial"/>
                <w:sz w:val="22"/>
                <w:szCs w:val="22"/>
              </w:rPr>
              <w:t>Appendix I</w:t>
            </w:r>
          </w:p>
        </w:tc>
        <w:tc>
          <w:tcPr>
            <w:tcW w:w="3544" w:type="dxa"/>
          </w:tcPr>
          <w:p w14:paraId="76A570FB" w14:textId="4EA9578B" w:rsidR="00113C9F" w:rsidRDefault="00113C9F" w:rsidP="00DB4C22">
            <w:pPr>
              <w:rPr>
                <w:rFonts w:cs="Arial"/>
                <w:sz w:val="22"/>
                <w:szCs w:val="22"/>
              </w:rPr>
            </w:pPr>
            <w:r>
              <w:rPr>
                <w:rFonts w:cs="Arial"/>
                <w:sz w:val="22"/>
                <w:szCs w:val="22"/>
              </w:rPr>
              <w:t>ITQ Compliance Questionnaire</w:t>
            </w:r>
          </w:p>
        </w:tc>
      </w:tr>
    </w:tbl>
    <w:p w14:paraId="779AFF62" w14:textId="55B4E83A" w:rsidR="00F04D05" w:rsidRDefault="00F04D05" w:rsidP="001C0B36">
      <w:pPr>
        <w:rPr>
          <w:rFonts w:cs="Arial"/>
          <w:sz w:val="22"/>
          <w:szCs w:val="22"/>
        </w:rPr>
      </w:pPr>
    </w:p>
    <w:p w14:paraId="3B8DB8D7" w14:textId="46F8DCC2" w:rsidR="00165E46" w:rsidRDefault="00165E46" w:rsidP="001C0B36">
      <w:pPr>
        <w:rPr>
          <w:rFonts w:cs="Arial"/>
          <w:sz w:val="22"/>
          <w:szCs w:val="22"/>
        </w:rPr>
      </w:pPr>
    </w:p>
    <w:p w14:paraId="5439D159" w14:textId="49211920" w:rsidR="00165E46" w:rsidRDefault="00165E46" w:rsidP="001C0B36">
      <w:pPr>
        <w:rPr>
          <w:rFonts w:cs="Arial"/>
          <w:sz w:val="22"/>
          <w:szCs w:val="22"/>
        </w:rPr>
      </w:pPr>
    </w:p>
    <w:p w14:paraId="15CDB9A5" w14:textId="10579A54" w:rsidR="00165E46" w:rsidRDefault="00165E46" w:rsidP="001C0B36">
      <w:pPr>
        <w:rPr>
          <w:rFonts w:cs="Arial"/>
          <w:sz w:val="22"/>
          <w:szCs w:val="22"/>
        </w:rPr>
      </w:pPr>
    </w:p>
    <w:p w14:paraId="0BC84283" w14:textId="1CAC65B2" w:rsidR="00165E46" w:rsidRDefault="00165E46" w:rsidP="001C0B36">
      <w:pPr>
        <w:rPr>
          <w:rFonts w:cs="Arial"/>
          <w:sz w:val="22"/>
          <w:szCs w:val="22"/>
        </w:rPr>
      </w:pPr>
    </w:p>
    <w:p w14:paraId="1CC629CB" w14:textId="793E1933" w:rsidR="00165E46" w:rsidRDefault="00165E46" w:rsidP="001C0B36">
      <w:pPr>
        <w:rPr>
          <w:rFonts w:cs="Arial"/>
          <w:sz w:val="22"/>
          <w:szCs w:val="22"/>
        </w:rPr>
      </w:pPr>
    </w:p>
    <w:p w14:paraId="5E59AC2B" w14:textId="312EC42A" w:rsidR="00165E46" w:rsidRDefault="00165E46" w:rsidP="001C0B36">
      <w:pPr>
        <w:rPr>
          <w:rFonts w:cs="Arial"/>
          <w:sz w:val="22"/>
          <w:szCs w:val="22"/>
        </w:rPr>
      </w:pPr>
    </w:p>
    <w:p w14:paraId="6A28513A" w14:textId="27C11356" w:rsidR="00165E46" w:rsidRDefault="00165E46" w:rsidP="001C0B36">
      <w:pPr>
        <w:rPr>
          <w:rFonts w:cs="Arial"/>
          <w:sz w:val="22"/>
          <w:szCs w:val="22"/>
        </w:rPr>
      </w:pPr>
    </w:p>
    <w:p w14:paraId="350F87FC" w14:textId="2FE09BCD" w:rsidR="00165E46" w:rsidRDefault="00165E46" w:rsidP="001C0B36">
      <w:pPr>
        <w:rPr>
          <w:rFonts w:cs="Arial"/>
          <w:sz w:val="22"/>
          <w:szCs w:val="22"/>
        </w:rPr>
      </w:pPr>
    </w:p>
    <w:p w14:paraId="56C5C55D" w14:textId="7C315BF8" w:rsidR="00165E46" w:rsidRDefault="00165E46" w:rsidP="001C0B36">
      <w:pPr>
        <w:rPr>
          <w:rFonts w:cs="Arial"/>
          <w:sz w:val="22"/>
          <w:szCs w:val="22"/>
        </w:rPr>
      </w:pPr>
    </w:p>
    <w:p w14:paraId="0CA23B79" w14:textId="46D04688" w:rsidR="00165E46" w:rsidRDefault="00165E46" w:rsidP="001C0B36">
      <w:pPr>
        <w:rPr>
          <w:rFonts w:cs="Arial"/>
          <w:sz w:val="22"/>
          <w:szCs w:val="22"/>
        </w:rPr>
      </w:pPr>
    </w:p>
    <w:p w14:paraId="3F2EA460" w14:textId="7B64CFF6" w:rsidR="00165E46" w:rsidRDefault="00165E46" w:rsidP="001C0B36">
      <w:pPr>
        <w:rPr>
          <w:rFonts w:cs="Arial"/>
          <w:sz w:val="22"/>
          <w:szCs w:val="22"/>
        </w:rPr>
      </w:pPr>
    </w:p>
    <w:p w14:paraId="658B0F72" w14:textId="22DC64A7" w:rsidR="00165E46" w:rsidRDefault="00165E46" w:rsidP="001C0B36">
      <w:pPr>
        <w:rPr>
          <w:rFonts w:cs="Arial"/>
          <w:sz w:val="22"/>
          <w:szCs w:val="22"/>
        </w:rPr>
      </w:pPr>
    </w:p>
    <w:p w14:paraId="7C0E2525" w14:textId="45B3EB69" w:rsidR="00165E46" w:rsidRDefault="00165E46" w:rsidP="001C0B36">
      <w:pPr>
        <w:rPr>
          <w:rFonts w:cs="Arial"/>
          <w:sz w:val="22"/>
          <w:szCs w:val="22"/>
        </w:rPr>
      </w:pPr>
    </w:p>
    <w:p w14:paraId="225AF56F" w14:textId="16867872" w:rsidR="00165E46" w:rsidRDefault="00165E46" w:rsidP="001C0B36">
      <w:pPr>
        <w:rPr>
          <w:rFonts w:cs="Arial"/>
          <w:sz w:val="22"/>
          <w:szCs w:val="22"/>
        </w:rPr>
      </w:pPr>
    </w:p>
    <w:p w14:paraId="55FE9AF6" w14:textId="238BA995" w:rsidR="00165E46" w:rsidRDefault="00165E46" w:rsidP="001C0B36">
      <w:pPr>
        <w:rPr>
          <w:rFonts w:cs="Arial"/>
          <w:sz w:val="22"/>
          <w:szCs w:val="22"/>
        </w:rPr>
      </w:pPr>
    </w:p>
    <w:p w14:paraId="3FF58748" w14:textId="495399F1" w:rsidR="00165E46" w:rsidRDefault="00165E46" w:rsidP="001C0B36">
      <w:pPr>
        <w:rPr>
          <w:rFonts w:cs="Arial"/>
          <w:sz w:val="22"/>
          <w:szCs w:val="22"/>
        </w:rPr>
      </w:pPr>
    </w:p>
    <w:p w14:paraId="274582A7" w14:textId="30B1FAD0" w:rsidR="00165E46" w:rsidRDefault="00165E46" w:rsidP="001C0B36">
      <w:pPr>
        <w:rPr>
          <w:rFonts w:cs="Arial"/>
          <w:sz w:val="22"/>
          <w:szCs w:val="22"/>
        </w:rPr>
      </w:pPr>
    </w:p>
    <w:p w14:paraId="36EFD59B" w14:textId="29E25F32" w:rsidR="00165E46" w:rsidRDefault="00165E46" w:rsidP="001C0B36">
      <w:pPr>
        <w:rPr>
          <w:rFonts w:cs="Arial"/>
          <w:sz w:val="22"/>
          <w:szCs w:val="22"/>
        </w:rPr>
      </w:pPr>
    </w:p>
    <w:p w14:paraId="6C6ACA5E" w14:textId="57E263BF" w:rsidR="00165E46" w:rsidRDefault="00165E46" w:rsidP="001C0B36">
      <w:pPr>
        <w:rPr>
          <w:rFonts w:cs="Arial"/>
          <w:sz w:val="22"/>
          <w:szCs w:val="22"/>
        </w:rPr>
      </w:pPr>
    </w:p>
    <w:p w14:paraId="231969EF" w14:textId="2101BD9C" w:rsidR="00165E46" w:rsidRDefault="00165E46" w:rsidP="001C0B36">
      <w:pPr>
        <w:rPr>
          <w:rFonts w:cs="Arial"/>
          <w:sz w:val="22"/>
          <w:szCs w:val="22"/>
        </w:rPr>
      </w:pPr>
    </w:p>
    <w:p w14:paraId="5AD3BD99" w14:textId="081D6BB4" w:rsidR="00165E46" w:rsidRDefault="00165E46" w:rsidP="001C0B36">
      <w:pPr>
        <w:rPr>
          <w:rFonts w:cs="Arial"/>
          <w:sz w:val="22"/>
          <w:szCs w:val="22"/>
        </w:rPr>
      </w:pPr>
    </w:p>
    <w:p w14:paraId="53653E71" w14:textId="6E194AFE" w:rsidR="00165E46" w:rsidRDefault="00165E46" w:rsidP="001C0B36">
      <w:pPr>
        <w:rPr>
          <w:rFonts w:cs="Arial"/>
          <w:sz w:val="22"/>
          <w:szCs w:val="22"/>
        </w:rPr>
      </w:pPr>
    </w:p>
    <w:p w14:paraId="5B5ED939" w14:textId="60C04FB9" w:rsidR="00165E46" w:rsidRDefault="00165E46" w:rsidP="001C0B36">
      <w:pPr>
        <w:rPr>
          <w:rFonts w:cs="Arial"/>
          <w:sz w:val="22"/>
          <w:szCs w:val="22"/>
        </w:rPr>
      </w:pPr>
    </w:p>
    <w:p w14:paraId="4CBF5B40" w14:textId="7B8F4BEF" w:rsidR="00165E46" w:rsidRDefault="00165E46" w:rsidP="001C0B36">
      <w:pPr>
        <w:rPr>
          <w:rFonts w:cs="Arial"/>
          <w:sz w:val="22"/>
          <w:szCs w:val="22"/>
        </w:rPr>
      </w:pPr>
    </w:p>
    <w:p w14:paraId="3584775B" w14:textId="1D86E463" w:rsidR="00165E46" w:rsidRDefault="00165E46" w:rsidP="001C0B36">
      <w:pPr>
        <w:rPr>
          <w:rFonts w:cs="Arial"/>
          <w:sz w:val="22"/>
          <w:szCs w:val="22"/>
        </w:rPr>
      </w:pPr>
    </w:p>
    <w:p w14:paraId="78F967EB" w14:textId="131494A4" w:rsidR="00165E46" w:rsidRDefault="00165E46" w:rsidP="001C0B36">
      <w:pPr>
        <w:rPr>
          <w:rFonts w:cs="Arial"/>
          <w:sz w:val="22"/>
          <w:szCs w:val="22"/>
        </w:rPr>
      </w:pPr>
    </w:p>
    <w:p w14:paraId="0EFDFCED" w14:textId="7836824B" w:rsidR="00165E46" w:rsidRPr="00165E46" w:rsidRDefault="00165E46" w:rsidP="001C0B36">
      <w:pPr>
        <w:rPr>
          <w:rFonts w:cs="Arial"/>
          <w:sz w:val="22"/>
          <w:szCs w:val="22"/>
        </w:rPr>
      </w:pPr>
    </w:p>
    <w:sectPr w:rsidR="00165E46" w:rsidRPr="00165E46" w:rsidSect="00FC70E3">
      <w:headerReference w:type="default" r:id="rId11"/>
      <w:footerReference w:type="even" r:id="rId12"/>
      <w:footerReference w:type="default" r:id="rId13"/>
      <w:headerReference w:type="first" r:id="rId14"/>
      <w:type w:val="continuous"/>
      <w:pgSz w:w="11900" w:h="1684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5CB21" w14:textId="77777777" w:rsidR="00FC70E3" w:rsidRDefault="00FC70E3" w:rsidP="00AC72FD">
      <w:r>
        <w:separator/>
      </w:r>
    </w:p>
  </w:endnote>
  <w:endnote w:type="continuationSeparator" w:id="0">
    <w:p w14:paraId="36F519FF" w14:textId="77777777" w:rsidR="00FC70E3" w:rsidRDefault="00FC70E3"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794B"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3F154D"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115463"/>
      <w:docPartObj>
        <w:docPartGallery w:val="Page Numbers (Bottom of Page)"/>
        <w:docPartUnique/>
      </w:docPartObj>
    </w:sdtPr>
    <w:sdtEndPr>
      <w:rPr>
        <w:noProof/>
      </w:rPr>
    </w:sdtEndPr>
    <w:sdtContent>
      <w:p w14:paraId="298028B3" w14:textId="34D0B413" w:rsidR="003B5B19" w:rsidRDefault="003B5B19">
        <w:pPr>
          <w:pStyle w:val="Footer"/>
          <w:jc w:val="right"/>
        </w:pPr>
        <w:r>
          <w:fldChar w:fldCharType="begin"/>
        </w:r>
        <w:r>
          <w:instrText xml:space="preserve"> PAGE   \* MERGEFORMAT </w:instrText>
        </w:r>
        <w:r>
          <w:fldChar w:fldCharType="separate"/>
        </w:r>
        <w:r w:rsidR="003162A4">
          <w:rPr>
            <w:noProof/>
          </w:rPr>
          <w:t>8</w:t>
        </w:r>
        <w:r>
          <w:rPr>
            <w:noProof/>
          </w:rPr>
          <w:fldChar w:fldCharType="end"/>
        </w:r>
      </w:p>
    </w:sdtContent>
  </w:sdt>
  <w:p w14:paraId="34A630F9"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49026" w14:textId="77777777" w:rsidR="00FC70E3" w:rsidRDefault="00FC70E3" w:rsidP="00AC72FD">
      <w:r>
        <w:separator/>
      </w:r>
    </w:p>
  </w:footnote>
  <w:footnote w:type="continuationSeparator" w:id="0">
    <w:p w14:paraId="01196569" w14:textId="77777777" w:rsidR="00FC70E3" w:rsidRDefault="00FC70E3"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00F9" w14:textId="6A8FD4B7" w:rsidR="00ED2809" w:rsidRPr="00AC72FD" w:rsidRDefault="00ED2809" w:rsidP="002D6889">
    <w:pPr>
      <w:pStyle w:val="Heading2"/>
      <w:spacing w:after="40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72DD" w14:textId="10C30385" w:rsidR="00ED2809" w:rsidRDefault="00AC10D8" w:rsidP="00165E46">
    <w:pPr>
      <w:pStyle w:val="Header"/>
      <w:jc w:val="right"/>
    </w:pPr>
    <w:r w:rsidRPr="000522BF">
      <w:rPr>
        <w:rFonts w:cs="Arial"/>
        <w:noProof/>
        <w:sz w:val="18"/>
        <w:szCs w:val="18"/>
        <w:lang w:eastAsia="en-GB"/>
      </w:rPr>
      <w:drawing>
        <wp:anchor distT="0" distB="0" distL="114300" distR="114300" simplePos="0" relativeHeight="251659264" behindDoc="0" locked="0" layoutInCell="1" allowOverlap="1" wp14:anchorId="246AC7DB" wp14:editId="03E55B0E">
          <wp:simplePos x="0" y="0"/>
          <wp:positionH relativeFrom="margin">
            <wp:posOffset>5892800</wp:posOffset>
          </wp:positionH>
          <wp:positionV relativeFrom="topMargin">
            <wp:posOffset>283845</wp:posOffset>
          </wp:positionV>
          <wp:extent cx="809625" cy="32893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A78"/>
    <w:multiLevelType w:val="hybridMultilevel"/>
    <w:tmpl w:val="32600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81EC7"/>
    <w:multiLevelType w:val="hybridMultilevel"/>
    <w:tmpl w:val="D434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26802"/>
    <w:multiLevelType w:val="hybridMultilevel"/>
    <w:tmpl w:val="762ABD62"/>
    <w:lvl w:ilvl="0" w:tplc="CBA067E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41A65"/>
    <w:multiLevelType w:val="hybridMultilevel"/>
    <w:tmpl w:val="ADF4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F6F4F"/>
    <w:multiLevelType w:val="hybridMultilevel"/>
    <w:tmpl w:val="47062DCA"/>
    <w:lvl w:ilvl="0" w:tplc="7F16E80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71740"/>
    <w:multiLevelType w:val="hybridMultilevel"/>
    <w:tmpl w:val="578608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2D4DD3"/>
    <w:multiLevelType w:val="hybridMultilevel"/>
    <w:tmpl w:val="A978FD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6D5079"/>
    <w:multiLevelType w:val="hybridMultilevel"/>
    <w:tmpl w:val="02388E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AB53F4"/>
    <w:multiLevelType w:val="hybridMultilevel"/>
    <w:tmpl w:val="FF2CC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61C13"/>
    <w:multiLevelType w:val="hybridMultilevel"/>
    <w:tmpl w:val="643E3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35465"/>
    <w:multiLevelType w:val="hybridMultilevel"/>
    <w:tmpl w:val="C1CC3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43371"/>
    <w:multiLevelType w:val="hybridMultilevel"/>
    <w:tmpl w:val="41500B9A"/>
    <w:lvl w:ilvl="0" w:tplc="B5FC38A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2D577F"/>
    <w:multiLevelType w:val="hybridMultilevel"/>
    <w:tmpl w:val="356859E6"/>
    <w:lvl w:ilvl="0" w:tplc="C46CF7AC">
      <w:start w:val="1"/>
      <w:numFmt w:val="lowerLetter"/>
      <w:lvlText w:val="%1)"/>
      <w:lvlJc w:val="left"/>
      <w:pPr>
        <w:ind w:left="1080" w:hanging="720"/>
      </w:pPr>
      <w:rPr>
        <w:rFonts w:hint="default"/>
      </w:rPr>
    </w:lvl>
    <w:lvl w:ilvl="1" w:tplc="2F4E32B6">
      <w:start w:val="1"/>
      <w:numFmt w:val="bullet"/>
      <w:lvlText w:val="•"/>
      <w:lvlJc w:val="left"/>
      <w:pPr>
        <w:ind w:left="1800" w:hanging="720"/>
      </w:pPr>
      <w:rPr>
        <w:rFonts w:ascii="Arial" w:eastAsia="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1A0799"/>
    <w:multiLevelType w:val="hybridMultilevel"/>
    <w:tmpl w:val="2E28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E7CD4"/>
    <w:multiLevelType w:val="hybridMultilevel"/>
    <w:tmpl w:val="2D50D9F4"/>
    <w:lvl w:ilvl="0" w:tplc="9A923F6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185FFE"/>
    <w:multiLevelType w:val="hybridMultilevel"/>
    <w:tmpl w:val="C478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777BA6"/>
    <w:multiLevelType w:val="hybridMultilevel"/>
    <w:tmpl w:val="C0505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1923571"/>
    <w:multiLevelType w:val="hybridMultilevel"/>
    <w:tmpl w:val="C47C6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6B5004"/>
    <w:multiLevelType w:val="hybridMultilevel"/>
    <w:tmpl w:val="93CA14AE"/>
    <w:lvl w:ilvl="0" w:tplc="53BCA4D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282229"/>
    <w:multiLevelType w:val="hybridMultilevel"/>
    <w:tmpl w:val="79DA18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46782A"/>
    <w:multiLevelType w:val="hybridMultilevel"/>
    <w:tmpl w:val="68200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4531A"/>
    <w:multiLevelType w:val="hybridMultilevel"/>
    <w:tmpl w:val="A468B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A56272"/>
    <w:multiLevelType w:val="hybridMultilevel"/>
    <w:tmpl w:val="9BEC35BE"/>
    <w:lvl w:ilvl="0" w:tplc="2FFE854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FC4647"/>
    <w:multiLevelType w:val="hybridMultilevel"/>
    <w:tmpl w:val="C438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B22FB3"/>
    <w:multiLevelType w:val="hybridMultilevel"/>
    <w:tmpl w:val="4912B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35CA0"/>
    <w:multiLevelType w:val="hybridMultilevel"/>
    <w:tmpl w:val="3D2E964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FD171B"/>
    <w:multiLevelType w:val="hybridMultilevel"/>
    <w:tmpl w:val="31C8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7C3A27"/>
    <w:multiLevelType w:val="hybridMultilevel"/>
    <w:tmpl w:val="3AEE1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287C53"/>
    <w:multiLevelType w:val="hybridMultilevel"/>
    <w:tmpl w:val="B616EC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BB0C56"/>
    <w:multiLevelType w:val="hybridMultilevel"/>
    <w:tmpl w:val="E526813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DB311D"/>
    <w:multiLevelType w:val="hybridMultilevel"/>
    <w:tmpl w:val="D700A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0F67F4"/>
    <w:multiLevelType w:val="hybridMultilevel"/>
    <w:tmpl w:val="A01A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CA153A"/>
    <w:multiLevelType w:val="hybridMultilevel"/>
    <w:tmpl w:val="1674BD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0F5B5C"/>
    <w:multiLevelType w:val="hybridMultilevel"/>
    <w:tmpl w:val="2D463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1F5652"/>
    <w:multiLevelType w:val="hybridMultilevel"/>
    <w:tmpl w:val="A970BC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487A48"/>
    <w:multiLevelType w:val="hybridMultilevel"/>
    <w:tmpl w:val="004A5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20270C"/>
    <w:multiLevelType w:val="hybridMultilevel"/>
    <w:tmpl w:val="4C3C290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0D1E31"/>
    <w:multiLevelType w:val="hybridMultilevel"/>
    <w:tmpl w:val="E0001662"/>
    <w:lvl w:ilvl="0" w:tplc="D7C8D68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D72422"/>
    <w:multiLevelType w:val="hybridMultilevel"/>
    <w:tmpl w:val="ADBA3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357611"/>
    <w:multiLevelType w:val="hybridMultilevel"/>
    <w:tmpl w:val="62E2D3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1A4A5C"/>
    <w:multiLevelType w:val="hybridMultilevel"/>
    <w:tmpl w:val="E6FE3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DB24CA"/>
    <w:multiLevelType w:val="hybridMultilevel"/>
    <w:tmpl w:val="1348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E80A3B"/>
    <w:multiLevelType w:val="hybridMultilevel"/>
    <w:tmpl w:val="551C7F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7868B5"/>
    <w:multiLevelType w:val="hybridMultilevel"/>
    <w:tmpl w:val="8CA64BF6"/>
    <w:lvl w:ilvl="0" w:tplc="F9A834C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5135301">
    <w:abstractNumId w:val="38"/>
  </w:num>
  <w:num w:numId="2" w16cid:durableId="168106522">
    <w:abstractNumId w:val="26"/>
  </w:num>
  <w:num w:numId="3" w16cid:durableId="195240001">
    <w:abstractNumId w:val="3"/>
  </w:num>
  <w:num w:numId="4" w16cid:durableId="522326229">
    <w:abstractNumId w:val="13"/>
  </w:num>
  <w:num w:numId="5" w16cid:durableId="470371176">
    <w:abstractNumId w:val="24"/>
  </w:num>
  <w:num w:numId="6" w16cid:durableId="312180626">
    <w:abstractNumId w:val="31"/>
  </w:num>
  <w:num w:numId="7" w16cid:durableId="1864130437">
    <w:abstractNumId w:val="35"/>
  </w:num>
  <w:num w:numId="8" w16cid:durableId="295264534">
    <w:abstractNumId w:val="16"/>
  </w:num>
  <w:num w:numId="9" w16cid:durableId="1368531921">
    <w:abstractNumId w:val="5"/>
  </w:num>
  <w:num w:numId="10" w16cid:durableId="483668293">
    <w:abstractNumId w:val="15"/>
  </w:num>
  <w:num w:numId="11" w16cid:durableId="488716391">
    <w:abstractNumId w:val="8"/>
  </w:num>
  <w:num w:numId="12" w16cid:durableId="490486528">
    <w:abstractNumId w:val="20"/>
  </w:num>
  <w:num w:numId="13" w16cid:durableId="57167635">
    <w:abstractNumId w:val="36"/>
  </w:num>
  <w:num w:numId="14" w16cid:durableId="274413549">
    <w:abstractNumId w:val="40"/>
  </w:num>
  <w:num w:numId="15" w16cid:durableId="1248465989">
    <w:abstractNumId w:val="30"/>
  </w:num>
  <w:num w:numId="16" w16cid:durableId="1414814620">
    <w:abstractNumId w:val="17"/>
  </w:num>
  <w:num w:numId="17" w16cid:durableId="1531718604">
    <w:abstractNumId w:val="25"/>
  </w:num>
  <w:num w:numId="18" w16cid:durableId="1937665417">
    <w:abstractNumId w:val="1"/>
  </w:num>
  <w:num w:numId="19" w16cid:durableId="550730835">
    <w:abstractNumId w:val="36"/>
  </w:num>
  <w:num w:numId="20" w16cid:durableId="1346202165">
    <w:abstractNumId w:val="21"/>
  </w:num>
  <w:num w:numId="21" w16cid:durableId="495195842">
    <w:abstractNumId w:val="1"/>
  </w:num>
  <w:num w:numId="22" w16cid:durableId="1685329019">
    <w:abstractNumId w:val="28"/>
  </w:num>
  <w:num w:numId="23" w16cid:durableId="1730306943">
    <w:abstractNumId w:val="22"/>
  </w:num>
  <w:num w:numId="24" w16cid:durableId="2140606984">
    <w:abstractNumId w:val="7"/>
  </w:num>
  <w:num w:numId="25" w16cid:durableId="1742606253">
    <w:abstractNumId w:val="37"/>
  </w:num>
  <w:num w:numId="26" w16cid:durableId="1265456544">
    <w:abstractNumId w:val="34"/>
  </w:num>
  <w:num w:numId="27" w16cid:durableId="790056708">
    <w:abstractNumId w:val="4"/>
  </w:num>
  <w:num w:numId="28" w16cid:durableId="210577582">
    <w:abstractNumId w:val="39"/>
  </w:num>
  <w:num w:numId="29" w16cid:durableId="197201786">
    <w:abstractNumId w:val="2"/>
  </w:num>
  <w:num w:numId="30" w16cid:durableId="1104963102">
    <w:abstractNumId w:val="29"/>
  </w:num>
  <w:num w:numId="31" w16cid:durableId="147599023">
    <w:abstractNumId w:val="12"/>
  </w:num>
  <w:num w:numId="32" w16cid:durableId="952901458">
    <w:abstractNumId w:val="0"/>
  </w:num>
  <w:num w:numId="33" w16cid:durableId="2134670469">
    <w:abstractNumId w:val="33"/>
  </w:num>
  <w:num w:numId="34" w16cid:durableId="1990791330">
    <w:abstractNumId w:val="9"/>
  </w:num>
  <w:num w:numId="35" w16cid:durableId="243955028">
    <w:abstractNumId w:val="27"/>
  </w:num>
  <w:num w:numId="36" w16cid:durableId="768432246">
    <w:abstractNumId w:val="23"/>
  </w:num>
  <w:num w:numId="37" w16cid:durableId="1862742083">
    <w:abstractNumId w:val="32"/>
  </w:num>
  <w:num w:numId="38" w16cid:durableId="2032795925">
    <w:abstractNumId w:val="43"/>
  </w:num>
  <w:num w:numId="39" w16cid:durableId="11953750">
    <w:abstractNumId w:val="19"/>
  </w:num>
  <w:num w:numId="40" w16cid:durableId="877350079">
    <w:abstractNumId w:val="14"/>
  </w:num>
  <w:num w:numId="41" w16cid:durableId="27222253">
    <w:abstractNumId w:val="42"/>
  </w:num>
  <w:num w:numId="42" w16cid:durableId="1600333287">
    <w:abstractNumId w:val="18"/>
  </w:num>
  <w:num w:numId="43" w16cid:durableId="1334257435">
    <w:abstractNumId w:val="6"/>
  </w:num>
  <w:num w:numId="44" w16cid:durableId="1189684698">
    <w:abstractNumId w:val="11"/>
  </w:num>
  <w:num w:numId="45" w16cid:durableId="715858301">
    <w:abstractNumId w:val="41"/>
  </w:num>
  <w:num w:numId="46" w16cid:durableId="998852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60B"/>
    <w:rsid w:val="00013210"/>
    <w:rsid w:val="00015D38"/>
    <w:rsid w:val="00032CC6"/>
    <w:rsid w:val="000363F6"/>
    <w:rsid w:val="00045DF5"/>
    <w:rsid w:val="0004776E"/>
    <w:rsid w:val="00090D21"/>
    <w:rsid w:val="000B153D"/>
    <w:rsid w:val="000B744F"/>
    <w:rsid w:val="000C5DED"/>
    <w:rsid w:val="000D6BE9"/>
    <w:rsid w:val="000D7790"/>
    <w:rsid w:val="000E656A"/>
    <w:rsid w:val="001116B7"/>
    <w:rsid w:val="00113C9F"/>
    <w:rsid w:val="00115D6E"/>
    <w:rsid w:val="001171B2"/>
    <w:rsid w:val="00117429"/>
    <w:rsid w:val="001333E9"/>
    <w:rsid w:val="00137676"/>
    <w:rsid w:val="00142848"/>
    <w:rsid w:val="00152CC6"/>
    <w:rsid w:val="00165E46"/>
    <w:rsid w:val="00171520"/>
    <w:rsid w:val="00184133"/>
    <w:rsid w:val="00191C1D"/>
    <w:rsid w:val="00193A83"/>
    <w:rsid w:val="0019578E"/>
    <w:rsid w:val="001B3BD1"/>
    <w:rsid w:val="001C043D"/>
    <w:rsid w:val="001C043E"/>
    <w:rsid w:val="001C0B36"/>
    <w:rsid w:val="001D2ABC"/>
    <w:rsid w:val="001D4F3A"/>
    <w:rsid w:val="001F27AF"/>
    <w:rsid w:val="0020711F"/>
    <w:rsid w:val="002142CE"/>
    <w:rsid w:val="00223170"/>
    <w:rsid w:val="002371EF"/>
    <w:rsid w:val="0025038D"/>
    <w:rsid w:val="0026134F"/>
    <w:rsid w:val="0026185E"/>
    <w:rsid w:val="00264935"/>
    <w:rsid w:val="002664D0"/>
    <w:rsid w:val="002730C2"/>
    <w:rsid w:val="00290872"/>
    <w:rsid w:val="002909C6"/>
    <w:rsid w:val="002A315C"/>
    <w:rsid w:val="002A4701"/>
    <w:rsid w:val="002B2531"/>
    <w:rsid w:val="002B3F3C"/>
    <w:rsid w:val="002D6889"/>
    <w:rsid w:val="002E2952"/>
    <w:rsid w:val="002E49BA"/>
    <w:rsid w:val="002F14F2"/>
    <w:rsid w:val="002F2E0D"/>
    <w:rsid w:val="002F47A8"/>
    <w:rsid w:val="00311FF7"/>
    <w:rsid w:val="003162A4"/>
    <w:rsid w:val="00322305"/>
    <w:rsid w:val="003230E3"/>
    <w:rsid w:val="003234D5"/>
    <w:rsid w:val="00332296"/>
    <w:rsid w:val="003508E8"/>
    <w:rsid w:val="003628E1"/>
    <w:rsid w:val="003707B6"/>
    <w:rsid w:val="00373EEB"/>
    <w:rsid w:val="0038304E"/>
    <w:rsid w:val="00383098"/>
    <w:rsid w:val="00395FF3"/>
    <w:rsid w:val="00397EF7"/>
    <w:rsid w:val="003A1866"/>
    <w:rsid w:val="003B5B19"/>
    <w:rsid w:val="003C53A0"/>
    <w:rsid w:val="003E3830"/>
    <w:rsid w:val="003E76D4"/>
    <w:rsid w:val="00400231"/>
    <w:rsid w:val="00401D2A"/>
    <w:rsid w:val="00402AAE"/>
    <w:rsid w:val="00404074"/>
    <w:rsid w:val="0044653C"/>
    <w:rsid w:val="0045035C"/>
    <w:rsid w:val="0046389A"/>
    <w:rsid w:val="00467D4A"/>
    <w:rsid w:val="00486A12"/>
    <w:rsid w:val="0049517A"/>
    <w:rsid w:val="004951BC"/>
    <w:rsid w:val="004A4A5D"/>
    <w:rsid w:val="004A5268"/>
    <w:rsid w:val="004A7F37"/>
    <w:rsid w:val="004B2D28"/>
    <w:rsid w:val="004B4F6C"/>
    <w:rsid w:val="004C077D"/>
    <w:rsid w:val="004D061C"/>
    <w:rsid w:val="004D7977"/>
    <w:rsid w:val="004E1EA3"/>
    <w:rsid w:val="004E3B02"/>
    <w:rsid w:val="004E59EB"/>
    <w:rsid w:val="004E5EB0"/>
    <w:rsid w:val="004E7800"/>
    <w:rsid w:val="004F1214"/>
    <w:rsid w:val="004F5A84"/>
    <w:rsid w:val="00505162"/>
    <w:rsid w:val="00512CCE"/>
    <w:rsid w:val="00513F9E"/>
    <w:rsid w:val="005216D4"/>
    <w:rsid w:val="00521FC3"/>
    <w:rsid w:val="0052596A"/>
    <w:rsid w:val="00534D24"/>
    <w:rsid w:val="00553A46"/>
    <w:rsid w:val="005544CA"/>
    <w:rsid w:val="0056379E"/>
    <w:rsid w:val="00564B8F"/>
    <w:rsid w:val="005707F8"/>
    <w:rsid w:val="00574F82"/>
    <w:rsid w:val="00577549"/>
    <w:rsid w:val="0059156B"/>
    <w:rsid w:val="005956E7"/>
    <w:rsid w:val="005B0FE4"/>
    <w:rsid w:val="005B15C0"/>
    <w:rsid w:val="005B20F1"/>
    <w:rsid w:val="005B4638"/>
    <w:rsid w:val="005B65BD"/>
    <w:rsid w:val="005F48F7"/>
    <w:rsid w:val="006172CF"/>
    <w:rsid w:val="00621577"/>
    <w:rsid w:val="0063774B"/>
    <w:rsid w:val="00661311"/>
    <w:rsid w:val="0067630F"/>
    <w:rsid w:val="006815E8"/>
    <w:rsid w:val="00692FE1"/>
    <w:rsid w:val="00693C5F"/>
    <w:rsid w:val="006B6EB2"/>
    <w:rsid w:val="006E1F6F"/>
    <w:rsid w:val="0071407E"/>
    <w:rsid w:val="007162A7"/>
    <w:rsid w:val="007179E9"/>
    <w:rsid w:val="0072080B"/>
    <w:rsid w:val="0072354B"/>
    <w:rsid w:val="00732E1B"/>
    <w:rsid w:val="007377D3"/>
    <w:rsid w:val="00741A49"/>
    <w:rsid w:val="00746296"/>
    <w:rsid w:val="00756287"/>
    <w:rsid w:val="00760FC6"/>
    <w:rsid w:val="0076392B"/>
    <w:rsid w:val="00767321"/>
    <w:rsid w:val="00790748"/>
    <w:rsid w:val="007B2A2E"/>
    <w:rsid w:val="007B5B20"/>
    <w:rsid w:val="007C038A"/>
    <w:rsid w:val="007C0DEC"/>
    <w:rsid w:val="007C4B46"/>
    <w:rsid w:val="007C6003"/>
    <w:rsid w:val="007D2B4F"/>
    <w:rsid w:val="007E3F2F"/>
    <w:rsid w:val="007F0522"/>
    <w:rsid w:val="007F2CB8"/>
    <w:rsid w:val="008165A2"/>
    <w:rsid w:val="00832F64"/>
    <w:rsid w:val="0084109C"/>
    <w:rsid w:val="00843732"/>
    <w:rsid w:val="00850CD1"/>
    <w:rsid w:val="00857F6F"/>
    <w:rsid w:val="00861C74"/>
    <w:rsid w:val="00871C3F"/>
    <w:rsid w:val="00877237"/>
    <w:rsid w:val="00881425"/>
    <w:rsid w:val="00884BB1"/>
    <w:rsid w:val="00887226"/>
    <w:rsid w:val="008925F0"/>
    <w:rsid w:val="00893268"/>
    <w:rsid w:val="00897A8A"/>
    <w:rsid w:val="008A2D75"/>
    <w:rsid w:val="008A30BC"/>
    <w:rsid w:val="008B2B37"/>
    <w:rsid w:val="008C0274"/>
    <w:rsid w:val="008C05CD"/>
    <w:rsid w:val="008F1251"/>
    <w:rsid w:val="008F553B"/>
    <w:rsid w:val="0090049F"/>
    <w:rsid w:val="00906015"/>
    <w:rsid w:val="0091039C"/>
    <w:rsid w:val="00920E8B"/>
    <w:rsid w:val="0092156B"/>
    <w:rsid w:val="009243E8"/>
    <w:rsid w:val="0092478F"/>
    <w:rsid w:val="00932526"/>
    <w:rsid w:val="00933394"/>
    <w:rsid w:val="00936F5F"/>
    <w:rsid w:val="00956FC1"/>
    <w:rsid w:val="009820F4"/>
    <w:rsid w:val="0099235F"/>
    <w:rsid w:val="00992716"/>
    <w:rsid w:val="009A46BB"/>
    <w:rsid w:val="009B3301"/>
    <w:rsid w:val="009C7F15"/>
    <w:rsid w:val="009D10E3"/>
    <w:rsid w:val="009D32F5"/>
    <w:rsid w:val="009E07EC"/>
    <w:rsid w:val="009E2641"/>
    <w:rsid w:val="009E58E4"/>
    <w:rsid w:val="00A00198"/>
    <w:rsid w:val="00A0218E"/>
    <w:rsid w:val="00A030ED"/>
    <w:rsid w:val="00A249C5"/>
    <w:rsid w:val="00A24E41"/>
    <w:rsid w:val="00A30695"/>
    <w:rsid w:val="00A32403"/>
    <w:rsid w:val="00A341C5"/>
    <w:rsid w:val="00A35971"/>
    <w:rsid w:val="00A41B4C"/>
    <w:rsid w:val="00A41F17"/>
    <w:rsid w:val="00A448ED"/>
    <w:rsid w:val="00A454FD"/>
    <w:rsid w:val="00A76867"/>
    <w:rsid w:val="00A8044C"/>
    <w:rsid w:val="00A856D8"/>
    <w:rsid w:val="00AA0614"/>
    <w:rsid w:val="00AA1233"/>
    <w:rsid w:val="00AB3F98"/>
    <w:rsid w:val="00AB4A6C"/>
    <w:rsid w:val="00AC10D8"/>
    <w:rsid w:val="00AC5700"/>
    <w:rsid w:val="00AC72FD"/>
    <w:rsid w:val="00AC7968"/>
    <w:rsid w:val="00AD3004"/>
    <w:rsid w:val="00AD4F85"/>
    <w:rsid w:val="00AD55CB"/>
    <w:rsid w:val="00AF4C64"/>
    <w:rsid w:val="00B2671E"/>
    <w:rsid w:val="00B30EFF"/>
    <w:rsid w:val="00B37446"/>
    <w:rsid w:val="00B44DC5"/>
    <w:rsid w:val="00B5506D"/>
    <w:rsid w:val="00B6136B"/>
    <w:rsid w:val="00B6288F"/>
    <w:rsid w:val="00B63E48"/>
    <w:rsid w:val="00B7184B"/>
    <w:rsid w:val="00B809C2"/>
    <w:rsid w:val="00B87B29"/>
    <w:rsid w:val="00B96F16"/>
    <w:rsid w:val="00BA23E2"/>
    <w:rsid w:val="00BB6BA5"/>
    <w:rsid w:val="00BC1669"/>
    <w:rsid w:val="00BD09FB"/>
    <w:rsid w:val="00BD7A66"/>
    <w:rsid w:val="00BE3699"/>
    <w:rsid w:val="00BF11ED"/>
    <w:rsid w:val="00C041DD"/>
    <w:rsid w:val="00C21708"/>
    <w:rsid w:val="00C324D6"/>
    <w:rsid w:val="00C34068"/>
    <w:rsid w:val="00C55F25"/>
    <w:rsid w:val="00C6609D"/>
    <w:rsid w:val="00C72998"/>
    <w:rsid w:val="00C73B16"/>
    <w:rsid w:val="00C837E4"/>
    <w:rsid w:val="00C95961"/>
    <w:rsid w:val="00C959A4"/>
    <w:rsid w:val="00CA7EEA"/>
    <w:rsid w:val="00CB62D5"/>
    <w:rsid w:val="00CB64EA"/>
    <w:rsid w:val="00CE3AA0"/>
    <w:rsid w:val="00CE7870"/>
    <w:rsid w:val="00CE79FD"/>
    <w:rsid w:val="00CF1F68"/>
    <w:rsid w:val="00D12CB0"/>
    <w:rsid w:val="00D4737B"/>
    <w:rsid w:val="00D5246B"/>
    <w:rsid w:val="00D55A12"/>
    <w:rsid w:val="00D56C30"/>
    <w:rsid w:val="00D61DC6"/>
    <w:rsid w:val="00D876C1"/>
    <w:rsid w:val="00D87B4B"/>
    <w:rsid w:val="00D91F2F"/>
    <w:rsid w:val="00DA527C"/>
    <w:rsid w:val="00DA7FC8"/>
    <w:rsid w:val="00DB4C22"/>
    <w:rsid w:val="00DC35F6"/>
    <w:rsid w:val="00DC653F"/>
    <w:rsid w:val="00DD5718"/>
    <w:rsid w:val="00DD5795"/>
    <w:rsid w:val="00DE71DD"/>
    <w:rsid w:val="00DE7256"/>
    <w:rsid w:val="00DF6A80"/>
    <w:rsid w:val="00DF6F75"/>
    <w:rsid w:val="00E02B6F"/>
    <w:rsid w:val="00E06C44"/>
    <w:rsid w:val="00E15300"/>
    <w:rsid w:val="00E201E0"/>
    <w:rsid w:val="00E24AEC"/>
    <w:rsid w:val="00E32FD3"/>
    <w:rsid w:val="00E3353A"/>
    <w:rsid w:val="00E3574A"/>
    <w:rsid w:val="00E475C2"/>
    <w:rsid w:val="00E735B1"/>
    <w:rsid w:val="00E76F91"/>
    <w:rsid w:val="00E771A1"/>
    <w:rsid w:val="00E811A7"/>
    <w:rsid w:val="00E82022"/>
    <w:rsid w:val="00E83ACF"/>
    <w:rsid w:val="00E94738"/>
    <w:rsid w:val="00EA474B"/>
    <w:rsid w:val="00EA4DFE"/>
    <w:rsid w:val="00EA6BF4"/>
    <w:rsid w:val="00EB7854"/>
    <w:rsid w:val="00ED2809"/>
    <w:rsid w:val="00ED6994"/>
    <w:rsid w:val="00EE7785"/>
    <w:rsid w:val="00EF6722"/>
    <w:rsid w:val="00EF6F80"/>
    <w:rsid w:val="00EF7BB8"/>
    <w:rsid w:val="00F003C5"/>
    <w:rsid w:val="00F01746"/>
    <w:rsid w:val="00F04D05"/>
    <w:rsid w:val="00F06A5E"/>
    <w:rsid w:val="00F079BB"/>
    <w:rsid w:val="00F169E0"/>
    <w:rsid w:val="00F373A1"/>
    <w:rsid w:val="00F4141F"/>
    <w:rsid w:val="00F47836"/>
    <w:rsid w:val="00F5593D"/>
    <w:rsid w:val="00F601FC"/>
    <w:rsid w:val="00F83572"/>
    <w:rsid w:val="00F93259"/>
    <w:rsid w:val="00FA7CBA"/>
    <w:rsid w:val="00FB08C1"/>
    <w:rsid w:val="00FB2D5B"/>
    <w:rsid w:val="00FC31A8"/>
    <w:rsid w:val="00FC70E3"/>
    <w:rsid w:val="00FF060B"/>
    <w:rsid w:val="00FF4C3F"/>
    <w:rsid w:val="00FF554F"/>
    <w:rsid w:val="04C88C57"/>
    <w:rsid w:val="37E718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097A55"/>
  <w14:defaultImageDpi w14:val="300"/>
  <w15:docId w15:val="{78FC458C-75CB-4780-9EF8-69D7A0CF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CommentReference">
    <w:name w:val="annotation reference"/>
    <w:basedOn w:val="DefaultParagraphFont"/>
    <w:uiPriority w:val="99"/>
    <w:semiHidden/>
    <w:unhideWhenUsed/>
    <w:rsid w:val="00FF060B"/>
    <w:rPr>
      <w:sz w:val="16"/>
      <w:szCs w:val="16"/>
    </w:rPr>
  </w:style>
  <w:style w:type="paragraph" w:styleId="CommentText">
    <w:name w:val="annotation text"/>
    <w:basedOn w:val="Normal"/>
    <w:link w:val="CommentTextChar"/>
    <w:uiPriority w:val="99"/>
    <w:semiHidden/>
    <w:unhideWhenUsed/>
    <w:rsid w:val="00FF060B"/>
    <w:rPr>
      <w:sz w:val="20"/>
      <w:szCs w:val="20"/>
    </w:rPr>
  </w:style>
  <w:style w:type="character" w:customStyle="1" w:styleId="CommentTextChar">
    <w:name w:val="Comment Text Char"/>
    <w:basedOn w:val="DefaultParagraphFont"/>
    <w:link w:val="CommentText"/>
    <w:uiPriority w:val="99"/>
    <w:semiHidden/>
    <w:rsid w:val="00FF060B"/>
    <w:rPr>
      <w:sz w:val="20"/>
      <w:szCs w:val="20"/>
    </w:rPr>
  </w:style>
  <w:style w:type="paragraph" w:styleId="CommentSubject">
    <w:name w:val="annotation subject"/>
    <w:basedOn w:val="CommentText"/>
    <w:next w:val="CommentText"/>
    <w:link w:val="CommentSubjectChar"/>
    <w:uiPriority w:val="99"/>
    <w:semiHidden/>
    <w:unhideWhenUsed/>
    <w:rsid w:val="00FF060B"/>
    <w:rPr>
      <w:b/>
      <w:bCs/>
    </w:rPr>
  </w:style>
  <w:style w:type="character" w:customStyle="1" w:styleId="CommentSubjectChar">
    <w:name w:val="Comment Subject Char"/>
    <w:basedOn w:val="CommentTextChar"/>
    <w:link w:val="CommentSubject"/>
    <w:uiPriority w:val="99"/>
    <w:semiHidden/>
    <w:rsid w:val="00FF060B"/>
    <w:rPr>
      <w:b/>
      <w:bCs/>
      <w:sz w:val="20"/>
      <w:szCs w:val="20"/>
    </w:rPr>
  </w:style>
  <w:style w:type="paragraph" w:styleId="ListParagraph">
    <w:name w:val="List Paragraph"/>
    <w:basedOn w:val="Normal"/>
    <w:uiPriority w:val="34"/>
    <w:qFormat/>
    <w:rsid w:val="00513F9E"/>
    <w:pPr>
      <w:ind w:left="720"/>
      <w:contextualSpacing/>
    </w:pPr>
  </w:style>
  <w:style w:type="table" w:styleId="TableGrid">
    <w:name w:val="Table Grid"/>
    <w:basedOn w:val="TableNormal"/>
    <w:uiPriority w:val="59"/>
    <w:rsid w:val="00193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193A8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ITTnormal">
    <w:name w:val="ITT normal"/>
    <w:basedOn w:val="Normal"/>
    <w:link w:val="ITTnormalChar"/>
    <w:rsid w:val="00B30EFF"/>
    <w:pPr>
      <w:autoSpaceDE w:val="0"/>
      <w:autoSpaceDN w:val="0"/>
      <w:adjustRightInd w:val="0"/>
      <w:spacing w:before="60" w:after="60"/>
      <w:ind w:left="720"/>
      <w:jc w:val="both"/>
    </w:pPr>
    <w:rPr>
      <w:rFonts w:eastAsia="Arial" w:cs="Arial"/>
      <w:sz w:val="22"/>
      <w:szCs w:val="22"/>
      <w:lang w:eastAsia="en-GB"/>
    </w:rPr>
  </w:style>
  <w:style w:type="character" w:customStyle="1" w:styleId="ITTnormalChar">
    <w:name w:val="ITT normal Char"/>
    <w:link w:val="ITTnormal"/>
    <w:rsid w:val="00B30EFF"/>
    <w:rPr>
      <w:rFonts w:eastAsia="Arial" w:cs="Arial"/>
      <w:sz w:val="22"/>
      <w:szCs w:val="22"/>
      <w:lang w:eastAsia="en-GB"/>
    </w:rPr>
  </w:style>
  <w:style w:type="paragraph" w:customStyle="1" w:styleId="ITTtable">
    <w:name w:val="ITT table"/>
    <w:basedOn w:val="ITTnormal"/>
    <w:rsid w:val="00B30EFF"/>
    <w:pPr>
      <w:spacing w:before="40" w:after="40"/>
      <w:ind w:left="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34577">
      <w:bodyDiv w:val="1"/>
      <w:marLeft w:val="0"/>
      <w:marRight w:val="0"/>
      <w:marTop w:val="0"/>
      <w:marBottom w:val="0"/>
      <w:divBdr>
        <w:top w:val="none" w:sz="0" w:space="0" w:color="auto"/>
        <w:left w:val="none" w:sz="0" w:space="0" w:color="auto"/>
        <w:bottom w:val="none" w:sz="0" w:space="0" w:color="auto"/>
        <w:right w:val="none" w:sz="0" w:space="0" w:color="auto"/>
      </w:divBdr>
    </w:div>
    <w:div w:id="261188779">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030034081">
      <w:bodyDiv w:val="1"/>
      <w:marLeft w:val="0"/>
      <w:marRight w:val="0"/>
      <w:marTop w:val="0"/>
      <w:marBottom w:val="0"/>
      <w:divBdr>
        <w:top w:val="none" w:sz="0" w:space="0" w:color="auto"/>
        <w:left w:val="none" w:sz="0" w:space="0" w:color="auto"/>
        <w:bottom w:val="none" w:sz="0" w:space="0" w:color="auto"/>
        <w:right w:val="none" w:sz="0" w:space="0" w:color="auto"/>
      </w:divBdr>
    </w:div>
    <w:div w:id="15469919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upton\AppData\Local\Microsoft\Windows\Temporary%20Internet%20Files\Content.IE5\1KRRK3MK\Word%20document%20template%20plain%20HEE%20branded%20document%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SharedWithUsers xmlns="28b028ff-38c2-46ce-a408-61c229a2e494">
      <UserInfo>
        <DisplayName/>
        <AccountId xsi:nil="true"/>
        <AccountType/>
      </UserInfo>
    </SharedWithUsers>
    <MediaServiceOCR xmlns="644a96a6-269d-4628-9d15-6c24f1bebd9f" xsi:nil="true"/>
    <MediaServiceKeyPoints xmlns="644a96a6-269d-4628-9d15-6c24f1bebd9f"/>
    <SharedWithDetails xmlns="28b028ff-38c2-46ce-a408-61c229a2e494" xsi:nil="true"/>
    <MediaServiceAutoTags xmlns="644a96a6-269d-4628-9d15-6c24f1bebd9f" xsi:nil="true"/>
    <TaxCatchAll xmlns="28b028ff-38c2-46ce-a408-61c229a2e494" xsi:nil="true"/>
    <lcf76f155ced4ddcb4097134ff3c332f xmlns="644a96a6-269d-4628-9d15-6c24f1bebd9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24" ma:contentTypeDescription="Create a new document." ma:contentTypeScope="" ma:versionID="47230eeddca3c10a0c6017950a032c4c">
  <xsd:schema xmlns:xsd="http://www.w3.org/2001/XMLSchema" xmlns:xs="http://www.w3.org/2001/XMLSchema" xmlns:p="http://schemas.microsoft.com/office/2006/metadata/properties" xmlns:ns1="http://schemas.microsoft.com/sharepoint/v3" xmlns:ns2="644a96a6-269d-4628-9d15-6c24f1bebd9f" xmlns:ns3="28b028ff-38c2-46ce-a408-61c229a2e494" targetNamespace="http://schemas.microsoft.com/office/2006/metadata/properties" ma:root="true" ma:fieldsID="eeb3df0d887501e4483c7af8746343a1" ns1:_="" ns2:_="" ns3:_="">
    <xsd:import namespace="http://schemas.microsoft.com/sharepoint/v3"/>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aac2db-5ad3-4422-bd13-7c0e284529cf}" ma:internalName="TaxCatchAll" ma:showField="CatchAllData" ma:web="28b028ff-38c2-46ce-a408-61c229a2e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B6BAD-55FB-4D16-A029-63EA1322FE8C}">
  <ds:schemaRefs>
    <ds:schemaRef ds:uri="http://schemas.microsoft.com/office/2006/metadata/properties"/>
    <ds:schemaRef ds:uri="http://schemas.microsoft.com/office/infopath/2007/PartnerControls"/>
    <ds:schemaRef ds:uri="28b028ff-38c2-46ce-a408-61c229a2e494"/>
    <ds:schemaRef ds:uri="644a96a6-269d-4628-9d15-6c24f1bebd9f"/>
    <ds:schemaRef ds:uri="http://schemas.microsoft.com/sharepoint/v3"/>
  </ds:schemaRefs>
</ds:datastoreItem>
</file>

<file path=customXml/itemProps2.xml><?xml version="1.0" encoding="utf-8"?>
<ds:datastoreItem xmlns:ds="http://schemas.openxmlformats.org/officeDocument/2006/customXml" ds:itemID="{C722DC90-9053-44A9-8927-66CE885C2B54}">
  <ds:schemaRefs>
    <ds:schemaRef ds:uri="http://schemas.openxmlformats.org/officeDocument/2006/bibliography"/>
  </ds:schemaRefs>
</ds:datastoreItem>
</file>

<file path=customXml/itemProps3.xml><?xml version="1.0" encoding="utf-8"?>
<ds:datastoreItem xmlns:ds="http://schemas.openxmlformats.org/officeDocument/2006/customXml" ds:itemID="{4DA475D7-4AAC-4020-9AD7-FE537EDC89C0}">
  <ds:schemaRefs>
    <ds:schemaRef ds:uri="http://schemas.microsoft.com/sharepoint/v3/contenttype/forms"/>
  </ds:schemaRefs>
</ds:datastoreItem>
</file>

<file path=customXml/itemProps4.xml><?xml version="1.0" encoding="utf-8"?>
<ds:datastoreItem xmlns:ds="http://schemas.openxmlformats.org/officeDocument/2006/customXml" ds:itemID="{D0A9E293-BF79-4A02-900A-18165DB1B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4a96a6-269d-4628-9d15-6c24f1bebd9f"/>
    <ds:schemaRef ds:uri="28b028ff-38c2-46ce-a408-61c229a2e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document template plain HEE branded document (5)</Template>
  <TotalTime>50</TotalTime>
  <Pages>8</Pages>
  <Words>3234</Words>
  <Characters>18436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21627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Upton</dc:creator>
  <cp:lastModifiedBy>Re'hilah Hamid</cp:lastModifiedBy>
  <cp:revision>151</cp:revision>
  <dcterms:created xsi:type="dcterms:W3CDTF">2018-08-28T12:36:00Z</dcterms:created>
  <dcterms:modified xsi:type="dcterms:W3CDTF">2024-01-29T12:23:00Z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ies>
</file>