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A7" w:rsidRDefault="00D40EA7">
      <w:bookmarkStart w:id="0" w:name="_GoBack"/>
      <w:bookmarkEnd w:id="0"/>
    </w:p>
    <w:tbl>
      <w:tblPr>
        <w:tblW w:w="9700" w:type="dxa"/>
        <w:tblInd w:w="93" w:type="dxa"/>
        <w:tblLook w:val="04A0" w:firstRow="1" w:lastRow="0" w:firstColumn="1" w:lastColumn="0" w:noHBand="0" w:noVBand="1"/>
      </w:tblPr>
      <w:tblGrid>
        <w:gridCol w:w="2992"/>
        <w:gridCol w:w="6708"/>
      </w:tblGrid>
      <w:tr w:rsidR="00435DE1" w:rsidRPr="00D1216B" w:rsidTr="00435DE1">
        <w:trPr>
          <w:trHeight w:val="315"/>
        </w:trPr>
        <w:tc>
          <w:tcPr>
            <w:tcW w:w="2992" w:type="dxa"/>
            <w:tcBorders>
              <w:top w:val="single" w:sz="8" w:space="0" w:color="808080"/>
              <w:left w:val="single" w:sz="8" w:space="0" w:color="808080"/>
              <w:bottom w:val="single" w:sz="8" w:space="0" w:color="808080"/>
              <w:right w:val="single" w:sz="8" w:space="0" w:color="808080"/>
            </w:tcBorders>
            <w:shd w:val="clear" w:color="000000" w:fill="002060"/>
            <w:vAlign w:val="center"/>
            <w:hideMark/>
          </w:tcPr>
          <w:p w:rsidR="00435DE1" w:rsidRPr="00D1216B" w:rsidRDefault="005B7192"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Provider / C</w:t>
            </w:r>
            <w:r w:rsidR="00435DE1">
              <w:rPr>
                <w:rFonts w:ascii="Calibri" w:eastAsia="Times New Roman" w:hAnsi="Calibri" w:cs="Calibri"/>
                <w:color w:val="FFFFFF"/>
                <w:sz w:val="20"/>
                <w:szCs w:val="20"/>
                <w:lang w:eastAsia="en-GB"/>
              </w:rPr>
              <w:t>ontract</w:t>
            </w:r>
            <w:r>
              <w:rPr>
                <w:rFonts w:ascii="Calibri" w:eastAsia="Times New Roman" w:hAnsi="Calibri" w:cs="Calibri"/>
                <w:color w:val="FFFFFF"/>
                <w:sz w:val="20"/>
                <w:szCs w:val="20"/>
                <w:lang w:eastAsia="en-GB"/>
              </w:rPr>
              <w:t xml:space="preserve"> reference</w:t>
            </w:r>
            <w:r w:rsidR="00435DE1" w:rsidRPr="00D1216B">
              <w:rPr>
                <w:rFonts w:ascii="Calibri" w:eastAsia="Times New Roman" w:hAnsi="Calibri" w:cs="Calibri"/>
                <w:color w:val="FFFFFF"/>
                <w:sz w:val="20"/>
                <w:szCs w:val="20"/>
                <w:lang w:eastAsia="en-GB"/>
              </w:rPr>
              <w:t>:</w:t>
            </w:r>
          </w:p>
        </w:tc>
        <w:tc>
          <w:tcPr>
            <w:tcW w:w="6708" w:type="dxa"/>
            <w:tcBorders>
              <w:top w:val="single" w:sz="8" w:space="0" w:color="808080"/>
              <w:left w:val="single" w:sz="8" w:space="0" w:color="808080"/>
              <w:bottom w:val="single" w:sz="8" w:space="0" w:color="808080"/>
              <w:right w:val="single" w:sz="8" w:space="0" w:color="808080"/>
            </w:tcBorders>
            <w:shd w:val="clear" w:color="000000" w:fill="002060"/>
            <w:vAlign w:val="center"/>
          </w:tcPr>
          <w:p w:rsidR="00435DE1" w:rsidRPr="00D1216B" w:rsidRDefault="00585F8A"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single" w:sz="8" w:space="0" w:color="808080"/>
              <w:left w:val="single" w:sz="8" w:space="0" w:color="808080"/>
              <w:bottom w:val="single" w:sz="8" w:space="0" w:color="808080"/>
              <w:right w:val="single" w:sz="8" w:space="0" w:color="808080"/>
            </w:tcBorders>
            <w:shd w:val="clear" w:color="000000" w:fill="002060"/>
            <w:vAlign w:val="center"/>
            <w:hideMark/>
          </w:tcPr>
          <w:p w:rsidR="00EC2CF8" w:rsidRPr="00D1216B" w:rsidRDefault="00435DE1" w:rsidP="00435DE1">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Service Specification No</w:t>
            </w:r>
            <w:r w:rsidR="00EC2CF8" w:rsidRPr="00D1216B">
              <w:rPr>
                <w:rFonts w:ascii="Calibri" w:eastAsia="Times New Roman" w:hAnsi="Calibri" w:cs="Calibri"/>
                <w:color w:val="FFFFFF"/>
                <w:sz w:val="20"/>
                <w:szCs w:val="20"/>
                <w:lang w:eastAsia="en-GB"/>
              </w:rPr>
              <w:t>:</w:t>
            </w:r>
          </w:p>
        </w:tc>
        <w:tc>
          <w:tcPr>
            <w:tcW w:w="6708" w:type="dxa"/>
            <w:tcBorders>
              <w:top w:val="single" w:sz="8" w:space="0" w:color="808080"/>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Service:</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27639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Dementia Support Service – </w:t>
            </w:r>
            <w:r w:rsidR="00377BF5">
              <w:rPr>
                <w:rFonts w:ascii="Calibri" w:eastAsia="Times New Roman" w:hAnsi="Calibri" w:cs="Calibri"/>
                <w:color w:val="FFFFFF"/>
                <w:sz w:val="20"/>
                <w:szCs w:val="20"/>
                <w:lang w:eastAsia="en-GB"/>
              </w:rPr>
              <w:t>Befriending Service</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Commissioner Lead: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Vikki Cochran</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Provider Lead: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Period: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2019/20 to be renewed on annual basis </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Date of Review:</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31</w:t>
            </w:r>
            <w:r w:rsidRPr="00585F8A">
              <w:rPr>
                <w:rFonts w:ascii="Calibri" w:eastAsia="Times New Roman" w:hAnsi="Calibri" w:cs="Calibri"/>
                <w:color w:val="FFFFFF"/>
                <w:sz w:val="20"/>
                <w:szCs w:val="20"/>
                <w:vertAlign w:val="superscript"/>
                <w:lang w:eastAsia="en-GB"/>
              </w:rPr>
              <w:t>st</w:t>
            </w:r>
            <w:r>
              <w:rPr>
                <w:rFonts w:ascii="Calibri" w:eastAsia="Times New Roman" w:hAnsi="Calibri" w:cs="Calibri"/>
                <w:color w:val="FFFFFF"/>
                <w:sz w:val="20"/>
                <w:szCs w:val="20"/>
                <w:lang w:eastAsia="en-GB"/>
              </w:rPr>
              <w:t xml:space="preserve"> December 2019</w:t>
            </w:r>
          </w:p>
        </w:tc>
      </w:tr>
    </w:tbl>
    <w:p w:rsidR="00D1216B" w:rsidRDefault="00D1216B"/>
    <w:tbl>
      <w:tblPr>
        <w:tblW w:w="9700" w:type="dxa"/>
        <w:tblInd w:w="93" w:type="dxa"/>
        <w:tblLook w:val="04A0" w:firstRow="1" w:lastRow="0" w:firstColumn="1" w:lastColumn="0" w:noHBand="0" w:noVBand="1"/>
      </w:tblPr>
      <w:tblGrid>
        <w:gridCol w:w="9700"/>
      </w:tblGrid>
      <w:tr w:rsidR="00D1216B"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D1216B" w:rsidRPr="00D1216B" w:rsidRDefault="00D1216B" w:rsidP="001F01DD">
            <w:pPr>
              <w:jc w:val="both"/>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 xml:space="preserve">1.  </w:t>
            </w:r>
            <w:r w:rsidR="001F01DD">
              <w:rPr>
                <w:rFonts w:ascii="Calibri" w:eastAsia="Times New Roman" w:hAnsi="Calibri" w:cs="Calibri"/>
                <w:color w:val="FFFFFF"/>
                <w:sz w:val="20"/>
                <w:szCs w:val="20"/>
                <w:lang w:eastAsia="en-GB"/>
              </w:rPr>
              <w:t xml:space="preserve">Population Needs </w:t>
            </w:r>
          </w:p>
        </w:tc>
      </w:tr>
      <w:tr w:rsidR="00D1216B"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D1216B" w:rsidRPr="00D1216B" w:rsidRDefault="00D1216B" w:rsidP="00D1216B">
            <w:pPr>
              <w:rPr>
                <w:rFonts w:ascii="Calibri" w:eastAsia="Times New Roman" w:hAnsi="Calibri" w:cs="Calibri"/>
                <w:b/>
                <w:bCs/>
                <w:sz w:val="20"/>
                <w:szCs w:val="20"/>
                <w:lang w:eastAsia="en-GB"/>
              </w:rPr>
            </w:pPr>
            <w:r w:rsidRPr="00D1216B">
              <w:rPr>
                <w:rFonts w:ascii="Calibri" w:eastAsia="Times New Roman" w:hAnsi="Calibri" w:cs="Calibri"/>
                <w:b/>
                <w:bCs/>
                <w:sz w:val="20"/>
                <w:szCs w:val="20"/>
                <w:lang w:eastAsia="en-GB"/>
              </w:rPr>
              <w:t>1.1 National and evidence base</w:t>
            </w:r>
          </w:p>
        </w:tc>
      </w:tr>
      <w:tr w:rsidR="00D1216B" w:rsidRPr="00D1216B" w:rsidTr="00876705">
        <w:trPr>
          <w:trHeight w:val="315"/>
        </w:trPr>
        <w:tc>
          <w:tcPr>
            <w:tcW w:w="9700" w:type="dxa"/>
            <w:tcBorders>
              <w:top w:val="nil"/>
              <w:left w:val="single" w:sz="8" w:space="0" w:color="C0C0C0"/>
              <w:bottom w:val="single" w:sz="8" w:space="0" w:color="999999"/>
              <w:right w:val="single" w:sz="8" w:space="0" w:color="C0C0C0"/>
            </w:tcBorders>
            <w:shd w:val="clear" w:color="auto" w:fill="auto"/>
            <w:vAlign w:val="center"/>
            <w:hideMark/>
          </w:tcPr>
          <w:p w:rsidR="001F01DD" w:rsidRDefault="001F01DD" w:rsidP="0027429A">
            <w:pPr>
              <w:pStyle w:val="Default"/>
              <w:rPr>
                <w:rFonts w:ascii="Calibri" w:eastAsia="Times New Roman" w:hAnsi="Calibri" w:cs="Calibri"/>
                <w:b/>
                <w:bCs/>
                <w:sz w:val="20"/>
                <w:szCs w:val="20"/>
                <w:lang w:eastAsia="en-GB"/>
              </w:rPr>
            </w:pPr>
          </w:p>
          <w:p w:rsidR="00585F8A" w:rsidRPr="00585F8A" w:rsidRDefault="00585F8A" w:rsidP="0027429A">
            <w:pPr>
              <w:pStyle w:val="Default"/>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Improving care for individuals living with Dementia and their carers/families is a national priority following the publication of the first National Dementia Strategy (2009) and the Prime Minister’s Challenge on Dementia (2015). The latter provided five key aims which are:</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Preventing Well</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Diagnosing Well</w:t>
            </w:r>
          </w:p>
          <w:p w:rsidR="00585F8A" w:rsidRPr="0081599B" w:rsidRDefault="00585F8A" w:rsidP="00585F8A">
            <w:pPr>
              <w:pStyle w:val="Default"/>
              <w:numPr>
                <w:ilvl w:val="0"/>
                <w:numId w:val="22"/>
              </w:numPr>
              <w:rPr>
                <w:rFonts w:ascii="Calibri" w:eastAsia="Times New Roman" w:hAnsi="Calibri" w:cs="Calibri"/>
                <w:b/>
                <w:bCs/>
                <w:sz w:val="20"/>
                <w:szCs w:val="20"/>
                <w:lang w:eastAsia="en-GB"/>
              </w:rPr>
            </w:pPr>
            <w:r w:rsidRPr="0081599B">
              <w:rPr>
                <w:rFonts w:ascii="Calibri" w:eastAsia="Times New Roman" w:hAnsi="Calibri" w:cs="Calibri"/>
                <w:b/>
                <w:bCs/>
                <w:sz w:val="20"/>
                <w:szCs w:val="20"/>
                <w:lang w:eastAsia="en-GB"/>
              </w:rPr>
              <w:t>Supporting Well</w:t>
            </w:r>
          </w:p>
          <w:p w:rsidR="00585F8A" w:rsidRPr="0081599B" w:rsidRDefault="00585F8A" w:rsidP="00585F8A">
            <w:pPr>
              <w:pStyle w:val="Default"/>
              <w:numPr>
                <w:ilvl w:val="0"/>
                <w:numId w:val="22"/>
              </w:numPr>
              <w:rPr>
                <w:rFonts w:ascii="Calibri" w:eastAsia="Times New Roman" w:hAnsi="Calibri" w:cs="Calibri"/>
                <w:b/>
                <w:bCs/>
                <w:sz w:val="20"/>
                <w:szCs w:val="20"/>
                <w:lang w:eastAsia="en-GB"/>
              </w:rPr>
            </w:pPr>
            <w:r w:rsidRPr="0081599B">
              <w:rPr>
                <w:rFonts w:ascii="Calibri" w:eastAsia="Times New Roman" w:hAnsi="Calibri" w:cs="Calibri"/>
                <w:b/>
                <w:bCs/>
                <w:sz w:val="20"/>
                <w:szCs w:val="20"/>
                <w:lang w:eastAsia="en-GB"/>
              </w:rPr>
              <w:t>Living Well</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Dying Well</w:t>
            </w:r>
          </w:p>
          <w:p w:rsidR="00585F8A" w:rsidRPr="00585F8A" w:rsidRDefault="00585F8A" w:rsidP="0027429A">
            <w:pPr>
              <w:pStyle w:val="Default"/>
              <w:rPr>
                <w:rFonts w:ascii="Calibri" w:eastAsia="Times New Roman" w:hAnsi="Calibri" w:cs="Calibri"/>
                <w:bCs/>
                <w:sz w:val="20"/>
                <w:szCs w:val="20"/>
                <w:lang w:eastAsia="en-GB"/>
              </w:rPr>
            </w:pPr>
          </w:p>
          <w:p w:rsidR="0081599B" w:rsidRDefault="00585F8A" w:rsidP="0027429A">
            <w:pPr>
              <w:pStyle w:val="Default"/>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Dementia is a growing, global challenge. As the population ages, it has become one of the most important health and care issues facing the world. The number of people living with dementia worldwide today is estimated at 44 million people</w:t>
            </w:r>
            <w:r w:rsidR="0081599B">
              <w:rPr>
                <w:rFonts w:ascii="Calibri" w:eastAsia="Times New Roman" w:hAnsi="Calibri" w:cs="Calibri"/>
                <w:bCs/>
                <w:sz w:val="20"/>
                <w:szCs w:val="20"/>
                <w:lang w:eastAsia="en-GB"/>
              </w:rPr>
              <w:t>, set to almost double by 2030.</w:t>
            </w:r>
            <w:r w:rsidRPr="00585F8A">
              <w:rPr>
                <w:rFonts w:ascii="Calibri" w:eastAsia="Times New Roman" w:hAnsi="Calibri" w:cs="Calibri"/>
                <w:bCs/>
                <w:sz w:val="20"/>
                <w:szCs w:val="20"/>
                <w:lang w:eastAsia="en-GB"/>
              </w:rPr>
              <w:t xml:space="preserve"> In England, it is estimated that around 676,000 people have dementia. Dementia has, and will continue to have, a huge impact on people living with the condition, their carers, families and society more generally.</w:t>
            </w:r>
            <w:r w:rsidR="0081599B">
              <w:rPr>
                <w:rFonts w:ascii="Calibri" w:eastAsia="Times New Roman" w:hAnsi="Calibri" w:cs="Calibri"/>
                <w:bCs/>
                <w:sz w:val="20"/>
                <w:szCs w:val="20"/>
                <w:lang w:eastAsia="en-GB"/>
              </w:rPr>
              <w:t xml:space="preserve"> </w:t>
            </w:r>
          </w:p>
          <w:p w:rsidR="0081599B" w:rsidRDefault="0081599B" w:rsidP="0027429A">
            <w:pPr>
              <w:pStyle w:val="Default"/>
              <w:rPr>
                <w:rFonts w:ascii="Calibri" w:eastAsia="Times New Roman" w:hAnsi="Calibri" w:cs="Calibri"/>
                <w:bCs/>
                <w:sz w:val="20"/>
                <w:szCs w:val="20"/>
                <w:lang w:eastAsia="en-GB"/>
              </w:rPr>
            </w:pPr>
          </w:p>
          <w:p w:rsidR="0081599B" w:rsidRDefault="0081599B" w:rsidP="0027429A">
            <w:pPr>
              <w:pStyle w:val="Default"/>
              <w:rPr>
                <w:rFonts w:ascii="Calibri" w:eastAsia="Times New Roman" w:hAnsi="Calibri" w:cs="Calibri"/>
                <w:bCs/>
                <w:sz w:val="20"/>
                <w:szCs w:val="20"/>
                <w:lang w:eastAsia="en-GB"/>
              </w:rPr>
            </w:pPr>
            <w:r w:rsidRPr="0081599B">
              <w:rPr>
                <w:rFonts w:ascii="Calibri" w:eastAsia="Times New Roman" w:hAnsi="Calibri" w:cs="Calibri"/>
                <w:b/>
                <w:bCs/>
                <w:sz w:val="20"/>
                <w:szCs w:val="20"/>
                <w:lang w:eastAsia="en-GB"/>
              </w:rPr>
              <w:t xml:space="preserve">1.1 </w:t>
            </w:r>
            <w:r>
              <w:rPr>
                <w:rFonts w:ascii="Calibri" w:eastAsia="Times New Roman" w:hAnsi="Calibri" w:cs="Calibri"/>
                <w:b/>
                <w:bCs/>
                <w:sz w:val="20"/>
                <w:szCs w:val="20"/>
                <w:lang w:eastAsia="en-GB"/>
              </w:rPr>
              <w:t>L</w:t>
            </w:r>
            <w:r w:rsidRPr="0081599B">
              <w:rPr>
                <w:rFonts w:ascii="Calibri" w:eastAsia="Times New Roman" w:hAnsi="Calibri" w:cs="Calibri"/>
                <w:b/>
                <w:bCs/>
                <w:sz w:val="20"/>
                <w:szCs w:val="20"/>
                <w:lang w:eastAsia="en-GB"/>
              </w:rPr>
              <w:t>ocal context and evidence base</w:t>
            </w:r>
          </w:p>
          <w:p w:rsidR="0081599B" w:rsidRDefault="0081599B" w:rsidP="0027429A">
            <w:pPr>
              <w:pStyle w:val="Default"/>
              <w:rPr>
                <w:rFonts w:ascii="Calibri" w:eastAsia="Times New Roman" w:hAnsi="Calibri" w:cs="Calibri"/>
                <w:bCs/>
                <w:sz w:val="20"/>
                <w:szCs w:val="20"/>
                <w:lang w:eastAsia="en-GB"/>
              </w:rPr>
            </w:pPr>
          </w:p>
          <w:p w:rsidR="00876705" w:rsidRPr="00585F8A" w:rsidRDefault="0081599B" w:rsidP="0027429A">
            <w:pPr>
              <w:pStyle w:val="Default"/>
              <w:rPr>
                <w:rFonts w:ascii="Calibri" w:eastAsia="Times New Roman" w:hAnsi="Calibri" w:cs="Calibri"/>
                <w:bCs/>
                <w:sz w:val="20"/>
                <w:szCs w:val="20"/>
                <w:lang w:eastAsia="en-GB"/>
              </w:rPr>
            </w:pPr>
            <w:r>
              <w:rPr>
                <w:rFonts w:ascii="Calibri" w:eastAsia="Times New Roman" w:hAnsi="Calibri" w:cs="Calibri"/>
                <w:bCs/>
                <w:sz w:val="20"/>
                <w:szCs w:val="20"/>
                <w:lang w:eastAsia="en-GB"/>
              </w:rPr>
              <w:t>Dementia is a key priority within the Mental Health Workstream and Within Torbay</w:t>
            </w:r>
            <w:r w:rsidR="000D7821">
              <w:rPr>
                <w:rFonts w:ascii="Calibri" w:eastAsia="Times New Roman" w:hAnsi="Calibri" w:cs="Calibri"/>
                <w:bCs/>
                <w:sz w:val="20"/>
                <w:szCs w:val="20"/>
                <w:lang w:eastAsia="en-GB"/>
              </w:rPr>
              <w:t xml:space="preserve"> and South Devon</w:t>
            </w:r>
            <w:r>
              <w:rPr>
                <w:rFonts w:ascii="Calibri" w:eastAsia="Times New Roman" w:hAnsi="Calibri" w:cs="Calibri"/>
                <w:bCs/>
                <w:sz w:val="20"/>
                <w:szCs w:val="20"/>
                <w:lang w:eastAsia="en-GB"/>
              </w:rPr>
              <w:t xml:space="preserve"> there are </w:t>
            </w:r>
            <w:r w:rsidR="000D7821">
              <w:rPr>
                <w:rFonts w:ascii="Calibri" w:eastAsia="Times New Roman" w:hAnsi="Calibri" w:cs="Calibri"/>
                <w:bCs/>
                <w:sz w:val="20"/>
                <w:szCs w:val="20"/>
                <w:lang w:eastAsia="en-GB"/>
              </w:rPr>
              <w:t>4,700</w:t>
            </w:r>
            <w:r>
              <w:rPr>
                <w:rFonts w:ascii="Calibri" w:eastAsia="Times New Roman" w:hAnsi="Calibri" w:cs="Calibri"/>
                <w:bCs/>
                <w:sz w:val="20"/>
                <w:szCs w:val="20"/>
                <w:lang w:eastAsia="en-GB"/>
              </w:rPr>
              <w:t xml:space="preserve"> indi</w:t>
            </w:r>
            <w:r w:rsidR="00536EF0">
              <w:rPr>
                <w:rFonts w:ascii="Calibri" w:eastAsia="Times New Roman" w:hAnsi="Calibri" w:cs="Calibri"/>
                <w:bCs/>
                <w:sz w:val="20"/>
                <w:szCs w:val="20"/>
                <w:lang w:eastAsia="en-GB"/>
              </w:rPr>
              <w:t>viduals who are believed</w:t>
            </w:r>
            <w:r>
              <w:rPr>
                <w:rFonts w:ascii="Calibri" w:eastAsia="Times New Roman" w:hAnsi="Calibri" w:cs="Calibri"/>
                <w:bCs/>
                <w:sz w:val="20"/>
                <w:szCs w:val="20"/>
                <w:lang w:eastAsia="en-GB"/>
              </w:rPr>
              <w:t xml:space="preserve"> to have Dementia, based on the national prevalence rates from NHS England, of which</w:t>
            </w:r>
            <w:r w:rsidR="000D7821">
              <w:rPr>
                <w:rFonts w:ascii="Calibri" w:eastAsia="Times New Roman" w:hAnsi="Calibri" w:cs="Calibri"/>
                <w:bCs/>
                <w:sz w:val="20"/>
                <w:szCs w:val="20"/>
                <w:lang w:eastAsia="en-GB"/>
              </w:rPr>
              <w:t xml:space="preserve"> 2,900</w:t>
            </w:r>
            <w:r>
              <w:rPr>
                <w:rFonts w:ascii="Calibri" w:eastAsia="Times New Roman" w:hAnsi="Calibri" w:cs="Calibri"/>
                <w:bCs/>
                <w:sz w:val="20"/>
                <w:szCs w:val="20"/>
                <w:lang w:eastAsia="en-GB"/>
              </w:rPr>
              <w:t xml:space="preserve"> </w:t>
            </w:r>
            <w:r w:rsidR="000D7821">
              <w:rPr>
                <w:rFonts w:ascii="Calibri" w:eastAsia="Times New Roman" w:hAnsi="Calibri" w:cs="Calibri"/>
                <w:bCs/>
                <w:sz w:val="20"/>
                <w:szCs w:val="20"/>
                <w:lang w:eastAsia="en-GB"/>
              </w:rPr>
              <w:t>(61</w:t>
            </w:r>
            <w:r>
              <w:rPr>
                <w:rFonts w:ascii="Calibri" w:eastAsia="Times New Roman" w:hAnsi="Calibri" w:cs="Calibri"/>
                <w:bCs/>
                <w:sz w:val="20"/>
                <w:szCs w:val="20"/>
                <w:lang w:eastAsia="en-GB"/>
              </w:rPr>
              <w:t>%</w:t>
            </w:r>
            <w:r w:rsidR="000D7821">
              <w:rPr>
                <w:rFonts w:ascii="Calibri" w:eastAsia="Times New Roman" w:hAnsi="Calibri" w:cs="Calibri"/>
                <w:bCs/>
                <w:sz w:val="20"/>
                <w:szCs w:val="20"/>
                <w:lang w:eastAsia="en-GB"/>
              </w:rPr>
              <w:t>)</w:t>
            </w:r>
            <w:r>
              <w:rPr>
                <w:rFonts w:ascii="Calibri" w:eastAsia="Times New Roman" w:hAnsi="Calibri" w:cs="Calibri"/>
                <w:bCs/>
                <w:sz w:val="20"/>
                <w:szCs w:val="20"/>
                <w:lang w:eastAsia="en-GB"/>
              </w:rPr>
              <w:t xml:space="preserve"> have a formal diagnosis. However it is known that</w:t>
            </w:r>
            <w:r w:rsidR="000D7821">
              <w:rPr>
                <w:rFonts w:ascii="Calibri" w:eastAsia="Times New Roman" w:hAnsi="Calibri" w:cs="Calibri"/>
                <w:bCs/>
                <w:sz w:val="20"/>
                <w:szCs w:val="20"/>
                <w:lang w:eastAsia="en-GB"/>
              </w:rPr>
              <w:t xml:space="preserve"> due to the demographic within this Locality that the</w:t>
            </w:r>
            <w:r>
              <w:rPr>
                <w:rFonts w:ascii="Calibri" w:eastAsia="Times New Roman" w:hAnsi="Calibri" w:cs="Calibri"/>
                <w:bCs/>
                <w:sz w:val="20"/>
                <w:szCs w:val="20"/>
                <w:lang w:eastAsia="en-GB"/>
              </w:rPr>
              <w:t xml:space="preserve"> figure is likely to increase potentially in excess of the predicted national rates that have been </w:t>
            </w:r>
            <w:r w:rsidR="007C1780">
              <w:rPr>
                <w:rFonts w:ascii="Calibri" w:eastAsia="Times New Roman" w:hAnsi="Calibri" w:cs="Calibri"/>
                <w:bCs/>
                <w:sz w:val="20"/>
                <w:szCs w:val="20"/>
                <w:lang w:eastAsia="en-GB"/>
              </w:rPr>
              <w:t>identified</w:t>
            </w:r>
            <w:r>
              <w:rPr>
                <w:rFonts w:ascii="Calibri" w:eastAsia="Times New Roman" w:hAnsi="Calibri" w:cs="Calibri"/>
                <w:bCs/>
                <w:sz w:val="20"/>
                <w:szCs w:val="20"/>
                <w:lang w:eastAsia="en-GB"/>
              </w:rPr>
              <w:t xml:space="preserve">.  </w:t>
            </w:r>
          </w:p>
          <w:p w:rsidR="00876705" w:rsidRPr="00D1216B" w:rsidRDefault="00876705" w:rsidP="0027429A">
            <w:pPr>
              <w:pStyle w:val="Default"/>
              <w:rPr>
                <w:rFonts w:ascii="Calibri" w:eastAsia="Times New Roman" w:hAnsi="Calibri" w:cs="Calibri"/>
                <w:b/>
                <w:bCs/>
                <w:sz w:val="20"/>
                <w:szCs w:val="20"/>
                <w:lang w:eastAsia="en-GB"/>
              </w:rPr>
            </w:pP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tcPr>
          <w:p w:rsidR="00091DE0" w:rsidRPr="00D1216B" w:rsidRDefault="00091DE0"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2.  Outcomes </w:t>
            </w:r>
          </w:p>
        </w:tc>
      </w:tr>
      <w:tr w:rsidR="00091DE0" w:rsidRPr="00D1216B" w:rsidTr="00876705">
        <w:trPr>
          <w:trHeight w:val="1958"/>
        </w:trPr>
        <w:tc>
          <w:tcPr>
            <w:tcW w:w="9700" w:type="dxa"/>
            <w:tcBorders>
              <w:top w:val="nil"/>
              <w:left w:val="single" w:sz="8" w:space="0" w:color="C0C0C0"/>
              <w:bottom w:val="nil"/>
              <w:right w:val="single" w:sz="8" w:space="0" w:color="C0C0C0"/>
            </w:tcBorders>
            <w:shd w:val="clear" w:color="auto" w:fill="FFFFFF" w:themeFill="background1"/>
            <w:vAlign w:val="center"/>
          </w:tcPr>
          <w:p w:rsidR="00091DE0" w:rsidRDefault="00091DE0" w:rsidP="00D1216B">
            <w:pPr>
              <w:jc w:val="both"/>
              <w:rPr>
                <w:rFonts w:ascii="Calibri" w:eastAsia="Times New Roman" w:hAnsi="Calibri" w:cs="Calibri"/>
                <w:b/>
                <w:sz w:val="20"/>
                <w:szCs w:val="20"/>
                <w:lang w:eastAsia="en-GB"/>
              </w:rPr>
            </w:pPr>
            <w:r w:rsidRPr="00091DE0">
              <w:rPr>
                <w:rFonts w:ascii="Calibri" w:eastAsia="Times New Roman" w:hAnsi="Calibri" w:cs="Calibri"/>
                <w:b/>
                <w:sz w:val="20"/>
                <w:szCs w:val="20"/>
                <w:lang w:eastAsia="en-GB"/>
              </w:rPr>
              <w:t>2.1</w:t>
            </w:r>
            <w:r w:rsidR="00CC74E0">
              <w:rPr>
                <w:rFonts w:ascii="Calibri" w:eastAsia="Times New Roman" w:hAnsi="Calibri" w:cs="Calibri"/>
                <w:b/>
                <w:sz w:val="20"/>
                <w:szCs w:val="20"/>
                <w:lang w:eastAsia="en-GB"/>
              </w:rPr>
              <w:t xml:space="preserve"> </w:t>
            </w:r>
            <w:r>
              <w:rPr>
                <w:rFonts w:ascii="Calibri" w:eastAsia="Times New Roman" w:hAnsi="Calibri" w:cs="Calibri"/>
                <w:b/>
                <w:sz w:val="20"/>
                <w:szCs w:val="20"/>
                <w:lang w:eastAsia="en-GB"/>
              </w:rPr>
              <w:t>NHS Outcomes Framework domains &amp; Indicators</w:t>
            </w:r>
            <w:r w:rsidR="005B7192">
              <w:rPr>
                <w:rFonts w:ascii="Calibri" w:eastAsia="Times New Roman" w:hAnsi="Calibri" w:cs="Calibri"/>
                <w:b/>
                <w:sz w:val="20"/>
                <w:szCs w:val="20"/>
                <w:lang w:eastAsia="en-GB"/>
              </w:rPr>
              <w:t xml:space="preserve"> </w:t>
            </w:r>
            <w:r w:rsidR="005B7192" w:rsidRPr="005B7192">
              <w:rPr>
                <w:rFonts w:ascii="Calibri" w:eastAsia="Times New Roman" w:hAnsi="Calibri" w:cs="Calibri"/>
                <w:sz w:val="20"/>
                <w:szCs w:val="20"/>
                <w:lang w:eastAsia="en-GB"/>
              </w:rPr>
              <w:t xml:space="preserve">(please highlight </w:t>
            </w:r>
            <w:r w:rsidR="00747D92">
              <w:rPr>
                <w:rFonts w:ascii="Calibri" w:eastAsia="Times New Roman" w:hAnsi="Calibri" w:cs="Calibri"/>
                <w:sz w:val="20"/>
                <w:szCs w:val="20"/>
                <w:lang w:eastAsia="en-GB"/>
              </w:rPr>
              <w:t xml:space="preserve">relevant </w:t>
            </w:r>
            <w:r w:rsidR="005B7192" w:rsidRPr="005B7192">
              <w:rPr>
                <w:rFonts w:ascii="Calibri" w:eastAsia="Times New Roman" w:hAnsi="Calibri" w:cs="Calibri"/>
                <w:sz w:val="20"/>
                <w:szCs w:val="20"/>
                <w:lang w:eastAsia="en-GB"/>
              </w:rPr>
              <w:t>domain</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and provide detail</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of the applicable measure</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w:t>
            </w:r>
            <w:r w:rsidR="005B7192">
              <w:rPr>
                <w:rFonts w:ascii="Calibri" w:eastAsia="Times New Roman" w:hAnsi="Calibri" w:cs="Calibri"/>
                <w:b/>
                <w:sz w:val="20"/>
                <w:szCs w:val="20"/>
                <w:lang w:eastAsia="en-GB"/>
              </w:rPr>
              <w:t xml:space="preserve"> </w:t>
            </w:r>
          </w:p>
          <w:p w:rsidR="00CC74E0" w:rsidRDefault="00CC74E0" w:rsidP="00D1216B">
            <w:pPr>
              <w:jc w:val="both"/>
              <w:rPr>
                <w:rFonts w:ascii="Calibri" w:eastAsia="Times New Roman" w:hAnsi="Calibri" w:cs="Calibri"/>
                <w:b/>
                <w:sz w:val="20"/>
                <w:szCs w:val="20"/>
                <w:lang w:eastAsia="en-GB"/>
              </w:rPr>
            </w:pPr>
          </w:p>
          <w:p w:rsidR="00CC74E0" w:rsidRDefault="00CC74E0" w:rsidP="00D1216B">
            <w:pPr>
              <w:jc w:val="both"/>
              <w:rPr>
                <w:rFonts w:ascii="Calibri" w:eastAsia="Times New Roman" w:hAnsi="Calibri" w:cs="Calibri"/>
                <w:b/>
                <w:sz w:val="20"/>
                <w:szCs w:val="20"/>
                <w:lang w:eastAsia="en-GB"/>
              </w:rPr>
            </w:pPr>
          </w:p>
          <w:tbl>
            <w:tblPr>
              <w:tblStyle w:val="TableGrid"/>
              <w:tblpPr w:leftFromText="180" w:rightFromText="180" w:vertAnchor="text" w:horzAnchor="margin" w:tblpY="-243"/>
              <w:tblOverlap w:val="never"/>
              <w:tblW w:w="0" w:type="auto"/>
              <w:tblLook w:val="04A0" w:firstRow="1" w:lastRow="0" w:firstColumn="1" w:lastColumn="0" w:noHBand="0" w:noVBand="1"/>
            </w:tblPr>
            <w:tblGrid>
              <w:gridCol w:w="988"/>
              <w:gridCol w:w="7229"/>
              <w:gridCol w:w="998"/>
            </w:tblGrid>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1</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Preventing People from dying </w:t>
                  </w:r>
                  <w:r>
                    <w:rPr>
                      <w:rFonts w:ascii="Calibri" w:eastAsia="Times New Roman" w:hAnsi="Calibri" w:cs="Calibri"/>
                      <w:b/>
                      <w:sz w:val="16"/>
                      <w:szCs w:val="16"/>
                      <w:lang w:eastAsia="en-GB"/>
                    </w:rPr>
                    <w:t>p</w:t>
                  </w:r>
                  <w:r w:rsidRPr="00D21C40">
                    <w:rPr>
                      <w:rFonts w:ascii="Calibri" w:eastAsia="Times New Roman" w:hAnsi="Calibri" w:cs="Calibri"/>
                      <w:b/>
                      <w:sz w:val="16"/>
                      <w:szCs w:val="16"/>
                      <w:lang w:eastAsia="en-GB"/>
                    </w:rPr>
                    <w:t>r</w:t>
                  </w:r>
                  <w:r>
                    <w:rPr>
                      <w:rFonts w:ascii="Calibri" w:eastAsia="Times New Roman" w:hAnsi="Calibri" w:cs="Calibri"/>
                      <w:b/>
                      <w:sz w:val="16"/>
                      <w:szCs w:val="16"/>
                      <w:lang w:eastAsia="en-GB"/>
                    </w:rPr>
                    <w:t>e</w:t>
                  </w:r>
                  <w:r w:rsidRPr="00D21C40">
                    <w:rPr>
                      <w:rFonts w:ascii="Calibri" w:eastAsia="Times New Roman" w:hAnsi="Calibri" w:cs="Calibri"/>
                      <w:b/>
                      <w:sz w:val="16"/>
                      <w:szCs w:val="16"/>
                      <w:lang w:eastAsia="en-GB"/>
                    </w:rPr>
                    <w:t>maturely</w:t>
                  </w:r>
                </w:p>
              </w:tc>
              <w:tc>
                <w:tcPr>
                  <w:tcW w:w="998" w:type="dxa"/>
                </w:tcPr>
                <w:p w:rsidR="00CC74E0" w:rsidRPr="00D21C40" w:rsidRDefault="00CC74E0" w:rsidP="00CC74E0">
                  <w:pPr>
                    <w:jc w:val="both"/>
                    <w:rPr>
                      <w:rFonts w:ascii="Calibri" w:eastAsia="Times New Roman" w:hAnsi="Calibri" w:cs="Calibri"/>
                      <w:sz w:val="16"/>
                      <w:szCs w:val="16"/>
                      <w:lang w:eastAsia="en-GB"/>
                    </w:rPr>
                  </w:pP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2</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Enhancing quality of life for people with long-term conditions</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3</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Helping people to recover from episodes of ill health or following injury</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4</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Ensuring people have a positive experience of care</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Domain 5 </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Treating and caring for people in safe environment and protecting them from avoidable harm </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bl>
          <w:p w:rsidR="00984B4F" w:rsidRPr="00091DE0" w:rsidRDefault="00984B4F" w:rsidP="00D1216B">
            <w:pPr>
              <w:jc w:val="both"/>
              <w:rPr>
                <w:rFonts w:ascii="Calibri" w:eastAsia="Times New Roman" w:hAnsi="Calibri" w:cs="Calibri"/>
                <w:b/>
                <w:sz w:val="20"/>
                <w:szCs w:val="20"/>
                <w:lang w:eastAsia="en-GB"/>
              </w:rPr>
            </w:pP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091DE0" w:rsidRDefault="00091DE0" w:rsidP="00D1216B">
            <w:pPr>
              <w:jc w:val="both"/>
              <w:rPr>
                <w:rFonts w:ascii="Calibri" w:eastAsia="Times New Roman" w:hAnsi="Calibri" w:cs="Calibri"/>
                <w:b/>
                <w:sz w:val="20"/>
                <w:szCs w:val="20"/>
                <w:lang w:eastAsia="en-GB"/>
              </w:rPr>
            </w:pPr>
            <w:r>
              <w:rPr>
                <w:rFonts w:ascii="Calibri" w:eastAsia="Times New Roman" w:hAnsi="Calibri" w:cs="Calibri"/>
                <w:b/>
                <w:sz w:val="20"/>
                <w:szCs w:val="20"/>
                <w:lang w:eastAsia="en-GB"/>
              </w:rPr>
              <w:t>2.2 Locally defined outcomes</w:t>
            </w:r>
          </w:p>
          <w:p w:rsidR="007215BF" w:rsidRDefault="007215BF" w:rsidP="00D1216B">
            <w:pPr>
              <w:jc w:val="both"/>
              <w:rPr>
                <w:rFonts w:ascii="Calibri" w:eastAsia="Times New Roman" w:hAnsi="Calibri" w:cs="Calibri"/>
                <w:b/>
                <w:sz w:val="20"/>
                <w:szCs w:val="20"/>
                <w:lang w:eastAsia="en-GB"/>
              </w:rPr>
            </w:pPr>
          </w:p>
          <w:p w:rsidR="007215BF" w:rsidRPr="00F965AF" w:rsidRDefault="00F965AF" w:rsidP="00F965AF">
            <w:pPr>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The key outcome for this service will be to provide individuals living with Dementia with companionship, social interaction and support to participate in activities that they find meaningful within their local community. There will be a secondary outcome of providing respite to the carer/family during the befriending activity, however this is not the primary outcome of the service. </w:t>
            </w:r>
          </w:p>
          <w:p w:rsidR="007215BF" w:rsidRDefault="007215BF" w:rsidP="00F965AF">
            <w:pPr>
              <w:jc w:val="both"/>
              <w:rPr>
                <w:rFonts w:ascii="Calibri" w:eastAsia="Times New Roman" w:hAnsi="Calibri" w:cs="Calibri"/>
                <w:sz w:val="20"/>
                <w:szCs w:val="20"/>
                <w:lang w:eastAsia="en-GB"/>
              </w:rPr>
            </w:pPr>
          </w:p>
          <w:p w:rsidR="00F965AF" w:rsidRPr="00F965AF" w:rsidRDefault="00F965AF" w:rsidP="00F965AF">
            <w:pPr>
              <w:jc w:val="both"/>
              <w:rPr>
                <w:rFonts w:ascii="Calibri" w:eastAsia="Times New Roman" w:hAnsi="Calibri" w:cs="Calibri"/>
                <w:sz w:val="20"/>
                <w:szCs w:val="20"/>
                <w:lang w:eastAsia="en-GB"/>
              </w:rPr>
            </w:pP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Pr="00091DE0" w:rsidRDefault="00984B4F" w:rsidP="00E21FA9">
            <w:pPr>
              <w:jc w:val="both"/>
              <w:rPr>
                <w:rFonts w:ascii="Calibri" w:eastAsia="Times New Roman" w:hAnsi="Calibri" w:cs="Calibri"/>
                <w:b/>
                <w:sz w:val="20"/>
                <w:szCs w:val="20"/>
                <w:lang w:eastAsia="en-GB"/>
              </w:rPr>
            </w:pPr>
          </w:p>
        </w:tc>
      </w:tr>
      <w:tr w:rsidR="00D1216B"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D1216B" w:rsidRPr="00D1216B" w:rsidRDefault="00091DE0"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lastRenderedPageBreak/>
              <w:t xml:space="preserve">3. </w:t>
            </w:r>
            <w:r w:rsidR="005B7192">
              <w:rPr>
                <w:rFonts w:ascii="Calibri" w:eastAsia="Times New Roman" w:hAnsi="Calibri" w:cs="Calibri"/>
                <w:color w:val="FFFFFF"/>
                <w:sz w:val="20"/>
                <w:szCs w:val="20"/>
                <w:lang w:eastAsia="en-GB"/>
              </w:rPr>
              <w:t xml:space="preserve"> Scope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7215BF" w:rsidRPr="009F18AE" w:rsidRDefault="00984B4F" w:rsidP="007215BF">
            <w:pPr>
              <w:rPr>
                <w:rFonts w:ascii="Calibri" w:eastAsia="Times New Roman" w:hAnsi="Calibri" w:cs="Calibri"/>
                <w:b/>
                <w:sz w:val="20"/>
                <w:szCs w:val="20"/>
                <w:lang w:eastAsia="en-GB"/>
              </w:rPr>
            </w:pPr>
            <w:r w:rsidRPr="009F18AE">
              <w:rPr>
                <w:rFonts w:ascii="Calibri" w:eastAsia="Times New Roman" w:hAnsi="Calibri" w:cs="Calibri"/>
                <w:b/>
                <w:sz w:val="20"/>
                <w:szCs w:val="20"/>
                <w:lang w:eastAsia="en-GB"/>
              </w:rPr>
              <w:t>3.1 Aims and objectives of service</w:t>
            </w:r>
          </w:p>
          <w:p w:rsidR="007215BF" w:rsidRPr="00F965AF" w:rsidRDefault="007215BF" w:rsidP="007215BF">
            <w:pPr>
              <w:rPr>
                <w:rFonts w:ascii="Calibri" w:eastAsia="Times New Roman" w:hAnsi="Calibri" w:cs="Calibri"/>
                <w:sz w:val="20"/>
                <w:szCs w:val="20"/>
                <w:lang w:eastAsia="en-GB"/>
              </w:rPr>
            </w:pPr>
          </w:p>
          <w:p w:rsidR="00F965AF" w:rsidRPr="00F965AF" w:rsidRDefault="00F965AF" w:rsidP="007215BF">
            <w:pPr>
              <w:rPr>
                <w:rFonts w:ascii="Calibri" w:eastAsia="Times New Roman" w:hAnsi="Calibri" w:cs="Calibri"/>
                <w:sz w:val="20"/>
                <w:szCs w:val="20"/>
                <w:lang w:eastAsia="en-GB"/>
              </w:rPr>
            </w:pPr>
            <w:r w:rsidRPr="00F965AF">
              <w:rPr>
                <w:rFonts w:ascii="Calibri" w:eastAsia="Times New Roman" w:hAnsi="Calibri" w:cs="Calibri"/>
                <w:sz w:val="20"/>
                <w:szCs w:val="20"/>
                <w:lang w:eastAsia="en-GB"/>
              </w:rPr>
              <w:t>The key aim</w:t>
            </w:r>
            <w:r w:rsidR="00126DCC">
              <w:rPr>
                <w:rFonts w:ascii="Calibri" w:eastAsia="Times New Roman" w:hAnsi="Calibri" w:cs="Calibri"/>
                <w:sz w:val="20"/>
                <w:szCs w:val="20"/>
                <w:lang w:eastAsia="en-GB"/>
              </w:rPr>
              <w:t xml:space="preserve"> of this service is to coordinate the provision</w:t>
            </w:r>
            <w:r w:rsidRPr="00F965AF">
              <w:rPr>
                <w:rFonts w:ascii="Calibri" w:eastAsia="Times New Roman" w:hAnsi="Calibri" w:cs="Calibri"/>
                <w:sz w:val="20"/>
                <w:szCs w:val="20"/>
                <w:lang w:eastAsia="en-GB"/>
              </w:rPr>
              <w:t xml:space="preserve"> of a volunteer befriending service </w:t>
            </w:r>
            <w:r w:rsidR="009F18AE">
              <w:rPr>
                <w:rFonts w:ascii="Calibri" w:eastAsia="Times New Roman" w:hAnsi="Calibri" w:cs="Calibri"/>
                <w:sz w:val="20"/>
                <w:szCs w:val="20"/>
                <w:lang w:eastAsia="en-GB"/>
              </w:rPr>
              <w:t xml:space="preserve">specifically for individuals living with Dementia. The principle of this service is to match the individual with Dementia and a volunteer with similar interests to improve the social connectivity. Further objectives include: </w:t>
            </w:r>
          </w:p>
          <w:p w:rsidR="00F965AF" w:rsidRPr="009F18AE" w:rsidRDefault="00F965AF" w:rsidP="009F18AE">
            <w:pPr>
              <w:pStyle w:val="Default"/>
              <w:numPr>
                <w:ilvl w:val="0"/>
                <w:numId w:val="22"/>
              </w:numPr>
              <w:rPr>
                <w:rFonts w:ascii="Calibri" w:eastAsia="Times New Roman" w:hAnsi="Calibri" w:cs="Calibri"/>
                <w:bCs/>
                <w:sz w:val="20"/>
                <w:szCs w:val="20"/>
                <w:lang w:eastAsia="en-GB"/>
              </w:rPr>
            </w:pPr>
            <w:r w:rsidRPr="009F18AE">
              <w:rPr>
                <w:rFonts w:ascii="Calibri" w:eastAsia="Times New Roman" w:hAnsi="Calibri" w:cs="Calibri"/>
                <w:bCs/>
                <w:sz w:val="20"/>
                <w:szCs w:val="20"/>
                <w:lang w:eastAsia="en-GB"/>
              </w:rPr>
              <w:t>To increase the amount of support available to people affected by dementia and their carers, including those not eligible for social care services.</w:t>
            </w:r>
          </w:p>
          <w:p w:rsidR="00F965AF" w:rsidRPr="009F18AE" w:rsidRDefault="00F965AF" w:rsidP="009F18AE">
            <w:pPr>
              <w:pStyle w:val="Default"/>
              <w:numPr>
                <w:ilvl w:val="0"/>
                <w:numId w:val="22"/>
              </w:numPr>
              <w:rPr>
                <w:rFonts w:ascii="Calibri" w:eastAsia="Times New Roman" w:hAnsi="Calibri" w:cs="Calibri"/>
                <w:bCs/>
                <w:sz w:val="20"/>
                <w:szCs w:val="20"/>
                <w:lang w:eastAsia="en-GB"/>
              </w:rPr>
            </w:pPr>
            <w:r w:rsidRPr="009F18AE">
              <w:rPr>
                <w:rFonts w:ascii="Calibri" w:eastAsia="Times New Roman" w:hAnsi="Calibri" w:cs="Calibri"/>
                <w:bCs/>
                <w:sz w:val="20"/>
                <w:szCs w:val="20"/>
                <w:lang w:eastAsia="en-GB"/>
              </w:rPr>
              <w:t>Increased social contact and reduced isolation for people affected by dementia and their carers.</w:t>
            </w:r>
          </w:p>
          <w:p w:rsidR="00F965AF" w:rsidRPr="009F18AE" w:rsidRDefault="00F965AF" w:rsidP="009F18AE">
            <w:pPr>
              <w:pStyle w:val="Default"/>
              <w:numPr>
                <w:ilvl w:val="0"/>
                <w:numId w:val="22"/>
              </w:numPr>
              <w:rPr>
                <w:rFonts w:ascii="Calibri" w:eastAsia="Times New Roman" w:hAnsi="Calibri" w:cs="Calibri"/>
                <w:bCs/>
                <w:sz w:val="20"/>
                <w:szCs w:val="20"/>
                <w:lang w:eastAsia="en-GB"/>
              </w:rPr>
            </w:pPr>
            <w:r w:rsidRPr="009F18AE">
              <w:rPr>
                <w:rFonts w:ascii="Calibri" w:eastAsia="Times New Roman" w:hAnsi="Calibri" w:cs="Calibri"/>
                <w:bCs/>
                <w:sz w:val="20"/>
                <w:szCs w:val="20"/>
                <w:lang w:eastAsia="en-GB"/>
              </w:rPr>
              <w:t>Delivery of key well-being and health promotion messages</w:t>
            </w:r>
          </w:p>
          <w:p w:rsidR="009F18AE" w:rsidRDefault="00F965AF" w:rsidP="009F18AE">
            <w:pPr>
              <w:pStyle w:val="Default"/>
              <w:numPr>
                <w:ilvl w:val="0"/>
                <w:numId w:val="22"/>
              </w:numPr>
              <w:rPr>
                <w:rFonts w:ascii="Calibri" w:eastAsia="Times New Roman" w:hAnsi="Calibri" w:cs="Calibri"/>
                <w:bCs/>
                <w:sz w:val="20"/>
                <w:szCs w:val="20"/>
                <w:lang w:eastAsia="en-GB"/>
              </w:rPr>
            </w:pPr>
            <w:r w:rsidRPr="009F18AE">
              <w:rPr>
                <w:rFonts w:ascii="Calibri" w:eastAsia="Times New Roman" w:hAnsi="Calibri" w:cs="Calibri"/>
                <w:bCs/>
                <w:sz w:val="20"/>
                <w:szCs w:val="20"/>
                <w:lang w:eastAsia="en-GB"/>
              </w:rPr>
              <w:t>Provision of a range of stimulating therapeutic activities to promote the well-being and condition maintenance of people with dementia.</w:t>
            </w:r>
          </w:p>
          <w:p w:rsidR="00F965AF" w:rsidRPr="009F18AE" w:rsidRDefault="009F18AE" w:rsidP="009F18AE">
            <w:pPr>
              <w:pStyle w:val="Default"/>
              <w:numPr>
                <w:ilvl w:val="0"/>
                <w:numId w:val="22"/>
              </w:numPr>
              <w:rPr>
                <w:rFonts w:ascii="Calibri" w:eastAsia="Times New Roman" w:hAnsi="Calibri" w:cs="Calibri"/>
                <w:bCs/>
                <w:sz w:val="20"/>
                <w:szCs w:val="20"/>
                <w:lang w:eastAsia="en-GB"/>
              </w:rPr>
            </w:pPr>
            <w:r>
              <w:rPr>
                <w:rFonts w:ascii="Calibri" w:eastAsia="Times New Roman" w:hAnsi="Calibri" w:cs="Calibri"/>
                <w:sz w:val="20"/>
                <w:szCs w:val="20"/>
                <w:lang w:eastAsia="en-GB"/>
              </w:rPr>
              <w:t>A</w:t>
            </w:r>
            <w:r w:rsidRPr="009F18AE">
              <w:rPr>
                <w:rFonts w:ascii="Calibri" w:eastAsia="Times New Roman" w:hAnsi="Calibri" w:cs="Calibri"/>
                <w:sz w:val="20"/>
                <w:szCs w:val="20"/>
                <w:lang w:eastAsia="en-GB"/>
              </w:rPr>
              <w:t>ssist in supporting</w:t>
            </w:r>
            <w:r w:rsidR="00F965AF" w:rsidRPr="009F18AE">
              <w:rPr>
                <w:rFonts w:ascii="Calibri" w:eastAsia="Times New Roman" w:hAnsi="Calibri" w:cs="Calibri"/>
                <w:sz w:val="20"/>
                <w:szCs w:val="20"/>
                <w:lang w:eastAsia="en-GB"/>
              </w:rPr>
              <w:t xml:space="preserve"> service users to remain independent in their own </w:t>
            </w:r>
            <w:r w:rsidRPr="009F18AE">
              <w:rPr>
                <w:rFonts w:ascii="Calibri" w:eastAsia="Times New Roman" w:hAnsi="Calibri" w:cs="Calibri"/>
                <w:sz w:val="20"/>
                <w:szCs w:val="20"/>
                <w:lang w:eastAsia="en-GB"/>
              </w:rPr>
              <w:t xml:space="preserve">homes for as long as possible. </w:t>
            </w:r>
          </w:p>
          <w:p w:rsidR="00F965AF" w:rsidRPr="00F965AF" w:rsidRDefault="00F965AF" w:rsidP="007215BF">
            <w:pPr>
              <w:rPr>
                <w:rFonts w:ascii="Calibri" w:eastAsia="Times New Roman" w:hAnsi="Calibri" w:cs="Calibri"/>
                <w:sz w:val="20"/>
                <w:szCs w:val="20"/>
                <w:lang w:eastAsia="en-GB"/>
              </w:rPr>
            </w:pPr>
          </w:p>
          <w:p w:rsidR="007215BF" w:rsidRPr="00F965AF" w:rsidRDefault="007C1780" w:rsidP="007215BF">
            <w:pPr>
              <w:rPr>
                <w:rFonts w:ascii="Calibri" w:eastAsia="Times New Roman" w:hAnsi="Calibri" w:cs="Calibri"/>
                <w:sz w:val="20"/>
                <w:szCs w:val="20"/>
                <w:lang w:eastAsia="en-GB"/>
              </w:rPr>
            </w:pPr>
            <w:r w:rsidRPr="00F965AF">
              <w:rPr>
                <w:rFonts w:ascii="Calibri" w:eastAsia="Times New Roman" w:hAnsi="Calibri" w:cs="Calibri"/>
                <w:sz w:val="20"/>
                <w:szCs w:val="20"/>
                <w:lang w:eastAsia="en-GB"/>
              </w:rPr>
              <w:t xml:space="preserve">Feedback from current users of existing services has highlighted the </w:t>
            </w:r>
            <w:r w:rsidR="009F18AE">
              <w:rPr>
                <w:rFonts w:ascii="Calibri" w:eastAsia="Times New Roman" w:hAnsi="Calibri" w:cs="Calibri"/>
                <w:sz w:val="20"/>
                <w:szCs w:val="20"/>
                <w:lang w:eastAsia="en-GB"/>
              </w:rPr>
              <w:t xml:space="preserve">need for befriending services within the Southern Locality to reduce social isolation and to provide support for carers/families. </w:t>
            </w:r>
            <w:r w:rsidR="00117669" w:rsidRPr="00F965AF">
              <w:rPr>
                <w:rFonts w:ascii="Calibri" w:eastAsia="Times New Roman" w:hAnsi="Calibri" w:cs="Calibri"/>
                <w:sz w:val="20"/>
                <w:szCs w:val="20"/>
                <w:lang w:eastAsia="en-GB"/>
              </w:rPr>
              <w:t xml:space="preserve">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color w:val="808080" w:themeColor="background1" w:themeShade="80"/>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984B4F" w:rsidP="00212884">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.2 Service description/care pathway</w:t>
            </w:r>
          </w:p>
          <w:p w:rsidR="00550F7D" w:rsidRDefault="00550F7D" w:rsidP="00212884">
            <w:pPr>
              <w:rPr>
                <w:rFonts w:ascii="Calibri" w:eastAsia="Times New Roman" w:hAnsi="Calibri" w:cs="Calibri"/>
                <w:b/>
                <w:bCs/>
                <w:sz w:val="20"/>
                <w:szCs w:val="20"/>
                <w:lang w:eastAsia="en-GB"/>
              </w:rPr>
            </w:pPr>
          </w:p>
          <w:p w:rsidR="00BE7D84" w:rsidRDefault="001D0F1E" w:rsidP="003A1685">
            <w:pPr>
              <w:rPr>
                <w:rFonts w:ascii="Calibri" w:eastAsia="Times New Roman" w:hAnsi="Calibri" w:cs="Calibri"/>
                <w:bCs/>
                <w:sz w:val="20"/>
                <w:szCs w:val="20"/>
                <w:lang w:eastAsia="en-GB"/>
              </w:rPr>
            </w:pPr>
            <w:r w:rsidRPr="00BE7D84">
              <w:rPr>
                <w:rFonts w:ascii="Calibri" w:eastAsia="Times New Roman" w:hAnsi="Calibri" w:cs="Calibri"/>
                <w:bCs/>
                <w:sz w:val="20"/>
                <w:szCs w:val="20"/>
                <w:lang w:eastAsia="en-GB"/>
              </w:rPr>
              <w:t xml:space="preserve">The provider will be commissioned to </w:t>
            </w:r>
            <w:r w:rsidR="003A1685">
              <w:rPr>
                <w:rFonts w:ascii="Calibri" w:eastAsia="Times New Roman" w:hAnsi="Calibri" w:cs="Calibri"/>
                <w:bCs/>
                <w:sz w:val="20"/>
                <w:szCs w:val="20"/>
                <w:lang w:eastAsia="en-GB"/>
              </w:rPr>
              <w:t>provide a Befriending Service for individuals with a formal diagnosis of Dementia. The service will be provided to individuals living with within the Southern Locality, which encompasses the following five areas:</w:t>
            </w:r>
          </w:p>
          <w:p w:rsidR="003A1685" w:rsidRPr="003A1685" w:rsidRDefault="003A1685" w:rsidP="003A1685">
            <w:pPr>
              <w:pStyle w:val="ListParagraph"/>
              <w:numPr>
                <w:ilvl w:val="0"/>
                <w:numId w:val="35"/>
              </w:numPr>
              <w:rPr>
                <w:rFonts w:ascii="Calibri" w:eastAsia="Times New Roman" w:hAnsi="Calibri" w:cs="Calibri"/>
                <w:bCs/>
                <w:sz w:val="20"/>
                <w:szCs w:val="20"/>
                <w:lang w:eastAsia="en-GB"/>
              </w:rPr>
            </w:pPr>
            <w:r w:rsidRPr="003A1685">
              <w:rPr>
                <w:rFonts w:ascii="Calibri" w:eastAsia="Times New Roman" w:hAnsi="Calibri" w:cs="Calibri"/>
                <w:bCs/>
                <w:sz w:val="20"/>
                <w:szCs w:val="20"/>
                <w:lang w:eastAsia="en-GB"/>
              </w:rPr>
              <w:t>Torquay</w:t>
            </w:r>
          </w:p>
          <w:p w:rsidR="003A1685" w:rsidRPr="003A1685" w:rsidRDefault="003A1685" w:rsidP="003A1685">
            <w:pPr>
              <w:pStyle w:val="ListParagraph"/>
              <w:numPr>
                <w:ilvl w:val="0"/>
                <w:numId w:val="35"/>
              </w:numPr>
              <w:rPr>
                <w:rFonts w:ascii="Calibri" w:eastAsia="Times New Roman" w:hAnsi="Calibri" w:cs="Calibri"/>
                <w:bCs/>
                <w:sz w:val="20"/>
                <w:szCs w:val="20"/>
                <w:lang w:eastAsia="en-GB"/>
              </w:rPr>
            </w:pPr>
            <w:r w:rsidRPr="003A1685">
              <w:rPr>
                <w:rFonts w:ascii="Calibri" w:eastAsia="Times New Roman" w:hAnsi="Calibri" w:cs="Calibri"/>
                <w:bCs/>
                <w:sz w:val="20"/>
                <w:szCs w:val="20"/>
                <w:lang w:eastAsia="en-GB"/>
              </w:rPr>
              <w:t>Paignton and Brixham</w:t>
            </w:r>
          </w:p>
          <w:p w:rsidR="003A1685" w:rsidRPr="003A1685" w:rsidRDefault="003A1685" w:rsidP="003A1685">
            <w:pPr>
              <w:pStyle w:val="ListParagraph"/>
              <w:numPr>
                <w:ilvl w:val="0"/>
                <w:numId w:val="35"/>
              </w:numPr>
              <w:rPr>
                <w:rFonts w:ascii="Calibri" w:eastAsia="Times New Roman" w:hAnsi="Calibri" w:cs="Calibri"/>
                <w:bCs/>
                <w:sz w:val="20"/>
                <w:szCs w:val="20"/>
                <w:lang w:eastAsia="en-GB"/>
              </w:rPr>
            </w:pPr>
            <w:r w:rsidRPr="003A1685">
              <w:rPr>
                <w:rFonts w:ascii="Calibri" w:eastAsia="Times New Roman" w:hAnsi="Calibri" w:cs="Calibri"/>
                <w:bCs/>
                <w:sz w:val="20"/>
                <w:szCs w:val="20"/>
                <w:lang w:eastAsia="en-GB"/>
              </w:rPr>
              <w:t>Moor to Sea</w:t>
            </w:r>
          </w:p>
          <w:p w:rsidR="003A1685" w:rsidRPr="003A1685" w:rsidRDefault="003A1685" w:rsidP="003A1685">
            <w:pPr>
              <w:pStyle w:val="ListParagraph"/>
              <w:numPr>
                <w:ilvl w:val="0"/>
                <w:numId w:val="35"/>
              </w:numPr>
              <w:rPr>
                <w:rFonts w:ascii="Calibri" w:eastAsia="Times New Roman" w:hAnsi="Calibri" w:cs="Calibri"/>
                <w:bCs/>
                <w:sz w:val="20"/>
                <w:szCs w:val="20"/>
                <w:lang w:eastAsia="en-GB"/>
              </w:rPr>
            </w:pPr>
            <w:r w:rsidRPr="003A1685">
              <w:rPr>
                <w:rFonts w:ascii="Calibri" w:eastAsia="Times New Roman" w:hAnsi="Calibri" w:cs="Calibri"/>
                <w:bCs/>
                <w:sz w:val="20"/>
                <w:szCs w:val="20"/>
                <w:lang w:eastAsia="en-GB"/>
              </w:rPr>
              <w:t>Coastal</w:t>
            </w:r>
          </w:p>
          <w:p w:rsidR="003A1685" w:rsidRPr="003A1685" w:rsidRDefault="003A1685" w:rsidP="003A1685">
            <w:pPr>
              <w:pStyle w:val="ListParagraph"/>
              <w:numPr>
                <w:ilvl w:val="0"/>
                <w:numId w:val="35"/>
              </w:numPr>
              <w:rPr>
                <w:rFonts w:ascii="Calibri" w:eastAsia="Times New Roman" w:hAnsi="Calibri" w:cs="Calibri"/>
                <w:bCs/>
                <w:sz w:val="20"/>
                <w:szCs w:val="20"/>
                <w:lang w:eastAsia="en-GB"/>
              </w:rPr>
            </w:pPr>
            <w:r w:rsidRPr="003A1685">
              <w:rPr>
                <w:rFonts w:ascii="Calibri" w:eastAsia="Times New Roman" w:hAnsi="Calibri" w:cs="Calibri"/>
                <w:bCs/>
                <w:sz w:val="20"/>
                <w:szCs w:val="20"/>
                <w:lang w:eastAsia="en-GB"/>
              </w:rPr>
              <w:t>Newton Abbot</w:t>
            </w:r>
          </w:p>
          <w:p w:rsidR="00BE7D84" w:rsidRDefault="00BE7D84" w:rsidP="00212884">
            <w:pPr>
              <w:rPr>
                <w:rFonts w:ascii="Calibri" w:eastAsia="Times New Roman" w:hAnsi="Calibri" w:cs="Calibri"/>
                <w:bCs/>
                <w:sz w:val="20"/>
                <w:szCs w:val="20"/>
                <w:lang w:eastAsia="en-GB"/>
              </w:rPr>
            </w:pPr>
          </w:p>
          <w:p w:rsidR="00117669" w:rsidRDefault="005B027A"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The provider will implement, coordinate and lead on a successful befriending network, recruiting appropriate volunteers and matching them to individuals who have similar interests. Additionally, the provider will ensure that the volunteers have had the relevant Disclosure and Barring Checks, to ensure the safety of the individual with Dementia is maintained, as well as working with the carer and family of the individual to ensure that the Befriending Service is appropriate to them.</w:t>
            </w:r>
          </w:p>
          <w:p w:rsidR="005B027A" w:rsidRDefault="005B027A" w:rsidP="00212884">
            <w:pPr>
              <w:rPr>
                <w:rFonts w:ascii="Calibri" w:eastAsia="Times New Roman" w:hAnsi="Calibri" w:cs="Calibri"/>
                <w:bCs/>
                <w:sz w:val="20"/>
                <w:szCs w:val="20"/>
                <w:lang w:eastAsia="en-GB"/>
              </w:rPr>
            </w:pPr>
          </w:p>
          <w:p w:rsidR="005B027A" w:rsidRDefault="005B027A"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The provider will raise awareness within the Locality of the service to facilitate the recruitment of the volunteers and will work with other voluntary sector organisations to signpost individuals who wish to volunteer but who may not be suitable for the Befriending Service. </w:t>
            </w:r>
          </w:p>
          <w:p w:rsidR="00E14805" w:rsidRDefault="00E14805" w:rsidP="00212884">
            <w:pPr>
              <w:rPr>
                <w:rFonts w:ascii="Calibri" w:eastAsia="Times New Roman" w:hAnsi="Calibri" w:cs="Calibri"/>
                <w:bCs/>
                <w:sz w:val="20"/>
                <w:szCs w:val="20"/>
                <w:lang w:eastAsia="en-GB"/>
              </w:rPr>
            </w:pPr>
          </w:p>
          <w:p w:rsidR="00E14805" w:rsidRDefault="00E14805"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The provider will ensure that there is an understanding of the expectation of both the volunteer and the individual, to enable the best matches in terms of frequency of contact, interests, personality and outcomes. </w:t>
            </w:r>
          </w:p>
          <w:p w:rsidR="00117669" w:rsidRDefault="00117669" w:rsidP="00212884">
            <w:pPr>
              <w:rPr>
                <w:rFonts w:ascii="Calibri" w:eastAsia="Times New Roman" w:hAnsi="Calibri" w:cs="Calibri"/>
                <w:bCs/>
                <w:sz w:val="20"/>
                <w:szCs w:val="20"/>
                <w:lang w:eastAsia="en-GB"/>
              </w:rPr>
            </w:pPr>
          </w:p>
          <w:p w:rsidR="007215BF" w:rsidRDefault="005B027A"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The frequency and duration of the</w:t>
            </w:r>
            <w:r w:rsidR="00E14805">
              <w:rPr>
                <w:rFonts w:ascii="Calibri" w:eastAsia="Times New Roman" w:hAnsi="Calibri" w:cs="Calibri"/>
                <w:bCs/>
                <w:sz w:val="20"/>
                <w:szCs w:val="20"/>
                <w:lang w:eastAsia="en-GB"/>
              </w:rPr>
              <w:t xml:space="preserve"> befriending service</w:t>
            </w:r>
            <w:r w:rsidR="00117669">
              <w:rPr>
                <w:rFonts w:ascii="Calibri" w:eastAsia="Times New Roman" w:hAnsi="Calibri" w:cs="Calibri"/>
                <w:bCs/>
                <w:sz w:val="20"/>
                <w:szCs w:val="20"/>
                <w:lang w:eastAsia="en-GB"/>
              </w:rPr>
              <w:t xml:space="preserve"> </w:t>
            </w:r>
            <w:r w:rsidR="00A77B3B">
              <w:rPr>
                <w:rFonts w:ascii="Calibri" w:eastAsia="Times New Roman" w:hAnsi="Calibri" w:cs="Calibri"/>
                <w:bCs/>
                <w:sz w:val="20"/>
                <w:szCs w:val="20"/>
                <w:lang w:eastAsia="en-GB"/>
              </w:rPr>
              <w:t>will be decided through discussion with the befriender and the individual, however on of the key requirements is that the contact will be regular</w:t>
            </w:r>
            <w:r w:rsidR="00E14805">
              <w:rPr>
                <w:rFonts w:ascii="Calibri" w:eastAsia="Times New Roman" w:hAnsi="Calibri" w:cs="Calibri"/>
                <w:bCs/>
                <w:sz w:val="20"/>
                <w:szCs w:val="20"/>
                <w:lang w:eastAsia="en-GB"/>
              </w:rPr>
              <w:t xml:space="preserve"> and appropriate</w:t>
            </w:r>
            <w:r w:rsidR="00A77B3B">
              <w:rPr>
                <w:rFonts w:ascii="Calibri" w:eastAsia="Times New Roman" w:hAnsi="Calibri" w:cs="Calibri"/>
                <w:bCs/>
                <w:sz w:val="20"/>
                <w:szCs w:val="20"/>
                <w:lang w:eastAsia="en-GB"/>
              </w:rPr>
              <w:t xml:space="preserve"> for the individual. </w:t>
            </w:r>
          </w:p>
          <w:p w:rsidR="00E14805" w:rsidRDefault="00E14805" w:rsidP="00212884">
            <w:pPr>
              <w:rPr>
                <w:rFonts w:ascii="Calibri" w:eastAsia="Times New Roman" w:hAnsi="Calibri" w:cs="Calibri"/>
                <w:bCs/>
                <w:sz w:val="20"/>
                <w:szCs w:val="20"/>
                <w:lang w:eastAsia="en-GB"/>
              </w:rPr>
            </w:pPr>
          </w:p>
          <w:p w:rsidR="00E14805" w:rsidRDefault="00E14805" w:rsidP="00212884">
            <w:pPr>
              <w:rPr>
                <w:rFonts w:ascii="Calibri" w:eastAsia="Times New Roman" w:hAnsi="Calibri" w:cs="Calibri"/>
                <w:bCs/>
                <w:sz w:val="20"/>
                <w:szCs w:val="20"/>
                <w:lang w:eastAsia="en-GB"/>
              </w:rPr>
            </w:pPr>
          </w:p>
          <w:p w:rsidR="00E14805" w:rsidRDefault="00E14805" w:rsidP="00E14805">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.3 Population covered</w:t>
            </w:r>
          </w:p>
          <w:p w:rsidR="00E14805" w:rsidRDefault="00E14805" w:rsidP="00212884">
            <w:pPr>
              <w:rPr>
                <w:rFonts w:ascii="Calibri" w:eastAsia="Times New Roman" w:hAnsi="Calibri" w:cs="Calibri"/>
                <w:bCs/>
                <w:sz w:val="20"/>
                <w:szCs w:val="20"/>
                <w:lang w:eastAsia="en-GB"/>
              </w:rPr>
            </w:pPr>
          </w:p>
          <w:p w:rsidR="00E14805" w:rsidRDefault="00E14805" w:rsidP="00212884">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 xml:space="preserve">This service will cover the geographical area of </w:t>
            </w:r>
            <w:r>
              <w:rPr>
                <w:rFonts w:ascii="Calibri" w:eastAsia="Times New Roman" w:hAnsi="Calibri" w:cs="Calibri"/>
                <w:bCs/>
                <w:sz w:val="20"/>
                <w:szCs w:val="20"/>
                <w:lang w:eastAsia="en-GB"/>
              </w:rPr>
              <w:t>the Southern Locality</w:t>
            </w:r>
            <w:r w:rsidRPr="00536EF0">
              <w:rPr>
                <w:rFonts w:ascii="Calibri" w:eastAsia="Times New Roman" w:hAnsi="Calibri" w:cs="Calibri"/>
                <w:bCs/>
                <w:sz w:val="20"/>
                <w:szCs w:val="20"/>
                <w:lang w:eastAsia="en-GB"/>
              </w:rPr>
              <w:t xml:space="preserve">, which </w:t>
            </w:r>
            <w:r>
              <w:rPr>
                <w:rFonts w:ascii="Calibri" w:eastAsia="Times New Roman" w:hAnsi="Calibri" w:cs="Calibri"/>
                <w:bCs/>
                <w:sz w:val="20"/>
                <w:szCs w:val="20"/>
                <w:lang w:eastAsia="en-GB"/>
              </w:rPr>
              <w:t xml:space="preserve">covers a geographic population of 280,000 individuals </w:t>
            </w:r>
            <w:r w:rsidRPr="00536EF0">
              <w:rPr>
                <w:rFonts w:ascii="Calibri" w:eastAsia="Times New Roman" w:hAnsi="Calibri" w:cs="Calibri"/>
                <w:bCs/>
                <w:sz w:val="20"/>
                <w:szCs w:val="20"/>
                <w:lang w:eastAsia="en-GB"/>
              </w:rPr>
              <w:t>includes the towns of Torquay, Paignton</w:t>
            </w:r>
            <w:r>
              <w:rPr>
                <w:rFonts w:ascii="Calibri" w:eastAsia="Times New Roman" w:hAnsi="Calibri" w:cs="Calibri"/>
                <w:bCs/>
                <w:sz w:val="20"/>
                <w:szCs w:val="20"/>
                <w:lang w:eastAsia="en-GB"/>
              </w:rPr>
              <w:t>,</w:t>
            </w:r>
            <w:r w:rsidRPr="00536EF0">
              <w:rPr>
                <w:rFonts w:ascii="Calibri" w:eastAsia="Times New Roman" w:hAnsi="Calibri" w:cs="Calibri"/>
                <w:bCs/>
                <w:sz w:val="20"/>
                <w:szCs w:val="20"/>
                <w:lang w:eastAsia="en-GB"/>
              </w:rPr>
              <w:t xml:space="preserve"> Brixham,</w:t>
            </w:r>
            <w:r>
              <w:rPr>
                <w:rFonts w:ascii="Calibri" w:eastAsia="Times New Roman" w:hAnsi="Calibri" w:cs="Calibri"/>
                <w:bCs/>
                <w:sz w:val="20"/>
                <w:szCs w:val="20"/>
                <w:lang w:eastAsia="en-GB"/>
              </w:rPr>
              <w:t xml:space="preserve"> Totnes, Ashburton, Dartmouth, Newton Abbot, Teignmouth and Dawlish. Within this area</w:t>
            </w:r>
            <w:r w:rsidRPr="00536EF0">
              <w:rPr>
                <w:rFonts w:ascii="Calibri" w:eastAsia="Times New Roman" w:hAnsi="Calibri" w:cs="Calibri"/>
                <w:bCs/>
                <w:sz w:val="20"/>
                <w:szCs w:val="20"/>
                <w:lang w:eastAsia="en-GB"/>
              </w:rPr>
              <w:t xml:space="preserve"> there are approximately </w:t>
            </w:r>
            <w:r>
              <w:rPr>
                <w:rFonts w:ascii="Calibri" w:eastAsia="Times New Roman" w:hAnsi="Calibri" w:cs="Calibri"/>
                <w:bCs/>
                <w:sz w:val="20"/>
                <w:szCs w:val="20"/>
                <w:lang w:eastAsia="en-GB"/>
              </w:rPr>
              <w:t xml:space="preserve">2900 </w:t>
            </w:r>
            <w:r w:rsidRPr="00536EF0">
              <w:rPr>
                <w:rFonts w:ascii="Calibri" w:eastAsia="Times New Roman" w:hAnsi="Calibri" w:cs="Calibri"/>
                <w:bCs/>
                <w:sz w:val="20"/>
                <w:szCs w:val="20"/>
                <w:lang w:eastAsia="en-GB"/>
              </w:rPr>
              <w:t>individuals with a formal diagnosis of Dementia.</w:t>
            </w:r>
          </w:p>
          <w:p w:rsidR="00E14805" w:rsidRDefault="00E14805" w:rsidP="00212884">
            <w:pPr>
              <w:rPr>
                <w:rFonts w:ascii="Calibri" w:eastAsia="Times New Roman" w:hAnsi="Calibri" w:cs="Calibri"/>
                <w:bCs/>
                <w:sz w:val="20"/>
                <w:szCs w:val="20"/>
                <w:lang w:eastAsia="en-GB"/>
              </w:rPr>
            </w:pPr>
          </w:p>
          <w:p w:rsidR="00E14805" w:rsidRDefault="00E14805" w:rsidP="00212884">
            <w:pPr>
              <w:rPr>
                <w:rFonts w:ascii="Calibri" w:eastAsia="Times New Roman" w:hAnsi="Calibri" w:cs="Calibri"/>
                <w:bCs/>
                <w:sz w:val="20"/>
                <w:szCs w:val="20"/>
                <w:lang w:eastAsia="en-GB"/>
              </w:rPr>
            </w:pPr>
          </w:p>
          <w:p w:rsidR="00E14805" w:rsidRDefault="00E14805" w:rsidP="00212884">
            <w:pPr>
              <w:rPr>
                <w:rFonts w:ascii="Calibri" w:eastAsia="Times New Roman" w:hAnsi="Calibri" w:cs="Calibri"/>
                <w:bCs/>
                <w:sz w:val="20"/>
                <w:szCs w:val="20"/>
                <w:lang w:eastAsia="en-GB"/>
              </w:rPr>
            </w:pPr>
          </w:p>
          <w:p w:rsidR="00E14805" w:rsidRPr="00117669" w:rsidRDefault="00E14805" w:rsidP="00212884">
            <w:pPr>
              <w:rPr>
                <w:rFonts w:ascii="Calibri" w:eastAsia="Times New Roman" w:hAnsi="Calibri" w:cs="Calibri"/>
                <w:bCs/>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550F7D" w:rsidRDefault="00550F7D" w:rsidP="00550F7D">
            <w:pPr>
              <w:rPr>
                <w:rFonts w:ascii="Calibri" w:eastAsia="Times New Roman" w:hAnsi="Calibri" w:cs="Calibri"/>
                <w:b/>
                <w:bCs/>
                <w:sz w:val="20"/>
                <w:szCs w:val="20"/>
                <w:lang w:eastAsia="en-GB"/>
              </w:rPr>
            </w:pPr>
          </w:p>
          <w:p w:rsidR="005B027A" w:rsidRDefault="005B027A" w:rsidP="00550F7D">
            <w:pPr>
              <w:rPr>
                <w:rFonts w:ascii="Calibri" w:eastAsia="Times New Roman" w:hAnsi="Calibri" w:cs="Calibri"/>
                <w:bCs/>
                <w:sz w:val="20"/>
                <w:szCs w:val="20"/>
                <w:lang w:eastAsia="en-GB"/>
              </w:rPr>
            </w:pPr>
            <w:r>
              <w:rPr>
                <w:noProof/>
                <w:lang w:eastAsia="en-GB"/>
              </w:rPr>
              <w:drawing>
                <wp:inline distT="0" distB="0" distL="0" distR="0">
                  <wp:extent cx="2914650" cy="2022475"/>
                  <wp:effectExtent l="0" t="0" r="0" b="0"/>
                  <wp:docPr id="2" name="Picture 2" descr="Image result for south devon and torbay ccg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th devon and torbay ccg 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176" cy="2027003"/>
                          </a:xfrm>
                          <a:prstGeom prst="rect">
                            <a:avLst/>
                          </a:prstGeom>
                          <a:noFill/>
                          <a:ln>
                            <a:noFill/>
                          </a:ln>
                        </pic:spPr>
                      </pic:pic>
                    </a:graphicData>
                  </a:graphic>
                </wp:inline>
              </w:drawing>
            </w:r>
          </w:p>
          <w:p w:rsidR="007215BF" w:rsidRPr="00536EF0" w:rsidRDefault="007215BF" w:rsidP="00550F7D">
            <w:pPr>
              <w:rPr>
                <w:rFonts w:ascii="Calibri" w:eastAsia="Times New Roman" w:hAnsi="Calibri" w:cs="Calibri"/>
                <w:bCs/>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color w:val="A6A6A6" w:themeColor="background1" w:themeShade="A6"/>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984B4F" w:rsidP="00212884">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 xml:space="preserve">.4 Any acceptance and exclusion criteria </w:t>
            </w:r>
            <w:r w:rsidR="00B2049D">
              <w:rPr>
                <w:rFonts w:ascii="Calibri" w:eastAsia="Times New Roman" w:hAnsi="Calibri" w:cs="Calibri"/>
                <w:b/>
                <w:bCs/>
                <w:sz w:val="20"/>
                <w:szCs w:val="20"/>
                <w:lang w:eastAsia="en-GB"/>
              </w:rPr>
              <w:t>and thresholds</w:t>
            </w:r>
          </w:p>
          <w:p w:rsidR="00550F7D" w:rsidRDefault="00550F7D" w:rsidP="00212884">
            <w:pPr>
              <w:rPr>
                <w:rFonts w:ascii="Calibri" w:eastAsia="Times New Roman" w:hAnsi="Calibri" w:cs="Calibri"/>
                <w:b/>
                <w:bCs/>
                <w:sz w:val="20"/>
                <w:szCs w:val="20"/>
                <w:lang w:eastAsia="en-GB"/>
              </w:rPr>
            </w:pPr>
          </w:p>
          <w:p w:rsidR="00A77B3B" w:rsidRPr="00536EF0" w:rsidRDefault="00536EF0" w:rsidP="0027429A">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Individuals living in</w:t>
            </w:r>
            <w:r w:rsidR="00A77B3B">
              <w:rPr>
                <w:rFonts w:ascii="Calibri" w:eastAsia="Times New Roman" w:hAnsi="Calibri" w:cs="Calibri"/>
                <w:bCs/>
                <w:sz w:val="20"/>
                <w:szCs w:val="20"/>
                <w:lang w:eastAsia="en-GB"/>
              </w:rPr>
              <w:t xml:space="preserve"> the Southern Locality</w:t>
            </w:r>
            <w:r w:rsidRPr="00536EF0">
              <w:rPr>
                <w:rFonts w:ascii="Calibri" w:eastAsia="Times New Roman" w:hAnsi="Calibri" w:cs="Calibri"/>
                <w:bCs/>
                <w:sz w:val="20"/>
                <w:szCs w:val="20"/>
                <w:lang w:eastAsia="en-GB"/>
              </w:rPr>
              <w:t xml:space="preserve"> and/or who are registered with a </w:t>
            </w:r>
            <w:r w:rsidR="00A77B3B">
              <w:rPr>
                <w:rFonts w:ascii="Calibri" w:eastAsia="Times New Roman" w:hAnsi="Calibri" w:cs="Calibri"/>
                <w:bCs/>
                <w:sz w:val="20"/>
                <w:szCs w:val="20"/>
                <w:lang w:eastAsia="en-GB"/>
              </w:rPr>
              <w:t xml:space="preserve">Southern Locality </w:t>
            </w:r>
            <w:r w:rsidRPr="00536EF0">
              <w:rPr>
                <w:rFonts w:ascii="Calibri" w:eastAsia="Times New Roman" w:hAnsi="Calibri" w:cs="Calibri"/>
                <w:bCs/>
                <w:sz w:val="20"/>
                <w:szCs w:val="20"/>
                <w:lang w:eastAsia="en-GB"/>
              </w:rPr>
              <w:t xml:space="preserve">GP who have a diagnosis of Dementia or </w:t>
            </w:r>
            <w:r w:rsidR="00E14805">
              <w:rPr>
                <w:rFonts w:ascii="Calibri" w:eastAsia="Times New Roman" w:hAnsi="Calibri" w:cs="Calibri"/>
                <w:bCs/>
                <w:sz w:val="20"/>
                <w:szCs w:val="20"/>
                <w:lang w:eastAsia="en-GB"/>
              </w:rPr>
              <w:t>Mild Cognitive Impairment.</w:t>
            </w:r>
            <w:r w:rsidRPr="00536EF0">
              <w:rPr>
                <w:rFonts w:ascii="Calibri" w:eastAsia="Times New Roman" w:hAnsi="Calibri" w:cs="Calibri"/>
                <w:bCs/>
                <w:sz w:val="20"/>
                <w:szCs w:val="20"/>
                <w:lang w:eastAsia="en-GB"/>
              </w:rPr>
              <w:t xml:space="preserve"> </w:t>
            </w:r>
          </w:p>
          <w:p w:rsidR="00536EF0" w:rsidRPr="00536EF0" w:rsidRDefault="00536EF0" w:rsidP="0027429A">
            <w:pPr>
              <w:rPr>
                <w:rFonts w:ascii="Calibri" w:eastAsia="Times New Roman" w:hAnsi="Calibri" w:cs="Calibri"/>
                <w:bCs/>
                <w:sz w:val="20"/>
                <w:szCs w:val="20"/>
                <w:lang w:eastAsia="en-GB"/>
              </w:rPr>
            </w:pPr>
          </w:p>
          <w:p w:rsidR="00536EF0" w:rsidRPr="00536EF0" w:rsidRDefault="00536EF0" w:rsidP="0027429A">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 xml:space="preserve">The </w:t>
            </w:r>
            <w:r w:rsidR="00C51591">
              <w:rPr>
                <w:rFonts w:ascii="Calibri" w:eastAsia="Times New Roman" w:hAnsi="Calibri" w:cs="Calibri"/>
                <w:bCs/>
                <w:sz w:val="20"/>
                <w:szCs w:val="20"/>
                <w:lang w:eastAsia="en-GB"/>
              </w:rPr>
              <w:t>Befriending service may</w:t>
            </w:r>
            <w:r w:rsidRPr="00536EF0">
              <w:rPr>
                <w:rFonts w:ascii="Calibri" w:eastAsia="Times New Roman" w:hAnsi="Calibri" w:cs="Calibri"/>
                <w:bCs/>
                <w:sz w:val="20"/>
                <w:szCs w:val="20"/>
                <w:lang w:eastAsia="en-GB"/>
              </w:rPr>
              <w:t xml:space="preserve"> not suitable for individuals if they have the following:</w:t>
            </w:r>
          </w:p>
          <w:p w:rsidR="00536EF0" w:rsidRPr="00536EF0" w:rsidRDefault="00C51591" w:rsidP="00536EF0">
            <w:pPr>
              <w:pStyle w:val="ListParagraph"/>
              <w:numPr>
                <w:ilvl w:val="0"/>
                <w:numId w:val="26"/>
              </w:numPr>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Severe </w:t>
            </w:r>
            <w:r w:rsidR="00536EF0" w:rsidRPr="00536EF0">
              <w:rPr>
                <w:rFonts w:ascii="Calibri" w:eastAsia="Times New Roman" w:hAnsi="Calibri" w:cs="Calibri"/>
                <w:bCs/>
                <w:sz w:val="20"/>
                <w:szCs w:val="20"/>
                <w:lang w:eastAsia="en-GB"/>
              </w:rPr>
              <w:t>Mobility issues that require aid</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Incontinence difficulties</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Medication difficulties</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High levels of anxiety</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Challenging behaviour</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Medical conditions which require ongoing monitoring during the session</w:t>
            </w:r>
          </w:p>
          <w:p w:rsidR="007215BF" w:rsidRDefault="007215BF" w:rsidP="0027429A">
            <w:pPr>
              <w:rPr>
                <w:rFonts w:ascii="Calibri" w:eastAsia="Times New Roman" w:hAnsi="Calibri" w:cs="Calibri"/>
                <w:b/>
                <w:bCs/>
                <w:sz w:val="20"/>
                <w:szCs w:val="20"/>
                <w:lang w:eastAsia="en-GB"/>
              </w:rPr>
            </w:pPr>
          </w:p>
          <w:p w:rsidR="00CC5DB9" w:rsidRPr="00CC5DB9" w:rsidRDefault="00CC5DB9" w:rsidP="0027429A">
            <w:p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provider has the right to consult with the individual service users and their carers if it is found that this service is no longer appropriate. This may be because:</w:t>
            </w:r>
          </w:p>
          <w:p w:rsidR="00CC5DB9" w:rsidRPr="00CC5DB9" w:rsidRDefault="00CC5DB9" w:rsidP="00CC5DB9">
            <w:pPr>
              <w:pStyle w:val="ListParagraph"/>
              <w:numPr>
                <w:ilvl w:val="0"/>
                <w:numId w:val="27"/>
              </w:num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behaviour of the individual with Dementia is disrupting to the detriment of other service users and/or</w:t>
            </w:r>
          </w:p>
          <w:p w:rsidR="00CC5DB9" w:rsidRPr="00CC5DB9" w:rsidRDefault="00CC5DB9" w:rsidP="00CC5DB9">
            <w:pPr>
              <w:pStyle w:val="ListParagraph"/>
              <w:numPr>
                <w:ilvl w:val="0"/>
                <w:numId w:val="27"/>
              </w:num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physical health of the person with Dementia has deteriorated and their needs cannot be met within this information social environment.</w:t>
            </w:r>
          </w:p>
          <w:p w:rsidR="00CC5DB9" w:rsidRDefault="00CC5DB9" w:rsidP="0027429A">
            <w:pPr>
              <w:rPr>
                <w:rFonts w:ascii="Calibri" w:eastAsia="Times New Roman" w:hAnsi="Calibri" w:cs="Calibri"/>
                <w:b/>
                <w:bCs/>
                <w:sz w:val="20"/>
                <w:szCs w:val="20"/>
                <w:lang w:eastAsia="en-GB"/>
              </w:rPr>
            </w:pPr>
          </w:p>
          <w:p w:rsidR="007215BF" w:rsidRPr="00CC5DB9" w:rsidRDefault="00CC5DB9" w:rsidP="0027429A">
            <w:p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 xml:space="preserve">In the event of a person being deemed unsuitable to attend the service, a system should be in place to refer/signpost them to alternative support services, appropriate to the level of need. </w:t>
            </w:r>
            <w:r>
              <w:rPr>
                <w:rFonts w:ascii="Calibri" w:eastAsia="Times New Roman" w:hAnsi="Calibri" w:cs="Calibri"/>
                <w:b/>
                <w:bCs/>
                <w:sz w:val="20"/>
                <w:szCs w:val="20"/>
                <w:lang w:eastAsia="en-GB"/>
              </w:rPr>
              <w:t xml:space="preserve">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autoSpaceDE w:val="0"/>
              <w:autoSpaceDN w:val="0"/>
              <w:adjustRightInd w:val="0"/>
              <w:rPr>
                <w:rFonts w:ascii="Calibri" w:eastAsia="Times New Roman" w:hAnsi="Calibri" w:cs="Calibri"/>
                <w:bCs/>
                <w:i/>
                <w:color w:val="A6A6A6" w:themeColor="background1" w:themeShade="A6"/>
                <w:sz w:val="20"/>
                <w:szCs w:val="20"/>
                <w:lang w:eastAsia="en-GB"/>
              </w:rPr>
            </w:pPr>
          </w:p>
        </w:tc>
      </w:tr>
      <w:tr w:rsidR="00984B4F" w:rsidRPr="006C1607"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CC74E0" w:rsidRPr="00876705" w:rsidRDefault="00876705" w:rsidP="00CC74E0">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3.5  </w:t>
            </w:r>
            <w:r w:rsidR="00CC74E0" w:rsidRPr="00876705">
              <w:rPr>
                <w:rFonts w:ascii="Calibri" w:eastAsia="Times New Roman" w:hAnsi="Calibri" w:cs="Calibri"/>
                <w:b/>
                <w:bCs/>
                <w:sz w:val="20"/>
                <w:szCs w:val="20"/>
                <w:lang w:eastAsia="en-GB"/>
              </w:rPr>
              <w:t>Interdependence with other services/providers</w:t>
            </w:r>
          </w:p>
          <w:p w:rsidR="00550F7D" w:rsidRDefault="00984B4F" w:rsidP="0027429A">
            <w:pPr>
              <w:jc w:val="both"/>
              <w:rPr>
                <w:rFonts w:ascii="Calibri" w:eastAsia="Times New Roman" w:hAnsi="Calibri" w:cs="Calibri"/>
                <w:color w:val="FFFFFF"/>
                <w:sz w:val="20"/>
                <w:szCs w:val="20"/>
                <w:lang w:eastAsia="en-GB"/>
              </w:rPr>
            </w:pPr>
            <w:r w:rsidRPr="006C1607">
              <w:rPr>
                <w:rFonts w:ascii="Calibri" w:eastAsia="Times New Roman" w:hAnsi="Calibri" w:cs="Calibri"/>
                <w:color w:val="FFFFFF"/>
                <w:sz w:val="20"/>
                <w:szCs w:val="20"/>
                <w:lang w:eastAsia="en-GB"/>
              </w:rPr>
              <w:t>other services</w:t>
            </w:r>
            <w:r w:rsidR="00B2049D" w:rsidRPr="006C1607">
              <w:rPr>
                <w:rFonts w:ascii="Calibri" w:eastAsia="Times New Roman" w:hAnsi="Calibri" w:cs="Calibri"/>
                <w:color w:val="FFFFFF"/>
                <w:sz w:val="20"/>
                <w:szCs w:val="20"/>
                <w:lang w:eastAsia="en-GB"/>
              </w:rPr>
              <w:t>/providers</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Dementia Adviser Service (currently run by Alzheimer’s Society)</w:t>
            </w:r>
          </w:p>
          <w:p w:rsidR="00CC5DB9"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Devon Partnership Trust (Older Persons Mental Health Teams)</w:t>
            </w:r>
          </w:p>
          <w:p w:rsidR="00095441" w:rsidRPr="001F13D5" w:rsidRDefault="00095441" w:rsidP="001F13D5">
            <w:pPr>
              <w:pStyle w:val="ListParagraph"/>
              <w:numPr>
                <w:ilvl w:val="0"/>
                <w:numId w:val="28"/>
              </w:numPr>
              <w:jc w:val="both"/>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 xml:space="preserve">Memory Cafes </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Torbay and South Devon NHS Foundation Trust (Adult Social Care</w:t>
            </w:r>
            <w:r w:rsidR="00463EC5">
              <w:rPr>
                <w:rFonts w:ascii="Calibri" w:eastAsia="Times New Roman" w:hAnsi="Calibri" w:cs="Calibri"/>
                <w:color w:val="000000" w:themeColor="text1"/>
                <w:sz w:val="20"/>
                <w:szCs w:val="20"/>
                <w:lang w:eastAsia="en-GB"/>
              </w:rPr>
              <w:t>, Torbay Carers Service</w:t>
            </w:r>
            <w:r w:rsidRPr="001F13D5">
              <w:rPr>
                <w:rFonts w:ascii="Calibri" w:eastAsia="Times New Roman" w:hAnsi="Calibri" w:cs="Calibri"/>
                <w:color w:val="000000" w:themeColor="text1"/>
                <w:sz w:val="20"/>
                <w:szCs w:val="20"/>
                <w:lang w:eastAsia="en-GB"/>
              </w:rPr>
              <w:t>)</w:t>
            </w:r>
          </w:p>
          <w:p w:rsidR="000D7821" w:rsidRPr="000D7821" w:rsidRDefault="00CC5DB9" w:rsidP="0027429A">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 xml:space="preserve">Voluntary Sector </w:t>
            </w:r>
            <w:r w:rsidR="001F13D5">
              <w:rPr>
                <w:rFonts w:ascii="Calibri" w:eastAsia="Times New Roman" w:hAnsi="Calibri" w:cs="Calibri"/>
                <w:color w:val="000000" w:themeColor="text1"/>
                <w:sz w:val="20"/>
                <w:szCs w:val="20"/>
                <w:lang w:eastAsia="en-GB"/>
              </w:rPr>
              <w:t>providers, including Age UK Torbay, Brixham Does Care</w:t>
            </w:r>
            <w:r w:rsidR="00780D41">
              <w:rPr>
                <w:rFonts w:ascii="Calibri" w:eastAsia="Times New Roman" w:hAnsi="Calibri" w:cs="Calibri"/>
                <w:color w:val="000000" w:themeColor="text1"/>
                <w:sz w:val="20"/>
                <w:szCs w:val="20"/>
                <w:lang w:eastAsia="en-GB"/>
              </w:rPr>
              <w:t>, Totnes Caring, Teignbridge CVS</w:t>
            </w:r>
            <w:r w:rsidR="001F13D5">
              <w:rPr>
                <w:rFonts w:ascii="Calibri" w:eastAsia="Times New Roman" w:hAnsi="Calibri" w:cs="Calibri"/>
                <w:color w:val="000000" w:themeColor="text1"/>
                <w:sz w:val="20"/>
                <w:szCs w:val="20"/>
                <w:lang w:eastAsia="en-GB"/>
              </w:rPr>
              <w:t xml:space="preserve"> etc</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D1216B" w:rsidRDefault="00984B4F" w:rsidP="00212884">
            <w:pPr>
              <w:ind w:firstLineChars="24" w:firstLine="48"/>
              <w:rPr>
                <w:rFonts w:ascii="Calibri" w:eastAsia="Times New Roman" w:hAnsi="Calibri" w:cs="Calibri"/>
                <w:b/>
                <w:bCs/>
                <w:color w:val="000000"/>
                <w:sz w:val="20"/>
                <w:szCs w:val="20"/>
                <w:lang w:eastAsia="en-GB"/>
              </w:rPr>
            </w:pPr>
            <w:r w:rsidRPr="00D1216B">
              <w:rPr>
                <w:rFonts w:ascii="Calibri" w:eastAsia="Times New Roman" w:hAnsi="Calibri" w:cs="Calibri"/>
                <w:b/>
                <w:bCs/>
                <w:color w:val="000000"/>
                <w:sz w:val="20"/>
                <w:szCs w:val="20"/>
                <w:lang w:eastAsia="en-GB"/>
              </w:rPr>
              <w:t>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D1216B" w:rsidRDefault="00984B4F"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4</w:t>
            </w:r>
            <w:r w:rsidRPr="00D1216B">
              <w:rPr>
                <w:rFonts w:ascii="Calibri" w:eastAsia="Times New Roman" w:hAnsi="Calibri" w:cs="Calibri"/>
                <w:color w:val="FFFFFF"/>
                <w:sz w:val="20"/>
                <w:szCs w:val="20"/>
                <w:lang w:eastAsia="en-GB"/>
              </w:rPr>
              <w:t>.  Applicab</w:t>
            </w:r>
            <w:r w:rsidR="005B7192">
              <w:rPr>
                <w:rFonts w:ascii="Calibri" w:eastAsia="Times New Roman" w:hAnsi="Calibri" w:cs="Calibri"/>
                <w:color w:val="FFFFFF"/>
                <w:sz w:val="20"/>
                <w:szCs w:val="20"/>
                <w:lang w:eastAsia="en-GB"/>
              </w:rPr>
              <w:t xml:space="preserve">le Service Standards </w:t>
            </w:r>
          </w:p>
        </w:tc>
      </w:tr>
      <w:tr w:rsidR="00984B4F" w:rsidRPr="00D1216B" w:rsidTr="00876705">
        <w:trPr>
          <w:trHeight w:val="1635"/>
        </w:trPr>
        <w:tc>
          <w:tcPr>
            <w:tcW w:w="9700" w:type="dxa"/>
            <w:tcBorders>
              <w:top w:val="nil"/>
              <w:left w:val="single" w:sz="8" w:space="0" w:color="C0C0C0"/>
              <w:right w:val="single" w:sz="8" w:space="0" w:color="C0C0C0"/>
            </w:tcBorders>
            <w:shd w:val="clear" w:color="auto" w:fill="auto"/>
            <w:vAlign w:val="center"/>
            <w:hideMark/>
          </w:tcPr>
          <w:p w:rsidR="005B7192" w:rsidRDefault="00984B4F"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Pr>
                <w:rFonts w:ascii="Calibri" w:eastAsia="Times New Roman" w:hAnsi="Calibri" w:cs="Calibri"/>
                <w:b/>
                <w:bCs/>
                <w:sz w:val="20"/>
                <w:szCs w:val="20"/>
                <w:lang w:eastAsia="en-GB"/>
              </w:rPr>
              <w:lastRenderedPageBreak/>
              <w:t>4</w:t>
            </w:r>
            <w:r w:rsidRPr="00D1216B">
              <w:rPr>
                <w:rFonts w:ascii="Calibri" w:eastAsia="Times New Roman" w:hAnsi="Calibri" w:cs="Calibri"/>
                <w:b/>
                <w:bCs/>
                <w:sz w:val="20"/>
                <w:szCs w:val="20"/>
                <w:lang w:eastAsia="en-GB"/>
              </w:rPr>
              <w:t xml:space="preserve">.1 </w:t>
            </w:r>
            <w:r w:rsidR="005B7192">
              <w:rPr>
                <w:rFonts w:ascii="Calibri" w:eastAsia="Times New Roman" w:hAnsi="Calibri" w:cs="Calibri"/>
                <w:b/>
                <w:bCs/>
                <w:sz w:val="20"/>
                <w:szCs w:val="20"/>
                <w:lang w:eastAsia="en-GB"/>
              </w:rPr>
              <w:t>A</w:t>
            </w:r>
            <w:r w:rsidRPr="00D1216B">
              <w:rPr>
                <w:rFonts w:ascii="Calibri" w:eastAsia="Times New Roman" w:hAnsi="Calibri" w:cs="Calibri"/>
                <w:b/>
                <w:bCs/>
                <w:sz w:val="20"/>
                <w:szCs w:val="20"/>
                <w:lang w:eastAsia="en-GB"/>
              </w:rPr>
              <w:t xml:space="preserve">pplicable </w:t>
            </w:r>
            <w:r w:rsidR="005B7192">
              <w:rPr>
                <w:rFonts w:ascii="Calibri" w:eastAsia="Times New Roman" w:hAnsi="Calibri" w:cs="Calibri"/>
                <w:b/>
                <w:bCs/>
                <w:sz w:val="20"/>
                <w:szCs w:val="20"/>
                <w:lang w:eastAsia="en-GB"/>
              </w:rPr>
              <w:t xml:space="preserve">national </w:t>
            </w:r>
            <w:r>
              <w:rPr>
                <w:rFonts w:ascii="Calibri" w:eastAsia="Times New Roman" w:hAnsi="Calibri" w:cs="Calibri"/>
                <w:b/>
                <w:bCs/>
                <w:sz w:val="20"/>
                <w:szCs w:val="20"/>
                <w:lang w:eastAsia="en-GB"/>
              </w:rPr>
              <w:t xml:space="preserve">standards </w:t>
            </w:r>
            <w:r w:rsidR="005B7192">
              <w:rPr>
                <w:rFonts w:ascii="Calibri" w:eastAsia="Times New Roman" w:hAnsi="Calibri" w:cs="Calibri"/>
                <w:b/>
                <w:bCs/>
                <w:sz w:val="20"/>
                <w:szCs w:val="20"/>
                <w:lang w:eastAsia="en-GB"/>
              </w:rPr>
              <w:t>i.e. NICE and how they will be assessed.</w:t>
            </w:r>
          </w:p>
          <w:p w:rsidR="00550F7D" w:rsidRDefault="00550F7D"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550F7D" w:rsidRPr="00E5679C" w:rsidRDefault="00463EC5" w:rsidP="00E5679C">
            <w:pPr>
              <w:pStyle w:val="ListParagraph"/>
              <w:numPr>
                <w:ilvl w:val="0"/>
                <w:numId w:val="32"/>
              </w:numPr>
              <w:jc w:val="both"/>
              <w:rPr>
                <w:rFonts w:ascii="Calibri" w:eastAsia="Times New Roman" w:hAnsi="Calibri" w:cs="Calibri"/>
                <w:color w:val="000000" w:themeColor="text1"/>
                <w:sz w:val="20"/>
                <w:szCs w:val="20"/>
                <w:lang w:eastAsia="en-GB"/>
              </w:rPr>
            </w:pPr>
            <w:r w:rsidRPr="00E5679C">
              <w:rPr>
                <w:rFonts w:ascii="Calibri" w:eastAsia="Times New Roman" w:hAnsi="Calibri" w:cs="Calibri"/>
                <w:color w:val="000000" w:themeColor="text1"/>
                <w:sz w:val="20"/>
                <w:szCs w:val="20"/>
                <w:lang w:eastAsia="en-GB"/>
              </w:rPr>
              <w:t>Nice Quality Dementia Standards</w:t>
            </w:r>
          </w:p>
          <w:p w:rsidR="00463EC5" w:rsidRPr="00E5679C" w:rsidRDefault="00463EC5" w:rsidP="00E5679C">
            <w:pPr>
              <w:pStyle w:val="ListParagraph"/>
              <w:numPr>
                <w:ilvl w:val="0"/>
                <w:numId w:val="32"/>
              </w:numPr>
              <w:jc w:val="both"/>
              <w:rPr>
                <w:rFonts w:ascii="Calibri" w:eastAsia="Times New Roman" w:hAnsi="Calibri" w:cs="Calibri"/>
                <w:color w:val="000000" w:themeColor="text1"/>
                <w:sz w:val="20"/>
                <w:szCs w:val="20"/>
                <w:lang w:eastAsia="en-GB"/>
              </w:rPr>
            </w:pPr>
            <w:r w:rsidRPr="00E5679C">
              <w:rPr>
                <w:rFonts w:ascii="Calibri" w:eastAsia="Times New Roman" w:hAnsi="Calibri" w:cs="Calibri"/>
                <w:color w:val="000000" w:themeColor="text1"/>
                <w:sz w:val="20"/>
                <w:szCs w:val="20"/>
                <w:lang w:eastAsia="en-GB"/>
              </w:rPr>
              <w:t>Living well with Dementia (2009 DH National Dementia Strategy)</w:t>
            </w:r>
          </w:p>
          <w:p w:rsidR="007215BF" w:rsidRPr="00E5679C" w:rsidRDefault="00463EC5" w:rsidP="00E5679C">
            <w:pPr>
              <w:pStyle w:val="ListParagraph"/>
              <w:numPr>
                <w:ilvl w:val="0"/>
                <w:numId w:val="32"/>
              </w:numPr>
              <w:jc w:val="both"/>
              <w:rPr>
                <w:rFonts w:ascii="Arial" w:eastAsia="Times New Roman" w:hAnsi="Arial" w:cs="Arial"/>
                <w:bCs/>
                <w:sz w:val="20"/>
                <w:szCs w:val="20"/>
              </w:rPr>
            </w:pPr>
            <w:r w:rsidRPr="00E5679C">
              <w:rPr>
                <w:rFonts w:ascii="Calibri" w:eastAsia="Times New Roman" w:hAnsi="Calibri" w:cs="Calibri"/>
                <w:color w:val="000000" w:themeColor="text1"/>
                <w:sz w:val="20"/>
                <w:szCs w:val="20"/>
                <w:lang w:eastAsia="en-GB"/>
              </w:rPr>
              <w:t xml:space="preserve">Equality Act (2010 in terms of accessibility for individuals) </w:t>
            </w:r>
          </w:p>
        </w:tc>
      </w:tr>
      <w:tr w:rsidR="00876705" w:rsidRPr="00D1216B" w:rsidTr="00876705">
        <w:trPr>
          <w:trHeight w:val="315"/>
        </w:trPr>
        <w:tc>
          <w:tcPr>
            <w:tcW w:w="9700" w:type="dxa"/>
            <w:tcBorders>
              <w:left w:val="single" w:sz="8" w:space="0" w:color="C0C0C0"/>
              <w:bottom w:val="nil"/>
              <w:right w:val="single" w:sz="8" w:space="0" w:color="C0C0C0"/>
            </w:tcBorders>
            <w:shd w:val="clear" w:color="auto" w:fill="auto"/>
            <w:vAlign w:val="center"/>
          </w:tcPr>
          <w:p w:rsidR="00876705" w:rsidRPr="00876705" w:rsidRDefault="00876705"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CC74E0" w:rsidRPr="00D1216B" w:rsidTr="00876705">
        <w:trPr>
          <w:trHeight w:val="1710"/>
        </w:trPr>
        <w:tc>
          <w:tcPr>
            <w:tcW w:w="9700" w:type="dxa"/>
            <w:tcBorders>
              <w:left w:val="single" w:sz="8" w:space="0" w:color="C0C0C0"/>
              <w:bottom w:val="nil"/>
              <w:right w:val="single" w:sz="8" w:space="0" w:color="C0C0C0"/>
            </w:tcBorders>
            <w:shd w:val="clear" w:color="auto" w:fill="auto"/>
            <w:vAlign w:val="center"/>
          </w:tcPr>
          <w:p w:rsidR="00CC74E0" w:rsidRPr="00876705"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sidRPr="00876705">
              <w:rPr>
                <w:rFonts w:ascii="Calibri" w:eastAsia="Times New Roman" w:hAnsi="Calibri" w:cs="Calibri"/>
                <w:b/>
                <w:bCs/>
                <w:sz w:val="20"/>
                <w:szCs w:val="20"/>
                <w:lang w:eastAsia="en-GB"/>
              </w:rPr>
              <w:t xml:space="preserve">4.2 Applicable standards as set out in guidance and/or issued by a competent body e.g. Royal Colleges and how they will be assessed. </w:t>
            </w:r>
          </w:p>
          <w:p w:rsidR="00CC74E0" w:rsidRPr="00876705" w:rsidRDefault="00CC74E0" w:rsidP="00876705">
            <w:pPr>
              <w:pBdr>
                <w:left w:val="outset" w:sz="6" w:space="4" w:color="A6A6A6" w:themeColor="background1" w:themeShade="A6"/>
                <w:right w:val="outset" w:sz="6" w:space="4" w:color="A6A6A6" w:themeColor="background1" w:themeShade="A6"/>
              </w:pBdr>
              <w:rPr>
                <w:rFonts w:ascii="Arial" w:hAnsi="Arial" w:cs="Arial"/>
                <w:b/>
                <w:sz w:val="20"/>
              </w:rPr>
            </w:pPr>
          </w:p>
          <w:p w:rsidR="00CC74E0" w:rsidRPr="00876705" w:rsidRDefault="00CC74E0" w:rsidP="00876705">
            <w:pPr>
              <w:pBdr>
                <w:left w:val="outset" w:sz="6" w:space="4" w:color="A6A6A6" w:themeColor="background1" w:themeShade="A6"/>
                <w:right w:val="outset" w:sz="6" w:space="4" w:color="A6A6A6" w:themeColor="background1" w:themeShade="A6"/>
              </w:pBdr>
              <w:rPr>
                <w:rFonts w:ascii="Arial" w:hAnsi="Arial" w:cs="Arial"/>
                <w:b/>
                <w:sz w:val="20"/>
              </w:rPr>
            </w:pPr>
          </w:p>
          <w:p w:rsidR="00CC74E0" w:rsidRPr="00463EC5" w:rsidRDefault="001F13D5" w:rsidP="00876705">
            <w:pPr>
              <w:pBdr>
                <w:left w:val="outset" w:sz="6" w:space="4" w:color="A6A6A6" w:themeColor="background1" w:themeShade="A6"/>
                <w:right w:val="outset" w:sz="6" w:space="4" w:color="A6A6A6" w:themeColor="background1" w:themeShade="A6"/>
              </w:pBdr>
              <w:rPr>
                <w:rFonts w:ascii="Arial" w:hAnsi="Arial" w:cs="Arial"/>
                <w:sz w:val="20"/>
              </w:rPr>
            </w:pPr>
            <w:r w:rsidRPr="00DB02F3">
              <w:rPr>
                <w:rFonts w:ascii="Calibri" w:eastAsia="Times New Roman" w:hAnsi="Calibri" w:cs="Calibri"/>
                <w:bCs/>
                <w:sz w:val="20"/>
                <w:szCs w:val="20"/>
                <w:lang w:eastAsia="en-GB"/>
              </w:rPr>
              <w:t>N/a</w:t>
            </w:r>
          </w:p>
        </w:tc>
      </w:tr>
      <w:tr w:rsidR="00876705" w:rsidRPr="00D1216B" w:rsidTr="00876705">
        <w:trPr>
          <w:trHeight w:val="272"/>
        </w:trPr>
        <w:tc>
          <w:tcPr>
            <w:tcW w:w="9700" w:type="dxa"/>
            <w:tcBorders>
              <w:top w:val="nil"/>
              <w:left w:val="single" w:sz="8" w:space="0" w:color="C0C0C0"/>
              <w:bottom w:val="nil"/>
              <w:right w:val="single" w:sz="8" w:space="0" w:color="C0C0C0"/>
            </w:tcBorders>
            <w:shd w:val="clear" w:color="auto" w:fill="auto"/>
            <w:vAlign w:val="center"/>
          </w:tcPr>
          <w:p w:rsidR="00876705" w:rsidRDefault="00876705"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984B4F" w:rsidRPr="00D1216B" w:rsidTr="00876705">
        <w:trPr>
          <w:trHeight w:val="1761"/>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5B7192"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4.3 A</w:t>
            </w:r>
            <w:r w:rsidR="00984B4F">
              <w:rPr>
                <w:rFonts w:ascii="Calibri" w:eastAsia="Times New Roman" w:hAnsi="Calibri" w:cs="Calibri"/>
                <w:b/>
                <w:bCs/>
                <w:sz w:val="20"/>
                <w:szCs w:val="20"/>
                <w:lang w:eastAsia="en-GB"/>
              </w:rPr>
              <w:t xml:space="preserve">pplicable </w:t>
            </w:r>
            <w:r>
              <w:rPr>
                <w:rFonts w:ascii="Calibri" w:eastAsia="Times New Roman" w:hAnsi="Calibri" w:cs="Calibri"/>
                <w:b/>
                <w:bCs/>
                <w:sz w:val="20"/>
                <w:szCs w:val="20"/>
                <w:lang w:eastAsia="en-GB"/>
              </w:rPr>
              <w:t xml:space="preserve">local </w:t>
            </w:r>
            <w:r w:rsidR="00984B4F">
              <w:rPr>
                <w:rFonts w:ascii="Calibri" w:eastAsia="Times New Roman" w:hAnsi="Calibri" w:cs="Calibri"/>
                <w:b/>
                <w:bCs/>
                <w:sz w:val="20"/>
                <w:szCs w:val="20"/>
                <w:lang w:eastAsia="en-GB"/>
              </w:rPr>
              <w:t>standards</w:t>
            </w:r>
            <w:r>
              <w:rPr>
                <w:rFonts w:ascii="Calibri" w:eastAsia="Times New Roman" w:hAnsi="Calibri" w:cs="Calibri"/>
                <w:b/>
                <w:bCs/>
                <w:sz w:val="20"/>
                <w:szCs w:val="20"/>
                <w:lang w:eastAsia="en-GB"/>
              </w:rPr>
              <w:t xml:space="preserve"> and how they will be assessed.</w:t>
            </w:r>
          </w:p>
          <w:p w:rsidR="00CC74E0"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CC74E0" w:rsidRPr="00463EC5" w:rsidRDefault="00DB02F3" w:rsidP="00876705">
            <w:pPr>
              <w:pBdr>
                <w:left w:val="outset" w:sz="6" w:space="4" w:color="A6A6A6" w:themeColor="background1" w:themeShade="A6"/>
                <w:right w:val="outset" w:sz="6" w:space="4" w:color="A6A6A6" w:themeColor="background1" w:themeShade="A6"/>
              </w:pBdr>
              <w:rPr>
                <w:rFonts w:ascii="Calibri" w:eastAsia="Times New Roman" w:hAnsi="Calibri" w:cs="Calibri"/>
                <w:bCs/>
                <w:sz w:val="20"/>
                <w:szCs w:val="20"/>
                <w:lang w:eastAsia="en-GB"/>
              </w:rPr>
            </w:pPr>
            <w:r>
              <w:rPr>
                <w:rFonts w:ascii="Calibri" w:eastAsia="Times New Roman" w:hAnsi="Calibri" w:cs="Calibri"/>
                <w:bCs/>
                <w:sz w:val="20"/>
                <w:szCs w:val="20"/>
                <w:lang w:eastAsia="en-GB"/>
              </w:rPr>
              <w:t>N/a</w:t>
            </w:r>
          </w:p>
          <w:p w:rsidR="00CC74E0" w:rsidRPr="00C3321F"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1F497D" w:themeFill="text2"/>
            <w:vAlign w:val="center"/>
          </w:tcPr>
          <w:p w:rsidR="00984B4F" w:rsidRDefault="005B7192" w:rsidP="00C3321F">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5</w:t>
            </w:r>
            <w:r w:rsidR="00984B4F">
              <w:rPr>
                <w:rFonts w:ascii="Calibri" w:eastAsia="Times New Roman" w:hAnsi="Calibri" w:cs="Calibri"/>
                <w:color w:val="FFFFFF"/>
                <w:sz w:val="20"/>
                <w:szCs w:val="20"/>
                <w:lang w:eastAsia="en-GB"/>
              </w:rPr>
              <w:t xml:space="preserve">.  Applicable quality requirements and CQUIN goals </w:t>
            </w:r>
            <w:r w:rsidR="00B2049D">
              <w:rPr>
                <w:rFonts w:ascii="Calibri" w:eastAsia="Times New Roman" w:hAnsi="Calibri" w:cs="Calibri"/>
                <w:color w:val="FFFFFF"/>
                <w:sz w:val="20"/>
                <w:szCs w:val="20"/>
                <w:lang w:eastAsia="en-GB"/>
              </w:rPr>
              <w:t>(Optional use)</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Default="005B7192" w:rsidP="005B7192">
            <w:pPr>
              <w:pStyle w:val="ListParagraph"/>
              <w:numPr>
                <w:ilvl w:val="1"/>
                <w:numId w:val="8"/>
              </w:numPr>
              <w:jc w:val="both"/>
              <w:rPr>
                <w:rFonts w:ascii="Calibri" w:eastAsia="Times New Roman" w:hAnsi="Calibri" w:cs="Calibri"/>
                <w:b/>
                <w:sz w:val="20"/>
                <w:szCs w:val="20"/>
                <w:lang w:eastAsia="en-GB"/>
              </w:rPr>
            </w:pPr>
            <w:r>
              <w:rPr>
                <w:rFonts w:ascii="Calibri" w:eastAsia="Times New Roman" w:hAnsi="Calibri" w:cs="Calibri"/>
                <w:b/>
                <w:sz w:val="20"/>
                <w:szCs w:val="20"/>
                <w:lang w:eastAsia="en-GB"/>
              </w:rPr>
              <w:t>Applicable Quality R</w:t>
            </w:r>
            <w:r w:rsidR="00984B4F" w:rsidRPr="005B7192">
              <w:rPr>
                <w:rFonts w:ascii="Calibri" w:eastAsia="Times New Roman" w:hAnsi="Calibri" w:cs="Calibri"/>
                <w:b/>
                <w:sz w:val="20"/>
                <w:szCs w:val="20"/>
                <w:lang w:eastAsia="en-GB"/>
              </w:rPr>
              <w:t xml:space="preserve">equirements </w:t>
            </w:r>
            <w:r w:rsidR="00C21108">
              <w:rPr>
                <w:rFonts w:ascii="Calibri" w:eastAsia="Times New Roman" w:hAnsi="Calibri" w:cs="Calibri"/>
                <w:b/>
                <w:sz w:val="20"/>
                <w:szCs w:val="20"/>
                <w:lang w:eastAsia="en-GB"/>
              </w:rPr>
              <w:t xml:space="preserve"> (</w:t>
            </w:r>
            <w:r w:rsidR="00876705">
              <w:rPr>
                <w:rFonts w:ascii="Calibri" w:eastAsia="Times New Roman" w:hAnsi="Calibri" w:cs="Calibri"/>
                <w:b/>
                <w:sz w:val="20"/>
                <w:szCs w:val="20"/>
                <w:lang w:eastAsia="en-GB"/>
              </w:rPr>
              <w:t>for inclusion</w:t>
            </w:r>
            <w:r w:rsidR="00C21108">
              <w:rPr>
                <w:rFonts w:ascii="Calibri" w:eastAsia="Times New Roman" w:hAnsi="Calibri" w:cs="Calibri"/>
                <w:b/>
                <w:sz w:val="20"/>
                <w:szCs w:val="20"/>
                <w:lang w:eastAsia="en-GB"/>
              </w:rPr>
              <w:t xml:space="preserve"> S</w:t>
            </w:r>
            <w:r w:rsidR="00B2049D">
              <w:rPr>
                <w:rFonts w:ascii="Calibri" w:eastAsia="Times New Roman" w:hAnsi="Calibri" w:cs="Calibri"/>
                <w:b/>
                <w:sz w:val="20"/>
                <w:szCs w:val="20"/>
                <w:lang w:eastAsia="en-GB"/>
              </w:rPr>
              <w:t>chedule 4</w:t>
            </w:r>
            <w:r w:rsidR="00876705">
              <w:rPr>
                <w:rFonts w:ascii="Calibri" w:eastAsia="Times New Roman" w:hAnsi="Calibri" w:cs="Calibri"/>
                <w:b/>
                <w:sz w:val="20"/>
                <w:szCs w:val="20"/>
                <w:lang w:eastAsia="en-GB"/>
              </w:rPr>
              <w:t>A-C</w:t>
            </w:r>
            <w:r>
              <w:rPr>
                <w:rFonts w:ascii="Calibri" w:eastAsia="Times New Roman" w:hAnsi="Calibri" w:cs="Calibri"/>
                <w:b/>
                <w:sz w:val="20"/>
                <w:szCs w:val="20"/>
                <w:lang w:eastAsia="en-GB"/>
              </w:rPr>
              <w:t>)</w:t>
            </w:r>
          </w:p>
          <w:p w:rsidR="007215BF" w:rsidRPr="000D7821" w:rsidRDefault="007215BF" w:rsidP="007215BF">
            <w:pPr>
              <w:jc w:val="both"/>
              <w:rPr>
                <w:rFonts w:ascii="Calibri" w:eastAsia="Times New Roman" w:hAnsi="Calibri" w:cs="Calibri"/>
                <w:bCs/>
                <w:sz w:val="20"/>
                <w:szCs w:val="20"/>
                <w:lang w:eastAsia="en-GB"/>
              </w:rPr>
            </w:pPr>
          </w:p>
          <w:p w:rsidR="00E5679C" w:rsidRDefault="00E5679C" w:rsidP="00E5679C">
            <w:pPr>
              <w:rPr>
                <w:rFonts w:ascii="Calibri" w:eastAsia="Times New Roman" w:hAnsi="Calibri" w:cs="Calibri"/>
                <w:bCs/>
                <w:sz w:val="20"/>
                <w:szCs w:val="20"/>
                <w:lang w:eastAsia="en-GB"/>
              </w:rPr>
            </w:pPr>
            <w:r w:rsidRPr="000D7821">
              <w:rPr>
                <w:rFonts w:ascii="Calibri" w:eastAsia="Times New Roman" w:hAnsi="Calibri" w:cs="Calibri"/>
                <w:bCs/>
                <w:sz w:val="20"/>
                <w:szCs w:val="20"/>
                <w:lang w:eastAsia="en-GB"/>
              </w:rPr>
              <w:t xml:space="preserve">The services will be monitored and evaluated through quantitative and qualitative methods. </w:t>
            </w:r>
          </w:p>
          <w:p w:rsidR="00DB02F3" w:rsidRPr="000D7821" w:rsidRDefault="00DB02F3" w:rsidP="00E5679C">
            <w:pPr>
              <w:rPr>
                <w:rFonts w:ascii="Calibri" w:eastAsia="Times New Roman" w:hAnsi="Calibri" w:cs="Calibri"/>
                <w:bCs/>
                <w:sz w:val="20"/>
                <w:szCs w:val="20"/>
                <w:lang w:eastAsia="en-GB"/>
              </w:rPr>
            </w:pPr>
          </w:p>
          <w:p w:rsidR="00E5679C" w:rsidRPr="000D7821" w:rsidRDefault="00E5679C" w:rsidP="00E5679C">
            <w:pPr>
              <w:rPr>
                <w:rFonts w:ascii="Calibri" w:eastAsia="Times New Roman" w:hAnsi="Calibri" w:cs="Calibri"/>
                <w:bCs/>
                <w:sz w:val="20"/>
                <w:szCs w:val="20"/>
                <w:lang w:eastAsia="en-GB"/>
              </w:rPr>
            </w:pPr>
            <w:r w:rsidRPr="000D7821">
              <w:rPr>
                <w:rFonts w:ascii="Calibri" w:eastAsia="Times New Roman" w:hAnsi="Calibri" w:cs="Calibri"/>
                <w:bCs/>
                <w:sz w:val="20"/>
                <w:szCs w:val="20"/>
                <w:lang w:eastAsia="en-GB"/>
              </w:rPr>
              <w:t>Quantitative data collection will include:</w:t>
            </w:r>
          </w:p>
          <w:p w:rsidR="00780D41" w:rsidRDefault="00780D41" w:rsidP="00E5679C">
            <w:pPr>
              <w:numPr>
                <w:ilvl w:val="0"/>
                <w:numId w:val="30"/>
              </w:numPr>
              <w:contextualSpacing/>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The number of </w:t>
            </w:r>
            <w:r w:rsidR="00511444">
              <w:rPr>
                <w:rFonts w:ascii="Calibri" w:eastAsia="Times New Roman" w:hAnsi="Calibri" w:cs="Calibri"/>
                <w:bCs/>
                <w:sz w:val="20"/>
                <w:szCs w:val="20"/>
                <w:lang w:eastAsia="en-GB"/>
              </w:rPr>
              <w:t>volunteers</w:t>
            </w:r>
            <w:r>
              <w:rPr>
                <w:rFonts w:ascii="Calibri" w:eastAsia="Times New Roman" w:hAnsi="Calibri" w:cs="Calibri"/>
                <w:bCs/>
                <w:sz w:val="20"/>
                <w:szCs w:val="20"/>
                <w:lang w:eastAsia="en-GB"/>
              </w:rPr>
              <w:t xml:space="preserve"> on the register</w:t>
            </w:r>
          </w:p>
          <w:p w:rsidR="00780D41" w:rsidRDefault="00780D41" w:rsidP="00E5679C">
            <w:pPr>
              <w:numPr>
                <w:ilvl w:val="0"/>
                <w:numId w:val="30"/>
              </w:numPr>
              <w:contextualSpacing/>
              <w:rPr>
                <w:rFonts w:ascii="Calibri" w:eastAsia="Times New Roman" w:hAnsi="Calibri" w:cs="Calibri"/>
                <w:bCs/>
                <w:sz w:val="20"/>
                <w:szCs w:val="20"/>
                <w:lang w:eastAsia="en-GB"/>
              </w:rPr>
            </w:pPr>
            <w:r>
              <w:rPr>
                <w:rFonts w:ascii="Calibri" w:eastAsia="Times New Roman" w:hAnsi="Calibri" w:cs="Calibri"/>
                <w:bCs/>
                <w:sz w:val="20"/>
                <w:szCs w:val="20"/>
                <w:lang w:eastAsia="en-GB"/>
              </w:rPr>
              <w:t>The number of Disclosure and Barring Checks undertaken</w:t>
            </w:r>
          </w:p>
          <w:p w:rsidR="00780D41" w:rsidRDefault="00780D41" w:rsidP="00E5679C">
            <w:pPr>
              <w:numPr>
                <w:ilvl w:val="0"/>
                <w:numId w:val="30"/>
              </w:numPr>
              <w:contextualSpacing/>
              <w:rPr>
                <w:rFonts w:ascii="Calibri" w:eastAsia="Times New Roman" w:hAnsi="Calibri" w:cs="Calibri"/>
                <w:bCs/>
                <w:sz w:val="20"/>
                <w:szCs w:val="20"/>
                <w:lang w:eastAsia="en-GB"/>
              </w:rPr>
            </w:pPr>
            <w:r>
              <w:rPr>
                <w:rFonts w:ascii="Calibri" w:eastAsia="Times New Roman" w:hAnsi="Calibri" w:cs="Calibri"/>
                <w:bCs/>
                <w:sz w:val="20"/>
                <w:szCs w:val="20"/>
                <w:lang w:eastAsia="en-GB"/>
              </w:rPr>
              <w:t>The number of individuals with Dementia who are befriended</w:t>
            </w:r>
          </w:p>
          <w:p w:rsidR="00780D41" w:rsidRDefault="00780D41" w:rsidP="00E5679C">
            <w:pPr>
              <w:numPr>
                <w:ilvl w:val="0"/>
                <w:numId w:val="30"/>
              </w:numPr>
              <w:contextualSpacing/>
              <w:rPr>
                <w:rFonts w:ascii="Calibri" w:eastAsia="Times New Roman" w:hAnsi="Calibri" w:cs="Calibri"/>
                <w:bCs/>
                <w:sz w:val="20"/>
                <w:szCs w:val="20"/>
                <w:lang w:eastAsia="en-GB"/>
              </w:rPr>
            </w:pPr>
            <w:r>
              <w:rPr>
                <w:rFonts w:ascii="Calibri" w:eastAsia="Times New Roman" w:hAnsi="Calibri" w:cs="Calibri"/>
                <w:bCs/>
                <w:sz w:val="20"/>
                <w:szCs w:val="20"/>
                <w:lang w:eastAsia="en-GB"/>
              </w:rPr>
              <w:t>Activities which individuals with Dementia are supported with</w:t>
            </w:r>
          </w:p>
          <w:p w:rsidR="00E5679C" w:rsidRPr="007B3371" w:rsidRDefault="00E5679C" w:rsidP="00E5679C">
            <w:pPr>
              <w:rPr>
                <w:rFonts w:ascii="Arial" w:hAnsi="Arial" w:cs="Arial"/>
                <w:sz w:val="20"/>
              </w:rPr>
            </w:pPr>
          </w:p>
          <w:p w:rsidR="00E5679C" w:rsidRPr="000D7821" w:rsidRDefault="00E5679C" w:rsidP="00E5679C">
            <w:pPr>
              <w:rPr>
                <w:rFonts w:cstheme="minorHAnsi"/>
                <w:sz w:val="20"/>
              </w:rPr>
            </w:pPr>
            <w:r w:rsidRPr="000D7821">
              <w:rPr>
                <w:rFonts w:eastAsia="Times New Roman" w:cstheme="minorHAnsi"/>
                <w:sz w:val="20"/>
                <w:lang w:eastAsia="en-GB"/>
              </w:rPr>
              <w:t xml:space="preserve">Qualitative data collection will be provided to the commissioner on an annual basis and will obtained </w:t>
            </w:r>
            <w:r w:rsidR="00780D41">
              <w:rPr>
                <w:rFonts w:eastAsia="Times New Roman" w:cstheme="minorHAnsi"/>
                <w:sz w:val="20"/>
                <w:lang w:eastAsia="en-GB"/>
              </w:rPr>
              <w:t xml:space="preserve">regular </w:t>
            </w:r>
            <w:r w:rsidRPr="000D7821">
              <w:rPr>
                <w:rFonts w:eastAsia="Times New Roman" w:cstheme="minorHAnsi"/>
                <w:sz w:val="20"/>
                <w:lang w:eastAsia="en-GB"/>
              </w:rPr>
              <w:t>questionnaire</w:t>
            </w:r>
            <w:r w:rsidR="00780D41">
              <w:rPr>
                <w:rFonts w:eastAsia="Times New Roman" w:cstheme="minorHAnsi"/>
                <w:sz w:val="20"/>
                <w:lang w:eastAsia="en-GB"/>
              </w:rPr>
              <w:t>s with both the volunteer and individual</w:t>
            </w:r>
            <w:r w:rsidRPr="000D7821">
              <w:rPr>
                <w:rFonts w:eastAsia="Times New Roman" w:cstheme="minorHAnsi"/>
                <w:sz w:val="20"/>
                <w:lang w:eastAsia="en-GB"/>
              </w:rPr>
              <w:t xml:space="preserve">, semi-structured interviews with people living with dementia, complaints and information gained </w:t>
            </w:r>
            <w:r w:rsidR="00780D41">
              <w:rPr>
                <w:rFonts w:eastAsia="Times New Roman" w:cstheme="minorHAnsi"/>
                <w:sz w:val="20"/>
                <w:lang w:eastAsia="en-GB"/>
              </w:rPr>
              <w:t>through feedback to the service.</w:t>
            </w:r>
          </w:p>
          <w:p w:rsidR="007215BF" w:rsidRPr="007215BF" w:rsidRDefault="007215BF" w:rsidP="007215BF">
            <w:pPr>
              <w:jc w:val="both"/>
              <w:rPr>
                <w:rFonts w:ascii="Calibri" w:eastAsia="Times New Roman" w:hAnsi="Calibri" w:cs="Calibr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Default="00984B4F" w:rsidP="001F01DD">
            <w:pPr>
              <w:jc w:val="both"/>
              <w:rPr>
                <w:rFonts w:ascii="Calibri" w:eastAsia="Times New Roman" w:hAnsi="Calibri" w:cs="Calibr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Pr="000D7821" w:rsidRDefault="00984B4F" w:rsidP="005B7192">
            <w:pPr>
              <w:pStyle w:val="ListParagraph"/>
              <w:numPr>
                <w:ilvl w:val="1"/>
                <w:numId w:val="8"/>
              </w:numPr>
              <w:jc w:val="both"/>
              <w:rPr>
                <w:rFonts w:eastAsia="Times New Roman" w:cstheme="minorHAnsi"/>
                <w:b/>
                <w:sz w:val="20"/>
                <w:szCs w:val="20"/>
                <w:lang w:eastAsia="en-GB"/>
              </w:rPr>
            </w:pPr>
            <w:r w:rsidRPr="000D7821">
              <w:rPr>
                <w:rFonts w:eastAsia="Times New Roman" w:cstheme="minorHAnsi"/>
                <w:b/>
                <w:sz w:val="20"/>
                <w:szCs w:val="20"/>
                <w:lang w:eastAsia="en-GB"/>
              </w:rPr>
              <w:t xml:space="preserve">Applicable CQUIN goals </w:t>
            </w:r>
            <w:r w:rsidR="00C21108" w:rsidRPr="000D7821">
              <w:rPr>
                <w:rFonts w:eastAsia="Times New Roman" w:cstheme="minorHAnsi"/>
                <w:b/>
                <w:sz w:val="20"/>
                <w:szCs w:val="20"/>
                <w:lang w:eastAsia="en-GB"/>
              </w:rPr>
              <w:t xml:space="preserve"> (see S</w:t>
            </w:r>
            <w:r w:rsidR="00B2049D" w:rsidRPr="000D7821">
              <w:rPr>
                <w:rFonts w:eastAsia="Times New Roman" w:cstheme="minorHAnsi"/>
                <w:b/>
                <w:sz w:val="20"/>
                <w:szCs w:val="20"/>
                <w:lang w:eastAsia="en-GB"/>
              </w:rPr>
              <w:t>chedule 4</w:t>
            </w:r>
            <w:r w:rsidR="00876705" w:rsidRPr="000D7821">
              <w:rPr>
                <w:rFonts w:eastAsia="Times New Roman" w:cstheme="minorHAnsi"/>
                <w:b/>
                <w:sz w:val="20"/>
                <w:szCs w:val="20"/>
                <w:lang w:eastAsia="en-GB"/>
              </w:rPr>
              <w:t>D</w:t>
            </w:r>
            <w:r w:rsidR="005B7192" w:rsidRPr="000D7821">
              <w:rPr>
                <w:rFonts w:eastAsia="Times New Roman" w:cstheme="minorHAnsi"/>
                <w:b/>
                <w:sz w:val="20"/>
                <w:szCs w:val="20"/>
                <w:lang w:eastAsia="en-GB"/>
              </w:rPr>
              <w:t>)</w:t>
            </w:r>
            <w:r w:rsidR="00876705" w:rsidRPr="000D7821">
              <w:rPr>
                <w:rFonts w:eastAsia="Times New Roman" w:cstheme="minorHAnsi"/>
                <w:b/>
                <w:sz w:val="20"/>
                <w:szCs w:val="20"/>
                <w:lang w:eastAsia="en-GB"/>
              </w:rPr>
              <w:t xml:space="preserve"> </w:t>
            </w:r>
            <w:r w:rsidR="00876705" w:rsidRPr="000D7821">
              <w:rPr>
                <w:rFonts w:eastAsia="Times New Roman" w:cstheme="minorHAnsi"/>
                <w:b/>
                <w:i/>
                <w:color w:val="A6A6A6" w:themeColor="background1" w:themeShade="A6"/>
                <w:sz w:val="20"/>
                <w:szCs w:val="20"/>
                <w:lang w:eastAsia="en-GB"/>
              </w:rPr>
              <w:t xml:space="preserve">Generally CQUIN schemes are determined at contract level rather than specification level </w:t>
            </w:r>
          </w:p>
          <w:p w:rsidR="005B7192" w:rsidRDefault="005B7192" w:rsidP="005B7192">
            <w:pPr>
              <w:pStyle w:val="ListParagraph"/>
              <w:ind w:left="360"/>
              <w:jc w:val="both"/>
              <w:rPr>
                <w:rFonts w:eastAsia="Times New Roman" w:cstheme="minorHAnsi"/>
                <w:b/>
                <w:sz w:val="20"/>
                <w:szCs w:val="20"/>
                <w:lang w:eastAsia="en-GB"/>
              </w:rPr>
            </w:pPr>
          </w:p>
          <w:p w:rsidR="00DB02F3" w:rsidRPr="00DB02F3" w:rsidRDefault="00DB02F3" w:rsidP="00DB02F3">
            <w:pPr>
              <w:jc w:val="both"/>
              <w:rPr>
                <w:rFonts w:eastAsia="Times New Roman" w:cstheme="minorHAnsi"/>
                <w:sz w:val="20"/>
                <w:szCs w:val="20"/>
                <w:lang w:eastAsia="en-GB"/>
              </w:rPr>
            </w:pPr>
            <w:r w:rsidRPr="00DB02F3">
              <w:rPr>
                <w:rFonts w:eastAsia="Times New Roman" w:cstheme="minorHAnsi"/>
                <w:sz w:val="20"/>
                <w:szCs w:val="20"/>
                <w:lang w:eastAsia="en-GB"/>
              </w:rPr>
              <w:t xml:space="preserve">N/a </w:t>
            </w:r>
          </w:p>
          <w:p w:rsidR="00DB02F3" w:rsidRPr="00DB02F3" w:rsidRDefault="00DB02F3" w:rsidP="00DB02F3">
            <w:pPr>
              <w:jc w:val="both"/>
              <w:rPr>
                <w:rFonts w:eastAsia="Times New Roman" w:cstheme="minorHAnsi"/>
                <w:b/>
                <w:sz w:val="20"/>
                <w:szCs w:val="20"/>
                <w:lang w:eastAsia="en-GB"/>
              </w:rPr>
            </w:pPr>
          </w:p>
          <w:p w:rsidR="00E5679C" w:rsidRPr="000D7821" w:rsidRDefault="00E5679C" w:rsidP="00E5679C">
            <w:pPr>
              <w:pStyle w:val="ListParagraph"/>
              <w:numPr>
                <w:ilvl w:val="1"/>
                <w:numId w:val="8"/>
              </w:numPr>
              <w:jc w:val="both"/>
              <w:rPr>
                <w:rFonts w:eastAsia="Times New Roman" w:cstheme="minorHAnsi"/>
                <w:b/>
                <w:sz w:val="20"/>
                <w:szCs w:val="20"/>
                <w:lang w:eastAsia="en-GB"/>
              </w:rPr>
            </w:pPr>
            <w:r w:rsidRPr="000D7821">
              <w:rPr>
                <w:rFonts w:eastAsia="Times New Roman" w:cstheme="minorHAnsi"/>
                <w:b/>
                <w:sz w:val="20"/>
                <w:szCs w:val="20"/>
                <w:lang w:eastAsia="en-GB"/>
              </w:rPr>
              <w:t>Reporting Requirements</w:t>
            </w:r>
          </w:p>
          <w:p w:rsidR="00E5679C" w:rsidRPr="000D7821" w:rsidRDefault="00E5679C" w:rsidP="00E5679C">
            <w:pPr>
              <w:pStyle w:val="ListParagraph"/>
              <w:rPr>
                <w:rFonts w:eastAsia="Times New Roman" w:cstheme="minorHAnsi"/>
                <w:b/>
                <w:sz w:val="20"/>
                <w:szCs w:val="20"/>
                <w:lang w:eastAsia="en-GB"/>
              </w:rPr>
            </w:pPr>
          </w:p>
          <w:p w:rsidR="00E5679C" w:rsidRPr="000D7821" w:rsidRDefault="00E5679C" w:rsidP="00E5679C">
            <w:pPr>
              <w:pStyle w:val="ListParagraph"/>
              <w:ind w:left="360"/>
              <w:jc w:val="both"/>
              <w:rPr>
                <w:rFonts w:eastAsia="Times New Roman" w:cstheme="minorHAnsi"/>
                <w:b/>
                <w:sz w:val="20"/>
                <w:szCs w:val="20"/>
                <w:lang w:eastAsia="en-GB"/>
              </w:rPr>
            </w:pPr>
          </w:p>
          <w:p w:rsidR="00E5679C" w:rsidRPr="000D7821" w:rsidRDefault="00E5679C" w:rsidP="00E5679C">
            <w:pPr>
              <w:rPr>
                <w:rFonts w:eastAsia="Times New Roman" w:cstheme="minorHAnsi"/>
                <w:sz w:val="20"/>
                <w:lang w:eastAsia="en-GB"/>
              </w:rPr>
            </w:pPr>
            <w:r w:rsidRPr="000D7821">
              <w:rPr>
                <w:rFonts w:eastAsia="Times New Roman" w:cstheme="minorHAnsi"/>
                <w:sz w:val="20"/>
                <w:lang w:eastAsia="en-GB"/>
              </w:rPr>
              <w:t>The contract and service will be subject to six monthly and annual review. In advance of annual review, the provider will be expected to provide an annual report covering:</w:t>
            </w:r>
          </w:p>
          <w:p w:rsidR="00E5679C"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A quantification and description of the activities of the last year;</w:t>
            </w:r>
          </w:p>
          <w:p w:rsidR="00E5679C"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Above profile by all protected characteristics;</w:t>
            </w:r>
          </w:p>
          <w:p w:rsidR="00E5679C"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A summary of the individual issues raised by people with dementia and cares and outcomes;</w:t>
            </w:r>
          </w:p>
          <w:p w:rsidR="00E5679C"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A summary of any collective issues;</w:t>
            </w:r>
          </w:p>
          <w:p w:rsidR="00E5679C"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Evidence of and reflection on service achievements;</w:t>
            </w:r>
          </w:p>
          <w:p w:rsidR="007215BF" w:rsidRPr="000D7821" w:rsidRDefault="00E5679C" w:rsidP="00E5679C">
            <w:pPr>
              <w:numPr>
                <w:ilvl w:val="0"/>
                <w:numId w:val="30"/>
              </w:numPr>
              <w:contextualSpacing/>
              <w:rPr>
                <w:rFonts w:eastAsia="Times New Roman" w:cstheme="minorHAnsi"/>
                <w:sz w:val="20"/>
                <w:lang w:eastAsia="en-GB"/>
              </w:rPr>
            </w:pPr>
            <w:r w:rsidRPr="000D7821">
              <w:rPr>
                <w:rFonts w:eastAsia="Times New Roman" w:cstheme="minorHAnsi"/>
                <w:sz w:val="20"/>
                <w:lang w:eastAsia="en-GB"/>
              </w:rPr>
              <w:t xml:space="preserve">Six monthly quality monitoring meetings with the commissioner will be based on reports submitted to South Devon and Torbay CCG provider. </w:t>
            </w:r>
          </w:p>
        </w:tc>
      </w:tr>
      <w:tr w:rsidR="00212884"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212884" w:rsidRPr="005B7192" w:rsidRDefault="00212884" w:rsidP="00212884">
            <w:pPr>
              <w:pStyle w:val="ListParagraph"/>
              <w:ind w:left="360"/>
              <w:jc w:val="both"/>
              <w:rPr>
                <w:rFonts w:ascii="Calibri" w:eastAsia="Times New Roman" w:hAnsi="Calibri" w:cs="Calibr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212884" w:rsidRDefault="00212884"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6. </w:t>
            </w:r>
            <w:r w:rsidR="0027429A" w:rsidRPr="00212884">
              <w:rPr>
                <w:rFonts w:ascii="Calibri" w:eastAsia="Times New Roman" w:hAnsi="Calibri" w:cs="Calibri"/>
                <w:color w:val="FFFFFF"/>
                <w:sz w:val="20"/>
                <w:szCs w:val="20"/>
                <w:lang w:eastAsia="en-GB"/>
              </w:rPr>
              <w:t xml:space="preserve">Location of </w:t>
            </w:r>
            <w:r w:rsidRPr="00212884">
              <w:rPr>
                <w:rFonts w:ascii="Calibri" w:eastAsia="Times New Roman" w:hAnsi="Calibri" w:cs="Calibri"/>
                <w:color w:val="FFFFFF"/>
                <w:sz w:val="20"/>
                <w:szCs w:val="20"/>
                <w:lang w:eastAsia="en-GB"/>
              </w:rPr>
              <w:t>Provider Premises</w:t>
            </w:r>
            <w:r w:rsidR="00B2049D">
              <w:rPr>
                <w:rFonts w:ascii="Calibri" w:eastAsia="Times New Roman" w:hAnsi="Calibri" w:cs="Calibri"/>
                <w:color w:val="FFFFFF"/>
                <w:sz w:val="20"/>
                <w:szCs w:val="20"/>
                <w:lang w:eastAsia="en-GB"/>
              </w:rPr>
              <w:t xml:space="preserve"> (Optional use)</w:t>
            </w:r>
          </w:p>
        </w:tc>
      </w:tr>
      <w:tr w:rsidR="00984B4F" w:rsidRPr="00D1216B" w:rsidTr="00876705">
        <w:trPr>
          <w:trHeight w:val="51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876705" w:rsidP="0058023C">
            <w:pPr>
              <w:jc w:val="both"/>
              <w:rPr>
                <w:rFonts w:ascii="Calibri" w:eastAsia="Times New Roman" w:hAnsi="Calibri" w:cs="Calibri"/>
                <w:b/>
                <w:color w:val="000000"/>
                <w:sz w:val="20"/>
                <w:szCs w:val="20"/>
                <w:lang w:eastAsia="en-GB"/>
              </w:rPr>
            </w:pPr>
            <w:r w:rsidRPr="00876705">
              <w:rPr>
                <w:rFonts w:ascii="Calibri" w:eastAsia="Times New Roman" w:hAnsi="Calibri" w:cs="Calibri"/>
                <w:b/>
                <w:color w:val="000000"/>
                <w:sz w:val="20"/>
                <w:szCs w:val="20"/>
                <w:lang w:eastAsia="en-GB"/>
              </w:rPr>
              <w:t>The Provider’s Premises are located at:</w:t>
            </w:r>
          </w:p>
          <w:p w:rsidR="00876705" w:rsidRDefault="00876705" w:rsidP="0058023C">
            <w:pPr>
              <w:jc w:val="both"/>
              <w:rPr>
                <w:rFonts w:ascii="Calibri" w:eastAsia="Times New Roman" w:hAnsi="Calibri" w:cs="Calibri"/>
                <w:b/>
                <w:color w:val="000000"/>
                <w:sz w:val="20"/>
                <w:szCs w:val="20"/>
                <w:lang w:eastAsia="en-GB"/>
              </w:rPr>
            </w:pPr>
          </w:p>
          <w:p w:rsidR="00876705" w:rsidRPr="00876705" w:rsidRDefault="00E5679C" w:rsidP="0058023C">
            <w:pPr>
              <w:jc w:val="both"/>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TBC</w:t>
            </w:r>
          </w:p>
        </w:tc>
      </w:tr>
      <w:tr w:rsidR="00984B4F" w:rsidRPr="00D1216B" w:rsidTr="00876705">
        <w:trPr>
          <w:trHeight w:val="315"/>
        </w:trPr>
        <w:tc>
          <w:tcPr>
            <w:tcW w:w="9700" w:type="dxa"/>
            <w:tcBorders>
              <w:top w:val="nil"/>
              <w:left w:val="single" w:sz="8" w:space="0" w:color="C0C0C0"/>
              <w:bottom w:val="single" w:sz="8" w:space="0" w:color="999999"/>
              <w:right w:val="single" w:sz="8" w:space="0" w:color="C0C0C0"/>
            </w:tcBorders>
            <w:shd w:val="clear" w:color="auto" w:fill="auto"/>
            <w:vAlign w:val="center"/>
            <w:hideMark/>
          </w:tcPr>
          <w:p w:rsidR="00984B4F" w:rsidRPr="00D1216B" w:rsidRDefault="00984B4F" w:rsidP="00D1216B">
            <w:pPr>
              <w:jc w:val="both"/>
              <w:rPr>
                <w:rFonts w:ascii="Calibri" w:eastAsia="Times New Roman" w:hAnsi="Calibri" w:cs="Calibri"/>
                <w:b/>
                <w:bCs/>
                <w:color w:val="000000"/>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D1216B" w:rsidRDefault="00212884" w:rsidP="005B7192">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7. </w:t>
            </w:r>
            <w:r w:rsidR="00984B4F" w:rsidRPr="00D1216B">
              <w:rPr>
                <w:rFonts w:ascii="Calibri" w:eastAsia="Times New Roman" w:hAnsi="Calibri" w:cs="Calibri"/>
                <w:color w:val="FFFFFF"/>
                <w:sz w:val="20"/>
                <w:szCs w:val="20"/>
                <w:lang w:eastAsia="en-GB"/>
              </w:rPr>
              <w:t xml:space="preserve"> Individual Servic</w:t>
            </w:r>
            <w:r w:rsidR="00984B4F">
              <w:rPr>
                <w:rFonts w:ascii="Calibri" w:eastAsia="Times New Roman" w:hAnsi="Calibri" w:cs="Calibri"/>
                <w:color w:val="FFFFFF"/>
                <w:sz w:val="20"/>
                <w:szCs w:val="20"/>
                <w:lang w:eastAsia="en-GB"/>
              </w:rPr>
              <w:t>e User Placement</w:t>
            </w:r>
            <w:r w:rsidR="00B2049D">
              <w:rPr>
                <w:rFonts w:ascii="Calibri" w:eastAsia="Times New Roman" w:hAnsi="Calibri" w:cs="Calibri"/>
                <w:color w:val="FFFFFF"/>
                <w:sz w:val="20"/>
                <w:szCs w:val="20"/>
                <w:lang w:eastAsia="en-GB"/>
              </w:rPr>
              <w:t xml:space="preserve"> (Optional use)</w:t>
            </w:r>
          </w:p>
        </w:tc>
      </w:tr>
      <w:tr w:rsidR="00984B4F" w:rsidRPr="00D1216B" w:rsidTr="001F01DD">
        <w:trPr>
          <w:trHeight w:val="171"/>
        </w:trPr>
        <w:tc>
          <w:tcPr>
            <w:tcW w:w="9700" w:type="dxa"/>
            <w:tcBorders>
              <w:top w:val="nil"/>
              <w:left w:val="single" w:sz="8" w:space="0" w:color="C0C0C0"/>
              <w:bottom w:val="nil"/>
              <w:right w:val="single" w:sz="8" w:space="0" w:color="C0C0C0"/>
            </w:tcBorders>
            <w:shd w:val="clear" w:color="auto" w:fill="auto"/>
            <w:vAlign w:val="center"/>
            <w:hideMark/>
          </w:tcPr>
          <w:p w:rsidR="00984B4F" w:rsidRPr="00D1216B" w:rsidRDefault="00984B4F" w:rsidP="00D1216B">
            <w:pPr>
              <w:jc w:val="both"/>
              <w:rPr>
                <w:rFonts w:ascii="Calibri" w:eastAsia="Times New Roman" w:hAnsi="Calibri" w:cs="Calibri"/>
                <w:color w:val="000000"/>
                <w:sz w:val="20"/>
                <w:szCs w:val="20"/>
                <w:lang w:eastAsia="en-GB"/>
              </w:rPr>
            </w:pPr>
          </w:p>
        </w:tc>
      </w:tr>
      <w:tr w:rsidR="00984B4F" w:rsidRPr="00D1216B" w:rsidTr="00212884">
        <w:trPr>
          <w:trHeight w:val="315"/>
        </w:trPr>
        <w:tc>
          <w:tcPr>
            <w:tcW w:w="9700" w:type="dxa"/>
            <w:tcBorders>
              <w:top w:val="nil"/>
              <w:left w:val="single" w:sz="8" w:space="0" w:color="C0C0C0"/>
              <w:bottom w:val="single" w:sz="8" w:space="0" w:color="C0C0C0"/>
              <w:right w:val="single" w:sz="8" w:space="0" w:color="C0C0C0"/>
            </w:tcBorders>
            <w:shd w:val="clear" w:color="auto" w:fill="auto"/>
            <w:vAlign w:val="center"/>
            <w:hideMark/>
          </w:tcPr>
          <w:p w:rsidR="00984B4F" w:rsidRDefault="00E5679C" w:rsidP="001F01DD">
            <w:pPr>
              <w:jc w:val="both"/>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p w:rsidR="005B7192" w:rsidRPr="00D1216B" w:rsidRDefault="005B7192" w:rsidP="001F01DD">
            <w:pPr>
              <w:jc w:val="both"/>
              <w:rPr>
                <w:rFonts w:ascii="Calibri" w:eastAsia="Times New Roman" w:hAnsi="Calibri" w:cs="Calibri"/>
                <w:color w:val="000000"/>
                <w:sz w:val="20"/>
                <w:szCs w:val="20"/>
                <w:lang w:eastAsia="en-GB"/>
              </w:rPr>
            </w:pPr>
          </w:p>
        </w:tc>
      </w:tr>
    </w:tbl>
    <w:p w:rsidR="00167939" w:rsidRDefault="00167939"/>
    <w:p w:rsidR="00D1216B" w:rsidRDefault="00D1216B"/>
    <w:sectPr w:rsidR="00D1216B" w:rsidSect="001F01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41" w:rsidRDefault="00095441" w:rsidP="009819D8">
      <w:r>
        <w:separator/>
      </w:r>
    </w:p>
  </w:endnote>
  <w:endnote w:type="continuationSeparator" w:id="0">
    <w:p w:rsidR="00095441" w:rsidRDefault="00095441" w:rsidP="009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72" w:rsidRDefault="005D3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74685"/>
      <w:docPartObj>
        <w:docPartGallery w:val="Page Numbers (Bottom of Page)"/>
        <w:docPartUnique/>
      </w:docPartObj>
    </w:sdtPr>
    <w:sdtEndPr>
      <w:rPr>
        <w:noProof/>
      </w:rPr>
    </w:sdtEndPr>
    <w:sdtContent>
      <w:p w:rsidR="00095441" w:rsidRDefault="00095441">
        <w:pPr>
          <w:pStyle w:val="Footer"/>
          <w:jc w:val="center"/>
        </w:pPr>
        <w:r>
          <w:fldChar w:fldCharType="begin"/>
        </w:r>
        <w:r>
          <w:instrText xml:space="preserve"> PAGE   \* MERGEFORMAT </w:instrText>
        </w:r>
        <w:r>
          <w:fldChar w:fldCharType="separate"/>
        </w:r>
        <w:r w:rsidR="005D3272">
          <w:rPr>
            <w:noProof/>
          </w:rPr>
          <w:t>1</w:t>
        </w:r>
        <w:r>
          <w:rPr>
            <w:noProof/>
          </w:rPr>
          <w:fldChar w:fldCharType="end"/>
        </w:r>
      </w:p>
    </w:sdtContent>
  </w:sdt>
  <w:p w:rsidR="00095441" w:rsidRDefault="000954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72" w:rsidRDefault="005D3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41" w:rsidRDefault="00095441" w:rsidP="009819D8">
      <w:r>
        <w:separator/>
      </w:r>
    </w:p>
  </w:footnote>
  <w:footnote w:type="continuationSeparator" w:id="0">
    <w:p w:rsidR="00095441" w:rsidRDefault="00095441" w:rsidP="0098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72" w:rsidRDefault="005D3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07724"/>
      <w:docPartObj>
        <w:docPartGallery w:val="Watermarks"/>
        <w:docPartUnique/>
      </w:docPartObj>
    </w:sdtPr>
    <w:sdtContent>
      <w:p w:rsidR="005D3272" w:rsidRDefault="005D327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72" w:rsidRDefault="005D32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85D"/>
    <w:multiLevelType w:val="hybridMultilevel"/>
    <w:tmpl w:val="0E4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F46A96"/>
    <w:multiLevelType w:val="hybridMultilevel"/>
    <w:tmpl w:val="88D02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15500"/>
    <w:multiLevelType w:val="hybridMultilevel"/>
    <w:tmpl w:val="9D60E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496400"/>
    <w:multiLevelType w:val="hybridMultilevel"/>
    <w:tmpl w:val="288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547E0"/>
    <w:multiLevelType w:val="hybridMultilevel"/>
    <w:tmpl w:val="3D20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1C3128"/>
    <w:multiLevelType w:val="hybridMultilevel"/>
    <w:tmpl w:val="062047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3412E32"/>
    <w:multiLevelType w:val="hybridMultilevel"/>
    <w:tmpl w:val="229AB814"/>
    <w:lvl w:ilvl="0" w:tplc="3EFA5116">
      <w:start w:val="4"/>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23DC6329"/>
    <w:multiLevelType w:val="hybridMultilevel"/>
    <w:tmpl w:val="E64E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1136A5"/>
    <w:multiLevelType w:val="hybridMultilevel"/>
    <w:tmpl w:val="702A55E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51530C3"/>
    <w:multiLevelType w:val="hybridMultilevel"/>
    <w:tmpl w:val="644E782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D3E43DE"/>
    <w:multiLevelType w:val="hybridMultilevel"/>
    <w:tmpl w:val="B1302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AA69E1"/>
    <w:multiLevelType w:val="multilevel"/>
    <w:tmpl w:val="5246DA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903DC9"/>
    <w:multiLevelType w:val="hybridMultilevel"/>
    <w:tmpl w:val="02D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431F3F"/>
    <w:multiLevelType w:val="multilevel"/>
    <w:tmpl w:val="CBA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9B563A"/>
    <w:multiLevelType w:val="hybridMultilevel"/>
    <w:tmpl w:val="7830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261C16"/>
    <w:multiLevelType w:val="hybridMultilevel"/>
    <w:tmpl w:val="40685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489E2521"/>
    <w:multiLevelType w:val="hybridMultilevel"/>
    <w:tmpl w:val="4DAA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504AB9"/>
    <w:multiLevelType w:val="hybridMultilevel"/>
    <w:tmpl w:val="CDF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D91CDB"/>
    <w:multiLevelType w:val="hybridMultilevel"/>
    <w:tmpl w:val="85C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413994"/>
    <w:multiLevelType w:val="hybridMultilevel"/>
    <w:tmpl w:val="4838D95A"/>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
    <w:nsid w:val="526A7B9F"/>
    <w:multiLevelType w:val="hybridMultilevel"/>
    <w:tmpl w:val="A908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942721"/>
    <w:multiLevelType w:val="multilevel"/>
    <w:tmpl w:val="C0F4E2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5975843"/>
    <w:multiLevelType w:val="hybridMultilevel"/>
    <w:tmpl w:val="B0924786"/>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3">
    <w:nsid w:val="56833941"/>
    <w:multiLevelType w:val="hybridMultilevel"/>
    <w:tmpl w:val="65C24C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CA2B8B"/>
    <w:multiLevelType w:val="hybridMultilevel"/>
    <w:tmpl w:val="7E3A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550285"/>
    <w:multiLevelType w:val="hybridMultilevel"/>
    <w:tmpl w:val="D15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DA2BFE"/>
    <w:multiLevelType w:val="hybridMultilevel"/>
    <w:tmpl w:val="FA006D00"/>
    <w:lvl w:ilvl="0" w:tplc="CCCEB1FC">
      <w:start w:val="2"/>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7">
    <w:nsid w:val="64D92991"/>
    <w:multiLevelType w:val="multilevel"/>
    <w:tmpl w:val="5F829650"/>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69F93370"/>
    <w:multiLevelType w:val="hybridMultilevel"/>
    <w:tmpl w:val="1EB0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770E25"/>
    <w:multiLevelType w:val="multilevel"/>
    <w:tmpl w:val="A77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47729B"/>
    <w:multiLevelType w:val="hybridMultilevel"/>
    <w:tmpl w:val="36CC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7C4C34"/>
    <w:multiLevelType w:val="hybridMultilevel"/>
    <w:tmpl w:val="5CC2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4F5810"/>
    <w:multiLevelType w:val="hybridMultilevel"/>
    <w:tmpl w:val="3AF4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A253C4"/>
    <w:multiLevelType w:val="hybridMultilevel"/>
    <w:tmpl w:val="858E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3878E6"/>
    <w:multiLevelType w:val="multilevel"/>
    <w:tmpl w:val="DE308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0"/>
  </w:num>
  <w:num w:numId="3">
    <w:abstractNumId w:val="22"/>
  </w:num>
  <w:num w:numId="4">
    <w:abstractNumId w:val="19"/>
  </w:num>
  <w:num w:numId="5">
    <w:abstractNumId w:val="6"/>
  </w:num>
  <w:num w:numId="6">
    <w:abstractNumId w:val="27"/>
  </w:num>
  <w:num w:numId="7">
    <w:abstractNumId w:val="21"/>
  </w:num>
  <w:num w:numId="8">
    <w:abstractNumId w:val="35"/>
  </w:num>
  <w:num w:numId="9">
    <w:abstractNumId w:val="15"/>
  </w:num>
  <w:num w:numId="10">
    <w:abstractNumId w:val="25"/>
  </w:num>
  <w:num w:numId="11">
    <w:abstractNumId w:val="24"/>
  </w:num>
  <w:num w:numId="12">
    <w:abstractNumId w:val="33"/>
  </w:num>
  <w:num w:numId="13">
    <w:abstractNumId w:val="16"/>
  </w:num>
  <w:num w:numId="14">
    <w:abstractNumId w:val="12"/>
  </w:num>
  <w:num w:numId="15">
    <w:abstractNumId w:val="30"/>
  </w:num>
  <w:num w:numId="16">
    <w:abstractNumId w:val="23"/>
  </w:num>
  <w:num w:numId="17">
    <w:abstractNumId w:val="26"/>
  </w:num>
  <w:num w:numId="18">
    <w:abstractNumId w:val="3"/>
  </w:num>
  <w:num w:numId="19">
    <w:abstractNumId w:val="5"/>
  </w:num>
  <w:num w:numId="20">
    <w:abstractNumId w:val="8"/>
  </w:num>
  <w:num w:numId="21">
    <w:abstractNumId w:val="9"/>
  </w:num>
  <w:num w:numId="22">
    <w:abstractNumId w:val="14"/>
  </w:num>
  <w:num w:numId="23">
    <w:abstractNumId w:val="0"/>
  </w:num>
  <w:num w:numId="24">
    <w:abstractNumId w:val="1"/>
  </w:num>
  <w:num w:numId="25">
    <w:abstractNumId w:val="32"/>
  </w:num>
  <w:num w:numId="26">
    <w:abstractNumId w:val="18"/>
  </w:num>
  <w:num w:numId="27">
    <w:abstractNumId w:val="20"/>
  </w:num>
  <w:num w:numId="28">
    <w:abstractNumId w:val="4"/>
  </w:num>
  <w:num w:numId="29">
    <w:abstractNumId w:val="17"/>
  </w:num>
  <w:num w:numId="30">
    <w:abstractNumId w:val="34"/>
  </w:num>
  <w:num w:numId="31">
    <w:abstractNumId w:val="31"/>
  </w:num>
  <w:num w:numId="32">
    <w:abstractNumId w:val="28"/>
  </w:num>
  <w:num w:numId="33">
    <w:abstractNumId w:val="29"/>
  </w:num>
  <w:num w:numId="34">
    <w:abstractNumId w:val="13"/>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6B"/>
    <w:rsid w:val="00025861"/>
    <w:rsid w:val="0004460D"/>
    <w:rsid w:val="000562D0"/>
    <w:rsid w:val="00091DE0"/>
    <w:rsid w:val="00095441"/>
    <w:rsid w:val="000B2C2D"/>
    <w:rsid w:val="000D7821"/>
    <w:rsid w:val="00117669"/>
    <w:rsid w:val="00124A56"/>
    <w:rsid w:val="00126DCC"/>
    <w:rsid w:val="00167939"/>
    <w:rsid w:val="001D0F1E"/>
    <w:rsid w:val="001F01DD"/>
    <w:rsid w:val="001F13D5"/>
    <w:rsid w:val="00212884"/>
    <w:rsid w:val="00251D0A"/>
    <w:rsid w:val="0027429A"/>
    <w:rsid w:val="00276394"/>
    <w:rsid w:val="0028772B"/>
    <w:rsid w:val="002C3B81"/>
    <w:rsid w:val="00377BF5"/>
    <w:rsid w:val="003A1685"/>
    <w:rsid w:val="003A6B85"/>
    <w:rsid w:val="00435DE1"/>
    <w:rsid w:val="00463EC5"/>
    <w:rsid w:val="00511444"/>
    <w:rsid w:val="00521C95"/>
    <w:rsid w:val="0053527B"/>
    <w:rsid w:val="00536EF0"/>
    <w:rsid w:val="00550F7D"/>
    <w:rsid w:val="0058023C"/>
    <w:rsid w:val="00585F8A"/>
    <w:rsid w:val="005B027A"/>
    <w:rsid w:val="005B7192"/>
    <w:rsid w:val="005D3272"/>
    <w:rsid w:val="00605FD7"/>
    <w:rsid w:val="00641A97"/>
    <w:rsid w:val="006426BB"/>
    <w:rsid w:val="006502B2"/>
    <w:rsid w:val="00660501"/>
    <w:rsid w:val="006C1607"/>
    <w:rsid w:val="00713829"/>
    <w:rsid w:val="007215BF"/>
    <w:rsid w:val="00747D92"/>
    <w:rsid w:val="00780D41"/>
    <w:rsid w:val="007C1780"/>
    <w:rsid w:val="007C700B"/>
    <w:rsid w:val="007F7818"/>
    <w:rsid w:val="008122DC"/>
    <w:rsid w:val="0081599B"/>
    <w:rsid w:val="008363F0"/>
    <w:rsid w:val="008632B6"/>
    <w:rsid w:val="00876705"/>
    <w:rsid w:val="008812BE"/>
    <w:rsid w:val="008B6C1C"/>
    <w:rsid w:val="008D0E96"/>
    <w:rsid w:val="008F2C62"/>
    <w:rsid w:val="009819D8"/>
    <w:rsid w:val="00984B4F"/>
    <w:rsid w:val="009A121A"/>
    <w:rsid w:val="009B3D5E"/>
    <w:rsid w:val="009D4C90"/>
    <w:rsid w:val="009F18AE"/>
    <w:rsid w:val="00A33D35"/>
    <w:rsid w:val="00A77B3B"/>
    <w:rsid w:val="00A83406"/>
    <w:rsid w:val="00AC1BD3"/>
    <w:rsid w:val="00AC6387"/>
    <w:rsid w:val="00AC76A4"/>
    <w:rsid w:val="00B2049D"/>
    <w:rsid w:val="00B219C2"/>
    <w:rsid w:val="00B22F9E"/>
    <w:rsid w:val="00B83E3C"/>
    <w:rsid w:val="00BE7D84"/>
    <w:rsid w:val="00C21108"/>
    <w:rsid w:val="00C3321F"/>
    <w:rsid w:val="00C51591"/>
    <w:rsid w:val="00C85513"/>
    <w:rsid w:val="00C90634"/>
    <w:rsid w:val="00CC5DB9"/>
    <w:rsid w:val="00CC74E0"/>
    <w:rsid w:val="00D1216B"/>
    <w:rsid w:val="00D40EA7"/>
    <w:rsid w:val="00D556EC"/>
    <w:rsid w:val="00D97A55"/>
    <w:rsid w:val="00DB02F3"/>
    <w:rsid w:val="00DF3F87"/>
    <w:rsid w:val="00E10250"/>
    <w:rsid w:val="00E12D4C"/>
    <w:rsid w:val="00E14805"/>
    <w:rsid w:val="00E16AE4"/>
    <w:rsid w:val="00E21FA9"/>
    <w:rsid w:val="00E27B70"/>
    <w:rsid w:val="00E5679C"/>
    <w:rsid w:val="00E602E4"/>
    <w:rsid w:val="00E62333"/>
    <w:rsid w:val="00EC2CF8"/>
    <w:rsid w:val="00F83C9D"/>
    <w:rsid w:val="00F965AF"/>
    <w:rsid w:val="00FD2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C700B"/>
    <w:pPr>
      <w:ind w:left="720"/>
      <w:contextualSpacing/>
    </w:pPr>
  </w:style>
  <w:style w:type="paragraph" w:customStyle="1" w:styleId="Default">
    <w:name w:val="Default"/>
    <w:rsid w:val="00984B4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819D8"/>
    <w:pPr>
      <w:tabs>
        <w:tab w:val="center" w:pos="4513"/>
        <w:tab w:val="right" w:pos="9026"/>
      </w:tabs>
    </w:pPr>
  </w:style>
  <w:style w:type="character" w:customStyle="1" w:styleId="HeaderChar">
    <w:name w:val="Header Char"/>
    <w:basedOn w:val="DefaultParagraphFont"/>
    <w:link w:val="Header"/>
    <w:uiPriority w:val="99"/>
    <w:rsid w:val="009819D8"/>
  </w:style>
  <w:style w:type="paragraph" w:styleId="Footer">
    <w:name w:val="footer"/>
    <w:basedOn w:val="Normal"/>
    <w:link w:val="FooterChar"/>
    <w:uiPriority w:val="99"/>
    <w:unhideWhenUsed/>
    <w:rsid w:val="009819D8"/>
    <w:pPr>
      <w:tabs>
        <w:tab w:val="center" w:pos="4513"/>
        <w:tab w:val="right" w:pos="9026"/>
      </w:tabs>
    </w:pPr>
  </w:style>
  <w:style w:type="character" w:customStyle="1" w:styleId="FooterChar">
    <w:name w:val="Footer Char"/>
    <w:basedOn w:val="DefaultParagraphFont"/>
    <w:link w:val="Footer"/>
    <w:uiPriority w:val="99"/>
    <w:rsid w:val="009819D8"/>
  </w:style>
  <w:style w:type="paragraph" w:styleId="BodyText">
    <w:name w:val="Body Text"/>
    <w:basedOn w:val="Normal"/>
    <w:link w:val="BodyTextChar"/>
    <w:uiPriority w:val="99"/>
    <w:unhideWhenUsed/>
    <w:rsid w:val="00550F7D"/>
    <w:pPr>
      <w:spacing w:after="120"/>
    </w:pPr>
  </w:style>
  <w:style w:type="character" w:customStyle="1" w:styleId="BodyTextChar">
    <w:name w:val="Body Text Char"/>
    <w:basedOn w:val="DefaultParagraphFont"/>
    <w:link w:val="BodyText"/>
    <w:uiPriority w:val="99"/>
    <w:rsid w:val="00550F7D"/>
  </w:style>
  <w:style w:type="character" w:styleId="CommentReference">
    <w:name w:val="annotation reference"/>
    <w:basedOn w:val="DefaultParagraphFont"/>
    <w:uiPriority w:val="99"/>
    <w:semiHidden/>
    <w:unhideWhenUsed/>
    <w:rsid w:val="00876705"/>
    <w:rPr>
      <w:sz w:val="16"/>
      <w:szCs w:val="16"/>
    </w:rPr>
  </w:style>
  <w:style w:type="paragraph" w:styleId="CommentText">
    <w:name w:val="annotation text"/>
    <w:basedOn w:val="Normal"/>
    <w:link w:val="CommentTextChar"/>
    <w:uiPriority w:val="99"/>
    <w:semiHidden/>
    <w:unhideWhenUsed/>
    <w:rsid w:val="00876705"/>
    <w:rPr>
      <w:sz w:val="20"/>
      <w:szCs w:val="20"/>
    </w:rPr>
  </w:style>
  <w:style w:type="character" w:customStyle="1" w:styleId="CommentTextChar">
    <w:name w:val="Comment Text Char"/>
    <w:basedOn w:val="DefaultParagraphFont"/>
    <w:link w:val="CommentText"/>
    <w:uiPriority w:val="99"/>
    <w:semiHidden/>
    <w:rsid w:val="00876705"/>
    <w:rPr>
      <w:sz w:val="20"/>
      <w:szCs w:val="20"/>
    </w:rPr>
  </w:style>
  <w:style w:type="paragraph" w:styleId="CommentSubject">
    <w:name w:val="annotation subject"/>
    <w:basedOn w:val="CommentText"/>
    <w:next w:val="CommentText"/>
    <w:link w:val="CommentSubjectChar"/>
    <w:uiPriority w:val="99"/>
    <w:semiHidden/>
    <w:unhideWhenUsed/>
    <w:rsid w:val="00876705"/>
    <w:rPr>
      <w:b/>
      <w:bCs/>
    </w:rPr>
  </w:style>
  <w:style w:type="character" w:customStyle="1" w:styleId="CommentSubjectChar">
    <w:name w:val="Comment Subject Char"/>
    <w:basedOn w:val="CommentTextChar"/>
    <w:link w:val="CommentSubject"/>
    <w:uiPriority w:val="99"/>
    <w:semiHidden/>
    <w:rsid w:val="00876705"/>
    <w:rPr>
      <w:b/>
      <w:bCs/>
      <w:sz w:val="20"/>
      <w:szCs w:val="20"/>
    </w:rPr>
  </w:style>
  <w:style w:type="paragraph" w:styleId="BalloonText">
    <w:name w:val="Balloon Text"/>
    <w:basedOn w:val="Normal"/>
    <w:link w:val="BalloonTextChar"/>
    <w:uiPriority w:val="99"/>
    <w:semiHidden/>
    <w:unhideWhenUsed/>
    <w:rsid w:val="00876705"/>
    <w:rPr>
      <w:rFonts w:ascii="Tahoma" w:hAnsi="Tahoma" w:cs="Tahoma"/>
      <w:sz w:val="16"/>
      <w:szCs w:val="16"/>
    </w:rPr>
  </w:style>
  <w:style w:type="character" w:customStyle="1" w:styleId="BalloonTextChar">
    <w:name w:val="Balloon Text Char"/>
    <w:basedOn w:val="DefaultParagraphFont"/>
    <w:link w:val="BalloonText"/>
    <w:uiPriority w:val="99"/>
    <w:semiHidden/>
    <w:rsid w:val="00876705"/>
    <w:rPr>
      <w:rFonts w:ascii="Tahoma" w:hAnsi="Tahoma" w:cs="Tahoma"/>
      <w:sz w:val="16"/>
      <w:szCs w:val="16"/>
    </w:rPr>
  </w:style>
  <w:style w:type="character" w:customStyle="1" w:styleId="ListParagraphChar">
    <w:name w:val="List Paragraph Char"/>
    <w:basedOn w:val="DefaultParagraphFont"/>
    <w:link w:val="ListParagraph"/>
    <w:uiPriority w:val="99"/>
    <w:locked/>
    <w:rsid w:val="00E5679C"/>
  </w:style>
  <w:style w:type="paragraph" w:styleId="NormalWeb">
    <w:name w:val="Normal (Web)"/>
    <w:basedOn w:val="Normal"/>
    <w:uiPriority w:val="99"/>
    <w:semiHidden/>
    <w:unhideWhenUsed/>
    <w:rsid w:val="00F965AF"/>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C700B"/>
    <w:pPr>
      <w:ind w:left="720"/>
      <w:contextualSpacing/>
    </w:pPr>
  </w:style>
  <w:style w:type="paragraph" w:customStyle="1" w:styleId="Default">
    <w:name w:val="Default"/>
    <w:rsid w:val="00984B4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819D8"/>
    <w:pPr>
      <w:tabs>
        <w:tab w:val="center" w:pos="4513"/>
        <w:tab w:val="right" w:pos="9026"/>
      </w:tabs>
    </w:pPr>
  </w:style>
  <w:style w:type="character" w:customStyle="1" w:styleId="HeaderChar">
    <w:name w:val="Header Char"/>
    <w:basedOn w:val="DefaultParagraphFont"/>
    <w:link w:val="Header"/>
    <w:uiPriority w:val="99"/>
    <w:rsid w:val="009819D8"/>
  </w:style>
  <w:style w:type="paragraph" w:styleId="Footer">
    <w:name w:val="footer"/>
    <w:basedOn w:val="Normal"/>
    <w:link w:val="FooterChar"/>
    <w:uiPriority w:val="99"/>
    <w:unhideWhenUsed/>
    <w:rsid w:val="009819D8"/>
    <w:pPr>
      <w:tabs>
        <w:tab w:val="center" w:pos="4513"/>
        <w:tab w:val="right" w:pos="9026"/>
      </w:tabs>
    </w:pPr>
  </w:style>
  <w:style w:type="character" w:customStyle="1" w:styleId="FooterChar">
    <w:name w:val="Footer Char"/>
    <w:basedOn w:val="DefaultParagraphFont"/>
    <w:link w:val="Footer"/>
    <w:uiPriority w:val="99"/>
    <w:rsid w:val="009819D8"/>
  </w:style>
  <w:style w:type="paragraph" w:styleId="BodyText">
    <w:name w:val="Body Text"/>
    <w:basedOn w:val="Normal"/>
    <w:link w:val="BodyTextChar"/>
    <w:uiPriority w:val="99"/>
    <w:unhideWhenUsed/>
    <w:rsid w:val="00550F7D"/>
    <w:pPr>
      <w:spacing w:after="120"/>
    </w:pPr>
  </w:style>
  <w:style w:type="character" w:customStyle="1" w:styleId="BodyTextChar">
    <w:name w:val="Body Text Char"/>
    <w:basedOn w:val="DefaultParagraphFont"/>
    <w:link w:val="BodyText"/>
    <w:uiPriority w:val="99"/>
    <w:rsid w:val="00550F7D"/>
  </w:style>
  <w:style w:type="character" w:styleId="CommentReference">
    <w:name w:val="annotation reference"/>
    <w:basedOn w:val="DefaultParagraphFont"/>
    <w:uiPriority w:val="99"/>
    <w:semiHidden/>
    <w:unhideWhenUsed/>
    <w:rsid w:val="00876705"/>
    <w:rPr>
      <w:sz w:val="16"/>
      <w:szCs w:val="16"/>
    </w:rPr>
  </w:style>
  <w:style w:type="paragraph" w:styleId="CommentText">
    <w:name w:val="annotation text"/>
    <w:basedOn w:val="Normal"/>
    <w:link w:val="CommentTextChar"/>
    <w:uiPriority w:val="99"/>
    <w:semiHidden/>
    <w:unhideWhenUsed/>
    <w:rsid w:val="00876705"/>
    <w:rPr>
      <w:sz w:val="20"/>
      <w:szCs w:val="20"/>
    </w:rPr>
  </w:style>
  <w:style w:type="character" w:customStyle="1" w:styleId="CommentTextChar">
    <w:name w:val="Comment Text Char"/>
    <w:basedOn w:val="DefaultParagraphFont"/>
    <w:link w:val="CommentText"/>
    <w:uiPriority w:val="99"/>
    <w:semiHidden/>
    <w:rsid w:val="00876705"/>
    <w:rPr>
      <w:sz w:val="20"/>
      <w:szCs w:val="20"/>
    </w:rPr>
  </w:style>
  <w:style w:type="paragraph" w:styleId="CommentSubject">
    <w:name w:val="annotation subject"/>
    <w:basedOn w:val="CommentText"/>
    <w:next w:val="CommentText"/>
    <w:link w:val="CommentSubjectChar"/>
    <w:uiPriority w:val="99"/>
    <w:semiHidden/>
    <w:unhideWhenUsed/>
    <w:rsid w:val="00876705"/>
    <w:rPr>
      <w:b/>
      <w:bCs/>
    </w:rPr>
  </w:style>
  <w:style w:type="character" w:customStyle="1" w:styleId="CommentSubjectChar">
    <w:name w:val="Comment Subject Char"/>
    <w:basedOn w:val="CommentTextChar"/>
    <w:link w:val="CommentSubject"/>
    <w:uiPriority w:val="99"/>
    <w:semiHidden/>
    <w:rsid w:val="00876705"/>
    <w:rPr>
      <w:b/>
      <w:bCs/>
      <w:sz w:val="20"/>
      <w:szCs w:val="20"/>
    </w:rPr>
  </w:style>
  <w:style w:type="paragraph" w:styleId="BalloonText">
    <w:name w:val="Balloon Text"/>
    <w:basedOn w:val="Normal"/>
    <w:link w:val="BalloonTextChar"/>
    <w:uiPriority w:val="99"/>
    <w:semiHidden/>
    <w:unhideWhenUsed/>
    <w:rsid w:val="00876705"/>
    <w:rPr>
      <w:rFonts w:ascii="Tahoma" w:hAnsi="Tahoma" w:cs="Tahoma"/>
      <w:sz w:val="16"/>
      <w:szCs w:val="16"/>
    </w:rPr>
  </w:style>
  <w:style w:type="character" w:customStyle="1" w:styleId="BalloonTextChar">
    <w:name w:val="Balloon Text Char"/>
    <w:basedOn w:val="DefaultParagraphFont"/>
    <w:link w:val="BalloonText"/>
    <w:uiPriority w:val="99"/>
    <w:semiHidden/>
    <w:rsid w:val="00876705"/>
    <w:rPr>
      <w:rFonts w:ascii="Tahoma" w:hAnsi="Tahoma" w:cs="Tahoma"/>
      <w:sz w:val="16"/>
      <w:szCs w:val="16"/>
    </w:rPr>
  </w:style>
  <w:style w:type="character" w:customStyle="1" w:styleId="ListParagraphChar">
    <w:name w:val="List Paragraph Char"/>
    <w:basedOn w:val="DefaultParagraphFont"/>
    <w:link w:val="ListParagraph"/>
    <w:uiPriority w:val="99"/>
    <w:locked/>
    <w:rsid w:val="00E5679C"/>
  </w:style>
  <w:style w:type="paragraph" w:styleId="NormalWeb">
    <w:name w:val="Normal (Web)"/>
    <w:basedOn w:val="Normal"/>
    <w:uiPriority w:val="99"/>
    <w:semiHidden/>
    <w:unhideWhenUsed/>
    <w:rsid w:val="00F965A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686">
      <w:bodyDiv w:val="1"/>
      <w:marLeft w:val="0"/>
      <w:marRight w:val="0"/>
      <w:marTop w:val="0"/>
      <w:marBottom w:val="0"/>
      <w:divBdr>
        <w:top w:val="none" w:sz="0" w:space="0" w:color="auto"/>
        <w:left w:val="none" w:sz="0" w:space="0" w:color="auto"/>
        <w:bottom w:val="none" w:sz="0" w:space="0" w:color="auto"/>
        <w:right w:val="none" w:sz="0" w:space="0" w:color="auto"/>
      </w:divBdr>
    </w:div>
    <w:div w:id="575362788">
      <w:bodyDiv w:val="1"/>
      <w:marLeft w:val="0"/>
      <w:marRight w:val="0"/>
      <w:marTop w:val="0"/>
      <w:marBottom w:val="0"/>
      <w:divBdr>
        <w:top w:val="none" w:sz="0" w:space="0" w:color="auto"/>
        <w:left w:val="none" w:sz="0" w:space="0" w:color="auto"/>
        <w:bottom w:val="none" w:sz="0" w:space="0" w:color="auto"/>
        <w:right w:val="none" w:sz="0" w:space="0" w:color="auto"/>
      </w:divBdr>
    </w:div>
    <w:div w:id="733547753">
      <w:bodyDiv w:val="1"/>
      <w:marLeft w:val="0"/>
      <w:marRight w:val="0"/>
      <w:marTop w:val="0"/>
      <w:marBottom w:val="0"/>
      <w:divBdr>
        <w:top w:val="none" w:sz="0" w:space="0" w:color="auto"/>
        <w:left w:val="none" w:sz="0" w:space="0" w:color="auto"/>
        <w:bottom w:val="none" w:sz="0" w:space="0" w:color="auto"/>
        <w:right w:val="none" w:sz="0" w:space="0" w:color="auto"/>
      </w:divBdr>
    </w:div>
    <w:div w:id="1022826389">
      <w:bodyDiv w:val="1"/>
      <w:marLeft w:val="0"/>
      <w:marRight w:val="0"/>
      <w:marTop w:val="0"/>
      <w:marBottom w:val="0"/>
      <w:divBdr>
        <w:top w:val="none" w:sz="0" w:space="0" w:color="auto"/>
        <w:left w:val="none" w:sz="0" w:space="0" w:color="auto"/>
        <w:bottom w:val="none" w:sz="0" w:space="0" w:color="auto"/>
        <w:right w:val="none" w:sz="0" w:space="0" w:color="auto"/>
      </w:divBdr>
    </w:div>
    <w:div w:id="1064640549">
      <w:bodyDiv w:val="1"/>
      <w:marLeft w:val="0"/>
      <w:marRight w:val="0"/>
      <w:marTop w:val="0"/>
      <w:marBottom w:val="0"/>
      <w:divBdr>
        <w:top w:val="none" w:sz="0" w:space="0" w:color="auto"/>
        <w:left w:val="none" w:sz="0" w:space="0" w:color="auto"/>
        <w:bottom w:val="none" w:sz="0" w:space="0" w:color="auto"/>
        <w:right w:val="none" w:sz="0" w:space="0" w:color="auto"/>
      </w:divBdr>
    </w:div>
    <w:div w:id="1242325935">
      <w:bodyDiv w:val="1"/>
      <w:marLeft w:val="0"/>
      <w:marRight w:val="0"/>
      <w:marTop w:val="0"/>
      <w:marBottom w:val="0"/>
      <w:divBdr>
        <w:top w:val="none" w:sz="0" w:space="0" w:color="auto"/>
        <w:left w:val="none" w:sz="0" w:space="0" w:color="auto"/>
        <w:bottom w:val="none" w:sz="0" w:space="0" w:color="auto"/>
        <w:right w:val="none" w:sz="0" w:space="0" w:color="auto"/>
      </w:divBdr>
    </w:div>
    <w:div w:id="1720402282">
      <w:bodyDiv w:val="1"/>
      <w:marLeft w:val="0"/>
      <w:marRight w:val="0"/>
      <w:marTop w:val="0"/>
      <w:marBottom w:val="0"/>
      <w:divBdr>
        <w:top w:val="none" w:sz="0" w:space="0" w:color="auto"/>
        <w:left w:val="none" w:sz="0" w:space="0" w:color="auto"/>
        <w:bottom w:val="none" w:sz="0" w:space="0" w:color="auto"/>
        <w:right w:val="none" w:sz="0" w:space="0" w:color="auto"/>
      </w:divBdr>
    </w:div>
    <w:div w:id="18238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8001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Morton</dc:creator>
  <cp:lastModifiedBy>Passmore-Tarpey Joshua</cp:lastModifiedBy>
  <cp:revision>2</cp:revision>
  <cp:lastPrinted>2019-01-04T08:40:00Z</cp:lastPrinted>
  <dcterms:created xsi:type="dcterms:W3CDTF">2019-01-04T13:16:00Z</dcterms:created>
  <dcterms:modified xsi:type="dcterms:W3CDTF">2019-01-04T13:16:00Z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3a4ba960-95ff-4507-9bc4-0e73e0629131</vt:lpwstr>
  </property>
</Properties>
</file>