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BE4" w:rsidRDefault="00AF753C" w:rsidP="00AF753C">
      <w:pPr>
        <w:jc w:val="center"/>
        <w:rPr>
          <w:b/>
        </w:rPr>
      </w:pPr>
      <w:r>
        <w:rPr>
          <w:b/>
        </w:rPr>
        <w:t>CONTRACTS FINDER ADVERT TEMPLATE</w:t>
      </w:r>
    </w:p>
    <w:tbl>
      <w:tblPr>
        <w:tblStyle w:val="TableGrid"/>
        <w:tblW w:w="15877" w:type="dxa"/>
        <w:tblInd w:w="-885" w:type="dxa"/>
        <w:tblLook w:val="04A0" w:firstRow="1" w:lastRow="0" w:firstColumn="1" w:lastColumn="0" w:noHBand="0" w:noVBand="1"/>
      </w:tblPr>
      <w:tblGrid>
        <w:gridCol w:w="4395"/>
        <w:gridCol w:w="11482"/>
      </w:tblGrid>
      <w:tr w:rsidR="00AF753C" w:rsidTr="00AF753C">
        <w:tc>
          <w:tcPr>
            <w:tcW w:w="4395" w:type="dxa"/>
          </w:tcPr>
          <w:p w:rsidR="00AF753C" w:rsidRDefault="00AF753C" w:rsidP="00AF753C">
            <w:pPr>
              <w:rPr>
                <w:b/>
                <w:i/>
              </w:rPr>
            </w:pPr>
            <w:r>
              <w:rPr>
                <w:b/>
                <w:i/>
              </w:rPr>
              <w:t>Title of Contract</w:t>
            </w:r>
          </w:p>
          <w:p w:rsidR="00AF753C" w:rsidRPr="00AF753C" w:rsidRDefault="00AF753C" w:rsidP="00AF753C">
            <w:pPr>
              <w:rPr>
                <w:i/>
                <w:color w:val="FF0000"/>
              </w:rPr>
            </w:pPr>
            <w:r>
              <w:rPr>
                <w:i/>
                <w:color w:val="FF0000"/>
              </w:rPr>
              <w:t xml:space="preserve">Same title as on </w:t>
            </w:r>
            <w:proofErr w:type="spellStart"/>
            <w:r>
              <w:rPr>
                <w:i/>
                <w:color w:val="FF0000"/>
              </w:rPr>
              <w:t>workplan</w:t>
            </w:r>
            <w:proofErr w:type="spellEnd"/>
          </w:p>
        </w:tc>
        <w:tc>
          <w:tcPr>
            <w:tcW w:w="11482" w:type="dxa"/>
          </w:tcPr>
          <w:p w:rsidR="00AF753C" w:rsidRPr="00AF753C" w:rsidRDefault="005A3394" w:rsidP="00C007C9">
            <w:r>
              <w:rPr>
                <w:color w:val="000000"/>
              </w:rPr>
              <w:t>Anti-coagulation Management Service</w:t>
            </w:r>
            <w:r w:rsidR="00C007C9">
              <w:rPr>
                <w:color w:val="000000"/>
              </w:rPr>
              <w:t xml:space="preserve"> (AQP 2</w:t>
            </w:r>
            <w:r w:rsidR="00C007C9" w:rsidRPr="00C007C9">
              <w:rPr>
                <w:color w:val="000000"/>
                <w:vertAlign w:val="superscript"/>
              </w:rPr>
              <w:t>nd</w:t>
            </w:r>
            <w:r w:rsidR="00C007C9">
              <w:rPr>
                <w:color w:val="000000"/>
              </w:rPr>
              <w:t xml:space="preserve"> Window)</w:t>
            </w:r>
            <w:r>
              <w:rPr>
                <w:color w:val="000000"/>
              </w:rPr>
              <w:t xml:space="preserve"> </w:t>
            </w:r>
          </w:p>
        </w:tc>
      </w:tr>
      <w:tr w:rsidR="00AF753C" w:rsidTr="00AF753C">
        <w:tc>
          <w:tcPr>
            <w:tcW w:w="4395" w:type="dxa"/>
          </w:tcPr>
          <w:p w:rsidR="00AF753C" w:rsidRDefault="00AF753C" w:rsidP="00AF753C">
            <w:pPr>
              <w:rPr>
                <w:b/>
                <w:i/>
              </w:rPr>
            </w:pPr>
            <w:r>
              <w:rPr>
                <w:b/>
                <w:i/>
              </w:rPr>
              <w:t>Bravo Project Reference</w:t>
            </w:r>
          </w:p>
          <w:p w:rsidR="00AF753C" w:rsidRPr="00AF753C" w:rsidRDefault="00AF753C" w:rsidP="00AF753C">
            <w:pPr>
              <w:rPr>
                <w:i/>
                <w:color w:val="FF0000"/>
              </w:rPr>
            </w:pPr>
            <w:r>
              <w:rPr>
                <w:i/>
                <w:color w:val="FF0000"/>
              </w:rPr>
              <w:t>Same project reference as Bravo</w:t>
            </w:r>
          </w:p>
        </w:tc>
        <w:tc>
          <w:tcPr>
            <w:tcW w:w="11482" w:type="dxa"/>
          </w:tcPr>
          <w:p w:rsidR="00AF753C" w:rsidRPr="00C007C9" w:rsidRDefault="000C03F2" w:rsidP="00AF753C">
            <w:r>
              <w:t>Project_272 / PQQ_377</w:t>
            </w:r>
          </w:p>
        </w:tc>
      </w:tr>
      <w:tr w:rsidR="00AF753C" w:rsidTr="00AF753C">
        <w:tc>
          <w:tcPr>
            <w:tcW w:w="4395" w:type="dxa"/>
          </w:tcPr>
          <w:p w:rsidR="00AF753C" w:rsidRDefault="00AF753C" w:rsidP="00AF753C">
            <w:pPr>
              <w:rPr>
                <w:b/>
                <w:i/>
              </w:rPr>
            </w:pPr>
            <w:r>
              <w:rPr>
                <w:b/>
                <w:i/>
              </w:rPr>
              <w:t>Advert Close Date</w:t>
            </w:r>
          </w:p>
          <w:p w:rsidR="00AF753C" w:rsidRPr="00AF753C" w:rsidRDefault="00AF753C" w:rsidP="00AF753C">
            <w:pPr>
              <w:rPr>
                <w:i/>
                <w:color w:val="FF0000"/>
              </w:rPr>
            </w:pPr>
            <w:r>
              <w:rPr>
                <w:i/>
                <w:color w:val="FF0000"/>
              </w:rPr>
              <w:t>Always @ 17:00pm on that day</w:t>
            </w:r>
          </w:p>
        </w:tc>
        <w:tc>
          <w:tcPr>
            <w:tcW w:w="11482" w:type="dxa"/>
          </w:tcPr>
          <w:p w:rsidR="00AF753C" w:rsidRPr="00AF753C" w:rsidRDefault="006B2EAF" w:rsidP="003F5388">
            <w:r>
              <w:t xml:space="preserve">17:00pm on </w:t>
            </w:r>
            <w:r w:rsidR="003F5388">
              <w:t>17</w:t>
            </w:r>
            <w:r w:rsidR="003F5388" w:rsidRPr="003F5388">
              <w:rPr>
                <w:vertAlign w:val="superscript"/>
              </w:rPr>
              <w:t>th</w:t>
            </w:r>
            <w:r w:rsidR="003F5388">
              <w:t xml:space="preserve"> </w:t>
            </w:r>
            <w:r w:rsidR="00C434DC">
              <w:t>July 2015</w:t>
            </w:r>
          </w:p>
        </w:tc>
      </w:tr>
      <w:tr w:rsidR="006B2EAF" w:rsidTr="00AF753C">
        <w:tc>
          <w:tcPr>
            <w:tcW w:w="4395" w:type="dxa"/>
          </w:tcPr>
          <w:p w:rsidR="006B2EAF" w:rsidRDefault="006B2EAF" w:rsidP="00AF753C">
            <w:pPr>
              <w:rPr>
                <w:b/>
                <w:i/>
              </w:rPr>
            </w:pPr>
            <w:r>
              <w:rPr>
                <w:b/>
                <w:i/>
              </w:rPr>
              <w:t>Total Contract Value</w:t>
            </w:r>
          </w:p>
          <w:p w:rsidR="006B2EAF" w:rsidRPr="00AF753C" w:rsidRDefault="006B2EAF" w:rsidP="00AF753C">
            <w:pPr>
              <w:rPr>
                <w:i/>
                <w:color w:val="FF0000"/>
              </w:rPr>
            </w:pPr>
            <w:r>
              <w:rPr>
                <w:i/>
                <w:color w:val="FF0000"/>
              </w:rPr>
              <w:t xml:space="preserve">Total for contract </w:t>
            </w:r>
            <w:proofErr w:type="spellStart"/>
            <w:r>
              <w:rPr>
                <w:i/>
                <w:color w:val="FF0000"/>
              </w:rPr>
              <w:t>inc</w:t>
            </w:r>
            <w:proofErr w:type="spellEnd"/>
            <w:r>
              <w:rPr>
                <w:i/>
                <w:color w:val="FF0000"/>
              </w:rPr>
              <w:t xml:space="preserve"> potential extensions</w:t>
            </w:r>
          </w:p>
        </w:tc>
        <w:tc>
          <w:tcPr>
            <w:tcW w:w="11482" w:type="dxa"/>
          </w:tcPr>
          <w:p w:rsidR="006B2EAF" w:rsidRPr="00C007C9" w:rsidRDefault="00C007C9" w:rsidP="006B2EAF">
            <w:pPr>
              <w:rPr>
                <w:color w:val="FF0000"/>
              </w:rPr>
            </w:pPr>
            <w:r w:rsidRPr="00C007C9">
              <w:t>£0.00</w:t>
            </w:r>
          </w:p>
        </w:tc>
      </w:tr>
      <w:tr w:rsidR="006B2EAF" w:rsidTr="00AF753C">
        <w:tc>
          <w:tcPr>
            <w:tcW w:w="4395" w:type="dxa"/>
          </w:tcPr>
          <w:p w:rsidR="006B2EAF" w:rsidRDefault="006B2EAF" w:rsidP="00AF753C">
            <w:pPr>
              <w:rPr>
                <w:b/>
                <w:i/>
              </w:rPr>
            </w:pPr>
            <w:r>
              <w:rPr>
                <w:b/>
                <w:i/>
              </w:rPr>
              <w:t>Location where contract will be carried out</w:t>
            </w:r>
          </w:p>
          <w:p w:rsidR="006B2EAF" w:rsidRPr="00AF753C" w:rsidRDefault="006B2EAF" w:rsidP="00AF753C">
            <w:pPr>
              <w:rPr>
                <w:i/>
                <w:color w:val="FF0000"/>
              </w:rPr>
            </w:pPr>
            <w:r>
              <w:rPr>
                <w:i/>
                <w:color w:val="FF0000"/>
              </w:rPr>
              <w:t>CCG location</w:t>
            </w:r>
          </w:p>
        </w:tc>
        <w:tc>
          <w:tcPr>
            <w:tcW w:w="11482" w:type="dxa"/>
          </w:tcPr>
          <w:p w:rsidR="006B2EAF" w:rsidRPr="00AF753C" w:rsidRDefault="006B2EAF" w:rsidP="00AF753C">
            <w:r>
              <w:rPr>
                <w:color w:val="000000"/>
              </w:rPr>
              <w:t>Birmingham South Central</w:t>
            </w:r>
          </w:p>
        </w:tc>
      </w:tr>
      <w:tr w:rsidR="006B2EAF" w:rsidTr="00AF753C">
        <w:tc>
          <w:tcPr>
            <w:tcW w:w="4395" w:type="dxa"/>
          </w:tcPr>
          <w:p w:rsidR="006B2EAF" w:rsidRPr="00AF753C" w:rsidRDefault="006B2EAF" w:rsidP="00AF753C">
            <w:pPr>
              <w:rPr>
                <w:b/>
                <w:i/>
              </w:rPr>
            </w:pPr>
            <w:r>
              <w:rPr>
                <w:b/>
                <w:i/>
              </w:rPr>
              <w:t>Suitable for Smaller Organisations</w:t>
            </w:r>
          </w:p>
        </w:tc>
        <w:tc>
          <w:tcPr>
            <w:tcW w:w="11482" w:type="dxa"/>
          </w:tcPr>
          <w:p w:rsidR="006B2EAF" w:rsidRPr="00AF753C" w:rsidRDefault="006B2EAF" w:rsidP="006B2EAF">
            <w:r w:rsidRPr="00AF753C">
              <w:t xml:space="preserve">Yes </w:t>
            </w:r>
          </w:p>
        </w:tc>
      </w:tr>
      <w:tr w:rsidR="006B2EAF" w:rsidTr="00AF753C">
        <w:tc>
          <w:tcPr>
            <w:tcW w:w="4395" w:type="dxa"/>
          </w:tcPr>
          <w:p w:rsidR="006B2EAF" w:rsidRDefault="006B2EAF" w:rsidP="00AF753C">
            <w:pPr>
              <w:rPr>
                <w:b/>
                <w:i/>
              </w:rPr>
            </w:pPr>
            <w:r>
              <w:rPr>
                <w:b/>
                <w:i/>
              </w:rPr>
              <w:t>Suitable for 3</w:t>
            </w:r>
            <w:r w:rsidRPr="00AF753C">
              <w:rPr>
                <w:b/>
                <w:i/>
                <w:vertAlign w:val="superscript"/>
              </w:rPr>
              <w:t>rd</w:t>
            </w:r>
            <w:r>
              <w:rPr>
                <w:b/>
                <w:i/>
              </w:rPr>
              <w:t xml:space="preserve"> Sector providers</w:t>
            </w:r>
          </w:p>
          <w:p w:rsidR="006B2EAF" w:rsidRPr="00AF753C" w:rsidRDefault="006B2EAF" w:rsidP="00AF753C">
            <w:pPr>
              <w:rPr>
                <w:i/>
                <w:color w:val="FF0000"/>
              </w:rPr>
            </w:pPr>
            <w:r>
              <w:rPr>
                <w:i/>
                <w:color w:val="FF0000"/>
              </w:rPr>
              <w:t>Voluntary / Social Enterprise</w:t>
            </w:r>
          </w:p>
        </w:tc>
        <w:tc>
          <w:tcPr>
            <w:tcW w:w="11482" w:type="dxa"/>
          </w:tcPr>
          <w:p w:rsidR="006B2EAF" w:rsidRPr="00AF753C" w:rsidRDefault="006B2EAF" w:rsidP="006B2EAF">
            <w:r>
              <w:t>No</w:t>
            </w:r>
            <w:r w:rsidRPr="00AF753C">
              <w:t xml:space="preserve"> </w:t>
            </w:r>
          </w:p>
        </w:tc>
      </w:tr>
      <w:tr w:rsidR="006B2EAF" w:rsidTr="00AF753C">
        <w:tc>
          <w:tcPr>
            <w:tcW w:w="4395" w:type="dxa"/>
          </w:tcPr>
          <w:p w:rsidR="006B2EAF" w:rsidRDefault="006B2EAF" w:rsidP="00AF753C">
            <w:pPr>
              <w:rPr>
                <w:b/>
                <w:i/>
              </w:rPr>
            </w:pPr>
            <w:r>
              <w:rPr>
                <w:b/>
                <w:i/>
              </w:rPr>
              <w:t>Name of Buying Organisation</w:t>
            </w:r>
          </w:p>
          <w:p w:rsidR="006B2EAF" w:rsidRPr="00AF753C" w:rsidRDefault="006B2EAF" w:rsidP="00AF753C">
            <w:pPr>
              <w:rPr>
                <w:i/>
                <w:color w:val="FF0000"/>
              </w:rPr>
            </w:pPr>
            <w:r>
              <w:rPr>
                <w:i/>
                <w:color w:val="FF0000"/>
              </w:rPr>
              <w:t>Insert name of CCG</w:t>
            </w:r>
          </w:p>
        </w:tc>
        <w:tc>
          <w:tcPr>
            <w:tcW w:w="11482" w:type="dxa"/>
          </w:tcPr>
          <w:p w:rsidR="006B2EAF" w:rsidRPr="00AF753C" w:rsidRDefault="00C007C9" w:rsidP="00AF753C">
            <w:r>
              <w:t>Midlands &amp; Lancashire CSU on behalf of Birmingham South Central CCG</w:t>
            </w:r>
          </w:p>
        </w:tc>
      </w:tr>
      <w:tr w:rsidR="006B2EAF" w:rsidTr="00AF753C">
        <w:tc>
          <w:tcPr>
            <w:tcW w:w="4395" w:type="dxa"/>
          </w:tcPr>
          <w:p w:rsidR="006B2EAF" w:rsidRDefault="006B2EAF" w:rsidP="009B4022">
            <w:pPr>
              <w:rPr>
                <w:b/>
                <w:i/>
              </w:rPr>
            </w:pPr>
            <w:r>
              <w:rPr>
                <w:b/>
                <w:i/>
              </w:rPr>
              <w:t>Description of Contract</w:t>
            </w:r>
          </w:p>
          <w:p w:rsidR="006B2EAF" w:rsidRPr="00AF753C" w:rsidRDefault="006B2EAF" w:rsidP="009B4022">
            <w:pPr>
              <w:rPr>
                <w:i/>
                <w:color w:val="FF0000"/>
              </w:rPr>
            </w:pPr>
            <w:r>
              <w:rPr>
                <w:i/>
                <w:color w:val="FF0000"/>
              </w:rPr>
              <w:t>Provide sufficient detail to allow potential providers to decide on viability and whether they can apply</w:t>
            </w:r>
          </w:p>
        </w:tc>
        <w:tc>
          <w:tcPr>
            <w:tcW w:w="11482" w:type="dxa"/>
          </w:tcPr>
          <w:p w:rsidR="006B2EAF" w:rsidRDefault="00C007C9" w:rsidP="00DD7E16">
            <w:pPr>
              <w:pStyle w:val="NoSpacing"/>
              <w:rPr>
                <w:lang w:eastAsia="en-GB"/>
              </w:rPr>
            </w:pPr>
            <w:r>
              <w:rPr>
                <w:lang w:eastAsia="en-GB"/>
              </w:rPr>
              <w:t>Midlands &amp; Lancashire CSU</w:t>
            </w:r>
            <w:r w:rsidR="006B2EAF" w:rsidRPr="00D0355F">
              <w:rPr>
                <w:lang w:eastAsia="en-GB"/>
              </w:rPr>
              <w:t xml:space="preserve"> on behalf of Birmingham South Central CCG is seeking expressions of interest from suitably qualified providers for a Community Oral Anti-Coagulation service. Th</w:t>
            </w:r>
            <w:r w:rsidR="006B2EAF">
              <w:rPr>
                <w:lang w:eastAsia="en-GB"/>
              </w:rPr>
              <w:t xml:space="preserve">e service is being commissioned </w:t>
            </w:r>
            <w:r w:rsidR="006B2EAF" w:rsidRPr="00D0355F">
              <w:rPr>
                <w:lang w:eastAsia="en-GB"/>
              </w:rPr>
              <w:t xml:space="preserve">using the Any Qualified Provider process. </w:t>
            </w:r>
            <w:r w:rsidR="006B2EAF" w:rsidRPr="00D0355F">
              <w:rPr>
                <w:lang w:eastAsia="en-GB"/>
              </w:rPr>
              <w:br/>
            </w:r>
            <w:r w:rsidR="006B2EAF" w:rsidRPr="00D0355F">
              <w:rPr>
                <w:lang w:eastAsia="en-GB"/>
              </w:rPr>
              <w:br/>
              <w:t>The qualification period for th</w:t>
            </w:r>
            <w:r>
              <w:rPr>
                <w:lang w:eastAsia="en-GB"/>
              </w:rPr>
              <w:t>is</w:t>
            </w:r>
            <w:r w:rsidR="006B2EAF" w:rsidRPr="00D0355F">
              <w:rPr>
                <w:lang w:eastAsia="en-GB"/>
              </w:rPr>
              <w:t xml:space="preserve"> AQP accreditatio</w:t>
            </w:r>
            <w:r w:rsidR="006B2EAF">
              <w:rPr>
                <w:lang w:eastAsia="en-GB"/>
              </w:rPr>
              <w:t xml:space="preserve">n will </w:t>
            </w:r>
            <w:r>
              <w:rPr>
                <w:lang w:eastAsia="en-GB"/>
              </w:rPr>
              <w:t>end on the 31</w:t>
            </w:r>
            <w:r w:rsidRPr="00C007C9">
              <w:rPr>
                <w:vertAlign w:val="superscript"/>
                <w:lang w:eastAsia="en-GB"/>
              </w:rPr>
              <w:t>st</w:t>
            </w:r>
            <w:r>
              <w:rPr>
                <w:lang w:eastAsia="en-GB"/>
              </w:rPr>
              <w:t xml:space="preserve"> July 2017.</w:t>
            </w:r>
            <w:r w:rsidR="006B2EAF" w:rsidRPr="00D0355F">
              <w:rPr>
                <w:lang w:eastAsia="en-GB"/>
              </w:rPr>
              <w:t xml:space="preserve"> The CCG may open up additional qualification rounds during the accreditation period.  Should there be any geographical areas within the CCG area where further choice of provider is required; the CCG reserves the right to limit the next accreditation round to specific geographical areas only. </w:t>
            </w:r>
          </w:p>
          <w:p w:rsidR="00C007C9" w:rsidRDefault="00C007C9" w:rsidP="00DD7E16">
            <w:pPr>
              <w:pStyle w:val="NoSpacing"/>
              <w:rPr>
                <w:lang w:eastAsia="en-GB"/>
              </w:rPr>
            </w:pPr>
          </w:p>
          <w:p w:rsidR="00C007C9" w:rsidRPr="00D0355F" w:rsidRDefault="00C007C9" w:rsidP="00DD7E16">
            <w:pPr>
              <w:pStyle w:val="NoSpacing"/>
              <w:rPr>
                <w:lang w:eastAsia="en-GB"/>
              </w:rPr>
            </w:pPr>
            <w:r>
              <w:rPr>
                <w:rStyle w:val="taginput-container1"/>
                <w:rFonts w:ascii="Arial" w:hAnsi="Arial" w:cs="Arial"/>
                <w:color w:val="4A4A4A"/>
                <w:sz w:val="20"/>
                <w:szCs w:val="20"/>
                <w:bdr w:val="none" w:sz="0" w:space="0" w:color="auto" w:frame="1"/>
                <w:specVanish w:val="0"/>
              </w:rPr>
              <w:t>PLEASE NOTE THIS IS THE 2ND WINDOW – THE CCG IS ADVERTISING FOR THE PROVISION OF ANTI-COAGULATION SERVICES VIA AN AQP ARRANGEMENT FOR SET GEOGRAPHICAL LOCATIONS ONLY IN A BID TO IMPROVE SERVICE COVERAGE ACROSS THE CCG AREA. BIDS WILL ONLY BE ACCEPTED FROM PROVIDERS WHO WILL BE ABLE TO OFFER THE SERVICE WITHIN THE FOLLOWING POSTAL CODE AREAS (</w:t>
            </w:r>
            <w:proofErr w:type="spellStart"/>
            <w:r>
              <w:rPr>
                <w:rStyle w:val="taginput-container1"/>
                <w:rFonts w:ascii="Arial" w:hAnsi="Arial" w:cs="Arial"/>
                <w:color w:val="4A4A4A"/>
                <w:sz w:val="20"/>
                <w:szCs w:val="20"/>
                <w:bdr w:val="none" w:sz="0" w:space="0" w:color="auto" w:frame="1"/>
                <w:specVanish w:val="0"/>
              </w:rPr>
              <w:t>i.e.BIDS</w:t>
            </w:r>
            <w:proofErr w:type="spellEnd"/>
            <w:r>
              <w:rPr>
                <w:rStyle w:val="taginput-container1"/>
                <w:rFonts w:ascii="Arial" w:hAnsi="Arial" w:cs="Arial"/>
                <w:color w:val="4A4A4A"/>
                <w:sz w:val="20"/>
                <w:szCs w:val="20"/>
                <w:bdr w:val="none" w:sz="0" w:space="0" w:color="auto" w:frame="1"/>
                <w:specVanish w:val="0"/>
              </w:rPr>
              <w:t xml:space="preserve"> WILL BE ACCEPTED FOR SOME OR ALL THE FOLLOWING POST CODES ONLY):</w:t>
            </w:r>
            <w:r w:rsidR="009F62FD">
              <w:rPr>
                <w:rStyle w:val="taginput-container1"/>
                <w:rFonts w:ascii="Arial" w:hAnsi="Arial" w:cs="Arial"/>
                <w:color w:val="4A4A4A"/>
                <w:sz w:val="20"/>
                <w:szCs w:val="20"/>
                <w:bdr w:val="none" w:sz="0" w:space="0" w:color="auto" w:frame="1"/>
                <w:specVanish w:val="0"/>
              </w:rPr>
              <w:t>B48/</w:t>
            </w:r>
            <w:proofErr w:type="spellStart"/>
            <w:r w:rsidR="009F62FD">
              <w:rPr>
                <w:rStyle w:val="taginput-container1"/>
                <w:rFonts w:ascii="Arial" w:hAnsi="Arial" w:cs="Arial"/>
                <w:color w:val="4A4A4A"/>
                <w:sz w:val="20"/>
                <w:szCs w:val="20"/>
                <w:bdr w:val="none" w:sz="0" w:space="0" w:color="auto" w:frame="1"/>
                <w:specVanish w:val="0"/>
              </w:rPr>
              <w:t>Alvechurch</w:t>
            </w:r>
            <w:proofErr w:type="spellEnd"/>
          </w:p>
          <w:p w:rsidR="006B2EAF" w:rsidRDefault="006B2EAF" w:rsidP="00DD7E16">
            <w:pPr>
              <w:spacing w:before="120" w:line="312" w:lineRule="atLeast"/>
              <w:jc w:val="both"/>
              <w:rPr>
                <w:rFonts w:eastAsia="Times New Roman" w:cs="Arial"/>
                <w:color w:val="000000"/>
                <w:sz w:val="24"/>
                <w:szCs w:val="24"/>
                <w:lang w:eastAsia="en-GB"/>
              </w:rPr>
            </w:pPr>
          </w:p>
          <w:p w:rsidR="006B2EAF" w:rsidRDefault="006B2EAF" w:rsidP="00DD7E16">
            <w:r w:rsidRPr="00DD1735">
              <w:rPr>
                <w:u w:val="single"/>
              </w:rPr>
              <w:t>Aims and objectives of service</w:t>
            </w:r>
            <w:r w:rsidRPr="00DD1735">
              <w:t xml:space="preserve"> </w:t>
            </w:r>
            <w:r w:rsidRPr="00DD1735">
              <w:br/>
            </w:r>
            <w:r w:rsidRPr="00DD1735">
              <w:lastRenderedPageBreak/>
              <w:t xml:space="preserve">To provide a safe and effective initiation, stabilisation, monitoring, dosing and prescribing ‘One Stop Shop’ anti-coagulant management service for non-complex and stable complex to patients aged 16 and over, registered at a GP practice in the Birmingham South Central area, in line with National Guidance. </w:t>
            </w:r>
            <w:r w:rsidRPr="00DD1735">
              <w:br/>
            </w:r>
          </w:p>
          <w:p w:rsidR="006B2EAF" w:rsidRPr="00D0355F" w:rsidRDefault="006B2EAF" w:rsidP="00DD7E16">
            <w:r w:rsidRPr="00DD1735">
              <w:rPr>
                <w:u w:val="single"/>
              </w:rPr>
              <w:t>The objectives are as follows:</w:t>
            </w:r>
            <w:r w:rsidRPr="00DD1735">
              <w:t xml:space="preserve"> </w:t>
            </w:r>
            <w:r w:rsidRPr="00DD1735">
              <w:br/>
              <w:t xml:space="preserve">• To provide standardised and clinically effective anti-coagulation management of patients receiving warfarin therapy whilst minimising the risks associated with anti-coagulation, following nationally recognised and clinical safe standards </w:t>
            </w:r>
            <w:r w:rsidRPr="00DD1735">
              <w:br/>
              <w:t xml:space="preserve">• To initiate warfarin for suitable patients </w:t>
            </w:r>
            <w:r w:rsidRPr="00DD1735">
              <w:br/>
              <w:t xml:space="preserve">• To produce optimum management of INR control </w:t>
            </w:r>
            <w:r w:rsidRPr="00DD1735">
              <w:br/>
              <w:t xml:space="preserve">• To educate patients in understand their treatment, in terms of their condition requiring warfarin, target range for INR, the effects of over and under anti-coagulation, diet, lifestyle and drug interactions </w:t>
            </w:r>
            <w:r w:rsidRPr="00DD1735">
              <w:br/>
              <w:t xml:space="preserve">• To support the CCG policy in delivering of NOAC </w:t>
            </w:r>
            <w:r w:rsidRPr="00DD1735">
              <w:br/>
              <w:t xml:space="preserve">• To support the CCG Outcome Indicators </w:t>
            </w:r>
            <w:r w:rsidRPr="00DD1735">
              <w:br/>
              <w:t xml:space="preserve">• To provide a quality service that is underpinned by the NHS Outcomes Framework </w:t>
            </w:r>
            <w:r w:rsidRPr="00DD1735">
              <w:br/>
            </w:r>
            <w:r w:rsidRPr="00DD1735">
              <w:br/>
            </w:r>
            <w:r w:rsidRPr="00DD1735">
              <w:rPr>
                <w:u w:val="single"/>
              </w:rPr>
              <w:t>Service Description</w:t>
            </w:r>
            <w:r w:rsidRPr="00DD1735">
              <w:t xml:space="preserve"> </w:t>
            </w:r>
            <w:r w:rsidRPr="00DD1735">
              <w:br/>
              <w:t xml:space="preserve">Non-complex and appropriate stable complex patients aged 16 and over, registered to a GP practice in Birmingham South Central will access initiation, stabilisation, monitoring, dosing and prescribing anti-coagulant services, close to the patients home and accessible to all regardless of where they live or personal service ease-of-access need.  Provide domiciliary visits to housebound patients. </w:t>
            </w:r>
            <w:r w:rsidRPr="00DD1735">
              <w:br/>
            </w:r>
            <w:r w:rsidRPr="00DD1735">
              <w:br/>
              <w:t xml:space="preserve">The service will have equitable access, ensuring that patients are treated with dignity and respect, are fully informed about their care and are able to make decisions about their care in partnership with healthcare professionals. </w:t>
            </w:r>
            <w:r w:rsidRPr="00DD1735">
              <w:br/>
            </w:r>
            <w:r w:rsidRPr="00DD1735">
              <w:br/>
              <w:t xml:space="preserve">It is critical that the provider identifies and manages appropriately, patients with specific needs i.e. poor compliance, housebound patients, unstable INR control, or frequent non attendees. </w:t>
            </w:r>
            <w:r w:rsidRPr="00DD1735">
              <w:br/>
            </w:r>
            <w:r w:rsidRPr="00DD1735">
              <w:br/>
              <w:t xml:space="preserve">The service must optimise care to patients receiving anti-coagulant therapy in terms of accessibility, continuity and waiting times, and must offer patient choice of provider and best treatment available. </w:t>
            </w:r>
            <w:r w:rsidRPr="00DD1735">
              <w:br/>
            </w:r>
            <w:r w:rsidRPr="00DD1735">
              <w:br/>
              <w:t xml:space="preserve">The frequency and the number of monitoring appointments will be patient specific with the aim of becoming less frequent as the patient achieves and maintains therapeutic range. </w:t>
            </w:r>
            <w:r w:rsidRPr="00DD1735">
              <w:br/>
            </w:r>
            <w:r w:rsidRPr="00DD1735">
              <w:br/>
            </w:r>
            <w:r w:rsidRPr="00D0355F">
              <w:lastRenderedPageBreak/>
              <w:t xml:space="preserve">All patients will receive education and information about their treatment and management in accordance with written procedures and clinical protocols, in order to make decisions about their care in partnership with healthcare professionals. </w:t>
            </w:r>
            <w:r w:rsidRPr="00D0355F">
              <w:br/>
            </w:r>
            <w:r w:rsidRPr="00D0355F">
              <w:rPr>
                <w:u w:val="single"/>
              </w:rPr>
              <w:br/>
              <w:t>Eligibility to Provide</w:t>
            </w:r>
            <w:r w:rsidRPr="00D0355F">
              <w:t xml:space="preserve"> </w:t>
            </w:r>
            <w:r w:rsidRPr="00D0355F">
              <w:br/>
              <w:t xml:space="preserve">As part of the accreditation process, the clinical lead and all performer staff who will be involved in near patient testing and/or dosing MUST have undertaken nationally recognised training for anticoagulation management service. </w:t>
            </w:r>
            <w:r w:rsidRPr="00D0355F">
              <w:br/>
            </w:r>
            <w:r w:rsidRPr="00D0355F">
              <w:br/>
              <w:t xml:space="preserve">The NPSA has also developed competences for anti-coagulant therapy which include: </w:t>
            </w:r>
            <w:r w:rsidRPr="00D0355F">
              <w:br/>
              <w:t xml:space="preserve">• Initiating anti-coagulant therapy </w:t>
            </w:r>
            <w:r w:rsidRPr="00D0355F">
              <w:br/>
              <w:t xml:space="preserve">• Maintaining anti-coagulant therapy </w:t>
            </w:r>
            <w:r w:rsidRPr="00D0355F">
              <w:br/>
              <w:t xml:space="preserve">• Managing anti-coagulants in patients undergoing dental surgery </w:t>
            </w:r>
            <w:r w:rsidRPr="00D0355F">
              <w:br/>
              <w:t xml:space="preserve">• Reviewing the safety and effectiveness of an anti-coagulant service </w:t>
            </w:r>
            <w:r w:rsidRPr="00D0355F">
              <w:br/>
              <w:t xml:space="preserve">• CCG approved training providers </w:t>
            </w:r>
            <w:r w:rsidRPr="00D0355F">
              <w:br/>
            </w:r>
            <w:r w:rsidRPr="00D0355F">
              <w:br/>
              <w:t xml:space="preserve">Details of these competences are available at the following web link: </w:t>
            </w:r>
            <w:hyperlink r:id="rId5" w:history="1">
              <w:r w:rsidRPr="00D0355F">
                <w:rPr>
                  <w:b/>
                  <w:bCs/>
                </w:rPr>
                <w:t>http://www.nrls.npsa.nhs.uk/resources/?entryid45=59814</w:t>
              </w:r>
            </w:hyperlink>
            <w:r w:rsidRPr="00D0355F">
              <w:t xml:space="preserve"> </w:t>
            </w:r>
            <w:r w:rsidRPr="00D0355F">
              <w:br/>
            </w:r>
            <w:r w:rsidRPr="00D0355F">
              <w:br/>
              <w:t xml:space="preserve">Prior to service roll out, the Commissioner requires assurance that Providers have the facilities, clinical experience, training and competence as is necessary to provide an anti-coagulation stabilisation and monitoring service as laid down in this specification. </w:t>
            </w:r>
            <w:r w:rsidRPr="00D0355F">
              <w:br/>
            </w:r>
            <w:r w:rsidRPr="00D0355F">
              <w:br/>
              <w:t xml:space="preserve">Providers must assure the Commissioner prior to commencement that the NPSA Alert 18 checklist has been completed. </w:t>
            </w:r>
            <w:r w:rsidRPr="00D0355F">
              <w:br/>
            </w:r>
            <w:r w:rsidRPr="00D0355F">
              <w:br/>
              <w:t xml:space="preserve">The Provider must maintain a Continuing Professional Development database of the staff delivering the service, which identifies attended, scheduled and review training dates as part of the annual audit cycle. </w:t>
            </w:r>
            <w:r w:rsidRPr="00D0355F">
              <w:br/>
            </w:r>
            <w:r w:rsidRPr="00D0355F">
              <w:br/>
              <w:t xml:space="preserve">As specified by the commissioner, the provider shall use decision-support software to aid service delivery. </w:t>
            </w:r>
            <w:r w:rsidRPr="00D0355F">
              <w:br/>
            </w:r>
            <w:r w:rsidRPr="00D0355F">
              <w:br/>
              <w:t xml:space="preserve">A safe one-stop service and strong links with primary care and secondary care will be crucial success factors of this service. </w:t>
            </w:r>
            <w:r w:rsidRPr="00D0355F">
              <w:br/>
            </w:r>
            <w:r w:rsidRPr="00D0355F">
              <w:br/>
            </w:r>
            <w:r w:rsidRPr="00D0355F">
              <w:rPr>
                <w:u w:val="single"/>
              </w:rPr>
              <w:t>TARIFF</w:t>
            </w:r>
            <w:r w:rsidRPr="00D0355F">
              <w:t xml:space="preserve"> </w:t>
            </w:r>
            <w:r w:rsidRPr="00D0355F">
              <w:br/>
            </w:r>
            <w:r w:rsidRPr="00D0355F">
              <w:br/>
              <w:t xml:space="preserve">At present national and local tariff ranges from £170 to £210 per patient per year.  For this service, the pricing structure is yet </w:t>
            </w:r>
            <w:r w:rsidRPr="00D0355F">
              <w:lastRenderedPageBreak/>
              <w:t xml:space="preserve">to be finalised. </w:t>
            </w:r>
          </w:p>
          <w:p w:rsidR="006B2EAF" w:rsidRPr="00D0355F" w:rsidRDefault="006B2EAF" w:rsidP="00DD7E16">
            <w:pPr>
              <w:spacing w:before="120" w:line="312" w:lineRule="atLeast"/>
              <w:jc w:val="both"/>
              <w:rPr>
                <w:rFonts w:eastAsia="Times New Roman" w:cs="Arial"/>
                <w:color w:val="000000"/>
                <w:lang w:eastAsia="en-GB"/>
              </w:rPr>
            </w:pPr>
            <w:r w:rsidRPr="00D0355F">
              <w:rPr>
                <w:rFonts w:eastAsia="Times New Roman" w:cs="Arial"/>
                <w:color w:val="000000"/>
                <w:lang w:eastAsia="en-GB"/>
              </w:rPr>
              <w:t xml:space="preserve">All potential providers who wish to express an interest in the Birmingham South Central Any Qualified Provider Community Oral Anti-Coagulation service will be required to complete an accreditation questionnaire. </w:t>
            </w:r>
            <w:r w:rsidR="00FA2F1D">
              <w:rPr>
                <w:rFonts w:eastAsia="Times New Roman" w:cs="Arial"/>
                <w:color w:val="000000"/>
                <w:lang w:eastAsia="en-GB"/>
              </w:rPr>
              <w:t>NHS</w:t>
            </w:r>
            <w:r w:rsidRPr="00D0355F">
              <w:rPr>
                <w:rFonts w:eastAsia="Times New Roman" w:cs="Arial"/>
                <w:color w:val="000000"/>
                <w:lang w:eastAsia="en-GB"/>
              </w:rPr>
              <w:t xml:space="preserve"> Birmingham South Central CCG will assess the responses to the accreditation questionnaire to determine if a provider is sufficiently qualified to provide the service specified in the Service Specification contained within the Accreditation documentation. All providers who meet the required minimum quality criteria, who accept the NHS Standard Contract Terms and </w:t>
            </w:r>
            <w:bookmarkStart w:id="0" w:name="_GoBack"/>
            <w:bookmarkEnd w:id="0"/>
            <w:r w:rsidRPr="00D0355F">
              <w:rPr>
                <w:rFonts w:eastAsia="Times New Roman" w:cs="Arial"/>
                <w:color w:val="000000"/>
                <w:lang w:eastAsia="en-GB"/>
              </w:rPr>
              <w:t>the Tariff for the service set by the Birmingham South Central CCG will be offered a contract.</w:t>
            </w:r>
          </w:p>
          <w:p w:rsidR="006B2EAF" w:rsidRPr="00D0355F" w:rsidRDefault="006B2EAF" w:rsidP="00DD7E16">
            <w:pPr>
              <w:spacing w:before="120" w:line="312" w:lineRule="atLeast"/>
              <w:rPr>
                <w:rFonts w:eastAsia="Times New Roman" w:cs="Arial"/>
                <w:color w:val="000000"/>
                <w:lang w:eastAsia="en-GB"/>
              </w:rPr>
            </w:pPr>
          </w:p>
          <w:p w:rsidR="006B2EAF" w:rsidRPr="00D0355F" w:rsidRDefault="006B2EAF" w:rsidP="00DD7E16">
            <w:pPr>
              <w:autoSpaceDE w:val="0"/>
              <w:autoSpaceDN w:val="0"/>
              <w:adjustRightInd w:val="0"/>
              <w:jc w:val="both"/>
              <w:rPr>
                <w:rFonts w:eastAsia="Calibri" w:cs="Arial"/>
                <w:b/>
                <w:bCs/>
              </w:rPr>
            </w:pPr>
            <w:r w:rsidRPr="00D0355F">
              <w:rPr>
                <w:rFonts w:eastAsia="Times New Roman" w:cs="Arial"/>
                <w:color w:val="000000"/>
                <w:lang w:eastAsia="en-GB"/>
              </w:rPr>
              <w:t xml:space="preserve">In order to retain accreditation </w:t>
            </w:r>
            <w:r w:rsidRPr="00D0355F">
              <w:rPr>
                <w:rFonts w:eastAsia="Calibri" w:cs="Arial"/>
              </w:rPr>
              <w:t>Providers MUST undertake on going management of a minimum of 30 patients receiving oral anti-coagulation at any one time to ensure continued clinical competency. This will be reviewed annually.</w:t>
            </w:r>
          </w:p>
          <w:p w:rsidR="006B2EAF" w:rsidRPr="00DD7E16" w:rsidRDefault="006B2EAF" w:rsidP="00DD7E16">
            <w:pPr>
              <w:spacing w:before="120" w:line="312" w:lineRule="atLeast"/>
              <w:jc w:val="both"/>
              <w:rPr>
                <w:rFonts w:eastAsia="Times New Roman" w:cs="Arial"/>
                <w:color w:val="000000"/>
                <w:lang w:eastAsia="en-GB"/>
              </w:rPr>
            </w:pPr>
            <w:r w:rsidRPr="00D0355F">
              <w:rPr>
                <w:rFonts w:eastAsia="Times New Roman" w:cs="Arial"/>
                <w:color w:val="000000"/>
                <w:lang w:eastAsia="en-GB"/>
              </w:rPr>
              <w:t>Applications will be accepted from all organisation types including sole provider, consortia, partnership, lead provider/sub-</w:t>
            </w:r>
            <w:r>
              <w:rPr>
                <w:rFonts w:eastAsia="Times New Roman" w:cs="Arial"/>
                <w:color w:val="000000"/>
                <w:lang w:eastAsia="en-GB"/>
              </w:rPr>
              <w:t>contractor, etc.</w:t>
            </w:r>
          </w:p>
        </w:tc>
      </w:tr>
      <w:tr w:rsidR="006B2EAF" w:rsidTr="00AF753C">
        <w:tc>
          <w:tcPr>
            <w:tcW w:w="4395" w:type="dxa"/>
          </w:tcPr>
          <w:p w:rsidR="006B2EAF" w:rsidRDefault="006B2EAF" w:rsidP="009B4022">
            <w:pPr>
              <w:rPr>
                <w:b/>
                <w:i/>
              </w:rPr>
            </w:pPr>
            <w:r>
              <w:rPr>
                <w:b/>
                <w:i/>
              </w:rPr>
              <w:lastRenderedPageBreak/>
              <w:t>Documentation</w:t>
            </w:r>
          </w:p>
          <w:p w:rsidR="006B2EAF" w:rsidRPr="00AF753C" w:rsidRDefault="006B2EAF" w:rsidP="009B4022">
            <w:pPr>
              <w:rPr>
                <w:i/>
                <w:color w:val="FF0000"/>
              </w:rPr>
            </w:pPr>
            <w:r>
              <w:rPr>
                <w:i/>
                <w:color w:val="FF0000"/>
              </w:rPr>
              <w:t>-</w:t>
            </w:r>
            <w:proofErr w:type="spellStart"/>
            <w:r>
              <w:rPr>
                <w:i/>
                <w:color w:val="FF0000"/>
              </w:rPr>
              <w:t>ie</w:t>
            </w:r>
            <w:proofErr w:type="spellEnd"/>
            <w:r>
              <w:rPr>
                <w:i/>
                <w:color w:val="FF0000"/>
              </w:rPr>
              <w:t>- draft specification</w:t>
            </w:r>
          </w:p>
        </w:tc>
        <w:tc>
          <w:tcPr>
            <w:tcW w:w="11482" w:type="dxa"/>
          </w:tcPr>
          <w:p w:rsidR="006B2EAF" w:rsidRPr="006B2EAF" w:rsidRDefault="006B2EAF" w:rsidP="006B2EAF">
            <w:pPr>
              <w:rPr>
                <w:i/>
                <w:color w:val="FF0000"/>
              </w:rPr>
            </w:pPr>
            <w:r>
              <w:rPr>
                <w:i/>
                <w:color w:val="FF0000"/>
              </w:rPr>
              <w:t>To be attached by CSU once confirmed by CCG</w:t>
            </w:r>
          </w:p>
        </w:tc>
      </w:tr>
      <w:tr w:rsidR="006B2EAF" w:rsidTr="00AF753C">
        <w:tc>
          <w:tcPr>
            <w:tcW w:w="4395" w:type="dxa"/>
          </w:tcPr>
          <w:p w:rsidR="006B2EAF" w:rsidRPr="00AF753C" w:rsidRDefault="006B2EAF" w:rsidP="009B4022">
            <w:pPr>
              <w:rPr>
                <w:b/>
                <w:i/>
              </w:rPr>
            </w:pPr>
            <w:r>
              <w:rPr>
                <w:b/>
                <w:i/>
              </w:rPr>
              <w:t>Classification of Contract (CPV)</w:t>
            </w:r>
          </w:p>
        </w:tc>
        <w:tc>
          <w:tcPr>
            <w:tcW w:w="11482" w:type="dxa"/>
          </w:tcPr>
          <w:p w:rsidR="006B2EAF" w:rsidRPr="006B2EAF" w:rsidRDefault="006B2EAF" w:rsidP="00E37759">
            <w:pPr>
              <w:rPr>
                <w:i/>
                <w:color w:val="FF0000"/>
              </w:rPr>
            </w:pPr>
            <w:r>
              <w:rPr>
                <w:i/>
                <w:color w:val="FF0000"/>
              </w:rPr>
              <w:t>To be confirmed by CSU</w:t>
            </w:r>
          </w:p>
        </w:tc>
      </w:tr>
      <w:tr w:rsidR="006B2EAF" w:rsidTr="00AF753C">
        <w:tc>
          <w:tcPr>
            <w:tcW w:w="4395" w:type="dxa"/>
          </w:tcPr>
          <w:p w:rsidR="006B2EAF" w:rsidRPr="00AF753C" w:rsidRDefault="006B2EAF" w:rsidP="009B4022">
            <w:pPr>
              <w:rPr>
                <w:b/>
                <w:i/>
              </w:rPr>
            </w:pPr>
            <w:r>
              <w:rPr>
                <w:b/>
                <w:i/>
              </w:rPr>
              <w:t>Additional Information</w:t>
            </w:r>
          </w:p>
        </w:tc>
        <w:tc>
          <w:tcPr>
            <w:tcW w:w="11482" w:type="dxa"/>
          </w:tcPr>
          <w:p w:rsidR="006B2EAF" w:rsidRPr="00AF753C" w:rsidRDefault="006B2EAF" w:rsidP="009B4022"/>
        </w:tc>
      </w:tr>
      <w:tr w:rsidR="006B2EAF" w:rsidTr="00AF753C">
        <w:tc>
          <w:tcPr>
            <w:tcW w:w="4395" w:type="dxa"/>
          </w:tcPr>
          <w:p w:rsidR="006B2EAF" w:rsidRDefault="006B2EAF" w:rsidP="009B4022">
            <w:pPr>
              <w:rPr>
                <w:b/>
                <w:i/>
              </w:rPr>
            </w:pPr>
            <w:r>
              <w:rPr>
                <w:b/>
                <w:i/>
              </w:rPr>
              <w:t>Who to Contact</w:t>
            </w:r>
          </w:p>
          <w:p w:rsidR="006B2EAF" w:rsidRPr="00AF753C" w:rsidRDefault="006B2EAF" w:rsidP="009B4022">
            <w:pPr>
              <w:rPr>
                <w:i/>
                <w:color w:val="FF0000"/>
              </w:rPr>
            </w:pPr>
            <w:r>
              <w:rPr>
                <w:i/>
                <w:color w:val="FF0000"/>
              </w:rPr>
              <w:t>Name / address / telephone / email</w:t>
            </w:r>
          </w:p>
        </w:tc>
        <w:tc>
          <w:tcPr>
            <w:tcW w:w="11482" w:type="dxa"/>
          </w:tcPr>
          <w:p w:rsidR="006B2EAF" w:rsidRDefault="00C007C9" w:rsidP="009B4022">
            <w:r>
              <w:t>Kirsten Moon</w:t>
            </w:r>
          </w:p>
          <w:p w:rsidR="006B2EAF" w:rsidRDefault="006B2EAF" w:rsidP="009B4022">
            <w:r>
              <w:t>Birmingham South Central CCG</w:t>
            </w:r>
          </w:p>
          <w:p w:rsidR="006B2EAF" w:rsidRDefault="006B2EAF" w:rsidP="009B4022">
            <w:r>
              <w:t>Ground Floor, Bartholomew House</w:t>
            </w:r>
          </w:p>
          <w:p w:rsidR="006B2EAF" w:rsidRDefault="006B2EAF" w:rsidP="009B4022">
            <w:r>
              <w:t xml:space="preserve">142 </w:t>
            </w:r>
            <w:proofErr w:type="spellStart"/>
            <w:r>
              <w:t>Hagley</w:t>
            </w:r>
            <w:proofErr w:type="spellEnd"/>
            <w:r>
              <w:t xml:space="preserve"> Road, Birmingham</w:t>
            </w:r>
          </w:p>
          <w:p w:rsidR="006B2EAF" w:rsidRDefault="006B2EAF" w:rsidP="009B4022">
            <w:r>
              <w:t>B16 9PA</w:t>
            </w:r>
          </w:p>
          <w:p w:rsidR="00E30547" w:rsidRDefault="00E30547" w:rsidP="009B4022">
            <w:r>
              <w:t>0121 255 0872</w:t>
            </w:r>
          </w:p>
          <w:p w:rsidR="00C007C9" w:rsidRDefault="00C46D4E" w:rsidP="009B4022">
            <w:hyperlink r:id="rId6" w:history="1">
              <w:r w:rsidR="00C007C9" w:rsidRPr="00CE4EE9">
                <w:rPr>
                  <w:rStyle w:val="Hyperlink"/>
                </w:rPr>
                <w:t>Kirsten.moon@nhs.net</w:t>
              </w:r>
            </w:hyperlink>
          </w:p>
          <w:p w:rsidR="006B2EAF" w:rsidRPr="00AF753C" w:rsidRDefault="006B2EAF" w:rsidP="00C007C9"/>
        </w:tc>
      </w:tr>
      <w:tr w:rsidR="006B2EAF" w:rsidTr="00AF753C">
        <w:tc>
          <w:tcPr>
            <w:tcW w:w="4395" w:type="dxa"/>
          </w:tcPr>
          <w:p w:rsidR="006B2EAF" w:rsidRDefault="006B2EAF" w:rsidP="009B4022">
            <w:pPr>
              <w:rPr>
                <w:b/>
                <w:i/>
              </w:rPr>
            </w:pPr>
            <w:r>
              <w:rPr>
                <w:b/>
                <w:i/>
              </w:rPr>
              <w:t>Web Address</w:t>
            </w:r>
          </w:p>
          <w:p w:rsidR="006B2EAF" w:rsidRPr="00AF753C" w:rsidRDefault="006B2EAF" w:rsidP="009B4022">
            <w:pPr>
              <w:rPr>
                <w:i/>
                <w:color w:val="FF0000"/>
              </w:rPr>
            </w:pPr>
            <w:r>
              <w:rPr>
                <w:i/>
                <w:color w:val="FF0000"/>
              </w:rPr>
              <w:t xml:space="preserve">Maybe Bravo </w:t>
            </w:r>
            <w:proofErr w:type="spellStart"/>
            <w:r>
              <w:rPr>
                <w:i/>
                <w:color w:val="FF0000"/>
              </w:rPr>
              <w:t>pqq</w:t>
            </w:r>
            <w:proofErr w:type="spellEnd"/>
            <w:r>
              <w:rPr>
                <w:i/>
                <w:color w:val="FF0000"/>
              </w:rPr>
              <w:t xml:space="preserve"> to log expressions of interest and showcase draft specification</w:t>
            </w:r>
          </w:p>
        </w:tc>
        <w:tc>
          <w:tcPr>
            <w:tcW w:w="11482" w:type="dxa"/>
          </w:tcPr>
          <w:p w:rsidR="006B2EAF" w:rsidRPr="00AF753C" w:rsidRDefault="00C46D4E" w:rsidP="009B4022">
            <w:hyperlink r:id="rId7" w:history="1">
              <w:r w:rsidR="00C007C9" w:rsidRPr="00CE4EE9">
                <w:rPr>
                  <w:rStyle w:val="Hyperlink"/>
                  <w:rFonts w:eastAsia="Times New Roman" w:cs="Arial"/>
                  <w:b/>
                  <w:bCs/>
                  <w:lang w:eastAsia="en-GB"/>
                </w:rPr>
                <w:t>https://mlcsu.bravosolution.co.uk</w:t>
              </w:r>
            </w:hyperlink>
          </w:p>
        </w:tc>
      </w:tr>
      <w:tr w:rsidR="006B2EAF" w:rsidTr="00AF753C">
        <w:tc>
          <w:tcPr>
            <w:tcW w:w="4395" w:type="dxa"/>
          </w:tcPr>
          <w:p w:rsidR="006B2EAF" w:rsidRDefault="006B2EAF" w:rsidP="009B4022">
            <w:pPr>
              <w:rPr>
                <w:b/>
                <w:i/>
              </w:rPr>
            </w:pPr>
            <w:r>
              <w:rPr>
                <w:b/>
                <w:i/>
              </w:rPr>
              <w:t>How to Apply</w:t>
            </w:r>
          </w:p>
          <w:p w:rsidR="006B2EAF" w:rsidRPr="00AF753C" w:rsidRDefault="006B2EAF" w:rsidP="009B4022">
            <w:pPr>
              <w:rPr>
                <w:i/>
                <w:color w:val="FF0000"/>
              </w:rPr>
            </w:pPr>
            <w:r>
              <w:rPr>
                <w:i/>
                <w:color w:val="FF0000"/>
              </w:rPr>
              <w:t>Bravo / project reference / instructions etc..</w:t>
            </w:r>
          </w:p>
        </w:tc>
        <w:tc>
          <w:tcPr>
            <w:tcW w:w="11482" w:type="dxa"/>
          </w:tcPr>
          <w:p w:rsidR="006B2EAF" w:rsidRPr="00D0355F" w:rsidRDefault="006B2EAF" w:rsidP="00DD7E16">
            <w:pPr>
              <w:spacing w:before="120" w:line="312" w:lineRule="atLeast"/>
              <w:rPr>
                <w:rFonts w:eastAsia="Times New Roman" w:cs="Arial"/>
                <w:color w:val="000000"/>
                <w:lang w:eastAsia="en-GB"/>
              </w:rPr>
            </w:pPr>
            <w:proofErr w:type="spellStart"/>
            <w:r w:rsidRPr="00D0355F">
              <w:rPr>
                <w:rFonts w:eastAsia="Times New Roman" w:cs="Arial"/>
                <w:color w:val="000000"/>
                <w:lang w:eastAsia="en-GB"/>
              </w:rPr>
              <w:t>i</w:t>
            </w:r>
            <w:proofErr w:type="spellEnd"/>
            <w:r w:rsidRPr="00D0355F">
              <w:rPr>
                <w:rFonts w:eastAsia="Times New Roman" w:cs="Arial"/>
                <w:color w:val="000000"/>
                <w:lang w:eastAsia="en-GB"/>
              </w:rPr>
              <w:t xml:space="preserve">) Register on the portal at </w:t>
            </w:r>
            <w:hyperlink r:id="rId8" w:history="1">
              <w:r w:rsidR="00C007C9" w:rsidRPr="00CE4EE9">
                <w:rPr>
                  <w:rStyle w:val="Hyperlink"/>
                  <w:rFonts w:eastAsia="Times New Roman" w:cs="Arial"/>
                  <w:b/>
                  <w:bCs/>
                  <w:lang w:eastAsia="en-GB"/>
                </w:rPr>
                <w:t>https://mlcsu.bravosolution.co.uk</w:t>
              </w:r>
            </w:hyperlink>
            <w:r w:rsidRPr="00D0355F">
              <w:rPr>
                <w:rFonts w:eastAsia="Times New Roman" w:cs="Arial"/>
                <w:b/>
                <w:bCs/>
                <w:color w:val="0066CC"/>
                <w:lang w:eastAsia="en-GB"/>
              </w:rPr>
              <w:t xml:space="preserve"> </w:t>
            </w:r>
            <w:r w:rsidRPr="00D0355F">
              <w:rPr>
                <w:rFonts w:eastAsia="Times New Roman" w:cs="Arial"/>
                <w:color w:val="000000"/>
                <w:lang w:eastAsia="en-GB"/>
              </w:rPr>
              <w:t xml:space="preserve"> (registration and use of the website is free of charge). </w:t>
            </w:r>
            <w:r w:rsidRPr="00D0355F">
              <w:rPr>
                <w:rFonts w:eastAsia="Times New Roman" w:cs="Arial"/>
                <w:color w:val="000000"/>
                <w:lang w:eastAsia="en-GB"/>
              </w:rPr>
              <w:br/>
            </w:r>
            <w:r w:rsidRPr="00D0355F">
              <w:rPr>
                <w:rFonts w:eastAsia="Times New Roman" w:cs="Arial"/>
                <w:color w:val="000000"/>
                <w:lang w:eastAsia="en-GB"/>
              </w:rPr>
              <w:br/>
            </w:r>
            <w:r w:rsidRPr="00D0355F">
              <w:rPr>
                <w:rFonts w:eastAsia="Times New Roman" w:cs="Arial"/>
                <w:color w:val="000000"/>
                <w:lang w:eastAsia="en-GB"/>
              </w:rPr>
              <w:lastRenderedPageBreak/>
              <w:t xml:space="preserve">ii)Once registered, express interest by: </w:t>
            </w:r>
            <w:r w:rsidRPr="00D0355F">
              <w:rPr>
                <w:rFonts w:eastAsia="Times New Roman" w:cs="Arial"/>
                <w:color w:val="000000"/>
                <w:lang w:eastAsia="en-GB"/>
              </w:rPr>
              <w:br/>
            </w:r>
            <w:r w:rsidRPr="00D0355F">
              <w:rPr>
                <w:rFonts w:eastAsia="Times New Roman" w:cs="Arial"/>
                <w:color w:val="000000"/>
                <w:lang w:eastAsia="en-GB"/>
              </w:rPr>
              <w:br/>
              <w:t> a) logging-in to the</w:t>
            </w:r>
            <w:r w:rsidR="00EA4F83">
              <w:rPr>
                <w:rFonts w:eastAsia="Times New Roman" w:cs="Arial"/>
                <w:color w:val="000000"/>
                <w:lang w:eastAsia="en-GB"/>
              </w:rPr>
              <w:t xml:space="preserve"> </w:t>
            </w:r>
            <w:r w:rsidRPr="00D0355F">
              <w:rPr>
                <w:rFonts w:eastAsia="Times New Roman" w:cs="Arial"/>
                <w:color w:val="000000"/>
                <w:lang w:eastAsia="en-GB"/>
              </w:rPr>
              <w:t>M</w:t>
            </w:r>
            <w:r w:rsidR="00EA4F83">
              <w:rPr>
                <w:rFonts w:eastAsia="Times New Roman" w:cs="Arial"/>
                <w:color w:val="000000"/>
                <w:lang w:eastAsia="en-GB"/>
              </w:rPr>
              <w:t>L</w:t>
            </w:r>
            <w:r w:rsidRPr="00D0355F">
              <w:rPr>
                <w:rFonts w:eastAsia="Times New Roman" w:cs="Arial"/>
                <w:color w:val="000000"/>
                <w:lang w:eastAsia="en-GB"/>
              </w:rPr>
              <w:t xml:space="preserve">CSU </w:t>
            </w:r>
            <w:proofErr w:type="spellStart"/>
            <w:r w:rsidRPr="00D0355F">
              <w:rPr>
                <w:rFonts w:eastAsia="Times New Roman" w:cs="Arial"/>
                <w:color w:val="000000"/>
                <w:lang w:eastAsia="en-GB"/>
              </w:rPr>
              <w:t>eTendering</w:t>
            </w:r>
            <w:proofErr w:type="spellEnd"/>
            <w:r w:rsidRPr="00D0355F">
              <w:rPr>
                <w:rFonts w:eastAsia="Times New Roman" w:cs="Arial"/>
                <w:color w:val="000000"/>
                <w:lang w:eastAsia="en-GB"/>
              </w:rPr>
              <w:t xml:space="preserve"> portal, </w:t>
            </w:r>
            <w:r w:rsidRPr="00D0355F">
              <w:rPr>
                <w:rFonts w:eastAsia="Times New Roman" w:cs="Arial"/>
                <w:color w:val="000000"/>
                <w:lang w:eastAsia="en-GB"/>
              </w:rPr>
              <w:br/>
              <w:t xml:space="preserve"> b)selecting response to advert and PQQ, </w:t>
            </w:r>
            <w:r w:rsidRPr="00D0355F">
              <w:rPr>
                <w:rFonts w:eastAsia="Times New Roman" w:cs="Arial"/>
                <w:color w:val="000000"/>
                <w:lang w:eastAsia="en-GB"/>
              </w:rPr>
              <w:br/>
              <w:t xml:space="preserve"> c) select Open Access PQQ, </w:t>
            </w:r>
            <w:r w:rsidRPr="00D0355F">
              <w:rPr>
                <w:rFonts w:eastAsia="Times New Roman" w:cs="Arial"/>
                <w:color w:val="000000"/>
                <w:lang w:eastAsia="en-GB"/>
              </w:rPr>
              <w:br/>
              <w:t xml:space="preserve"> d) search for and access PQQ Community Oral Anti-Coagulation service AQP and view   details, </w:t>
            </w:r>
            <w:r w:rsidRPr="00D0355F">
              <w:rPr>
                <w:rFonts w:eastAsia="Times New Roman" w:cs="Arial"/>
                <w:color w:val="000000"/>
                <w:lang w:eastAsia="en-GB"/>
              </w:rPr>
              <w:br/>
              <w:t xml:space="preserve">e) click on Express Interest link. </w:t>
            </w:r>
            <w:r w:rsidRPr="00D0355F">
              <w:rPr>
                <w:rFonts w:eastAsia="Times New Roman" w:cs="Arial"/>
                <w:color w:val="000000"/>
                <w:lang w:eastAsia="en-GB"/>
              </w:rPr>
              <w:br/>
            </w:r>
            <w:r w:rsidRPr="00D0355F">
              <w:rPr>
                <w:rFonts w:eastAsia="Times New Roman" w:cs="Arial"/>
                <w:color w:val="000000"/>
                <w:lang w:eastAsia="en-GB"/>
              </w:rPr>
              <w:br/>
              <w:t>iii) Once you have expressed interest, access the My PQQs page where you can download documentation &amp; constr</w:t>
            </w:r>
            <w:r>
              <w:rPr>
                <w:rFonts w:eastAsia="Times New Roman" w:cs="Arial"/>
                <w:color w:val="000000"/>
                <w:lang w:eastAsia="en-GB"/>
              </w:rPr>
              <w:t xml:space="preserve">uct your reply as instructed. </w:t>
            </w:r>
          </w:p>
          <w:p w:rsidR="006B2EAF" w:rsidRPr="00AF753C" w:rsidRDefault="006B2EAF" w:rsidP="00DD7E16">
            <w:r w:rsidRPr="00D0355F">
              <w:rPr>
                <w:rFonts w:eastAsia="Times New Roman" w:cs="Arial"/>
                <w:color w:val="000000"/>
                <w:lang w:eastAsia="en-GB"/>
              </w:rPr>
              <w:br/>
              <w:t xml:space="preserve">If you require technical support in submitting your expression of interest, please contact the </w:t>
            </w:r>
            <w:proofErr w:type="spellStart"/>
            <w:r w:rsidRPr="00D0355F">
              <w:rPr>
                <w:rFonts w:eastAsia="Times New Roman" w:cs="Arial"/>
                <w:color w:val="000000"/>
                <w:lang w:eastAsia="en-GB"/>
              </w:rPr>
              <w:t>BravoSolution</w:t>
            </w:r>
            <w:proofErr w:type="spellEnd"/>
            <w:r w:rsidRPr="00D0355F">
              <w:rPr>
                <w:rFonts w:eastAsia="Times New Roman" w:cs="Arial"/>
                <w:color w:val="000000"/>
                <w:lang w:eastAsia="en-GB"/>
              </w:rPr>
              <w:t xml:space="preserve"> help-desk on 0800 368 4850 or e-mail </w:t>
            </w:r>
            <w:hyperlink r:id="rId9" w:history="1">
              <w:r w:rsidRPr="00D0355F">
                <w:rPr>
                  <w:rFonts w:eastAsia="Times New Roman" w:cs="Arial"/>
                  <w:b/>
                  <w:bCs/>
                  <w:color w:val="0066CC"/>
                  <w:lang w:eastAsia="en-GB"/>
                </w:rPr>
                <w:t>help@bravosolution.co.uk</w:t>
              </w:r>
            </w:hyperlink>
            <w:r w:rsidRPr="00D0355F">
              <w:rPr>
                <w:rFonts w:eastAsia="Times New Roman" w:cs="Arial"/>
                <w:bCs/>
                <w:lang w:eastAsia="en-GB"/>
              </w:rPr>
              <w:t>.</w:t>
            </w:r>
          </w:p>
        </w:tc>
      </w:tr>
    </w:tbl>
    <w:p w:rsidR="00AF753C" w:rsidRPr="00AF753C" w:rsidRDefault="00AF753C" w:rsidP="00AF753C">
      <w:pPr>
        <w:rPr>
          <w:b/>
        </w:rPr>
      </w:pPr>
    </w:p>
    <w:sectPr w:rsidR="00AF753C" w:rsidRPr="00AF753C" w:rsidSect="00AF753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3C"/>
    <w:rsid w:val="000C03F2"/>
    <w:rsid w:val="00361DE3"/>
    <w:rsid w:val="003F3BE4"/>
    <w:rsid w:val="003F5388"/>
    <w:rsid w:val="005A3394"/>
    <w:rsid w:val="006B2EAF"/>
    <w:rsid w:val="009F62FD"/>
    <w:rsid w:val="00AF753C"/>
    <w:rsid w:val="00C007C9"/>
    <w:rsid w:val="00C434DC"/>
    <w:rsid w:val="00C46D4E"/>
    <w:rsid w:val="00D067A7"/>
    <w:rsid w:val="00DD7E16"/>
    <w:rsid w:val="00E30547"/>
    <w:rsid w:val="00EA4F83"/>
    <w:rsid w:val="00FA2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D7E16"/>
    <w:pPr>
      <w:spacing w:after="0" w:line="240" w:lineRule="auto"/>
    </w:pPr>
  </w:style>
  <w:style w:type="character" w:styleId="Hyperlink">
    <w:name w:val="Hyperlink"/>
    <w:basedOn w:val="DefaultParagraphFont"/>
    <w:uiPriority w:val="99"/>
    <w:unhideWhenUsed/>
    <w:rsid w:val="006B2EAF"/>
    <w:rPr>
      <w:color w:val="0000FF" w:themeColor="hyperlink"/>
      <w:u w:val="single"/>
    </w:rPr>
  </w:style>
  <w:style w:type="character" w:customStyle="1" w:styleId="taginput-container1">
    <w:name w:val="taginput-container1"/>
    <w:basedOn w:val="DefaultParagraphFont"/>
    <w:rsid w:val="00C007C9"/>
    <w:rPr>
      <w:vanish w:val="0"/>
      <w:webHidden w:val="0"/>
      <w:specVanish w:val="0"/>
    </w:rPr>
  </w:style>
  <w:style w:type="character" w:styleId="CommentReference">
    <w:name w:val="annotation reference"/>
    <w:basedOn w:val="DefaultParagraphFont"/>
    <w:uiPriority w:val="99"/>
    <w:semiHidden/>
    <w:unhideWhenUsed/>
    <w:rsid w:val="00361DE3"/>
    <w:rPr>
      <w:sz w:val="16"/>
      <w:szCs w:val="16"/>
    </w:rPr>
  </w:style>
  <w:style w:type="paragraph" w:styleId="CommentText">
    <w:name w:val="annotation text"/>
    <w:basedOn w:val="Normal"/>
    <w:link w:val="CommentTextChar"/>
    <w:uiPriority w:val="99"/>
    <w:semiHidden/>
    <w:unhideWhenUsed/>
    <w:rsid w:val="00361DE3"/>
    <w:pPr>
      <w:spacing w:line="240" w:lineRule="auto"/>
    </w:pPr>
    <w:rPr>
      <w:sz w:val="20"/>
      <w:szCs w:val="20"/>
    </w:rPr>
  </w:style>
  <w:style w:type="character" w:customStyle="1" w:styleId="CommentTextChar">
    <w:name w:val="Comment Text Char"/>
    <w:basedOn w:val="DefaultParagraphFont"/>
    <w:link w:val="CommentText"/>
    <w:uiPriority w:val="99"/>
    <w:semiHidden/>
    <w:rsid w:val="00361DE3"/>
    <w:rPr>
      <w:sz w:val="20"/>
      <w:szCs w:val="20"/>
    </w:rPr>
  </w:style>
  <w:style w:type="paragraph" w:styleId="CommentSubject">
    <w:name w:val="annotation subject"/>
    <w:basedOn w:val="CommentText"/>
    <w:next w:val="CommentText"/>
    <w:link w:val="CommentSubjectChar"/>
    <w:uiPriority w:val="99"/>
    <w:semiHidden/>
    <w:unhideWhenUsed/>
    <w:rsid w:val="00361DE3"/>
    <w:rPr>
      <w:b/>
      <w:bCs/>
    </w:rPr>
  </w:style>
  <w:style w:type="character" w:customStyle="1" w:styleId="CommentSubjectChar">
    <w:name w:val="Comment Subject Char"/>
    <w:basedOn w:val="CommentTextChar"/>
    <w:link w:val="CommentSubject"/>
    <w:uiPriority w:val="99"/>
    <w:semiHidden/>
    <w:rsid w:val="00361DE3"/>
    <w:rPr>
      <w:b/>
      <w:bCs/>
      <w:sz w:val="20"/>
      <w:szCs w:val="20"/>
    </w:rPr>
  </w:style>
  <w:style w:type="paragraph" w:styleId="BalloonText">
    <w:name w:val="Balloon Text"/>
    <w:basedOn w:val="Normal"/>
    <w:link w:val="BalloonTextChar"/>
    <w:uiPriority w:val="99"/>
    <w:semiHidden/>
    <w:unhideWhenUsed/>
    <w:rsid w:val="00361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D7E16"/>
    <w:pPr>
      <w:spacing w:after="0" w:line="240" w:lineRule="auto"/>
    </w:pPr>
  </w:style>
  <w:style w:type="character" w:styleId="Hyperlink">
    <w:name w:val="Hyperlink"/>
    <w:basedOn w:val="DefaultParagraphFont"/>
    <w:uiPriority w:val="99"/>
    <w:unhideWhenUsed/>
    <w:rsid w:val="006B2EAF"/>
    <w:rPr>
      <w:color w:val="0000FF" w:themeColor="hyperlink"/>
      <w:u w:val="single"/>
    </w:rPr>
  </w:style>
  <w:style w:type="character" w:customStyle="1" w:styleId="taginput-container1">
    <w:name w:val="taginput-container1"/>
    <w:basedOn w:val="DefaultParagraphFont"/>
    <w:rsid w:val="00C007C9"/>
    <w:rPr>
      <w:vanish w:val="0"/>
      <w:webHidden w:val="0"/>
      <w:specVanish w:val="0"/>
    </w:rPr>
  </w:style>
  <w:style w:type="character" w:styleId="CommentReference">
    <w:name w:val="annotation reference"/>
    <w:basedOn w:val="DefaultParagraphFont"/>
    <w:uiPriority w:val="99"/>
    <w:semiHidden/>
    <w:unhideWhenUsed/>
    <w:rsid w:val="00361DE3"/>
    <w:rPr>
      <w:sz w:val="16"/>
      <w:szCs w:val="16"/>
    </w:rPr>
  </w:style>
  <w:style w:type="paragraph" w:styleId="CommentText">
    <w:name w:val="annotation text"/>
    <w:basedOn w:val="Normal"/>
    <w:link w:val="CommentTextChar"/>
    <w:uiPriority w:val="99"/>
    <w:semiHidden/>
    <w:unhideWhenUsed/>
    <w:rsid w:val="00361DE3"/>
    <w:pPr>
      <w:spacing w:line="240" w:lineRule="auto"/>
    </w:pPr>
    <w:rPr>
      <w:sz w:val="20"/>
      <w:szCs w:val="20"/>
    </w:rPr>
  </w:style>
  <w:style w:type="character" w:customStyle="1" w:styleId="CommentTextChar">
    <w:name w:val="Comment Text Char"/>
    <w:basedOn w:val="DefaultParagraphFont"/>
    <w:link w:val="CommentText"/>
    <w:uiPriority w:val="99"/>
    <w:semiHidden/>
    <w:rsid w:val="00361DE3"/>
    <w:rPr>
      <w:sz w:val="20"/>
      <w:szCs w:val="20"/>
    </w:rPr>
  </w:style>
  <w:style w:type="paragraph" w:styleId="CommentSubject">
    <w:name w:val="annotation subject"/>
    <w:basedOn w:val="CommentText"/>
    <w:next w:val="CommentText"/>
    <w:link w:val="CommentSubjectChar"/>
    <w:uiPriority w:val="99"/>
    <w:semiHidden/>
    <w:unhideWhenUsed/>
    <w:rsid w:val="00361DE3"/>
    <w:rPr>
      <w:b/>
      <w:bCs/>
    </w:rPr>
  </w:style>
  <w:style w:type="character" w:customStyle="1" w:styleId="CommentSubjectChar">
    <w:name w:val="Comment Subject Char"/>
    <w:basedOn w:val="CommentTextChar"/>
    <w:link w:val="CommentSubject"/>
    <w:uiPriority w:val="99"/>
    <w:semiHidden/>
    <w:rsid w:val="00361DE3"/>
    <w:rPr>
      <w:b/>
      <w:bCs/>
      <w:sz w:val="20"/>
      <w:szCs w:val="20"/>
    </w:rPr>
  </w:style>
  <w:style w:type="paragraph" w:styleId="BalloonText">
    <w:name w:val="Balloon Text"/>
    <w:basedOn w:val="Normal"/>
    <w:link w:val="BalloonTextChar"/>
    <w:uiPriority w:val="99"/>
    <w:semiHidden/>
    <w:unhideWhenUsed/>
    <w:rsid w:val="00361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csu.bravosolution.co.uk" TargetMode="External"/><Relationship Id="rId3" Type="http://schemas.openxmlformats.org/officeDocument/2006/relationships/settings" Target="settings.xml"/><Relationship Id="rId7" Type="http://schemas.openxmlformats.org/officeDocument/2006/relationships/hyperlink" Target="https://mlcsu.bravosolution.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irsten.moon@nhs.net" TargetMode="External"/><Relationship Id="rId11" Type="http://schemas.openxmlformats.org/officeDocument/2006/relationships/theme" Target="theme/theme1.xml"/><Relationship Id="rId5" Type="http://schemas.openxmlformats.org/officeDocument/2006/relationships/hyperlink" Target="http://www.nrls.npsa.nhs.uk/resources/?entryid45=5981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lp@bravosolu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1303</Words>
  <Characters>7431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CSU</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Stephens</dc:creator>
  <cp:lastModifiedBy>Craig Stephens</cp:lastModifiedBy>
  <cp:revision>2</cp:revision>
  <dcterms:created xsi:type="dcterms:W3CDTF">2015-06-10T11:16:00Z</dcterms:created>
  <dcterms:modified xsi:type="dcterms:W3CDTF">2015-06-10T11:16:00Z</dcterms:modified>
</cp:coreProperties>
</file>