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849A"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44687C01" wp14:editId="776A08D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3F02C" w14:textId="77777777" w:rsidR="008D7A7D" w:rsidRPr="0093723A" w:rsidRDefault="008D7A7D" w:rsidP="00E65F5D">
      <w:pPr>
        <w:rPr>
          <w:rFonts w:ascii="Arial" w:hAnsi="Arial" w:cs="Arial"/>
          <w:szCs w:val="22"/>
        </w:rPr>
      </w:pPr>
    </w:p>
    <w:p w14:paraId="067194F1" w14:textId="77777777" w:rsidR="00031189" w:rsidRPr="0093723A" w:rsidRDefault="00031189" w:rsidP="00E65F5D">
      <w:pPr>
        <w:jc w:val="both"/>
        <w:rPr>
          <w:rFonts w:ascii="Arial" w:hAnsi="Arial" w:cs="Arial"/>
          <w:szCs w:val="22"/>
        </w:rPr>
      </w:pPr>
    </w:p>
    <w:p w14:paraId="4E6B8391" w14:textId="77777777" w:rsidR="00031189" w:rsidRPr="0093723A" w:rsidRDefault="00031189" w:rsidP="00E65F5D">
      <w:pPr>
        <w:jc w:val="both"/>
        <w:rPr>
          <w:rFonts w:ascii="Arial" w:hAnsi="Arial" w:cs="Arial"/>
          <w:szCs w:val="22"/>
        </w:rPr>
      </w:pPr>
    </w:p>
    <w:p w14:paraId="0DA33D5A" w14:textId="77777777" w:rsidR="00031189" w:rsidRPr="0093723A" w:rsidRDefault="00031189" w:rsidP="00E65F5D">
      <w:pPr>
        <w:jc w:val="both"/>
        <w:rPr>
          <w:rFonts w:ascii="Arial" w:hAnsi="Arial" w:cs="Arial"/>
          <w:szCs w:val="22"/>
        </w:rPr>
      </w:pPr>
    </w:p>
    <w:p w14:paraId="4A7559D8" w14:textId="77777777" w:rsidR="00031189" w:rsidRPr="0093723A" w:rsidRDefault="00031189" w:rsidP="00E65F5D">
      <w:pPr>
        <w:jc w:val="both"/>
        <w:rPr>
          <w:rFonts w:ascii="Arial" w:hAnsi="Arial" w:cs="Arial"/>
          <w:szCs w:val="22"/>
        </w:rPr>
      </w:pPr>
    </w:p>
    <w:p w14:paraId="13049D7F" w14:textId="77777777" w:rsidR="00031189" w:rsidRPr="0093723A" w:rsidRDefault="00031189" w:rsidP="00E65F5D">
      <w:pPr>
        <w:jc w:val="both"/>
        <w:rPr>
          <w:rFonts w:ascii="Arial" w:hAnsi="Arial" w:cs="Arial"/>
          <w:szCs w:val="22"/>
        </w:rPr>
      </w:pPr>
    </w:p>
    <w:p w14:paraId="331AC570" w14:textId="77777777" w:rsidR="000A352F" w:rsidRPr="0093723A" w:rsidRDefault="000A352F" w:rsidP="00E65F5D">
      <w:pPr>
        <w:jc w:val="both"/>
        <w:rPr>
          <w:rFonts w:ascii="Arial" w:hAnsi="Arial" w:cs="Arial"/>
          <w:szCs w:val="22"/>
        </w:rPr>
      </w:pPr>
    </w:p>
    <w:p w14:paraId="25152B49" w14:textId="77777777" w:rsidR="008113C3" w:rsidRPr="0093723A" w:rsidRDefault="008113C3" w:rsidP="00E65F5D">
      <w:pPr>
        <w:jc w:val="both"/>
        <w:rPr>
          <w:rFonts w:ascii="Arial" w:hAnsi="Arial" w:cs="Arial"/>
          <w:szCs w:val="22"/>
        </w:rPr>
      </w:pPr>
    </w:p>
    <w:p w14:paraId="382A61F1" w14:textId="77777777" w:rsidR="008113C3" w:rsidRPr="00CF7FF3" w:rsidRDefault="008113C3" w:rsidP="00E65F5D">
      <w:pPr>
        <w:jc w:val="both"/>
        <w:rPr>
          <w:rFonts w:ascii="Arial" w:hAnsi="Arial" w:cs="Arial"/>
          <w:szCs w:val="22"/>
        </w:rPr>
      </w:pPr>
    </w:p>
    <w:p w14:paraId="4CFC2CE6" w14:textId="77777777" w:rsidR="00031189" w:rsidRPr="00CF7FF3" w:rsidRDefault="00031189" w:rsidP="00E65F5D">
      <w:pPr>
        <w:jc w:val="both"/>
        <w:rPr>
          <w:rFonts w:ascii="Arial" w:hAnsi="Arial" w:cs="Arial"/>
          <w:i/>
          <w:szCs w:val="22"/>
        </w:rPr>
      </w:pPr>
      <w:r w:rsidRPr="00CF7FF3">
        <w:rPr>
          <w:rFonts w:ascii="Arial" w:hAnsi="Arial" w:cs="Arial"/>
          <w:szCs w:val="22"/>
        </w:rPr>
        <w:t>Our Ref:</w:t>
      </w:r>
      <w:r w:rsidR="00494DB0">
        <w:rPr>
          <w:rFonts w:ascii="Arial" w:hAnsi="Arial" w:cs="Arial"/>
          <w:szCs w:val="22"/>
        </w:rPr>
        <w:t xml:space="preserve"> SC210001</w:t>
      </w:r>
      <w:r w:rsidRPr="00CF7FF3">
        <w:rPr>
          <w:rFonts w:ascii="Arial" w:hAnsi="Arial" w:cs="Arial"/>
          <w:szCs w:val="22"/>
        </w:rPr>
        <w:tab/>
      </w:r>
    </w:p>
    <w:p w14:paraId="01533EF0"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71A22652" w14:textId="77777777" w:rsidR="00031189" w:rsidRPr="00CF7FF3" w:rsidRDefault="00031189" w:rsidP="00E65F5D">
      <w:pPr>
        <w:jc w:val="both"/>
        <w:rPr>
          <w:rFonts w:ascii="Arial" w:hAnsi="Arial" w:cs="Arial"/>
          <w:szCs w:val="22"/>
        </w:rPr>
      </w:pPr>
    </w:p>
    <w:p w14:paraId="74A50D46" w14:textId="509D1D12"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F90369">
        <w:rPr>
          <w:rFonts w:ascii="Arial" w:hAnsi="Arial" w:cs="Arial"/>
          <w:szCs w:val="22"/>
        </w:rPr>
        <w:t>09</w:t>
      </w:r>
      <w:r w:rsidR="00494DB0">
        <w:rPr>
          <w:rFonts w:ascii="Arial" w:hAnsi="Arial" w:cs="Arial"/>
          <w:szCs w:val="22"/>
        </w:rPr>
        <w:t>/07/2021</w:t>
      </w:r>
    </w:p>
    <w:p w14:paraId="7AFB3AF9" w14:textId="77777777" w:rsidR="00031189" w:rsidRPr="00CF7FF3" w:rsidRDefault="00031189" w:rsidP="00E65F5D">
      <w:pPr>
        <w:jc w:val="both"/>
        <w:rPr>
          <w:rFonts w:ascii="Arial" w:hAnsi="Arial" w:cs="Arial"/>
          <w:szCs w:val="22"/>
        </w:rPr>
      </w:pPr>
    </w:p>
    <w:p w14:paraId="13126F1A" w14:textId="77777777" w:rsidR="00031189" w:rsidRPr="00CF7FF3" w:rsidRDefault="00031189" w:rsidP="00E65F5D">
      <w:pPr>
        <w:jc w:val="both"/>
        <w:rPr>
          <w:rFonts w:ascii="Arial" w:hAnsi="Arial" w:cs="Arial"/>
          <w:szCs w:val="22"/>
        </w:rPr>
      </w:pPr>
    </w:p>
    <w:p w14:paraId="453CE9AC"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4CDD5249" w14:textId="77777777" w:rsidR="00031189" w:rsidRPr="00CF7FF3" w:rsidRDefault="00031189" w:rsidP="00E65F5D">
      <w:pPr>
        <w:jc w:val="both"/>
        <w:rPr>
          <w:rFonts w:ascii="Arial" w:hAnsi="Arial" w:cs="Arial"/>
          <w:szCs w:val="22"/>
        </w:rPr>
      </w:pPr>
    </w:p>
    <w:p w14:paraId="61AA9C73" w14:textId="77777777"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494DB0">
        <w:rPr>
          <w:rFonts w:ascii="Arial" w:hAnsi="Arial" w:cs="Arial"/>
          <w:b/>
          <w:szCs w:val="22"/>
        </w:rPr>
        <w:t>SC210001</w:t>
      </w:r>
    </w:p>
    <w:p w14:paraId="6940D120" w14:textId="77777777" w:rsidR="00031189" w:rsidRPr="00CF7FF3" w:rsidRDefault="000878DD" w:rsidP="002527BE">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494DB0">
        <w:rPr>
          <w:rFonts w:ascii="Arial" w:hAnsi="Arial" w:cs="Arial"/>
          <w:b/>
          <w:szCs w:val="22"/>
        </w:rPr>
        <w:t>Toxicological advice on air pollutants</w:t>
      </w:r>
    </w:p>
    <w:p w14:paraId="76A3A14C" w14:textId="77777777" w:rsidR="00031189" w:rsidRPr="00CF7FF3" w:rsidRDefault="00031189" w:rsidP="00E65F5D">
      <w:pPr>
        <w:ind w:left="720" w:hanging="720"/>
        <w:jc w:val="both"/>
        <w:rPr>
          <w:rFonts w:ascii="Arial" w:hAnsi="Arial" w:cs="Arial"/>
          <w:szCs w:val="22"/>
        </w:rPr>
      </w:pPr>
    </w:p>
    <w:p w14:paraId="7E6FD74B"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23A34DA9" w14:textId="77777777" w:rsidR="00050B8F" w:rsidRPr="00CF7FF3" w:rsidRDefault="00050B8F" w:rsidP="00E65F5D">
      <w:pPr>
        <w:rPr>
          <w:rFonts w:ascii="Arial" w:hAnsi="Arial" w:cs="Arial"/>
          <w:szCs w:val="22"/>
        </w:rPr>
      </w:pPr>
    </w:p>
    <w:p w14:paraId="4AE71826" w14:textId="77777777"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14:paraId="1E9635C9" w14:textId="77777777" w:rsidR="00031189" w:rsidRPr="00CF7FF3" w:rsidRDefault="00031189" w:rsidP="00E65F5D">
      <w:pPr>
        <w:rPr>
          <w:rFonts w:ascii="Arial" w:hAnsi="Arial" w:cs="Arial"/>
          <w:szCs w:val="22"/>
        </w:rPr>
      </w:pPr>
    </w:p>
    <w:p w14:paraId="039A1A8B" w14:textId="77777777"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F77C98">
        <w:rPr>
          <w:rFonts w:ascii="Arial" w:hAnsi="Arial" w:cs="Arial"/>
          <w:szCs w:val="22"/>
        </w:rPr>
        <w:t>3</w:t>
      </w:r>
      <w:r w:rsidR="002527BE" w:rsidRPr="00CF7FF3">
        <w:rPr>
          <w:rFonts w:ascii="Arial" w:hAnsi="Arial" w:cs="Arial"/>
          <w:szCs w:val="22"/>
        </w:rPr>
        <w:t xml:space="preserve">0 on </w:t>
      </w:r>
      <w:r w:rsidR="00494DB0">
        <w:rPr>
          <w:rFonts w:ascii="Arial" w:hAnsi="Arial" w:cs="Arial"/>
          <w:szCs w:val="22"/>
        </w:rPr>
        <w:t>2/8</w:t>
      </w:r>
      <w:r w:rsidR="002527BE" w:rsidRPr="00CF7FF3">
        <w:rPr>
          <w:rFonts w:ascii="Arial" w:hAnsi="Arial" w:cs="Arial"/>
          <w:szCs w:val="22"/>
        </w:rPr>
        <w:t>/2021</w:t>
      </w:r>
      <w:r w:rsidR="00494DB0">
        <w:rPr>
          <w:rFonts w:ascii="Arial" w:hAnsi="Arial" w:cs="Arial"/>
          <w:szCs w:val="22"/>
        </w:rPr>
        <w:t>.</w:t>
      </w:r>
      <w:r w:rsidR="00AB6556" w:rsidRPr="00CF7FF3">
        <w:rPr>
          <w:rFonts w:ascii="Arial" w:hAnsi="Arial" w:cs="Arial"/>
          <w:szCs w:val="22"/>
        </w:rPr>
        <w:t xml:space="preserve"> </w:t>
      </w:r>
    </w:p>
    <w:p w14:paraId="49F8F4A7" w14:textId="77777777" w:rsidR="007D26D8" w:rsidRPr="00CF7FF3" w:rsidRDefault="007D26D8" w:rsidP="00E65F5D">
      <w:pPr>
        <w:rPr>
          <w:rFonts w:ascii="Arial" w:hAnsi="Arial" w:cs="Arial"/>
          <w:szCs w:val="22"/>
        </w:rPr>
      </w:pPr>
    </w:p>
    <w:p w14:paraId="6ECE804F" w14:textId="77777777" w:rsidR="007D26D8" w:rsidRPr="00CF7FF3" w:rsidRDefault="00494DB0" w:rsidP="00E65F5D">
      <w:pPr>
        <w:rPr>
          <w:rFonts w:ascii="Arial" w:hAnsi="Arial" w:cs="Arial"/>
          <w:szCs w:val="22"/>
        </w:rPr>
      </w:pPr>
      <w:r>
        <w:rPr>
          <w:rFonts w:ascii="Arial" w:hAnsi="Arial" w:cs="Arial"/>
          <w:szCs w:val="22"/>
        </w:rPr>
        <w:t>ian.martin</w:t>
      </w:r>
      <w:r w:rsidR="002527BE" w:rsidRPr="00CF7FF3">
        <w:rPr>
          <w:rFonts w:ascii="Arial" w:hAnsi="Arial" w:cs="Arial"/>
          <w:szCs w:val="22"/>
        </w:rPr>
        <w:t>@environment-agency.gov.uk</w:t>
      </w:r>
    </w:p>
    <w:p w14:paraId="031D4825" w14:textId="77777777" w:rsidR="00031189" w:rsidRPr="00CF7FF3" w:rsidRDefault="00031189" w:rsidP="00E65F5D">
      <w:pPr>
        <w:rPr>
          <w:rFonts w:ascii="Arial" w:hAnsi="Arial" w:cs="Arial"/>
          <w:szCs w:val="22"/>
        </w:rPr>
      </w:pPr>
    </w:p>
    <w:p w14:paraId="15656738" w14:textId="6BAED900" w:rsidR="00031189" w:rsidRPr="00CF7FF3" w:rsidRDefault="00031189" w:rsidP="00E65F5D">
      <w:pPr>
        <w:rPr>
          <w:rFonts w:ascii="Arial" w:hAnsi="Arial" w:cs="Arial"/>
          <w:szCs w:val="22"/>
        </w:rPr>
      </w:pPr>
      <w:r w:rsidRPr="00CF7FF3">
        <w:rPr>
          <w:rFonts w:ascii="Arial" w:hAnsi="Arial" w:cs="Arial"/>
          <w:szCs w:val="22"/>
        </w:rPr>
        <w:t>Please confirm, by email, whether you intend to submit a quote</w:t>
      </w:r>
      <w:r w:rsidR="00F90369">
        <w:rPr>
          <w:rFonts w:ascii="Arial" w:hAnsi="Arial" w:cs="Arial"/>
          <w:szCs w:val="22"/>
        </w:rPr>
        <w:t xml:space="preserve"> as we may wish to update you with additional information during the quotation period</w:t>
      </w:r>
      <w:r w:rsidRPr="00CF7FF3">
        <w:rPr>
          <w:rFonts w:ascii="Arial" w:hAnsi="Arial" w:cs="Arial"/>
          <w:szCs w:val="22"/>
        </w:rPr>
        <w:t xml:space="preserve">. </w:t>
      </w:r>
    </w:p>
    <w:p w14:paraId="6E359687" w14:textId="77777777" w:rsidR="00031189" w:rsidRPr="00CF7FF3" w:rsidRDefault="00031189" w:rsidP="00E65F5D">
      <w:pPr>
        <w:rPr>
          <w:rFonts w:ascii="Arial" w:hAnsi="Arial" w:cs="Arial"/>
          <w:szCs w:val="22"/>
        </w:rPr>
      </w:pPr>
    </w:p>
    <w:p w14:paraId="18DC98F4"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61E48F4C" w14:textId="77777777" w:rsidR="00031189" w:rsidRPr="00CF7FF3" w:rsidRDefault="00031189" w:rsidP="00E65F5D">
      <w:pPr>
        <w:rPr>
          <w:rFonts w:ascii="Arial" w:hAnsi="Arial" w:cs="Arial"/>
          <w:szCs w:val="22"/>
        </w:rPr>
      </w:pPr>
    </w:p>
    <w:p w14:paraId="185A3B77" w14:textId="77777777" w:rsidR="00031189" w:rsidRPr="00CF7FF3" w:rsidRDefault="00031189" w:rsidP="00E65F5D">
      <w:pPr>
        <w:rPr>
          <w:rFonts w:ascii="Arial" w:hAnsi="Arial" w:cs="Arial"/>
          <w:szCs w:val="22"/>
        </w:rPr>
      </w:pPr>
    </w:p>
    <w:p w14:paraId="58A80A70"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41A54C18" w14:textId="77777777" w:rsidR="00031189" w:rsidRPr="00CF7FF3" w:rsidRDefault="00031189" w:rsidP="00E65F5D">
      <w:pPr>
        <w:ind w:left="720" w:hanging="720"/>
        <w:jc w:val="both"/>
        <w:rPr>
          <w:rFonts w:ascii="Arial" w:hAnsi="Arial" w:cs="Arial"/>
          <w:szCs w:val="22"/>
        </w:rPr>
      </w:pPr>
    </w:p>
    <w:p w14:paraId="7D6513A6" w14:textId="77777777" w:rsidR="00031189" w:rsidRPr="00CF7FF3" w:rsidRDefault="00031189" w:rsidP="00E65F5D">
      <w:pPr>
        <w:ind w:left="720" w:hanging="720"/>
        <w:jc w:val="both"/>
        <w:rPr>
          <w:rFonts w:ascii="Arial" w:hAnsi="Arial" w:cs="Arial"/>
          <w:szCs w:val="22"/>
        </w:rPr>
      </w:pPr>
    </w:p>
    <w:p w14:paraId="29AFCCD4" w14:textId="77777777" w:rsidR="00031189" w:rsidRPr="00CF7FF3" w:rsidRDefault="00031189" w:rsidP="00E65F5D">
      <w:pPr>
        <w:jc w:val="both"/>
        <w:rPr>
          <w:rFonts w:ascii="Arial" w:hAnsi="Arial" w:cs="Arial"/>
          <w:szCs w:val="22"/>
        </w:rPr>
      </w:pPr>
    </w:p>
    <w:p w14:paraId="5851AEDD" w14:textId="77777777" w:rsidR="00031189" w:rsidRPr="00CF7FF3" w:rsidRDefault="00494DB0" w:rsidP="00E65F5D">
      <w:pPr>
        <w:ind w:left="720" w:hanging="720"/>
        <w:jc w:val="both"/>
        <w:rPr>
          <w:rFonts w:ascii="Arial" w:hAnsi="Arial" w:cs="Arial"/>
          <w:szCs w:val="22"/>
        </w:rPr>
      </w:pPr>
      <w:r>
        <w:rPr>
          <w:rFonts w:ascii="Arial" w:hAnsi="Arial" w:cs="Arial"/>
          <w:szCs w:val="22"/>
        </w:rPr>
        <w:t>Ian Martin</w:t>
      </w:r>
    </w:p>
    <w:p w14:paraId="50AE49EC" w14:textId="77777777" w:rsidR="00031189" w:rsidRPr="00CF7FF3" w:rsidRDefault="002527BE" w:rsidP="00E65F5D">
      <w:pPr>
        <w:ind w:left="720" w:hanging="720"/>
        <w:jc w:val="both"/>
        <w:rPr>
          <w:rFonts w:ascii="Arial" w:hAnsi="Arial" w:cs="Arial"/>
          <w:szCs w:val="22"/>
        </w:rPr>
      </w:pPr>
      <w:r w:rsidRPr="00CF7FF3">
        <w:rPr>
          <w:rFonts w:ascii="Arial" w:hAnsi="Arial" w:cs="Arial"/>
          <w:szCs w:val="22"/>
        </w:rPr>
        <w:t xml:space="preserve">Senior </w:t>
      </w:r>
      <w:r w:rsidR="00494DB0">
        <w:rPr>
          <w:rFonts w:ascii="Arial" w:hAnsi="Arial" w:cs="Arial"/>
          <w:szCs w:val="22"/>
        </w:rPr>
        <w:t>Specialist (Land team)</w:t>
      </w:r>
      <w:r w:rsidRPr="00CF7FF3">
        <w:rPr>
          <w:rFonts w:ascii="Arial" w:hAnsi="Arial" w:cs="Arial"/>
          <w:szCs w:val="22"/>
        </w:rPr>
        <w:t xml:space="preserve">, </w:t>
      </w:r>
      <w:r w:rsidR="00494DB0">
        <w:rPr>
          <w:rFonts w:ascii="Arial" w:hAnsi="Arial" w:cs="Arial"/>
          <w:szCs w:val="22"/>
        </w:rPr>
        <w:t>Chief Scientist’s Group</w:t>
      </w:r>
    </w:p>
    <w:p w14:paraId="4956C351" w14:textId="77777777" w:rsidR="00031189" w:rsidRPr="00CF7FF3" w:rsidRDefault="00031189" w:rsidP="00E65F5D">
      <w:pPr>
        <w:ind w:left="720" w:hanging="720"/>
        <w:jc w:val="both"/>
        <w:rPr>
          <w:rFonts w:ascii="Arial" w:hAnsi="Arial" w:cs="Arial"/>
          <w:szCs w:val="22"/>
        </w:rPr>
      </w:pPr>
    </w:p>
    <w:p w14:paraId="208FD970"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522F03">
        <w:rPr>
          <w:rFonts w:ascii="Arial" w:hAnsi="Arial" w:cs="Arial"/>
          <w:szCs w:val="22"/>
        </w:rPr>
        <w:t>ian.martin</w:t>
      </w:r>
      <w:r w:rsidRPr="00CF7FF3">
        <w:rPr>
          <w:rFonts w:ascii="Arial" w:hAnsi="Arial" w:cs="Arial"/>
          <w:szCs w:val="22"/>
        </w:rPr>
        <w:t>@environment-agency.gov.uk</w:t>
      </w:r>
    </w:p>
    <w:p w14:paraId="49955D74" w14:textId="77777777" w:rsidR="00031189" w:rsidRPr="00CF7FF3" w:rsidRDefault="00031189" w:rsidP="00E65F5D">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522F03">
        <w:rPr>
          <w:rFonts w:ascii="Arial" w:hAnsi="Arial" w:cs="Arial"/>
          <w:szCs w:val="22"/>
        </w:rPr>
        <w:t>07770 334935</w:t>
      </w:r>
      <w:r w:rsidR="00522F03">
        <w:rPr>
          <w:rFonts w:ascii="Arial" w:hAnsi="Arial" w:cs="Arial"/>
          <w:color w:val="1F497D"/>
          <w:sz w:val="21"/>
          <w:szCs w:val="21"/>
        </w:rPr>
        <w:t> </w:t>
      </w:r>
    </w:p>
    <w:p w14:paraId="022EF4B9" w14:textId="77777777" w:rsidR="00031189" w:rsidRPr="00CF7FF3" w:rsidRDefault="00031189" w:rsidP="00E65F5D">
      <w:pPr>
        <w:ind w:left="720" w:hanging="720"/>
        <w:jc w:val="both"/>
        <w:rPr>
          <w:rFonts w:ascii="Arial" w:hAnsi="Arial" w:cs="Arial"/>
          <w:szCs w:val="22"/>
        </w:rPr>
      </w:pPr>
    </w:p>
    <w:p w14:paraId="5E6F1EEB" w14:textId="77777777" w:rsidR="00031189" w:rsidRPr="00CF7FF3" w:rsidRDefault="00031189" w:rsidP="00E65F5D">
      <w:pPr>
        <w:ind w:left="720" w:hanging="720"/>
        <w:jc w:val="both"/>
        <w:rPr>
          <w:rFonts w:ascii="Arial" w:hAnsi="Arial" w:cs="Arial"/>
          <w:szCs w:val="22"/>
        </w:rPr>
      </w:pPr>
    </w:p>
    <w:p w14:paraId="680202AD" w14:textId="77777777" w:rsidR="00031189" w:rsidRPr="00CF7FF3" w:rsidRDefault="00031189" w:rsidP="00E65F5D">
      <w:pPr>
        <w:ind w:left="720" w:hanging="720"/>
        <w:jc w:val="both"/>
        <w:rPr>
          <w:rFonts w:ascii="Arial" w:hAnsi="Arial" w:cs="Arial"/>
          <w:szCs w:val="22"/>
        </w:rPr>
      </w:pPr>
    </w:p>
    <w:p w14:paraId="302D8782" w14:textId="77777777" w:rsidR="00031189" w:rsidRPr="00CF7FF3" w:rsidRDefault="00031189" w:rsidP="00E65F5D">
      <w:pPr>
        <w:ind w:left="720" w:hanging="720"/>
        <w:jc w:val="both"/>
        <w:rPr>
          <w:rFonts w:ascii="Arial" w:hAnsi="Arial" w:cs="Arial"/>
          <w:szCs w:val="22"/>
        </w:rPr>
      </w:pPr>
    </w:p>
    <w:p w14:paraId="5DB445D7" w14:textId="77777777"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522F03">
        <w:rPr>
          <w:rFonts w:ascii="Arial" w:hAnsi="Arial" w:cs="Arial"/>
          <w:szCs w:val="22"/>
        </w:rPr>
        <w:t>Aqua House, Lionel Street, Birmingham B3 1AQ</w:t>
      </w:r>
      <w:r w:rsidR="002527BE" w:rsidRPr="00CF7FF3">
        <w:rPr>
          <w:rFonts w:ascii="Arial" w:hAnsi="Arial" w:cs="Arial"/>
          <w:szCs w:val="22"/>
        </w:rPr>
        <w:t xml:space="preserve"> </w:t>
      </w:r>
    </w:p>
    <w:p w14:paraId="67E82B1C" w14:textId="77777777" w:rsidR="00031189" w:rsidRPr="0093723A" w:rsidRDefault="00031189" w:rsidP="00E65F5D">
      <w:pPr>
        <w:jc w:val="both"/>
        <w:rPr>
          <w:rFonts w:ascii="Arial" w:hAnsi="Arial" w:cs="Arial"/>
          <w:b/>
          <w:szCs w:val="22"/>
        </w:rPr>
      </w:pPr>
    </w:p>
    <w:p w14:paraId="50CAC17D" w14:textId="77777777" w:rsidR="00FE42D1" w:rsidRPr="0093723A" w:rsidRDefault="00FE42D1" w:rsidP="00E65F5D">
      <w:pPr>
        <w:jc w:val="both"/>
        <w:rPr>
          <w:rFonts w:ascii="Arial" w:hAnsi="Arial" w:cs="Arial"/>
          <w:b/>
          <w:szCs w:val="22"/>
        </w:rPr>
      </w:pPr>
    </w:p>
    <w:p w14:paraId="0D6DBCF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45F7206E"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34A3E77D" w14:textId="77777777"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522F03">
        <w:rPr>
          <w:rFonts w:ascii="Arial" w:hAnsi="Arial" w:cs="Arial"/>
          <w:b/>
          <w:szCs w:val="22"/>
        </w:rPr>
        <w:t>210001</w:t>
      </w:r>
    </w:p>
    <w:p w14:paraId="0EF483D9" w14:textId="77777777"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522F03">
        <w:rPr>
          <w:rFonts w:ascii="Arial" w:hAnsi="Arial" w:cs="Arial"/>
          <w:b/>
          <w:szCs w:val="22"/>
        </w:rPr>
        <w:t>Toxicological advice on air pollutants</w:t>
      </w:r>
    </w:p>
    <w:p w14:paraId="5572E2B7" w14:textId="77777777" w:rsidR="005700D8" w:rsidRPr="0093723A" w:rsidRDefault="005700D8" w:rsidP="00E65F5D">
      <w:pPr>
        <w:jc w:val="both"/>
        <w:rPr>
          <w:rFonts w:ascii="Arial" w:hAnsi="Arial" w:cs="Arial"/>
          <w:szCs w:val="22"/>
        </w:rPr>
      </w:pPr>
    </w:p>
    <w:p w14:paraId="337059E0"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834C694" w14:textId="77777777" w:rsidR="003014F2" w:rsidRPr="0093723A" w:rsidRDefault="003014F2" w:rsidP="00E65F5D">
      <w:pPr>
        <w:rPr>
          <w:rFonts w:ascii="Arial" w:hAnsi="Arial" w:cs="Arial"/>
          <w:b/>
          <w:szCs w:val="22"/>
          <w:u w:val="single"/>
        </w:rPr>
      </w:pPr>
    </w:p>
    <w:p w14:paraId="1BB324AA"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42923BD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F0E75C7" w14:textId="77777777" w:rsidR="00491B79" w:rsidRPr="0093723A" w:rsidRDefault="00491B79" w:rsidP="00E65F5D">
      <w:pPr>
        <w:widowControl w:val="0"/>
        <w:rPr>
          <w:rFonts w:ascii="Arial" w:hAnsi="Arial" w:cs="Arial"/>
          <w:szCs w:val="22"/>
        </w:rPr>
      </w:pPr>
    </w:p>
    <w:p w14:paraId="68C948D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0CFCD340" w14:textId="77777777" w:rsidR="00491B79" w:rsidRPr="0093723A" w:rsidRDefault="00491B79" w:rsidP="00E65F5D">
      <w:pPr>
        <w:widowControl w:val="0"/>
        <w:rPr>
          <w:rFonts w:ascii="Arial" w:hAnsi="Arial" w:cs="Arial"/>
          <w:szCs w:val="22"/>
        </w:rPr>
      </w:pPr>
    </w:p>
    <w:p w14:paraId="5A4101FC" w14:textId="77777777" w:rsidR="00491B79" w:rsidRPr="0093723A" w:rsidRDefault="00AF4714"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AF6022F" w14:textId="77777777" w:rsidR="00491B79" w:rsidRPr="0093723A" w:rsidRDefault="00491B79" w:rsidP="00E65F5D">
      <w:pPr>
        <w:widowControl w:val="0"/>
        <w:rPr>
          <w:rFonts w:ascii="Arial" w:hAnsi="Arial" w:cs="Arial"/>
          <w:b/>
          <w:szCs w:val="22"/>
          <w:u w:val="single"/>
        </w:rPr>
      </w:pPr>
    </w:p>
    <w:p w14:paraId="1ABE6C3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649403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3320CA0" w14:textId="77777777" w:rsidR="00491B79" w:rsidRPr="0093723A" w:rsidRDefault="00491B79" w:rsidP="00E65F5D">
      <w:pPr>
        <w:widowControl w:val="0"/>
        <w:rPr>
          <w:rFonts w:ascii="Arial" w:hAnsi="Arial" w:cs="Arial"/>
          <w:szCs w:val="22"/>
        </w:rPr>
      </w:pPr>
    </w:p>
    <w:p w14:paraId="021B0CE7"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62CAA4E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1325FBFC"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33409B8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09B97F5"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7C216CE3"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95B4D55"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EB27BF0" w14:textId="77777777" w:rsidR="00491B79" w:rsidRPr="0093723A" w:rsidRDefault="00491B79" w:rsidP="00E65F5D">
      <w:pPr>
        <w:widowControl w:val="0"/>
        <w:rPr>
          <w:rFonts w:ascii="Arial" w:hAnsi="Arial" w:cs="Arial"/>
          <w:b/>
          <w:szCs w:val="22"/>
        </w:rPr>
      </w:pPr>
    </w:p>
    <w:p w14:paraId="104979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DCD093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DE714A9" w14:textId="77777777" w:rsidR="00491B79" w:rsidRPr="0093723A" w:rsidRDefault="00491B79" w:rsidP="00E65F5D">
      <w:pPr>
        <w:widowControl w:val="0"/>
        <w:rPr>
          <w:rFonts w:ascii="Arial" w:hAnsi="Arial" w:cs="Arial"/>
          <w:szCs w:val="22"/>
        </w:rPr>
      </w:pPr>
    </w:p>
    <w:p w14:paraId="55109280"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7D1231F" w14:textId="77777777" w:rsidR="00AD6F35" w:rsidRDefault="00AD6F35" w:rsidP="00E65F5D">
      <w:pPr>
        <w:widowControl w:val="0"/>
        <w:rPr>
          <w:rFonts w:ascii="Arial" w:hAnsi="Arial" w:cs="Arial"/>
          <w:szCs w:val="22"/>
        </w:rPr>
      </w:pPr>
    </w:p>
    <w:p w14:paraId="2D3D484F" w14:textId="77777777" w:rsidR="00491B79" w:rsidRPr="0093723A" w:rsidRDefault="00AF4714"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30BD5D8" w14:textId="77777777" w:rsidR="00A323E2" w:rsidRPr="0093723A" w:rsidRDefault="00A323E2" w:rsidP="00E65F5D">
      <w:pPr>
        <w:widowControl w:val="0"/>
        <w:rPr>
          <w:rFonts w:ascii="Arial" w:hAnsi="Arial" w:cs="Arial"/>
          <w:color w:val="8DB3E2"/>
          <w:szCs w:val="22"/>
        </w:rPr>
      </w:pPr>
    </w:p>
    <w:p w14:paraId="18177C7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80E8F2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196FEFF" w14:textId="77777777" w:rsidR="00491B79" w:rsidRPr="0093723A" w:rsidRDefault="00491B79" w:rsidP="00E65F5D">
      <w:pPr>
        <w:widowControl w:val="0"/>
        <w:rPr>
          <w:rFonts w:ascii="Arial" w:hAnsi="Arial" w:cs="Arial"/>
          <w:szCs w:val="22"/>
        </w:rPr>
      </w:pPr>
    </w:p>
    <w:p w14:paraId="58C15414" w14:textId="77777777" w:rsidR="00491B79" w:rsidRPr="0093723A" w:rsidRDefault="00AF4714"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0BC35C22" w14:textId="77777777" w:rsidR="00491B79" w:rsidRPr="0093723A" w:rsidRDefault="00491B79" w:rsidP="00E65F5D">
      <w:pPr>
        <w:widowControl w:val="0"/>
        <w:rPr>
          <w:rFonts w:ascii="Arial" w:hAnsi="Arial" w:cs="Arial"/>
          <w:szCs w:val="22"/>
        </w:rPr>
      </w:pPr>
    </w:p>
    <w:p w14:paraId="60B2482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287357F" w14:textId="77777777" w:rsidR="00491B79" w:rsidRPr="0093723A" w:rsidRDefault="00491B79" w:rsidP="00E65F5D">
      <w:pPr>
        <w:shd w:val="clear" w:color="auto" w:fill="FFFFFF"/>
        <w:rPr>
          <w:rFonts w:ascii="Arial" w:hAnsi="Arial" w:cs="Arial"/>
          <w:szCs w:val="22"/>
        </w:rPr>
      </w:pPr>
    </w:p>
    <w:p w14:paraId="081C127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7FE3EF2"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FC19538" w14:textId="77777777" w:rsidR="00491B79" w:rsidRPr="0093723A" w:rsidRDefault="00491B79" w:rsidP="00E65F5D">
      <w:pPr>
        <w:shd w:val="clear" w:color="auto" w:fill="FFFFFF"/>
        <w:rPr>
          <w:rFonts w:ascii="Arial" w:hAnsi="Arial" w:cs="Arial"/>
          <w:szCs w:val="22"/>
        </w:rPr>
      </w:pPr>
    </w:p>
    <w:p w14:paraId="30864DE0" w14:textId="77777777" w:rsidR="00491B79" w:rsidRPr="0093723A" w:rsidRDefault="00AF4714"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B665D9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1226F09" w14:textId="77777777" w:rsidR="00491B79" w:rsidRPr="0093723A" w:rsidRDefault="00491B79" w:rsidP="00E65F5D">
      <w:pPr>
        <w:rPr>
          <w:rFonts w:ascii="Arial" w:hAnsi="Arial" w:cs="Arial"/>
          <w:szCs w:val="22"/>
        </w:rPr>
      </w:pPr>
    </w:p>
    <w:p w14:paraId="710A70A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89196D5" w14:textId="77777777" w:rsidR="00491B79" w:rsidRPr="0093723A" w:rsidRDefault="00491B79" w:rsidP="00E65F5D">
      <w:pPr>
        <w:rPr>
          <w:rFonts w:ascii="Arial" w:hAnsi="Arial" w:cs="Arial"/>
          <w:szCs w:val="22"/>
        </w:rPr>
      </w:pPr>
    </w:p>
    <w:p w14:paraId="4454382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6DFA202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FB07407" w14:textId="77777777" w:rsidR="00EA6FE1" w:rsidRPr="0093723A" w:rsidRDefault="00EA6FE1" w:rsidP="00E65F5D">
      <w:pPr>
        <w:jc w:val="both"/>
        <w:rPr>
          <w:rFonts w:ascii="Arial" w:hAnsi="Arial" w:cs="Arial"/>
          <w:b/>
          <w:szCs w:val="22"/>
          <w:u w:val="single"/>
        </w:rPr>
      </w:pPr>
    </w:p>
    <w:p w14:paraId="1F5FEDC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E3114AD" w14:textId="77777777" w:rsidR="00D92EC1" w:rsidRPr="0093723A" w:rsidRDefault="00D92EC1" w:rsidP="00E65F5D">
      <w:pPr>
        <w:jc w:val="both"/>
        <w:rPr>
          <w:rFonts w:ascii="Arial" w:hAnsi="Arial" w:cs="Arial"/>
          <w:szCs w:val="22"/>
        </w:rPr>
      </w:pPr>
    </w:p>
    <w:p w14:paraId="7BF30B9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610520F" w14:textId="77777777" w:rsidR="00C24614" w:rsidRPr="0093723A" w:rsidRDefault="00C24614" w:rsidP="00E65F5D">
      <w:pPr>
        <w:jc w:val="both"/>
        <w:rPr>
          <w:rFonts w:ascii="Arial" w:hAnsi="Arial" w:cs="Arial"/>
          <w:b/>
          <w:szCs w:val="22"/>
          <w:u w:val="single"/>
        </w:rPr>
      </w:pPr>
    </w:p>
    <w:p w14:paraId="2B28D7E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8EF7336" w14:textId="77777777" w:rsidR="003C74EF" w:rsidRPr="0093723A" w:rsidRDefault="003C74EF" w:rsidP="00E65F5D">
      <w:pPr>
        <w:jc w:val="both"/>
        <w:rPr>
          <w:rFonts w:ascii="Arial" w:hAnsi="Arial" w:cs="Arial"/>
          <w:b/>
          <w:szCs w:val="22"/>
          <w:u w:val="single"/>
        </w:rPr>
      </w:pPr>
    </w:p>
    <w:p w14:paraId="7523C497" w14:textId="77777777" w:rsidR="0044471C" w:rsidRPr="00CF7FF3" w:rsidRDefault="0044471C" w:rsidP="0044471C">
      <w:pPr>
        <w:rPr>
          <w:rFonts w:ascii="Arial" w:hAnsi="Arial" w:cs="Arial"/>
        </w:rPr>
      </w:pPr>
      <w:r w:rsidRPr="00CF7FF3">
        <w:rPr>
          <w:rFonts w:ascii="Arial" w:hAnsi="Arial" w:cs="Arial"/>
        </w:rPr>
        <w:t xml:space="preserve">This work is being commissioned by the Research team within the </w:t>
      </w:r>
      <w:r w:rsidR="00522F03">
        <w:rPr>
          <w:rFonts w:ascii="Arial" w:hAnsi="Arial" w:cs="Arial"/>
        </w:rPr>
        <w:t>Chief Scientist’s Group</w:t>
      </w:r>
      <w:r w:rsidRPr="00CF7FF3">
        <w:rPr>
          <w:rFonts w:ascii="Arial" w:hAnsi="Arial" w:cs="Arial"/>
        </w:rPr>
        <w:t xml:space="preserve">. The work of the Environment Agency’s </w:t>
      </w:r>
      <w:r w:rsidR="00522F03">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7839DD39" w14:textId="77777777" w:rsidR="0044471C" w:rsidRPr="00CF7FF3" w:rsidRDefault="0044471C" w:rsidP="0044471C">
      <w:pPr>
        <w:rPr>
          <w:rFonts w:ascii="Arial" w:hAnsi="Arial" w:cs="Arial"/>
        </w:rPr>
      </w:pPr>
    </w:p>
    <w:p w14:paraId="5EE8C406"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22B4FECF"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14A022DE" w14:textId="77777777"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5E66660E" w14:textId="77777777"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14:paraId="196604E6" w14:textId="77777777" w:rsidR="009B4EC1" w:rsidRPr="00D777EF" w:rsidRDefault="009B4EC1" w:rsidP="00E65F5D">
      <w:pPr>
        <w:rPr>
          <w:rFonts w:ascii="Arial" w:hAnsi="Arial" w:cs="Arial"/>
          <w:color w:val="FF0000"/>
          <w:szCs w:val="22"/>
        </w:rPr>
      </w:pPr>
    </w:p>
    <w:p w14:paraId="79D6AEE9" w14:textId="77777777" w:rsidR="005700D8" w:rsidRPr="0093723A" w:rsidRDefault="005700D8" w:rsidP="00E65F5D">
      <w:pPr>
        <w:jc w:val="both"/>
        <w:rPr>
          <w:rFonts w:ascii="Arial" w:hAnsi="Arial" w:cs="Arial"/>
          <w:szCs w:val="22"/>
        </w:rPr>
      </w:pPr>
    </w:p>
    <w:p w14:paraId="3C012C2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4080321" w14:textId="77777777" w:rsidR="005700D8" w:rsidRPr="0093723A" w:rsidRDefault="005700D8" w:rsidP="00E65F5D">
      <w:pPr>
        <w:rPr>
          <w:rFonts w:ascii="Arial" w:hAnsi="Arial" w:cs="Arial"/>
          <w:szCs w:val="22"/>
        </w:rPr>
      </w:pPr>
    </w:p>
    <w:p w14:paraId="126CC17D" w14:textId="77777777"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522F03">
        <w:rPr>
          <w:rFonts w:ascii="Arial" w:hAnsi="Arial" w:cs="Arial"/>
          <w:szCs w:val="22"/>
        </w:rPr>
        <w:t>7</w:t>
      </w:r>
      <w:r w:rsidR="00C87B46" w:rsidRPr="00CF7FF3">
        <w:rPr>
          <w:rFonts w:ascii="Arial" w:hAnsi="Arial" w:cs="Arial"/>
          <w:szCs w:val="22"/>
        </w:rPr>
        <w:t xml:space="preserve"> </w:t>
      </w:r>
      <w:r w:rsidRPr="00CF7FF3">
        <w:rPr>
          <w:rFonts w:ascii="Arial" w:hAnsi="Arial" w:cs="Arial"/>
          <w:szCs w:val="22"/>
        </w:rPr>
        <w:t xml:space="preserve">months to end no later than </w:t>
      </w:r>
      <w:r w:rsidR="0044471C" w:rsidRPr="00CF7FF3">
        <w:rPr>
          <w:rFonts w:ascii="Arial" w:hAnsi="Arial" w:cs="Arial"/>
          <w:szCs w:val="22"/>
        </w:rPr>
        <w:t>31</w:t>
      </w:r>
      <w:r w:rsidR="00A323E2" w:rsidRPr="00CF7FF3">
        <w:rPr>
          <w:rFonts w:ascii="Arial" w:hAnsi="Arial" w:cs="Arial"/>
          <w:szCs w:val="22"/>
        </w:rPr>
        <w:t>/</w:t>
      </w:r>
      <w:r w:rsidR="0044471C" w:rsidRPr="00CF7FF3">
        <w:rPr>
          <w:rFonts w:ascii="Arial" w:hAnsi="Arial" w:cs="Arial"/>
          <w:szCs w:val="22"/>
        </w:rPr>
        <w:t>03</w:t>
      </w:r>
      <w:r w:rsidR="00A323E2" w:rsidRPr="00CF7FF3">
        <w:rPr>
          <w:rFonts w:ascii="Arial" w:hAnsi="Arial" w:cs="Arial"/>
          <w:szCs w:val="22"/>
        </w:rPr>
        <w:t>/</w:t>
      </w:r>
      <w:r w:rsidR="00522F03" w:rsidRPr="00CF7FF3">
        <w:rPr>
          <w:rFonts w:ascii="Arial" w:hAnsi="Arial" w:cs="Arial"/>
          <w:szCs w:val="22"/>
        </w:rPr>
        <w:t>202</w:t>
      </w:r>
      <w:r w:rsidR="00522F03">
        <w:rPr>
          <w:rFonts w:ascii="Arial" w:hAnsi="Arial" w:cs="Arial"/>
          <w:szCs w:val="22"/>
        </w:rPr>
        <w:t>2</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1478A3C" w14:textId="77777777" w:rsidR="00AB6556" w:rsidRPr="0093723A" w:rsidRDefault="00AB6556" w:rsidP="00E65F5D">
      <w:pPr>
        <w:rPr>
          <w:rFonts w:ascii="Arial" w:hAnsi="Arial" w:cs="Arial"/>
          <w:szCs w:val="22"/>
        </w:rPr>
      </w:pPr>
    </w:p>
    <w:p w14:paraId="608F17F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6C97DF82" w14:textId="77777777" w:rsidR="00296D92" w:rsidRPr="00CF7FF3" w:rsidRDefault="00296D92" w:rsidP="00E65F5D">
      <w:pPr>
        <w:rPr>
          <w:rFonts w:ascii="Arial" w:hAnsi="Arial" w:cs="Arial"/>
          <w:szCs w:val="22"/>
        </w:rPr>
      </w:pPr>
    </w:p>
    <w:p w14:paraId="19666A93" w14:textId="77777777" w:rsidR="00F7147C" w:rsidRPr="0093723A" w:rsidRDefault="00F7147C" w:rsidP="00E65F5D">
      <w:pPr>
        <w:pStyle w:val="CcList"/>
        <w:rPr>
          <w:rFonts w:cs="Arial"/>
          <w:i/>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522F03">
        <w:rPr>
          <w:rFonts w:cs="Arial"/>
          <w:sz w:val="20"/>
          <w:szCs w:val="22"/>
        </w:rPr>
        <w:t>Ian Martin</w:t>
      </w:r>
      <w:r w:rsidR="00522F03" w:rsidRPr="00522F03">
        <w:rPr>
          <w:rFonts w:cs="Arial"/>
          <w:sz w:val="20"/>
          <w:szCs w:val="22"/>
        </w:rPr>
        <w:t>,</w:t>
      </w:r>
      <w:r w:rsidR="00522F03">
        <w:rPr>
          <w:rFonts w:cs="Arial"/>
          <w:color w:val="FF0000"/>
          <w:sz w:val="20"/>
          <w:szCs w:val="22"/>
        </w:rPr>
        <w:t xml:space="preserve"> </w:t>
      </w:r>
      <w:hyperlink r:id="rId15" w:history="1">
        <w:r w:rsidR="00522F03" w:rsidRPr="009B141D">
          <w:rPr>
            <w:rStyle w:val="Hyperlink"/>
            <w:rFonts w:cs="Arial"/>
            <w:sz w:val="20"/>
            <w:szCs w:val="22"/>
          </w:rPr>
          <w:t>ian.martin@environment-agency.gov.uk</w:t>
        </w:r>
      </w:hyperlink>
      <w:r w:rsidR="00522F03">
        <w:rPr>
          <w:rStyle w:val="Hyperlink"/>
          <w:rFonts w:cs="Arial"/>
          <w:sz w:val="20"/>
          <w:szCs w:val="22"/>
        </w:rPr>
        <w:t>.</w:t>
      </w:r>
    </w:p>
    <w:p w14:paraId="0913560F" w14:textId="77777777" w:rsidR="005700D8" w:rsidRPr="0093723A" w:rsidRDefault="005700D8" w:rsidP="00E65F5D">
      <w:pPr>
        <w:rPr>
          <w:rFonts w:ascii="Arial" w:hAnsi="Arial" w:cs="Arial"/>
          <w:szCs w:val="22"/>
        </w:rPr>
      </w:pPr>
    </w:p>
    <w:p w14:paraId="45D929F5"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72B71CC" w14:textId="77777777" w:rsidR="00296D92" w:rsidRDefault="00296D92" w:rsidP="00296D92"/>
    <w:p w14:paraId="18B97820" w14:textId="0FD4986C" w:rsidR="00296D92" w:rsidRPr="0093723A" w:rsidRDefault="00522F03" w:rsidP="00296D92">
      <w:pPr>
        <w:ind w:right="-21"/>
        <w:rPr>
          <w:rFonts w:ascii="Arial" w:hAnsi="Arial" w:cs="Arial"/>
          <w:szCs w:val="22"/>
        </w:rPr>
      </w:pPr>
      <w:r w:rsidRPr="00522F03">
        <w:rPr>
          <w:rFonts w:ascii="Arial" w:hAnsi="Arial" w:cs="Arial"/>
          <w:szCs w:val="22"/>
        </w:rPr>
        <w:t>Ian</w:t>
      </w:r>
      <w:r>
        <w:rPr>
          <w:rFonts w:ascii="Arial" w:hAnsi="Arial" w:cs="Arial"/>
          <w:szCs w:val="22"/>
        </w:rPr>
        <w:t xml:space="preserve"> Martin</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E423560" w14:textId="77777777" w:rsidR="00296D92" w:rsidRPr="0093723A" w:rsidRDefault="00296D92" w:rsidP="00296D92">
      <w:pPr>
        <w:ind w:right="-21"/>
        <w:rPr>
          <w:rFonts w:ascii="Arial" w:hAnsi="Arial" w:cs="Arial"/>
          <w:szCs w:val="22"/>
        </w:rPr>
      </w:pPr>
    </w:p>
    <w:p w14:paraId="6D065DDE" w14:textId="77777777" w:rsidR="00264B69" w:rsidRDefault="00264B69" w:rsidP="00296D92">
      <w:pPr>
        <w:rPr>
          <w:rFonts w:ascii="Arial" w:hAnsi="Arial" w:cs="Arial"/>
          <w:szCs w:val="22"/>
        </w:rPr>
      </w:pPr>
    </w:p>
    <w:p w14:paraId="284BFE1E" w14:textId="77777777" w:rsidR="00264B69" w:rsidRDefault="00264B69" w:rsidP="00296D92">
      <w:pPr>
        <w:rPr>
          <w:rFonts w:ascii="Arial" w:hAnsi="Arial" w:cs="Arial"/>
          <w:szCs w:val="22"/>
        </w:rPr>
      </w:pPr>
    </w:p>
    <w:p w14:paraId="0660911B" w14:textId="77777777" w:rsidR="00264B69" w:rsidRDefault="00264B69" w:rsidP="00296D92">
      <w:pPr>
        <w:rPr>
          <w:rFonts w:ascii="Arial" w:hAnsi="Arial" w:cs="Arial"/>
          <w:szCs w:val="22"/>
        </w:rPr>
      </w:pPr>
    </w:p>
    <w:p w14:paraId="41AB61DF"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66D6702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2242502" w14:textId="77777777" w:rsidTr="000D1CA8">
        <w:tc>
          <w:tcPr>
            <w:tcW w:w="6062" w:type="dxa"/>
          </w:tcPr>
          <w:p w14:paraId="4B99F86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6CDAD4D7"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767B215" w14:textId="77777777" w:rsidTr="000D1CA8">
        <w:tc>
          <w:tcPr>
            <w:tcW w:w="6062" w:type="dxa"/>
          </w:tcPr>
          <w:p w14:paraId="5FAC7C9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773495E7" w14:textId="77777777" w:rsidR="00296D92" w:rsidRPr="00CF7FF3" w:rsidRDefault="00710F4A" w:rsidP="00F77C98">
            <w:pPr>
              <w:tabs>
                <w:tab w:val="left" w:pos="1503"/>
              </w:tabs>
              <w:rPr>
                <w:rFonts w:ascii="Arial" w:hAnsi="Arial" w:cs="Arial"/>
                <w:szCs w:val="22"/>
              </w:rPr>
            </w:pPr>
            <w:r>
              <w:rPr>
                <w:rFonts w:ascii="Arial" w:hAnsi="Arial" w:cs="Arial"/>
                <w:szCs w:val="22"/>
              </w:rPr>
              <w:t>02/08/2021</w:t>
            </w:r>
            <w:r w:rsidR="00C87B46" w:rsidRPr="00CF7FF3">
              <w:rPr>
                <w:rFonts w:ascii="Arial" w:hAnsi="Arial" w:cs="Arial"/>
                <w:szCs w:val="22"/>
              </w:rPr>
              <w:tab/>
              <w:t>17:</w:t>
            </w:r>
            <w:r w:rsidR="00F77C98">
              <w:rPr>
                <w:rFonts w:ascii="Arial" w:hAnsi="Arial" w:cs="Arial"/>
                <w:szCs w:val="22"/>
              </w:rPr>
              <w:t>3</w:t>
            </w:r>
            <w:r w:rsidR="00C87B46" w:rsidRPr="00CF7FF3">
              <w:rPr>
                <w:rFonts w:ascii="Arial" w:hAnsi="Arial" w:cs="Arial"/>
                <w:szCs w:val="22"/>
              </w:rPr>
              <w:t>0</w:t>
            </w:r>
          </w:p>
        </w:tc>
      </w:tr>
      <w:tr w:rsidR="00296D92" w:rsidRPr="000D1CA8" w14:paraId="237915D1" w14:textId="77777777" w:rsidTr="000D1CA8">
        <w:tc>
          <w:tcPr>
            <w:tcW w:w="6062" w:type="dxa"/>
          </w:tcPr>
          <w:p w14:paraId="2027B083"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DAB661C" w14:textId="77777777" w:rsidR="00296D92" w:rsidRPr="00CF7FF3" w:rsidRDefault="00710F4A" w:rsidP="00F77C98">
            <w:pPr>
              <w:rPr>
                <w:rFonts w:ascii="Arial" w:hAnsi="Arial" w:cs="Arial"/>
                <w:szCs w:val="22"/>
              </w:rPr>
            </w:pPr>
            <w:r>
              <w:rPr>
                <w:rFonts w:ascii="Arial" w:hAnsi="Arial" w:cs="Arial"/>
                <w:szCs w:val="22"/>
              </w:rPr>
              <w:t>06</w:t>
            </w:r>
            <w:r w:rsidR="000C73B0" w:rsidRPr="00CF7FF3">
              <w:rPr>
                <w:rFonts w:ascii="Arial" w:hAnsi="Arial" w:cs="Arial"/>
                <w:szCs w:val="22"/>
              </w:rPr>
              <w:t>/0</w:t>
            </w:r>
            <w:r>
              <w:rPr>
                <w:rFonts w:ascii="Arial" w:hAnsi="Arial" w:cs="Arial"/>
                <w:szCs w:val="22"/>
              </w:rPr>
              <w:t>8</w:t>
            </w:r>
            <w:r w:rsidR="000C73B0" w:rsidRPr="00CF7FF3">
              <w:rPr>
                <w:rFonts w:ascii="Arial" w:hAnsi="Arial" w:cs="Arial"/>
                <w:szCs w:val="22"/>
              </w:rPr>
              <w:t>/2021</w:t>
            </w:r>
          </w:p>
        </w:tc>
      </w:tr>
      <w:tr w:rsidR="00296D92" w:rsidRPr="000D1CA8" w14:paraId="7FA48A60" w14:textId="77777777" w:rsidTr="000D1CA8">
        <w:tc>
          <w:tcPr>
            <w:tcW w:w="6062" w:type="dxa"/>
          </w:tcPr>
          <w:p w14:paraId="7746BE00"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6FF40659" w14:textId="77777777" w:rsidR="00296D92" w:rsidRPr="00CF7FF3" w:rsidRDefault="00710F4A" w:rsidP="00296D92">
            <w:pPr>
              <w:rPr>
                <w:rFonts w:ascii="Arial" w:hAnsi="Arial" w:cs="Arial"/>
                <w:szCs w:val="22"/>
              </w:rPr>
            </w:pPr>
            <w:r>
              <w:rPr>
                <w:rFonts w:ascii="Arial" w:hAnsi="Arial" w:cs="Arial"/>
                <w:szCs w:val="22"/>
              </w:rPr>
              <w:t>01/09</w:t>
            </w:r>
            <w:r w:rsidR="000C73B0" w:rsidRPr="00CF7FF3">
              <w:rPr>
                <w:rFonts w:ascii="Arial" w:hAnsi="Arial" w:cs="Arial"/>
                <w:szCs w:val="22"/>
              </w:rPr>
              <w:t>/2021</w:t>
            </w:r>
          </w:p>
        </w:tc>
      </w:tr>
      <w:tr w:rsidR="00411E0E" w:rsidRPr="000D1CA8" w14:paraId="746393DA" w14:textId="77777777" w:rsidTr="000D1CA8">
        <w:tc>
          <w:tcPr>
            <w:tcW w:w="6062" w:type="dxa"/>
          </w:tcPr>
          <w:p w14:paraId="665D836D"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C87E4DC" w14:textId="77777777" w:rsidR="00411E0E" w:rsidRPr="00CF7FF3" w:rsidRDefault="000C73B0" w:rsidP="00AD730C">
            <w:pPr>
              <w:rPr>
                <w:rFonts w:ascii="Arial" w:hAnsi="Arial" w:cs="Arial"/>
                <w:szCs w:val="22"/>
              </w:rPr>
            </w:pPr>
            <w:r w:rsidRPr="00CF7FF3">
              <w:rPr>
                <w:rFonts w:ascii="Arial" w:hAnsi="Arial" w:cs="Arial"/>
                <w:szCs w:val="22"/>
              </w:rPr>
              <w:t>31/03/20</w:t>
            </w:r>
            <w:r w:rsidR="00AD730C" w:rsidRPr="00CF7FF3">
              <w:rPr>
                <w:rFonts w:ascii="Arial" w:hAnsi="Arial" w:cs="Arial"/>
                <w:szCs w:val="22"/>
              </w:rPr>
              <w:t>2</w:t>
            </w:r>
            <w:r w:rsidR="00710F4A">
              <w:rPr>
                <w:rFonts w:ascii="Arial" w:hAnsi="Arial" w:cs="Arial"/>
                <w:szCs w:val="22"/>
              </w:rPr>
              <w:t>2</w:t>
            </w:r>
          </w:p>
        </w:tc>
      </w:tr>
    </w:tbl>
    <w:p w14:paraId="2B2BFA6C" w14:textId="77777777" w:rsidR="00296D92" w:rsidRPr="0093723A" w:rsidRDefault="00296D92" w:rsidP="00296D92">
      <w:pPr>
        <w:rPr>
          <w:rFonts w:ascii="Arial" w:hAnsi="Arial" w:cs="Arial"/>
          <w:szCs w:val="22"/>
        </w:rPr>
      </w:pPr>
    </w:p>
    <w:p w14:paraId="5132CE2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51CCFD2" w14:textId="77777777" w:rsidR="00296D92" w:rsidRDefault="00296D92" w:rsidP="00E65F5D">
      <w:pPr>
        <w:pStyle w:val="Heading2"/>
        <w:numPr>
          <w:ilvl w:val="0"/>
          <w:numId w:val="0"/>
        </w:numPr>
        <w:rPr>
          <w:rFonts w:cs="Arial"/>
          <w:sz w:val="20"/>
          <w:szCs w:val="22"/>
        </w:rPr>
      </w:pPr>
    </w:p>
    <w:p w14:paraId="5D5D7099"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4B57818" w14:textId="77777777" w:rsidR="00C11EBA" w:rsidRPr="00C11EBA" w:rsidRDefault="00C11EBA" w:rsidP="00C11EBA"/>
    <w:p w14:paraId="20CD1AB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787C5AF" w14:textId="77777777" w:rsidR="00BD6C51" w:rsidRPr="0093723A" w:rsidRDefault="00BD6C51" w:rsidP="00E65F5D">
      <w:pPr>
        <w:ind w:right="-21"/>
        <w:rPr>
          <w:rFonts w:ascii="Arial" w:hAnsi="Arial" w:cs="Arial"/>
          <w:szCs w:val="22"/>
        </w:rPr>
      </w:pPr>
    </w:p>
    <w:p w14:paraId="2EB7C28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AAED444" w14:textId="77777777" w:rsidR="005700D8" w:rsidRPr="0093723A" w:rsidRDefault="005700D8" w:rsidP="00E65F5D">
      <w:pPr>
        <w:rPr>
          <w:rFonts w:ascii="Arial" w:hAnsi="Arial" w:cs="Arial"/>
          <w:szCs w:val="22"/>
        </w:rPr>
      </w:pPr>
    </w:p>
    <w:p w14:paraId="00120E06"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4FB09D13" w14:textId="77777777" w:rsidR="00E71837" w:rsidRPr="00CF7FF3" w:rsidRDefault="00E71837" w:rsidP="00E65F5D">
      <w:pPr>
        <w:rPr>
          <w:rFonts w:ascii="Arial" w:hAnsi="Arial" w:cs="Arial"/>
          <w:szCs w:val="22"/>
        </w:rPr>
      </w:pPr>
    </w:p>
    <w:p w14:paraId="4586B1C7"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5B5EF88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571600E"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21"/>
        <w:gridCol w:w="718"/>
      </w:tblGrid>
      <w:tr w:rsidR="00F7576D" w:rsidRPr="00F7576D" w14:paraId="1F53A682" w14:textId="77777777" w:rsidTr="00710F4A">
        <w:trPr>
          <w:trHeight w:val="320"/>
        </w:trPr>
        <w:tc>
          <w:tcPr>
            <w:tcW w:w="0" w:type="auto"/>
            <w:shd w:val="clear" w:color="auto" w:fill="auto"/>
            <w:vAlign w:val="center"/>
          </w:tcPr>
          <w:p w14:paraId="497EF372" w14:textId="77777777" w:rsidR="00F7576D" w:rsidRPr="00CF7FF3" w:rsidRDefault="00F7576D" w:rsidP="00710F4A">
            <w:pPr>
              <w:ind w:right="141"/>
              <w:rPr>
                <w:rFonts w:ascii="Arial" w:hAnsi="Arial" w:cs="Arial"/>
                <w:bCs/>
                <w:sz w:val="18"/>
                <w:szCs w:val="18"/>
              </w:rPr>
            </w:pPr>
            <w:r w:rsidRPr="00CF7FF3">
              <w:rPr>
                <w:rFonts w:ascii="Arial" w:hAnsi="Arial" w:cs="Arial"/>
                <w:sz w:val="18"/>
                <w:szCs w:val="18"/>
              </w:rPr>
              <w:t xml:space="preserve">Experience of </w:t>
            </w:r>
            <w:r w:rsidR="00710F4A">
              <w:rPr>
                <w:rFonts w:ascii="Arial" w:hAnsi="Arial" w:cs="Arial"/>
                <w:sz w:val="18"/>
                <w:szCs w:val="18"/>
              </w:rPr>
              <w:t>reviewing and summarising mammalian and human toxicology of chemicals</w:t>
            </w:r>
            <w:r w:rsidRPr="00CF7FF3">
              <w:rPr>
                <w:rFonts w:ascii="Arial" w:hAnsi="Arial" w:cs="Arial"/>
                <w:sz w:val="18"/>
                <w:szCs w:val="18"/>
              </w:rPr>
              <w:t xml:space="preserve"> </w:t>
            </w:r>
          </w:p>
        </w:tc>
        <w:tc>
          <w:tcPr>
            <w:tcW w:w="0" w:type="auto"/>
          </w:tcPr>
          <w:p w14:paraId="264E27A5" w14:textId="77777777" w:rsidR="00F7576D" w:rsidRPr="00CF7FF3" w:rsidRDefault="00710F4A" w:rsidP="00710F4A">
            <w:pPr>
              <w:ind w:right="141"/>
              <w:rPr>
                <w:rFonts w:ascii="Arial" w:hAnsi="Arial" w:cs="Arial"/>
                <w:bCs/>
                <w:sz w:val="18"/>
                <w:szCs w:val="18"/>
              </w:rPr>
            </w:pPr>
            <w:r>
              <w:rPr>
                <w:rFonts w:ascii="Arial" w:hAnsi="Arial" w:cs="Arial"/>
                <w:bCs/>
                <w:sz w:val="18"/>
                <w:szCs w:val="18"/>
              </w:rPr>
              <w:t>35</w:t>
            </w:r>
            <w:r w:rsidR="00F7576D" w:rsidRPr="00CF7FF3">
              <w:rPr>
                <w:rFonts w:ascii="Arial" w:hAnsi="Arial" w:cs="Arial"/>
                <w:bCs/>
                <w:sz w:val="18"/>
                <w:szCs w:val="18"/>
              </w:rPr>
              <w:t>%</w:t>
            </w:r>
          </w:p>
        </w:tc>
      </w:tr>
      <w:tr w:rsidR="00264B69" w:rsidRPr="00F7576D" w14:paraId="521EB3CF" w14:textId="77777777" w:rsidTr="00710F4A">
        <w:trPr>
          <w:trHeight w:val="258"/>
        </w:trPr>
        <w:tc>
          <w:tcPr>
            <w:tcW w:w="0" w:type="auto"/>
            <w:shd w:val="clear" w:color="auto" w:fill="auto"/>
            <w:vAlign w:val="center"/>
          </w:tcPr>
          <w:p w14:paraId="67277A3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14:paraId="7088FB54" w14:textId="77777777" w:rsidR="00264B69" w:rsidRDefault="00264B69" w:rsidP="00264B69">
            <w:pPr>
              <w:ind w:right="141"/>
              <w:rPr>
                <w:rFonts w:ascii="Arial" w:hAnsi="Arial" w:cs="Arial"/>
                <w:bCs/>
                <w:sz w:val="18"/>
                <w:szCs w:val="18"/>
              </w:rPr>
            </w:pPr>
            <w:r>
              <w:rPr>
                <w:rFonts w:ascii="Arial" w:hAnsi="Arial" w:cs="Arial"/>
                <w:bCs/>
                <w:sz w:val="18"/>
                <w:szCs w:val="18"/>
              </w:rPr>
              <w:t>35</w:t>
            </w:r>
            <w:r w:rsidRPr="00CF7FF3">
              <w:rPr>
                <w:rFonts w:ascii="Arial" w:hAnsi="Arial" w:cs="Arial"/>
                <w:bCs/>
                <w:sz w:val="18"/>
                <w:szCs w:val="18"/>
              </w:rPr>
              <w:t>%</w:t>
            </w:r>
          </w:p>
        </w:tc>
      </w:tr>
      <w:tr w:rsidR="00264B69" w:rsidRPr="00F7576D" w14:paraId="7DA7F7E1" w14:textId="77777777" w:rsidTr="00710F4A">
        <w:trPr>
          <w:trHeight w:val="258"/>
        </w:trPr>
        <w:tc>
          <w:tcPr>
            <w:tcW w:w="0" w:type="auto"/>
            <w:shd w:val="clear" w:color="auto" w:fill="auto"/>
            <w:vAlign w:val="center"/>
          </w:tcPr>
          <w:p w14:paraId="7EE4F46C"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14:paraId="3081C67A" w14:textId="77777777" w:rsidR="00264B69" w:rsidRPr="00CF7FF3" w:rsidRDefault="00264B69" w:rsidP="00264B69">
            <w:pPr>
              <w:ind w:right="141"/>
              <w:rPr>
                <w:rFonts w:ascii="Arial" w:hAnsi="Arial" w:cs="Arial"/>
                <w:bCs/>
                <w:sz w:val="18"/>
                <w:szCs w:val="18"/>
              </w:rPr>
            </w:pPr>
            <w:r>
              <w:rPr>
                <w:rFonts w:ascii="Arial" w:hAnsi="Arial" w:cs="Arial"/>
                <w:bCs/>
                <w:sz w:val="18"/>
                <w:szCs w:val="18"/>
              </w:rPr>
              <w:t>10</w:t>
            </w:r>
            <w:r w:rsidRPr="00CF7FF3">
              <w:rPr>
                <w:rFonts w:ascii="Arial" w:hAnsi="Arial" w:cs="Arial"/>
                <w:bCs/>
                <w:sz w:val="18"/>
                <w:szCs w:val="18"/>
              </w:rPr>
              <w:t>%</w:t>
            </w:r>
          </w:p>
        </w:tc>
      </w:tr>
      <w:tr w:rsidR="00264B69" w:rsidRPr="00F7576D" w14:paraId="2850D273" w14:textId="77777777" w:rsidTr="00710F4A">
        <w:trPr>
          <w:trHeight w:val="258"/>
        </w:trPr>
        <w:tc>
          <w:tcPr>
            <w:tcW w:w="0" w:type="auto"/>
            <w:shd w:val="clear" w:color="auto" w:fill="auto"/>
            <w:vAlign w:val="center"/>
          </w:tcPr>
          <w:p w14:paraId="2FDD7078"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5D307DA4" w14:textId="77777777" w:rsidR="00264B69" w:rsidRPr="00CF7FF3" w:rsidRDefault="00264B69" w:rsidP="00264B69">
            <w:pPr>
              <w:ind w:right="141"/>
              <w:rPr>
                <w:rFonts w:ascii="Arial" w:hAnsi="Arial" w:cs="Arial"/>
                <w:bCs/>
                <w:sz w:val="18"/>
                <w:szCs w:val="18"/>
              </w:rPr>
            </w:pPr>
            <w:r w:rsidRPr="00CF7FF3">
              <w:rPr>
                <w:rFonts w:ascii="Arial" w:hAnsi="Arial" w:cs="Arial"/>
                <w:bCs/>
                <w:sz w:val="18"/>
                <w:szCs w:val="18"/>
              </w:rPr>
              <w:t>20%</w:t>
            </w:r>
          </w:p>
        </w:tc>
      </w:tr>
    </w:tbl>
    <w:p w14:paraId="3FA63F66" w14:textId="77777777" w:rsidR="00F7576D" w:rsidRPr="002F4C87" w:rsidRDefault="00F7576D" w:rsidP="00E65F5D">
      <w:pPr>
        <w:rPr>
          <w:rFonts w:ascii="Arial" w:hAnsi="Arial" w:cs="Arial"/>
          <w:b/>
          <w:color w:val="FF0000"/>
          <w:szCs w:val="22"/>
        </w:rPr>
      </w:pPr>
    </w:p>
    <w:p w14:paraId="67DAF9AE" w14:textId="77777777" w:rsidR="00710F4A" w:rsidRDefault="00710F4A" w:rsidP="00E65F5D">
      <w:pPr>
        <w:shd w:val="clear" w:color="auto" w:fill="FFFFFF"/>
        <w:spacing w:line="264" w:lineRule="auto"/>
        <w:rPr>
          <w:rFonts w:ascii="Arial" w:hAnsi="Arial" w:cs="Arial"/>
          <w:iCs/>
          <w:szCs w:val="22"/>
        </w:rPr>
      </w:pPr>
    </w:p>
    <w:p w14:paraId="56A968F1"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C2BD27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2C3528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73005"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83A208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DFC4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7860BF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119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FCA7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51CCE5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513E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9B90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2C078C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39B7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F29B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49815F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6F4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7CD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80532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E6E0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0EF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C8ECF7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352F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3A0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DB912BE" w14:textId="77777777" w:rsidR="00734DA1" w:rsidRDefault="00734DA1" w:rsidP="00E65F5D">
      <w:pPr>
        <w:pStyle w:val="BodyText"/>
        <w:spacing w:after="0"/>
        <w:rPr>
          <w:rFonts w:ascii="Arial" w:hAnsi="Arial" w:cs="Arial"/>
          <w:b/>
          <w:color w:val="FF0000"/>
          <w:sz w:val="22"/>
          <w:szCs w:val="22"/>
        </w:rPr>
      </w:pPr>
    </w:p>
    <w:p w14:paraId="7010E40E" w14:textId="77777777" w:rsidR="00264B69" w:rsidRDefault="00264B69" w:rsidP="00E65F5D">
      <w:pPr>
        <w:pStyle w:val="BodyText"/>
        <w:spacing w:after="0"/>
        <w:rPr>
          <w:rFonts w:ascii="Arial" w:hAnsi="Arial" w:cs="Arial"/>
          <w:b/>
          <w:color w:val="FF0000"/>
          <w:sz w:val="22"/>
          <w:szCs w:val="22"/>
        </w:rPr>
      </w:pPr>
    </w:p>
    <w:p w14:paraId="5309CF9E" w14:textId="77777777" w:rsidR="00264B69" w:rsidRDefault="00264B69" w:rsidP="00E65F5D">
      <w:pPr>
        <w:pStyle w:val="BodyText"/>
        <w:spacing w:after="0"/>
        <w:rPr>
          <w:rFonts w:ascii="Arial" w:hAnsi="Arial" w:cs="Arial"/>
          <w:b/>
          <w:color w:val="FF0000"/>
          <w:sz w:val="22"/>
          <w:szCs w:val="22"/>
        </w:rPr>
      </w:pPr>
    </w:p>
    <w:p w14:paraId="3A6EB4D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41C9125" w14:textId="77777777" w:rsidR="000D2F4D" w:rsidRPr="0093723A" w:rsidRDefault="000D2F4D" w:rsidP="000D2F4D">
      <w:pPr>
        <w:ind w:right="-1"/>
        <w:jc w:val="both"/>
        <w:rPr>
          <w:rFonts w:ascii="Arial" w:hAnsi="Arial" w:cs="Arial"/>
          <w:b/>
          <w:szCs w:val="22"/>
          <w:u w:val="single"/>
        </w:rPr>
      </w:pPr>
    </w:p>
    <w:p w14:paraId="16F907A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AA6F831" w14:textId="77777777" w:rsidR="000D2F4D" w:rsidRPr="0093723A" w:rsidRDefault="000D2F4D" w:rsidP="000D2F4D">
      <w:pPr>
        <w:ind w:right="-1"/>
        <w:jc w:val="both"/>
        <w:rPr>
          <w:rFonts w:ascii="Arial" w:hAnsi="Arial" w:cs="Arial"/>
          <w:szCs w:val="22"/>
        </w:rPr>
      </w:pPr>
    </w:p>
    <w:p w14:paraId="228C52EF"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C565A36" w14:textId="77777777" w:rsidR="000D2F4D" w:rsidRPr="0093723A" w:rsidRDefault="000D2F4D" w:rsidP="000D2F4D">
      <w:pPr>
        <w:jc w:val="both"/>
        <w:rPr>
          <w:rFonts w:ascii="Arial" w:hAnsi="Arial" w:cs="Arial"/>
          <w:szCs w:val="22"/>
        </w:rPr>
      </w:pPr>
    </w:p>
    <w:p w14:paraId="17CFBD16"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1795A506" w14:textId="77777777"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personnel; </w:t>
      </w:r>
    </w:p>
    <w:p w14:paraId="62E89B36"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10976420"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1AE8DC9F" w14:textId="77777777"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72646DB1" w14:textId="7777777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1D10668" w14:textId="77777777"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1AEF74DD" w14:textId="77777777" w:rsidR="000D2F4D" w:rsidRPr="0093723A" w:rsidRDefault="000D2F4D" w:rsidP="000D2F4D">
      <w:pPr>
        <w:pStyle w:val="BodyText"/>
        <w:spacing w:after="0"/>
        <w:ind w:left="720"/>
        <w:rPr>
          <w:rFonts w:ascii="Arial" w:hAnsi="Arial" w:cs="Arial"/>
          <w:szCs w:val="22"/>
        </w:rPr>
      </w:pPr>
    </w:p>
    <w:p w14:paraId="6F62F4C9"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4255AD31" w14:textId="77777777" w:rsidR="003C74EF" w:rsidRPr="00CF7FF3" w:rsidRDefault="003C74EF" w:rsidP="003C74EF">
      <w:pPr>
        <w:pStyle w:val="BodyText"/>
        <w:spacing w:after="0"/>
        <w:rPr>
          <w:rFonts w:ascii="Arial" w:hAnsi="Arial" w:cs="Arial"/>
          <w:b/>
          <w:szCs w:val="22"/>
          <w:u w:val="single"/>
        </w:rPr>
      </w:pPr>
    </w:p>
    <w:p w14:paraId="6BE21979" w14:textId="77777777"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BF82DA4" w14:textId="77777777" w:rsidR="003C74EF" w:rsidRPr="00CF7FF3" w:rsidRDefault="003C74EF" w:rsidP="00E65F5D">
      <w:pPr>
        <w:pStyle w:val="BodyText"/>
        <w:spacing w:after="0"/>
        <w:rPr>
          <w:rFonts w:ascii="Arial" w:hAnsi="Arial" w:cs="Arial"/>
          <w:b/>
          <w:szCs w:val="22"/>
          <w:u w:val="single"/>
        </w:rPr>
      </w:pPr>
    </w:p>
    <w:p w14:paraId="5AFBE1FD" w14:textId="77777777" w:rsidR="00E65F5D" w:rsidRPr="00CF7FF3" w:rsidRDefault="00E65F5D" w:rsidP="00E65F5D">
      <w:pPr>
        <w:spacing w:line="276" w:lineRule="auto"/>
        <w:ind w:left="720"/>
        <w:rPr>
          <w:rFonts w:ascii="Arial" w:hAnsi="Arial" w:cs="Arial"/>
          <w:szCs w:val="22"/>
        </w:rPr>
      </w:pPr>
    </w:p>
    <w:p w14:paraId="0C1998F4"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4D0D8DA6" w14:textId="77777777" w:rsidR="002309C9" w:rsidRPr="00CF7FF3" w:rsidRDefault="002309C9" w:rsidP="002309C9">
      <w:pPr>
        <w:rPr>
          <w:rFonts w:ascii="Arial" w:hAnsi="Arial" w:cs="Arial"/>
          <w:szCs w:val="22"/>
        </w:rPr>
      </w:pPr>
    </w:p>
    <w:p w14:paraId="1BFFFE50" w14:textId="77777777" w:rsidR="00264B69" w:rsidRPr="00264B69" w:rsidRDefault="00264B69" w:rsidP="00264B69">
      <w:pPr>
        <w:jc w:val="both"/>
        <w:rPr>
          <w:rFonts w:ascii="Arial" w:hAnsi="Arial" w:cs="Arial"/>
        </w:rPr>
      </w:pPr>
      <w:r w:rsidRPr="00264B69">
        <w:rPr>
          <w:rFonts w:ascii="Arial" w:hAnsi="Arial" w:cs="Arial"/>
        </w:rPr>
        <w:t>The Environment Agency (EA) regulates chemical emissions from industrial and waste management activities under the Environmental Permitting Regulations 2016 (EPR). Horizontal Guidance document H1 is the principal guidance on environmental risk assessment for new permit applications. Applicants use H1 to identify and manage significant emissions that could impact public health and the environment.</w:t>
      </w:r>
    </w:p>
    <w:p w14:paraId="46CBF0D8" w14:textId="77777777" w:rsidR="00264B69" w:rsidRPr="00264B69" w:rsidRDefault="00264B69" w:rsidP="00264B69">
      <w:pPr>
        <w:jc w:val="both"/>
        <w:rPr>
          <w:rFonts w:ascii="Arial" w:hAnsi="Arial" w:cs="Arial"/>
        </w:rPr>
      </w:pPr>
    </w:p>
    <w:p w14:paraId="18E367A3" w14:textId="77777777" w:rsidR="00264B69" w:rsidRPr="00264B69" w:rsidRDefault="00264B69" w:rsidP="00264B69">
      <w:pPr>
        <w:jc w:val="both"/>
        <w:rPr>
          <w:rFonts w:ascii="Arial" w:hAnsi="Arial" w:cs="Arial"/>
        </w:rPr>
      </w:pPr>
      <w:r w:rsidRPr="00264B69">
        <w:rPr>
          <w:rFonts w:ascii="Arial" w:hAnsi="Arial" w:cs="Arial"/>
        </w:rPr>
        <w:t>In assessing risks to health, H1 recommends that predicted emissions are screened against Environmental Assessment Levels (EALs) for the chemicals of concern.  EALs are defined as air concentrations indicative of non-appreciable or minimal concern to health from short- or long-term inhalation exposure. They cover about 90 substances including industrial chemicals and classical air pollutants. Many EALs are based on withdrawn occupational exposure limits and were last reviewed in detail in the early 2000s.</w:t>
      </w:r>
    </w:p>
    <w:p w14:paraId="670B9188" w14:textId="77777777" w:rsidR="00264B69" w:rsidRPr="00264B69" w:rsidRDefault="00264B69" w:rsidP="00264B69">
      <w:pPr>
        <w:jc w:val="both"/>
        <w:rPr>
          <w:rFonts w:ascii="Arial" w:hAnsi="Arial" w:cs="Arial"/>
        </w:rPr>
      </w:pPr>
    </w:p>
    <w:p w14:paraId="41DB0CE3" w14:textId="77777777" w:rsidR="00264B69" w:rsidRPr="00264B69" w:rsidRDefault="00264B69" w:rsidP="00264B69">
      <w:pPr>
        <w:jc w:val="both"/>
        <w:rPr>
          <w:rFonts w:ascii="Arial" w:hAnsi="Arial" w:cs="Arial"/>
        </w:rPr>
      </w:pPr>
      <w:r w:rsidRPr="00264B69">
        <w:rPr>
          <w:rFonts w:ascii="Arial" w:hAnsi="Arial" w:cs="Arial"/>
        </w:rPr>
        <w:t>The EA published its current methodology for the derivation of EALs in 2012 with a greater emphasis on a robust review of the scientific evidence on adverse health effects.  Working in partnership with Public Health England (PHE), the EA initiated a systematic review of EALs in 2019 to ensure that the existing recommendations are underpinned by the latest science.  As a result, the EA has recently completed external consultation on revised EALs for 12 substances including two new substances identified as being critical to the regulation of the carbon capture sector.</w:t>
      </w:r>
    </w:p>
    <w:p w14:paraId="0B8A2B52" w14:textId="77777777" w:rsidR="00264B69" w:rsidRPr="00264B69" w:rsidRDefault="00264B69" w:rsidP="00264B69">
      <w:pPr>
        <w:rPr>
          <w:rFonts w:ascii="Arial" w:hAnsi="Arial" w:cs="Arial"/>
        </w:rPr>
      </w:pPr>
    </w:p>
    <w:p w14:paraId="4EACADDF" w14:textId="77777777" w:rsidR="007E6FB2" w:rsidRPr="00CF7FF3" w:rsidRDefault="007E6FB2" w:rsidP="007E6FB2">
      <w:pPr>
        <w:rPr>
          <w:rFonts w:ascii="Arial" w:hAnsi="Arial" w:cs="Arial"/>
        </w:rPr>
      </w:pPr>
    </w:p>
    <w:p w14:paraId="51972FFC" w14:textId="77777777" w:rsidR="00C87B46" w:rsidRPr="00CF7FF3" w:rsidRDefault="00C87B46" w:rsidP="00C87B46">
      <w:pPr>
        <w:jc w:val="both"/>
        <w:rPr>
          <w:rFonts w:ascii="Arial" w:hAnsi="Arial" w:cs="Arial"/>
          <w:b/>
        </w:rPr>
      </w:pPr>
      <w:r w:rsidRPr="00CF7FF3">
        <w:rPr>
          <w:rFonts w:ascii="Arial" w:hAnsi="Arial" w:cs="Arial"/>
          <w:b/>
        </w:rPr>
        <w:t>References</w:t>
      </w:r>
    </w:p>
    <w:p w14:paraId="3018A692" w14:textId="77777777" w:rsidR="00C87B46" w:rsidRPr="00CF7FF3" w:rsidRDefault="00C87B46" w:rsidP="00C87B46">
      <w:pPr>
        <w:jc w:val="both"/>
        <w:rPr>
          <w:rFonts w:ascii="Arial" w:hAnsi="Arial" w:cs="Arial"/>
          <w:b/>
        </w:rPr>
      </w:pPr>
    </w:p>
    <w:p w14:paraId="3CBB0894" w14:textId="77777777" w:rsidR="00264B69" w:rsidRPr="00DA0A9A" w:rsidRDefault="00DA0A9A" w:rsidP="00C87B46">
      <w:pPr>
        <w:jc w:val="both"/>
        <w:rPr>
          <w:rFonts w:ascii="Arial" w:hAnsi="Arial" w:cs="Arial"/>
          <w:b/>
          <w:shd w:val="clear" w:color="auto" w:fill="FFFFFF"/>
        </w:rPr>
      </w:pPr>
      <w:r w:rsidRPr="00DA0A9A">
        <w:rPr>
          <w:rFonts w:ascii="Arial" w:hAnsi="Arial" w:cs="Arial"/>
          <w:b/>
          <w:shd w:val="clear" w:color="auto" w:fill="FFFFFF"/>
        </w:rPr>
        <w:t>List of Environmental Assessment Levels</w:t>
      </w:r>
    </w:p>
    <w:p w14:paraId="6E44F1ED" w14:textId="77777777" w:rsidR="00DA0A9A" w:rsidRDefault="00AF4714" w:rsidP="00C87B46">
      <w:pPr>
        <w:jc w:val="both"/>
        <w:rPr>
          <w:rFonts w:ascii="Arial" w:hAnsi="Arial" w:cs="Arial"/>
          <w:shd w:val="clear" w:color="auto" w:fill="FFFFFF"/>
        </w:rPr>
      </w:pPr>
      <w:hyperlink r:id="rId16" w:anchor="environmental-standards-for-air-emissions" w:history="1">
        <w:r w:rsidR="006244A0" w:rsidRPr="009B141D">
          <w:rPr>
            <w:rStyle w:val="Hyperlink"/>
            <w:rFonts w:ascii="Arial" w:hAnsi="Arial" w:cs="Arial"/>
            <w:shd w:val="clear" w:color="auto" w:fill="FFFFFF"/>
          </w:rPr>
          <w:t>https://www.gov.uk/guidance/air-emissions-risk-assessment-for-your-environmental-permit#environmental-standards-for-air-emissions</w:t>
        </w:r>
      </w:hyperlink>
      <w:r w:rsidR="006244A0">
        <w:rPr>
          <w:rFonts w:ascii="Arial" w:hAnsi="Arial" w:cs="Arial"/>
          <w:shd w:val="clear" w:color="auto" w:fill="FFFFFF"/>
        </w:rPr>
        <w:t xml:space="preserve"> </w:t>
      </w:r>
    </w:p>
    <w:p w14:paraId="6601FAF8" w14:textId="77777777" w:rsidR="006244A0" w:rsidRDefault="006244A0" w:rsidP="00C87B46">
      <w:pPr>
        <w:jc w:val="both"/>
        <w:rPr>
          <w:rFonts w:ascii="Arial" w:hAnsi="Arial" w:cs="Arial"/>
          <w:shd w:val="clear" w:color="auto" w:fill="FFFFFF"/>
        </w:rPr>
      </w:pPr>
    </w:p>
    <w:p w14:paraId="7505EF41" w14:textId="77777777" w:rsidR="00DA0A9A" w:rsidRPr="00DA0A9A" w:rsidRDefault="00DA0A9A" w:rsidP="00C87B46">
      <w:pPr>
        <w:jc w:val="both"/>
        <w:rPr>
          <w:rFonts w:ascii="Arial" w:hAnsi="Arial" w:cs="Arial"/>
          <w:b/>
          <w:shd w:val="clear" w:color="auto" w:fill="FFFFFF"/>
        </w:rPr>
      </w:pPr>
      <w:r w:rsidRPr="00DA0A9A">
        <w:rPr>
          <w:rFonts w:ascii="Arial" w:hAnsi="Arial" w:cs="Arial"/>
          <w:b/>
          <w:shd w:val="clear" w:color="auto" w:fill="FFFFFF"/>
        </w:rPr>
        <w:t>Guidance on the Derivation of Environmental Assessment Levels</w:t>
      </w:r>
    </w:p>
    <w:p w14:paraId="7FB897C8" w14:textId="77777777" w:rsidR="00DA0A9A" w:rsidRDefault="00AF4714" w:rsidP="00C87B46">
      <w:pPr>
        <w:jc w:val="both"/>
        <w:rPr>
          <w:rFonts w:ascii="Arial" w:hAnsi="Arial" w:cs="Arial"/>
          <w:shd w:val="clear" w:color="auto" w:fill="FFFFFF"/>
        </w:rPr>
      </w:pPr>
      <w:hyperlink r:id="rId17" w:history="1">
        <w:r w:rsidR="006244A0" w:rsidRPr="009B141D">
          <w:rPr>
            <w:rStyle w:val="Hyperlink"/>
            <w:rFonts w:ascii="Arial" w:hAnsi="Arial" w:cs="Arial"/>
            <w:shd w:val="clear" w:color="auto" w:fill="FFFFFF"/>
          </w:rPr>
          <w:t>https://www.gov.uk/government/consultations/derivation-of-new-environmental-assessment-levels-to-air</w:t>
        </w:r>
      </w:hyperlink>
      <w:r w:rsidR="006244A0">
        <w:rPr>
          <w:rFonts w:ascii="Arial" w:hAnsi="Arial" w:cs="Arial"/>
          <w:shd w:val="clear" w:color="auto" w:fill="FFFFFF"/>
        </w:rPr>
        <w:t xml:space="preserve"> </w:t>
      </w:r>
    </w:p>
    <w:p w14:paraId="67A3C791" w14:textId="77777777" w:rsidR="006244A0" w:rsidRDefault="006244A0" w:rsidP="00C87B46">
      <w:pPr>
        <w:jc w:val="both"/>
        <w:rPr>
          <w:rFonts w:ascii="Arial" w:hAnsi="Arial" w:cs="Arial"/>
          <w:shd w:val="clear" w:color="auto" w:fill="FFFFFF"/>
        </w:rPr>
      </w:pPr>
    </w:p>
    <w:p w14:paraId="112C05E2" w14:textId="77777777" w:rsidR="006244A0" w:rsidRPr="006244A0" w:rsidRDefault="006244A0" w:rsidP="00C87B46">
      <w:pPr>
        <w:jc w:val="both"/>
        <w:rPr>
          <w:rFonts w:ascii="Arial" w:hAnsi="Arial" w:cs="Arial"/>
          <w:b/>
          <w:shd w:val="clear" w:color="auto" w:fill="FFFFFF"/>
        </w:rPr>
      </w:pPr>
      <w:r w:rsidRPr="006244A0">
        <w:rPr>
          <w:rFonts w:ascii="Arial" w:hAnsi="Arial" w:cs="Arial"/>
          <w:b/>
          <w:shd w:val="clear" w:color="auto" w:fill="FFFFFF"/>
        </w:rPr>
        <w:t xml:space="preserve">Consultation on </w:t>
      </w:r>
      <w:r>
        <w:rPr>
          <w:rFonts w:ascii="Arial" w:hAnsi="Arial" w:cs="Arial"/>
          <w:b/>
          <w:shd w:val="clear" w:color="auto" w:fill="FFFFFF"/>
        </w:rPr>
        <w:t xml:space="preserve">New </w:t>
      </w:r>
      <w:r w:rsidRPr="006244A0">
        <w:rPr>
          <w:rFonts w:ascii="Arial" w:hAnsi="Arial" w:cs="Arial"/>
          <w:b/>
          <w:shd w:val="clear" w:color="auto" w:fill="FFFFFF"/>
        </w:rPr>
        <w:t>Environmental Assessment Levels (Nov 2020 to Feb 2021)</w:t>
      </w:r>
    </w:p>
    <w:p w14:paraId="60EA5A69" w14:textId="77777777" w:rsidR="006244A0" w:rsidRDefault="00AF4714" w:rsidP="00C87B46">
      <w:pPr>
        <w:jc w:val="both"/>
        <w:rPr>
          <w:rFonts w:ascii="Arial" w:hAnsi="Arial" w:cs="Arial"/>
          <w:shd w:val="clear" w:color="auto" w:fill="FFFFFF"/>
        </w:rPr>
      </w:pPr>
      <w:hyperlink r:id="rId18" w:history="1">
        <w:r w:rsidR="006244A0" w:rsidRPr="009B141D">
          <w:rPr>
            <w:rStyle w:val="Hyperlink"/>
            <w:rFonts w:ascii="Arial" w:hAnsi="Arial" w:cs="Arial"/>
            <w:shd w:val="clear" w:color="auto" w:fill="FFFFFF"/>
          </w:rPr>
          <w:t>https://consult.environment-agency.gov.uk/environment-and-business/new-air-environmental-assessment-levels/</w:t>
        </w:r>
      </w:hyperlink>
      <w:r w:rsidR="006244A0">
        <w:rPr>
          <w:rFonts w:ascii="Arial" w:hAnsi="Arial" w:cs="Arial"/>
          <w:shd w:val="clear" w:color="auto" w:fill="FFFFFF"/>
        </w:rPr>
        <w:t xml:space="preserve"> </w:t>
      </w:r>
    </w:p>
    <w:p w14:paraId="199B4789" w14:textId="77777777" w:rsidR="00C24614" w:rsidRDefault="00C24614" w:rsidP="00E65F5D">
      <w:pPr>
        <w:rPr>
          <w:rFonts w:ascii="Arial" w:hAnsi="Arial" w:cs="Arial"/>
          <w:shd w:val="clear" w:color="auto" w:fill="FFFFFF"/>
        </w:rPr>
      </w:pPr>
    </w:p>
    <w:p w14:paraId="751420FE" w14:textId="77777777" w:rsidR="00DA0A9A" w:rsidRPr="00CF7FF3" w:rsidRDefault="00DA0A9A" w:rsidP="00E65F5D">
      <w:pPr>
        <w:rPr>
          <w:rFonts w:ascii="Arial" w:hAnsi="Arial" w:cs="Arial"/>
          <w:sz w:val="18"/>
        </w:rPr>
      </w:pPr>
    </w:p>
    <w:p w14:paraId="2042A264" w14:textId="77777777"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t>Specific Objectives/Deliverables</w:t>
      </w:r>
    </w:p>
    <w:p w14:paraId="375CA262" w14:textId="77777777" w:rsidR="007E6FB2" w:rsidRPr="00CF7FF3" w:rsidRDefault="007E6FB2" w:rsidP="007E6FB2"/>
    <w:p w14:paraId="5F0536DF" w14:textId="69E812FE" w:rsidR="00EF1705" w:rsidRDefault="004B7452" w:rsidP="004B7452">
      <w:pPr>
        <w:jc w:val="both"/>
        <w:rPr>
          <w:rFonts w:ascii="Arial" w:hAnsi="Arial" w:cs="Arial"/>
        </w:rPr>
      </w:pPr>
      <w:r w:rsidRPr="00264B69">
        <w:rPr>
          <w:rFonts w:ascii="Arial" w:hAnsi="Arial" w:cs="Arial"/>
        </w:rPr>
        <w:t>Th</w:t>
      </w:r>
      <w:r>
        <w:rPr>
          <w:rFonts w:ascii="Arial" w:hAnsi="Arial" w:cs="Arial"/>
        </w:rPr>
        <w:t>e main objective of thi</w:t>
      </w:r>
      <w:r w:rsidRPr="00264B69">
        <w:rPr>
          <w:rFonts w:ascii="Arial" w:hAnsi="Arial" w:cs="Arial"/>
        </w:rPr>
        <w:t xml:space="preserve">s </w:t>
      </w:r>
      <w:r w:rsidR="006244A0" w:rsidRPr="00264B69">
        <w:rPr>
          <w:rFonts w:ascii="Arial" w:hAnsi="Arial" w:cs="Arial"/>
        </w:rPr>
        <w:t xml:space="preserve">project </w:t>
      </w:r>
      <w:r>
        <w:rPr>
          <w:rFonts w:ascii="Arial" w:hAnsi="Arial" w:cs="Arial"/>
        </w:rPr>
        <w:t>is to provide</w:t>
      </w:r>
      <w:r w:rsidRPr="00264B69">
        <w:rPr>
          <w:rFonts w:ascii="Arial" w:hAnsi="Arial" w:cs="Arial"/>
        </w:rPr>
        <w:t xml:space="preserve"> </w:t>
      </w:r>
      <w:r w:rsidR="006244A0" w:rsidRPr="00264B69">
        <w:rPr>
          <w:rFonts w:ascii="Arial" w:hAnsi="Arial" w:cs="Arial"/>
        </w:rPr>
        <w:t>specialist consultancy advice on human and mammalian toxicology to enable the EA and PHE to continue the on-going review and revision of EALs. It will include the production of quick scoping reviews (QSR) on the toxicology of specific chemicals from the open and grey scientific literature</w:t>
      </w:r>
      <w:r>
        <w:rPr>
          <w:rFonts w:ascii="Arial" w:hAnsi="Arial" w:cs="Arial"/>
        </w:rPr>
        <w:t xml:space="preserve"> (the QSR dossier for monoethanolamine is provided as an example in Appendix D).</w:t>
      </w:r>
      <w:r w:rsidRPr="00264B69">
        <w:rPr>
          <w:rFonts w:ascii="Arial" w:hAnsi="Arial" w:cs="Arial"/>
        </w:rPr>
        <w:t xml:space="preserve">  </w:t>
      </w:r>
      <w:r w:rsidR="006244A0" w:rsidRPr="00264B69">
        <w:rPr>
          <w:rFonts w:ascii="Arial" w:hAnsi="Arial" w:cs="Arial"/>
        </w:rPr>
        <w:t xml:space="preserve"> </w:t>
      </w:r>
      <w:r>
        <w:rPr>
          <w:rFonts w:ascii="Arial" w:hAnsi="Arial" w:cs="Arial"/>
        </w:rPr>
        <w:t xml:space="preserve">In addition, the contractors may be required to provide </w:t>
      </w:r>
      <w:r w:rsidR="006244A0" w:rsidRPr="00264B69">
        <w:rPr>
          <w:rFonts w:ascii="Arial" w:hAnsi="Arial" w:cs="Arial"/>
        </w:rPr>
        <w:t xml:space="preserve">expert advice </w:t>
      </w:r>
      <w:r>
        <w:rPr>
          <w:rFonts w:ascii="Arial" w:hAnsi="Arial" w:cs="Arial"/>
        </w:rPr>
        <w:t xml:space="preserve">on request, in the form of a briefing note, for </w:t>
      </w:r>
      <w:r w:rsidR="006244A0" w:rsidRPr="00264B69">
        <w:rPr>
          <w:rFonts w:ascii="Arial" w:hAnsi="Arial" w:cs="Arial"/>
        </w:rPr>
        <w:t xml:space="preserve">selected toxicological issues such as a synthesis of </w:t>
      </w:r>
      <w:r w:rsidR="006244A0" w:rsidRPr="00264B69">
        <w:rPr>
          <w:rFonts w:ascii="Arial" w:hAnsi="Arial" w:cs="Arial"/>
          <w:i/>
        </w:rPr>
        <w:t>in vitro</w:t>
      </w:r>
      <w:r w:rsidR="006244A0" w:rsidRPr="00264B69">
        <w:rPr>
          <w:rFonts w:ascii="Arial" w:hAnsi="Arial" w:cs="Arial"/>
        </w:rPr>
        <w:t xml:space="preserve"> and </w:t>
      </w:r>
      <w:r w:rsidR="006244A0" w:rsidRPr="00264B69">
        <w:rPr>
          <w:rFonts w:ascii="Arial" w:hAnsi="Arial" w:cs="Arial"/>
          <w:i/>
        </w:rPr>
        <w:t>in vivo</w:t>
      </w:r>
      <w:r w:rsidR="006244A0" w:rsidRPr="00264B69">
        <w:rPr>
          <w:rFonts w:ascii="Arial" w:hAnsi="Arial" w:cs="Arial"/>
        </w:rPr>
        <w:t xml:space="preserve"> evidence on genotoxicity and mutagenicity.</w:t>
      </w:r>
      <w:r w:rsidR="006244A0">
        <w:rPr>
          <w:rFonts w:ascii="Arial" w:hAnsi="Arial" w:cs="Arial"/>
        </w:rPr>
        <w:t xml:space="preserve">  </w:t>
      </w:r>
      <w:r w:rsidR="006244A0" w:rsidRPr="00264B69">
        <w:rPr>
          <w:rFonts w:ascii="Arial" w:hAnsi="Arial" w:cs="Arial"/>
        </w:rPr>
        <w:t>The work undertaken will be carried out under the direction of the Chief Scientist’s Group</w:t>
      </w:r>
      <w:r w:rsidR="00F90369">
        <w:rPr>
          <w:rFonts w:ascii="Arial" w:hAnsi="Arial" w:cs="Arial"/>
        </w:rPr>
        <w:t>,</w:t>
      </w:r>
      <w:r w:rsidR="006244A0" w:rsidRPr="00264B69">
        <w:rPr>
          <w:rFonts w:ascii="Arial" w:hAnsi="Arial" w:cs="Arial"/>
        </w:rPr>
        <w:t xml:space="preserve"> who will also liaise with PHE.</w:t>
      </w:r>
    </w:p>
    <w:p w14:paraId="1903801C" w14:textId="77777777" w:rsidR="00EF1705" w:rsidRDefault="00EF1705" w:rsidP="004B7452">
      <w:pPr>
        <w:jc w:val="both"/>
        <w:rPr>
          <w:rFonts w:ascii="Arial" w:hAnsi="Arial" w:cs="Arial"/>
        </w:rPr>
      </w:pPr>
    </w:p>
    <w:p w14:paraId="365668CC" w14:textId="77777777" w:rsidR="00EF1705" w:rsidRPr="00CF7FF3" w:rsidRDefault="00EF1705" w:rsidP="00EF1705">
      <w:pPr>
        <w:rPr>
          <w:rFonts w:ascii="Arial" w:hAnsi="Arial" w:cs="Arial"/>
          <w:szCs w:val="22"/>
        </w:rPr>
      </w:pPr>
      <w:r w:rsidRPr="00CF7FF3">
        <w:rPr>
          <w:rFonts w:ascii="Arial" w:hAnsi="Arial" w:cs="Arial"/>
          <w:szCs w:val="22"/>
        </w:rPr>
        <w:t>Key activities:</w:t>
      </w:r>
    </w:p>
    <w:p w14:paraId="2BFF1D8C" w14:textId="77777777" w:rsidR="00EF1705" w:rsidRPr="00CF7FF3" w:rsidRDefault="00EF1705" w:rsidP="00EF1705">
      <w:pPr>
        <w:rPr>
          <w:rFonts w:ascii="Arial" w:hAnsi="Arial" w:cs="Arial"/>
          <w:szCs w:val="22"/>
        </w:rPr>
      </w:pPr>
    </w:p>
    <w:p w14:paraId="1DCD1BDD" w14:textId="5B1A70D6" w:rsidR="00CB1946" w:rsidRDefault="00EF1705" w:rsidP="00EF1705">
      <w:pPr>
        <w:numPr>
          <w:ilvl w:val="0"/>
          <w:numId w:val="20"/>
        </w:numPr>
        <w:rPr>
          <w:rFonts w:ascii="Arial" w:hAnsi="Arial" w:cs="Arial"/>
        </w:rPr>
      </w:pPr>
      <w:r>
        <w:rPr>
          <w:rFonts w:ascii="Arial" w:hAnsi="Arial" w:cs="Arial"/>
        </w:rPr>
        <w:t xml:space="preserve">Revise a number of draft </w:t>
      </w:r>
      <w:r w:rsidR="00CB1946">
        <w:rPr>
          <w:rFonts w:ascii="Arial" w:hAnsi="Arial" w:cs="Arial"/>
        </w:rPr>
        <w:t xml:space="preserve">chemical </w:t>
      </w:r>
      <w:r>
        <w:rPr>
          <w:rFonts w:ascii="Arial" w:hAnsi="Arial" w:cs="Arial"/>
        </w:rPr>
        <w:t>dossiers (see Table 1) to address evidence gaps.</w:t>
      </w:r>
      <w:r w:rsidR="00CB1946">
        <w:rPr>
          <w:rFonts w:ascii="Arial" w:hAnsi="Arial" w:cs="Arial"/>
        </w:rPr>
        <w:t xml:space="preserve"> The tasks associated with each dossier will vary but broadly include:</w:t>
      </w:r>
    </w:p>
    <w:p w14:paraId="55750C1B" w14:textId="065554AE" w:rsidR="00CB1946" w:rsidRDefault="00CB1946" w:rsidP="00CB1946">
      <w:pPr>
        <w:numPr>
          <w:ilvl w:val="1"/>
          <w:numId w:val="20"/>
        </w:numPr>
        <w:rPr>
          <w:rFonts w:ascii="Arial" w:hAnsi="Arial" w:cs="Arial"/>
        </w:rPr>
      </w:pPr>
      <w:r>
        <w:rPr>
          <w:rFonts w:ascii="Arial" w:hAnsi="Arial" w:cs="Arial"/>
        </w:rPr>
        <w:t>Revise the drafts to take into account information from oral studies reported in authoritative reviews for short- and long-term exposures and make recommendations for route-to-route extrapolation in the absence of sufficient evidence on inhalation exposures</w:t>
      </w:r>
    </w:p>
    <w:p w14:paraId="2A55942A" w14:textId="69E82366" w:rsidR="00CB1946" w:rsidRDefault="00CB1946" w:rsidP="00CB1946">
      <w:pPr>
        <w:numPr>
          <w:ilvl w:val="1"/>
          <w:numId w:val="20"/>
        </w:numPr>
        <w:rPr>
          <w:rFonts w:ascii="Arial" w:hAnsi="Arial" w:cs="Arial"/>
        </w:rPr>
      </w:pPr>
      <w:r>
        <w:rPr>
          <w:rFonts w:ascii="Arial" w:hAnsi="Arial" w:cs="Arial"/>
        </w:rPr>
        <w:t>Revise the drafts to take into account specific limitations identified (for example, the genotoxicity and mutagenicity status of chloromethane) following a critical review of the primary open and grey literature on human and mammalian toxicology</w:t>
      </w:r>
    </w:p>
    <w:p w14:paraId="0776640F" w14:textId="77777777" w:rsidR="008206E2" w:rsidRDefault="00CB1946" w:rsidP="00CB1946">
      <w:pPr>
        <w:numPr>
          <w:ilvl w:val="1"/>
          <w:numId w:val="20"/>
        </w:numPr>
        <w:rPr>
          <w:rFonts w:ascii="Arial" w:hAnsi="Arial" w:cs="Arial"/>
        </w:rPr>
      </w:pPr>
      <w:r>
        <w:rPr>
          <w:rFonts w:ascii="Arial" w:hAnsi="Arial" w:cs="Arial"/>
        </w:rPr>
        <w:t>Work with EA and PHE to finalise the dossiers and incorporate the reasoning for the recommended EAL</w:t>
      </w:r>
    </w:p>
    <w:p w14:paraId="76312FD8" w14:textId="63E9559C" w:rsidR="00EF1705" w:rsidRDefault="00CB1946" w:rsidP="008206E2">
      <w:pPr>
        <w:ind w:left="1080"/>
        <w:rPr>
          <w:rFonts w:ascii="Arial" w:hAnsi="Arial" w:cs="Arial"/>
        </w:rPr>
      </w:pPr>
      <w:r>
        <w:rPr>
          <w:rFonts w:ascii="Arial" w:hAnsi="Arial" w:cs="Arial"/>
        </w:rPr>
        <w:t xml:space="preserve"> </w:t>
      </w:r>
      <w:r w:rsidR="00EF1705">
        <w:rPr>
          <w:rFonts w:ascii="Arial" w:hAnsi="Arial" w:cs="Arial"/>
        </w:rPr>
        <w:t xml:space="preserve">  </w:t>
      </w:r>
    </w:p>
    <w:p w14:paraId="09862A6D" w14:textId="77777777" w:rsidR="008206E2" w:rsidRDefault="00CB1946" w:rsidP="00EF1705">
      <w:pPr>
        <w:numPr>
          <w:ilvl w:val="0"/>
          <w:numId w:val="20"/>
        </w:numPr>
        <w:rPr>
          <w:rFonts w:ascii="Arial" w:hAnsi="Arial" w:cs="Arial"/>
        </w:rPr>
      </w:pPr>
      <w:r>
        <w:rPr>
          <w:rFonts w:ascii="Arial" w:hAnsi="Arial" w:cs="Arial"/>
        </w:rPr>
        <w:t>Revise the prioritisation of outstanding substances for review from the published list of EALs</w:t>
      </w:r>
      <w:r w:rsidR="008206E2">
        <w:rPr>
          <w:rFonts w:ascii="Arial" w:hAnsi="Arial" w:cs="Arial"/>
        </w:rPr>
        <w:t xml:space="preserve"> based on their current relevance (for example, through the Pollution Inventory), a screening assessment of their relative hazard, and the availability of updated authoritative opinions and the primary toxicological literature.</w:t>
      </w:r>
    </w:p>
    <w:p w14:paraId="62E110EC" w14:textId="7B164886" w:rsidR="00EF1705" w:rsidRDefault="008206E2" w:rsidP="008206E2">
      <w:pPr>
        <w:ind w:left="360"/>
        <w:rPr>
          <w:rFonts w:ascii="Arial" w:hAnsi="Arial" w:cs="Arial"/>
        </w:rPr>
      </w:pPr>
      <w:r>
        <w:rPr>
          <w:rFonts w:ascii="Arial" w:hAnsi="Arial" w:cs="Arial"/>
        </w:rPr>
        <w:t xml:space="preserve"> </w:t>
      </w:r>
    </w:p>
    <w:p w14:paraId="05604AFB" w14:textId="7B8A2CB5" w:rsidR="00EF1705" w:rsidRDefault="008206E2" w:rsidP="008206E2">
      <w:pPr>
        <w:numPr>
          <w:ilvl w:val="0"/>
          <w:numId w:val="20"/>
        </w:numPr>
        <w:rPr>
          <w:rFonts w:ascii="Arial" w:hAnsi="Arial" w:cs="Arial"/>
        </w:rPr>
      </w:pPr>
      <w:r>
        <w:rPr>
          <w:rFonts w:ascii="Arial" w:hAnsi="Arial" w:cs="Arial"/>
        </w:rPr>
        <w:t xml:space="preserve">Prepare new chemical dossiers in accordance with the published methodology and using the existing dossiers as a guide. </w:t>
      </w:r>
      <w:r w:rsidR="00EF1705" w:rsidRPr="004B7452">
        <w:rPr>
          <w:rFonts w:ascii="Arial" w:hAnsi="Arial" w:cs="Arial"/>
        </w:rPr>
        <w:t>Address any questions that arise from review by EA and PHE, and revise the dossiers based on recommended EALs.</w:t>
      </w:r>
      <w:r w:rsidR="00230768">
        <w:rPr>
          <w:rFonts w:ascii="Arial" w:hAnsi="Arial" w:cs="Arial"/>
        </w:rPr>
        <w:t xml:space="preserve">  The list </w:t>
      </w:r>
      <w:r w:rsidR="00094C8A">
        <w:rPr>
          <w:rFonts w:ascii="Arial" w:hAnsi="Arial" w:cs="Arial"/>
        </w:rPr>
        <w:t xml:space="preserve">and number </w:t>
      </w:r>
      <w:r w:rsidR="00230768">
        <w:rPr>
          <w:rFonts w:ascii="Arial" w:hAnsi="Arial" w:cs="Arial"/>
        </w:rPr>
        <w:t xml:space="preserve">of substances to be addressed will depend on the prioritisation exercise, </w:t>
      </w:r>
      <w:r w:rsidR="00094C8A">
        <w:rPr>
          <w:rFonts w:ascii="Arial" w:hAnsi="Arial" w:cs="Arial"/>
        </w:rPr>
        <w:t xml:space="preserve">available </w:t>
      </w:r>
      <w:r w:rsidR="00230768">
        <w:rPr>
          <w:rFonts w:ascii="Arial" w:hAnsi="Arial" w:cs="Arial"/>
        </w:rPr>
        <w:t>budget, and timescales.</w:t>
      </w:r>
    </w:p>
    <w:p w14:paraId="402381C1" w14:textId="77777777" w:rsidR="006244A0" w:rsidRDefault="006244A0" w:rsidP="00300B3D">
      <w:pPr>
        <w:rPr>
          <w:rFonts w:ascii="Arial" w:hAnsi="Arial" w:cs="Arial"/>
          <w:szCs w:val="22"/>
        </w:rPr>
      </w:pPr>
    </w:p>
    <w:p w14:paraId="5F59E470" w14:textId="477D3E24" w:rsidR="00725725" w:rsidRDefault="008206E2" w:rsidP="00725725">
      <w:pPr>
        <w:rPr>
          <w:rFonts w:ascii="Arial" w:hAnsi="Arial" w:cs="Arial"/>
          <w:u w:val="single"/>
        </w:rPr>
      </w:pPr>
      <w:r w:rsidRPr="008206E2">
        <w:rPr>
          <w:rFonts w:ascii="Arial" w:hAnsi="Arial" w:cs="Arial"/>
          <w:u w:val="single"/>
        </w:rPr>
        <w:t>Table 1</w:t>
      </w:r>
      <w:r>
        <w:rPr>
          <w:rFonts w:ascii="Arial" w:hAnsi="Arial" w:cs="Arial"/>
          <w:u w:val="single"/>
        </w:rPr>
        <w:t xml:space="preserve"> Chemicals with an existing draft </w:t>
      </w:r>
      <w:r w:rsidR="00230768">
        <w:rPr>
          <w:rFonts w:ascii="Arial" w:hAnsi="Arial" w:cs="Arial"/>
          <w:u w:val="single"/>
        </w:rPr>
        <w:t xml:space="preserve">and the areas </w:t>
      </w:r>
      <w:r>
        <w:rPr>
          <w:rFonts w:ascii="Arial" w:hAnsi="Arial" w:cs="Arial"/>
          <w:u w:val="single"/>
        </w:rPr>
        <w:t xml:space="preserve">that </w:t>
      </w:r>
      <w:r w:rsidR="00230768">
        <w:rPr>
          <w:rFonts w:ascii="Arial" w:hAnsi="Arial" w:cs="Arial"/>
          <w:u w:val="single"/>
        </w:rPr>
        <w:t>will be finalised</w:t>
      </w:r>
      <w:r>
        <w:rPr>
          <w:rFonts w:ascii="Arial" w:hAnsi="Arial" w:cs="Arial"/>
          <w:u w:val="single"/>
        </w:rPr>
        <w:t xml:space="preserve"> under this contract</w:t>
      </w:r>
    </w:p>
    <w:p w14:paraId="00696993" w14:textId="77777777" w:rsidR="008206E2" w:rsidRDefault="008206E2" w:rsidP="00725725">
      <w:pPr>
        <w:rPr>
          <w:rFonts w:ascii="Arial" w:hAnsi="Arial" w:cs="Arial"/>
          <w:u w:val="single"/>
        </w:rPr>
      </w:pPr>
    </w:p>
    <w:tbl>
      <w:tblPr>
        <w:tblStyle w:val="TableGrid"/>
        <w:tblW w:w="0" w:type="auto"/>
        <w:tblLook w:val="04A0" w:firstRow="1" w:lastRow="0" w:firstColumn="1" w:lastColumn="0" w:noHBand="0" w:noVBand="1"/>
      </w:tblPr>
      <w:tblGrid>
        <w:gridCol w:w="2405"/>
        <w:gridCol w:w="1743"/>
        <w:gridCol w:w="1801"/>
        <w:gridCol w:w="2347"/>
      </w:tblGrid>
      <w:tr w:rsidR="008206E2" w14:paraId="03137B6C" w14:textId="77777777" w:rsidTr="00A6391B">
        <w:tc>
          <w:tcPr>
            <w:tcW w:w="2405" w:type="dxa"/>
          </w:tcPr>
          <w:p w14:paraId="3BA9476E" w14:textId="3A960D19" w:rsidR="008206E2" w:rsidRPr="00230768" w:rsidRDefault="00230768" w:rsidP="00725725">
            <w:pPr>
              <w:rPr>
                <w:rFonts w:ascii="Arial" w:hAnsi="Arial" w:cs="Arial"/>
                <w:b/>
                <w:u w:val="single"/>
              </w:rPr>
            </w:pPr>
            <w:r w:rsidRPr="00230768">
              <w:rPr>
                <w:rFonts w:ascii="Arial" w:hAnsi="Arial" w:cs="Arial"/>
                <w:b/>
                <w:u w:val="single"/>
              </w:rPr>
              <w:t>Substance</w:t>
            </w:r>
          </w:p>
        </w:tc>
        <w:tc>
          <w:tcPr>
            <w:tcW w:w="1743" w:type="dxa"/>
          </w:tcPr>
          <w:p w14:paraId="68261662" w14:textId="298152BF" w:rsidR="008206E2" w:rsidRPr="00230768" w:rsidRDefault="00230768" w:rsidP="00725725">
            <w:pPr>
              <w:rPr>
                <w:rFonts w:ascii="Arial" w:hAnsi="Arial" w:cs="Arial"/>
                <w:b/>
                <w:u w:val="single"/>
              </w:rPr>
            </w:pPr>
            <w:r w:rsidRPr="00230768">
              <w:rPr>
                <w:rFonts w:ascii="Arial" w:hAnsi="Arial" w:cs="Arial"/>
                <w:b/>
                <w:u w:val="single"/>
              </w:rPr>
              <w:t>Short-term EAL</w:t>
            </w:r>
          </w:p>
        </w:tc>
        <w:tc>
          <w:tcPr>
            <w:tcW w:w="1801" w:type="dxa"/>
          </w:tcPr>
          <w:p w14:paraId="18359C20" w14:textId="61503AFB" w:rsidR="008206E2" w:rsidRPr="00230768" w:rsidRDefault="00230768" w:rsidP="00725725">
            <w:pPr>
              <w:rPr>
                <w:rFonts w:ascii="Arial" w:hAnsi="Arial" w:cs="Arial"/>
                <w:b/>
                <w:u w:val="single"/>
              </w:rPr>
            </w:pPr>
            <w:r w:rsidRPr="00230768">
              <w:rPr>
                <w:rFonts w:ascii="Arial" w:hAnsi="Arial" w:cs="Arial"/>
                <w:b/>
                <w:u w:val="single"/>
              </w:rPr>
              <w:t>Long-term EAL</w:t>
            </w:r>
          </w:p>
        </w:tc>
        <w:tc>
          <w:tcPr>
            <w:tcW w:w="2347" w:type="dxa"/>
          </w:tcPr>
          <w:p w14:paraId="5BB32807" w14:textId="5DF3A7F7" w:rsidR="008206E2" w:rsidRPr="00230768" w:rsidRDefault="00230768" w:rsidP="00725725">
            <w:pPr>
              <w:rPr>
                <w:rFonts w:ascii="Arial" w:hAnsi="Arial" w:cs="Arial"/>
                <w:b/>
                <w:u w:val="single"/>
              </w:rPr>
            </w:pPr>
            <w:r w:rsidRPr="00230768">
              <w:rPr>
                <w:rFonts w:ascii="Arial" w:hAnsi="Arial" w:cs="Arial"/>
                <w:b/>
                <w:u w:val="single"/>
              </w:rPr>
              <w:t>Other issues</w:t>
            </w:r>
          </w:p>
        </w:tc>
      </w:tr>
      <w:tr w:rsidR="008206E2" w14:paraId="57F793E2" w14:textId="77777777" w:rsidTr="00A6391B">
        <w:tc>
          <w:tcPr>
            <w:tcW w:w="2405" w:type="dxa"/>
          </w:tcPr>
          <w:p w14:paraId="1D72A0C6" w14:textId="2747656E" w:rsidR="008206E2" w:rsidRDefault="00230768" w:rsidP="00725725">
            <w:pPr>
              <w:rPr>
                <w:rFonts w:ascii="Arial" w:hAnsi="Arial" w:cs="Arial"/>
                <w:u w:val="single"/>
              </w:rPr>
            </w:pPr>
            <w:r>
              <w:rPr>
                <w:rFonts w:ascii="Arial" w:hAnsi="Arial" w:cs="Arial"/>
                <w:u w:val="single"/>
              </w:rPr>
              <w:t>Butadiene</w:t>
            </w:r>
          </w:p>
        </w:tc>
        <w:tc>
          <w:tcPr>
            <w:tcW w:w="1743" w:type="dxa"/>
          </w:tcPr>
          <w:p w14:paraId="518E8ACC" w14:textId="790AFC75" w:rsidR="008206E2" w:rsidRDefault="00230768" w:rsidP="00725725">
            <w:pPr>
              <w:rPr>
                <w:rFonts w:ascii="Arial" w:hAnsi="Arial" w:cs="Arial"/>
                <w:u w:val="single"/>
              </w:rPr>
            </w:pPr>
            <w:r>
              <w:rPr>
                <w:rFonts w:ascii="Arial" w:hAnsi="Arial" w:cs="Arial"/>
                <w:u w:val="single"/>
              </w:rPr>
              <w:t>Yes</w:t>
            </w:r>
          </w:p>
        </w:tc>
        <w:tc>
          <w:tcPr>
            <w:tcW w:w="1801" w:type="dxa"/>
          </w:tcPr>
          <w:p w14:paraId="646F8DCC" w14:textId="77777777" w:rsidR="008206E2" w:rsidRDefault="008206E2" w:rsidP="00725725">
            <w:pPr>
              <w:rPr>
                <w:rFonts w:ascii="Arial" w:hAnsi="Arial" w:cs="Arial"/>
                <w:u w:val="single"/>
              </w:rPr>
            </w:pPr>
          </w:p>
        </w:tc>
        <w:tc>
          <w:tcPr>
            <w:tcW w:w="2347" w:type="dxa"/>
          </w:tcPr>
          <w:p w14:paraId="269FB536" w14:textId="77777777" w:rsidR="008206E2" w:rsidRDefault="008206E2" w:rsidP="00725725">
            <w:pPr>
              <w:rPr>
                <w:rFonts w:ascii="Arial" w:hAnsi="Arial" w:cs="Arial"/>
                <w:u w:val="single"/>
              </w:rPr>
            </w:pPr>
          </w:p>
        </w:tc>
      </w:tr>
      <w:tr w:rsidR="008206E2" w14:paraId="5245757E" w14:textId="77777777" w:rsidTr="00A6391B">
        <w:tc>
          <w:tcPr>
            <w:tcW w:w="2405" w:type="dxa"/>
          </w:tcPr>
          <w:p w14:paraId="4FF138F1" w14:textId="358409FE" w:rsidR="008206E2" w:rsidRDefault="00230768" w:rsidP="00725725">
            <w:pPr>
              <w:rPr>
                <w:rFonts w:ascii="Arial" w:hAnsi="Arial" w:cs="Arial"/>
                <w:u w:val="single"/>
              </w:rPr>
            </w:pPr>
            <w:r>
              <w:rPr>
                <w:rFonts w:ascii="Arial" w:hAnsi="Arial" w:cs="Arial"/>
                <w:u w:val="single"/>
              </w:rPr>
              <w:t>Carbon tetrachloride</w:t>
            </w:r>
          </w:p>
        </w:tc>
        <w:tc>
          <w:tcPr>
            <w:tcW w:w="1743" w:type="dxa"/>
          </w:tcPr>
          <w:p w14:paraId="74224858" w14:textId="258027EC" w:rsidR="008206E2" w:rsidRDefault="00230768" w:rsidP="00725725">
            <w:pPr>
              <w:rPr>
                <w:rFonts w:ascii="Arial" w:hAnsi="Arial" w:cs="Arial"/>
                <w:u w:val="single"/>
              </w:rPr>
            </w:pPr>
            <w:r>
              <w:rPr>
                <w:rFonts w:ascii="Arial" w:hAnsi="Arial" w:cs="Arial"/>
                <w:u w:val="single"/>
              </w:rPr>
              <w:t>Yes</w:t>
            </w:r>
          </w:p>
        </w:tc>
        <w:tc>
          <w:tcPr>
            <w:tcW w:w="1801" w:type="dxa"/>
          </w:tcPr>
          <w:p w14:paraId="623E4D28" w14:textId="4088499F" w:rsidR="008206E2" w:rsidRDefault="00230768" w:rsidP="00725725">
            <w:pPr>
              <w:rPr>
                <w:rFonts w:ascii="Arial" w:hAnsi="Arial" w:cs="Arial"/>
                <w:u w:val="single"/>
              </w:rPr>
            </w:pPr>
            <w:r>
              <w:rPr>
                <w:rFonts w:ascii="Arial" w:hAnsi="Arial" w:cs="Arial"/>
                <w:u w:val="single"/>
              </w:rPr>
              <w:t>Yes</w:t>
            </w:r>
          </w:p>
        </w:tc>
        <w:tc>
          <w:tcPr>
            <w:tcW w:w="2347" w:type="dxa"/>
          </w:tcPr>
          <w:p w14:paraId="0B22D4AC" w14:textId="77777777" w:rsidR="008206E2" w:rsidRDefault="008206E2" w:rsidP="00725725">
            <w:pPr>
              <w:rPr>
                <w:rFonts w:ascii="Arial" w:hAnsi="Arial" w:cs="Arial"/>
                <w:u w:val="single"/>
              </w:rPr>
            </w:pPr>
          </w:p>
        </w:tc>
      </w:tr>
      <w:tr w:rsidR="008206E2" w14:paraId="2E42B152" w14:textId="77777777" w:rsidTr="00A6391B">
        <w:tc>
          <w:tcPr>
            <w:tcW w:w="2405" w:type="dxa"/>
          </w:tcPr>
          <w:p w14:paraId="4DB946A7" w14:textId="2AC5BBB4" w:rsidR="008206E2" w:rsidRDefault="00230768" w:rsidP="00725725">
            <w:pPr>
              <w:rPr>
                <w:rFonts w:ascii="Arial" w:hAnsi="Arial" w:cs="Arial"/>
                <w:u w:val="single"/>
              </w:rPr>
            </w:pPr>
            <w:r>
              <w:rPr>
                <w:rFonts w:ascii="Arial" w:hAnsi="Arial" w:cs="Arial"/>
                <w:u w:val="single"/>
              </w:rPr>
              <w:t>Chloromethane</w:t>
            </w:r>
          </w:p>
        </w:tc>
        <w:tc>
          <w:tcPr>
            <w:tcW w:w="1743" w:type="dxa"/>
          </w:tcPr>
          <w:p w14:paraId="57D85360" w14:textId="77777777" w:rsidR="008206E2" w:rsidRDefault="008206E2" w:rsidP="00725725">
            <w:pPr>
              <w:rPr>
                <w:rFonts w:ascii="Arial" w:hAnsi="Arial" w:cs="Arial"/>
                <w:u w:val="single"/>
              </w:rPr>
            </w:pPr>
          </w:p>
        </w:tc>
        <w:tc>
          <w:tcPr>
            <w:tcW w:w="1801" w:type="dxa"/>
          </w:tcPr>
          <w:p w14:paraId="21037A7F" w14:textId="77777777" w:rsidR="008206E2" w:rsidRDefault="008206E2" w:rsidP="00725725">
            <w:pPr>
              <w:rPr>
                <w:rFonts w:ascii="Arial" w:hAnsi="Arial" w:cs="Arial"/>
                <w:u w:val="single"/>
              </w:rPr>
            </w:pPr>
          </w:p>
        </w:tc>
        <w:tc>
          <w:tcPr>
            <w:tcW w:w="2347" w:type="dxa"/>
          </w:tcPr>
          <w:p w14:paraId="1D7F0DD7" w14:textId="7EBEACF2" w:rsidR="008206E2" w:rsidRDefault="00230768" w:rsidP="00725725">
            <w:pPr>
              <w:rPr>
                <w:rFonts w:ascii="Arial" w:hAnsi="Arial" w:cs="Arial"/>
                <w:u w:val="single"/>
              </w:rPr>
            </w:pPr>
            <w:r>
              <w:rPr>
                <w:rFonts w:ascii="Arial" w:hAnsi="Arial" w:cs="Arial"/>
                <w:u w:val="single"/>
              </w:rPr>
              <w:t>Mutagenicity</w:t>
            </w:r>
          </w:p>
        </w:tc>
      </w:tr>
      <w:tr w:rsidR="008206E2" w14:paraId="681A2D0A" w14:textId="77777777" w:rsidTr="00A6391B">
        <w:tc>
          <w:tcPr>
            <w:tcW w:w="2405" w:type="dxa"/>
          </w:tcPr>
          <w:p w14:paraId="4F9963D1" w14:textId="09A2E4FD" w:rsidR="008206E2" w:rsidRDefault="00230768" w:rsidP="00725725">
            <w:pPr>
              <w:rPr>
                <w:rFonts w:ascii="Arial" w:hAnsi="Arial" w:cs="Arial"/>
                <w:u w:val="single"/>
              </w:rPr>
            </w:pPr>
            <w:r>
              <w:rPr>
                <w:rFonts w:ascii="Arial" w:hAnsi="Arial" w:cs="Arial"/>
                <w:u w:val="single"/>
              </w:rPr>
              <w:t>Copper dust/mist</w:t>
            </w:r>
          </w:p>
        </w:tc>
        <w:tc>
          <w:tcPr>
            <w:tcW w:w="1743" w:type="dxa"/>
          </w:tcPr>
          <w:p w14:paraId="4A971846" w14:textId="77777777" w:rsidR="008206E2" w:rsidRDefault="008206E2" w:rsidP="00725725">
            <w:pPr>
              <w:rPr>
                <w:rFonts w:ascii="Arial" w:hAnsi="Arial" w:cs="Arial"/>
                <w:u w:val="single"/>
              </w:rPr>
            </w:pPr>
          </w:p>
        </w:tc>
        <w:tc>
          <w:tcPr>
            <w:tcW w:w="1801" w:type="dxa"/>
          </w:tcPr>
          <w:p w14:paraId="218B1CFC" w14:textId="493764B9" w:rsidR="008206E2" w:rsidRDefault="00230768" w:rsidP="00725725">
            <w:pPr>
              <w:rPr>
                <w:rFonts w:ascii="Arial" w:hAnsi="Arial" w:cs="Arial"/>
                <w:u w:val="single"/>
              </w:rPr>
            </w:pPr>
            <w:r>
              <w:rPr>
                <w:rFonts w:ascii="Arial" w:hAnsi="Arial" w:cs="Arial"/>
                <w:u w:val="single"/>
              </w:rPr>
              <w:t>Yes</w:t>
            </w:r>
          </w:p>
        </w:tc>
        <w:tc>
          <w:tcPr>
            <w:tcW w:w="2347" w:type="dxa"/>
          </w:tcPr>
          <w:p w14:paraId="70E3A412" w14:textId="6D1FEA7E" w:rsidR="008206E2" w:rsidRDefault="00230768" w:rsidP="00725725">
            <w:pPr>
              <w:rPr>
                <w:rFonts w:ascii="Arial" w:hAnsi="Arial" w:cs="Arial"/>
                <w:u w:val="single"/>
              </w:rPr>
            </w:pPr>
            <w:r>
              <w:rPr>
                <w:rFonts w:ascii="Arial" w:hAnsi="Arial" w:cs="Arial"/>
                <w:u w:val="single"/>
              </w:rPr>
              <w:t>Oral studies</w:t>
            </w:r>
          </w:p>
        </w:tc>
      </w:tr>
      <w:tr w:rsidR="008206E2" w14:paraId="5BC355FE" w14:textId="77777777" w:rsidTr="00A6391B">
        <w:tc>
          <w:tcPr>
            <w:tcW w:w="2405" w:type="dxa"/>
          </w:tcPr>
          <w:p w14:paraId="4F3EC50E" w14:textId="7C73C314" w:rsidR="008206E2" w:rsidRDefault="00230768" w:rsidP="00725725">
            <w:pPr>
              <w:rPr>
                <w:rFonts w:ascii="Arial" w:hAnsi="Arial" w:cs="Arial"/>
                <w:u w:val="single"/>
              </w:rPr>
            </w:pPr>
            <w:r>
              <w:rPr>
                <w:rFonts w:ascii="Arial" w:hAnsi="Arial" w:cs="Arial"/>
                <w:u w:val="single"/>
              </w:rPr>
              <w:t>Dichloromethane</w:t>
            </w:r>
          </w:p>
        </w:tc>
        <w:tc>
          <w:tcPr>
            <w:tcW w:w="1743" w:type="dxa"/>
          </w:tcPr>
          <w:p w14:paraId="361A7D8F" w14:textId="000FD845" w:rsidR="008206E2" w:rsidRDefault="00230768" w:rsidP="00725725">
            <w:pPr>
              <w:rPr>
                <w:rFonts w:ascii="Arial" w:hAnsi="Arial" w:cs="Arial"/>
                <w:u w:val="single"/>
              </w:rPr>
            </w:pPr>
            <w:r>
              <w:rPr>
                <w:rFonts w:ascii="Arial" w:hAnsi="Arial" w:cs="Arial"/>
                <w:u w:val="single"/>
              </w:rPr>
              <w:t>Yes</w:t>
            </w:r>
          </w:p>
        </w:tc>
        <w:tc>
          <w:tcPr>
            <w:tcW w:w="1801" w:type="dxa"/>
          </w:tcPr>
          <w:p w14:paraId="314F97C3" w14:textId="7AE8883C" w:rsidR="008206E2" w:rsidRDefault="00230768" w:rsidP="00725725">
            <w:pPr>
              <w:rPr>
                <w:rFonts w:ascii="Arial" w:hAnsi="Arial" w:cs="Arial"/>
                <w:u w:val="single"/>
              </w:rPr>
            </w:pPr>
            <w:r>
              <w:rPr>
                <w:rFonts w:ascii="Arial" w:hAnsi="Arial" w:cs="Arial"/>
                <w:u w:val="single"/>
              </w:rPr>
              <w:t>Yes</w:t>
            </w:r>
          </w:p>
        </w:tc>
        <w:tc>
          <w:tcPr>
            <w:tcW w:w="2347" w:type="dxa"/>
          </w:tcPr>
          <w:p w14:paraId="557DF240" w14:textId="77777777" w:rsidR="008206E2" w:rsidRDefault="008206E2" w:rsidP="00725725">
            <w:pPr>
              <w:rPr>
                <w:rFonts w:ascii="Arial" w:hAnsi="Arial" w:cs="Arial"/>
                <w:u w:val="single"/>
              </w:rPr>
            </w:pPr>
          </w:p>
        </w:tc>
      </w:tr>
      <w:tr w:rsidR="008206E2" w14:paraId="3BDAD18D" w14:textId="77777777" w:rsidTr="00A6391B">
        <w:tc>
          <w:tcPr>
            <w:tcW w:w="2405" w:type="dxa"/>
          </w:tcPr>
          <w:p w14:paraId="6FC6DBD2" w14:textId="45BF5657" w:rsidR="008206E2" w:rsidRDefault="00230768" w:rsidP="00725725">
            <w:pPr>
              <w:rPr>
                <w:rFonts w:ascii="Arial" w:hAnsi="Arial" w:cs="Arial"/>
                <w:u w:val="single"/>
              </w:rPr>
            </w:pPr>
            <w:r>
              <w:rPr>
                <w:rFonts w:ascii="Arial" w:hAnsi="Arial" w:cs="Arial"/>
                <w:u w:val="single"/>
              </w:rPr>
              <w:t>Hydrogen cyanide</w:t>
            </w:r>
          </w:p>
        </w:tc>
        <w:tc>
          <w:tcPr>
            <w:tcW w:w="1743" w:type="dxa"/>
          </w:tcPr>
          <w:p w14:paraId="3AEBEC5E" w14:textId="5860287D" w:rsidR="008206E2" w:rsidRDefault="00230768" w:rsidP="00725725">
            <w:pPr>
              <w:rPr>
                <w:rFonts w:ascii="Arial" w:hAnsi="Arial" w:cs="Arial"/>
                <w:u w:val="single"/>
              </w:rPr>
            </w:pPr>
            <w:r>
              <w:rPr>
                <w:rFonts w:ascii="Arial" w:hAnsi="Arial" w:cs="Arial"/>
                <w:u w:val="single"/>
              </w:rPr>
              <w:t>Yes</w:t>
            </w:r>
          </w:p>
        </w:tc>
        <w:tc>
          <w:tcPr>
            <w:tcW w:w="1801" w:type="dxa"/>
          </w:tcPr>
          <w:p w14:paraId="07D7AD57" w14:textId="7BFE17ED" w:rsidR="008206E2" w:rsidRDefault="00230768" w:rsidP="00725725">
            <w:pPr>
              <w:rPr>
                <w:rFonts w:ascii="Arial" w:hAnsi="Arial" w:cs="Arial"/>
                <w:u w:val="single"/>
              </w:rPr>
            </w:pPr>
            <w:r>
              <w:rPr>
                <w:rFonts w:ascii="Arial" w:hAnsi="Arial" w:cs="Arial"/>
                <w:u w:val="single"/>
              </w:rPr>
              <w:t>Yes</w:t>
            </w:r>
          </w:p>
        </w:tc>
        <w:tc>
          <w:tcPr>
            <w:tcW w:w="2347" w:type="dxa"/>
          </w:tcPr>
          <w:p w14:paraId="78219840" w14:textId="77777777" w:rsidR="008206E2" w:rsidRDefault="008206E2" w:rsidP="00725725">
            <w:pPr>
              <w:rPr>
                <w:rFonts w:ascii="Arial" w:hAnsi="Arial" w:cs="Arial"/>
                <w:u w:val="single"/>
              </w:rPr>
            </w:pPr>
          </w:p>
        </w:tc>
      </w:tr>
      <w:tr w:rsidR="008206E2" w14:paraId="5DF23C04" w14:textId="77777777" w:rsidTr="00A6391B">
        <w:tc>
          <w:tcPr>
            <w:tcW w:w="2405" w:type="dxa"/>
          </w:tcPr>
          <w:p w14:paraId="54A5E344" w14:textId="5DE8DB1A" w:rsidR="008206E2" w:rsidRDefault="00230768" w:rsidP="00725725">
            <w:pPr>
              <w:rPr>
                <w:rFonts w:ascii="Arial" w:hAnsi="Arial" w:cs="Arial"/>
                <w:u w:val="single"/>
              </w:rPr>
            </w:pPr>
            <w:r>
              <w:rPr>
                <w:rFonts w:ascii="Arial" w:hAnsi="Arial" w:cs="Arial"/>
                <w:u w:val="single"/>
              </w:rPr>
              <w:t>Mercury</w:t>
            </w:r>
          </w:p>
        </w:tc>
        <w:tc>
          <w:tcPr>
            <w:tcW w:w="1743" w:type="dxa"/>
          </w:tcPr>
          <w:p w14:paraId="7B0C87C2" w14:textId="77777777" w:rsidR="008206E2" w:rsidRDefault="008206E2" w:rsidP="00725725">
            <w:pPr>
              <w:rPr>
                <w:rFonts w:ascii="Arial" w:hAnsi="Arial" w:cs="Arial"/>
                <w:u w:val="single"/>
              </w:rPr>
            </w:pPr>
          </w:p>
        </w:tc>
        <w:tc>
          <w:tcPr>
            <w:tcW w:w="1801" w:type="dxa"/>
          </w:tcPr>
          <w:p w14:paraId="2AC1186F" w14:textId="492A65F6" w:rsidR="008206E2" w:rsidRDefault="00230768" w:rsidP="00725725">
            <w:pPr>
              <w:rPr>
                <w:rFonts w:ascii="Arial" w:hAnsi="Arial" w:cs="Arial"/>
                <w:u w:val="single"/>
              </w:rPr>
            </w:pPr>
            <w:r>
              <w:rPr>
                <w:rFonts w:ascii="Arial" w:hAnsi="Arial" w:cs="Arial"/>
                <w:u w:val="single"/>
              </w:rPr>
              <w:t>Yes</w:t>
            </w:r>
          </w:p>
        </w:tc>
        <w:tc>
          <w:tcPr>
            <w:tcW w:w="2347" w:type="dxa"/>
          </w:tcPr>
          <w:p w14:paraId="4CD33703" w14:textId="253035D9" w:rsidR="008206E2" w:rsidRDefault="00A6391B" w:rsidP="00725725">
            <w:pPr>
              <w:rPr>
                <w:rFonts w:ascii="Arial" w:hAnsi="Arial" w:cs="Arial"/>
                <w:u w:val="single"/>
              </w:rPr>
            </w:pPr>
            <w:r>
              <w:rPr>
                <w:rFonts w:ascii="Arial" w:hAnsi="Arial" w:cs="Arial"/>
                <w:u w:val="single"/>
              </w:rPr>
              <w:t>Oral studies</w:t>
            </w:r>
          </w:p>
        </w:tc>
      </w:tr>
      <w:tr w:rsidR="008206E2" w14:paraId="2DA31480" w14:textId="77777777" w:rsidTr="00A6391B">
        <w:tc>
          <w:tcPr>
            <w:tcW w:w="2405" w:type="dxa"/>
          </w:tcPr>
          <w:p w14:paraId="1DBBC638" w14:textId="79DE970A" w:rsidR="008206E2" w:rsidRDefault="00A6391B" w:rsidP="00725725">
            <w:pPr>
              <w:rPr>
                <w:rFonts w:ascii="Arial" w:hAnsi="Arial" w:cs="Arial"/>
                <w:u w:val="single"/>
              </w:rPr>
            </w:pPr>
            <w:r>
              <w:rPr>
                <w:rFonts w:ascii="Arial" w:hAnsi="Arial" w:cs="Arial"/>
                <w:u w:val="single"/>
              </w:rPr>
              <w:t>Selenium</w:t>
            </w:r>
          </w:p>
        </w:tc>
        <w:tc>
          <w:tcPr>
            <w:tcW w:w="1743" w:type="dxa"/>
          </w:tcPr>
          <w:p w14:paraId="47B01601" w14:textId="77777777" w:rsidR="008206E2" w:rsidRDefault="008206E2" w:rsidP="00725725">
            <w:pPr>
              <w:rPr>
                <w:rFonts w:ascii="Arial" w:hAnsi="Arial" w:cs="Arial"/>
                <w:u w:val="single"/>
              </w:rPr>
            </w:pPr>
          </w:p>
        </w:tc>
        <w:tc>
          <w:tcPr>
            <w:tcW w:w="1801" w:type="dxa"/>
          </w:tcPr>
          <w:p w14:paraId="4948FF07" w14:textId="6B555FA1" w:rsidR="008206E2" w:rsidRDefault="00A6391B" w:rsidP="00725725">
            <w:pPr>
              <w:rPr>
                <w:rFonts w:ascii="Arial" w:hAnsi="Arial" w:cs="Arial"/>
                <w:u w:val="single"/>
              </w:rPr>
            </w:pPr>
            <w:r>
              <w:rPr>
                <w:rFonts w:ascii="Arial" w:hAnsi="Arial" w:cs="Arial"/>
                <w:u w:val="single"/>
              </w:rPr>
              <w:t>Yes</w:t>
            </w:r>
          </w:p>
        </w:tc>
        <w:tc>
          <w:tcPr>
            <w:tcW w:w="2347" w:type="dxa"/>
          </w:tcPr>
          <w:p w14:paraId="106C8125" w14:textId="45428D36" w:rsidR="008206E2" w:rsidRDefault="00A6391B" w:rsidP="00725725">
            <w:pPr>
              <w:rPr>
                <w:rFonts w:ascii="Arial" w:hAnsi="Arial" w:cs="Arial"/>
                <w:u w:val="single"/>
              </w:rPr>
            </w:pPr>
            <w:r>
              <w:rPr>
                <w:rFonts w:ascii="Arial" w:hAnsi="Arial" w:cs="Arial"/>
                <w:u w:val="single"/>
              </w:rPr>
              <w:t>Oral studies</w:t>
            </w:r>
          </w:p>
        </w:tc>
      </w:tr>
      <w:tr w:rsidR="008206E2" w14:paraId="0B0B81D4" w14:textId="77777777" w:rsidTr="00A6391B">
        <w:tc>
          <w:tcPr>
            <w:tcW w:w="2405" w:type="dxa"/>
          </w:tcPr>
          <w:p w14:paraId="645644D8" w14:textId="458E8885" w:rsidR="008206E2" w:rsidRDefault="00A6391B" w:rsidP="00725725">
            <w:pPr>
              <w:rPr>
                <w:rFonts w:ascii="Arial" w:hAnsi="Arial" w:cs="Arial"/>
                <w:u w:val="single"/>
              </w:rPr>
            </w:pPr>
            <w:r>
              <w:rPr>
                <w:rFonts w:ascii="Arial" w:hAnsi="Arial" w:cs="Arial"/>
                <w:u w:val="single"/>
              </w:rPr>
              <w:t>1,2,4-trichlorobenzene</w:t>
            </w:r>
          </w:p>
        </w:tc>
        <w:tc>
          <w:tcPr>
            <w:tcW w:w="1743" w:type="dxa"/>
          </w:tcPr>
          <w:p w14:paraId="5C9C0435" w14:textId="77777777" w:rsidR="008206E2" w:rsidRDefault="008206E2" w:rsidP="00725725">
            <w:pPr>
              <w:rPr>
                <w:rFonts w:ascii="Arial" w:hAnsi="Arial" w:cs="Arial"/>
                <w:u w:val="single"/>
              </w:rPr>
            </w:pPr>
          </w:p>
        </w:tc>
        <w:tc>
          <w:tcPr>
            <w:tcW w:w="1801" w:type="dxa"/>
          </w:tcPr>
          <w:p w14:paraId="685A5B1D" w14:textId="77777777" w:rsidR="008206E2" w:rsidRDefault="008206E2" w:rsidP="00725725">
            <w:pPr>
              <w:rPr>
                <w:rFonts w:ascii="Arial" w:hAnsi="Arial" w:cs="Arial"/>
                <w:u w:val="single"/>
              </w:rPr>
            </w:pPr>
          </w:p>
        </w:tc>
        <w:tc>
          <w:tcPr>
            <w:tcW w:w="2347" w:type="dxa"/>
          </w:tcPr>
          <w:p w14:paraId="6D665D05" w14:textId="77777777" w:rsidR="008206E2" w:rsidRDefault="008206E2" w:rsidP="00725725">
            <w:pPr>
              <w:rPr>
                <w:rFonts w:ascii="Arial" w:hAnsi="Arial" w:cs="Arial"/>
                <w:u w:val="single"/>
              </w:rPr>
            </w:pPr>
          </w:p>
        </w:tc>
      </w:tr>
      <w:tr w:rsidR="008206E2" w14:paraId="565A1AEE" w14:textId="77777777" w:rsidTr="00A6391B">
        <w:tc>
          <w:tcPr>
            <w:tcW w:w="2405" w:type="dxa"/>
          </w:tcPr>
          <w:p w14:paraId="538062FA" w14:textId="70A01F44" w:rsidR="008206E2" w:rsidRDefault="00A6391B" w:rsidP="00725725">
            <w:pPr>
              <w:rPr>
                <w:rFonts w:ascii="Arial" w:hAnsi="Arial" w:cs="Arial"/>
                <w:u w:val="single"/>
              </w:rPr>
            </w:pPr>
            <w:r>
              <w:rPr>
                <w:rFonts w:ascii="Arial" w:hAnsi="Arial" w:cs="Arial"/>
                <w:u w:val="single"/>
              </w:rPr>
              <w:t>Zinc oxide</w:t>
            </w:r>
          </w:p>
        </w:tc>
        <w:tc>
          <w:tcPr>
            <w:tcW w:w="1743" w:type="dxa"/>
          </w:tcPr>
          <w:p w14:paraId="7F61FD2A" w14:textId="49DC6119" w:rsidR="008206E2" w:rsidRDefault="00A6391B" w:rsidP="00725725">
            <w:pPr>
              <w:rPr>
                <w:rFonts w:ascii="Arial" w:hAnsi="Arial" w:cs="Arial"/>
                <w:u w:val="single"/>
              </w:rPr>
            </w:pPr>
            <w:r>
              <w:rPr>
                <w:rFonts w:ascii="Arial" w:hAnsi="Arial" w:cs="Arial"/>
                <w:u w:val="single"/>
              </w:rPr>
              <w:t>Yes</w:t>
            </w:r>
          </w:p>
        </w:tc>
        <w:tc>
          <w:tcPr>
            <w:tcW w:w="1801" w:type="dxa"/>
          </w:tcPr>
          <w:p w14:paraId="6D3A271F" w14:textId="2685DD6A" w:rsidR="008206E2" w:rsidRDefault="00A6391B" w:rsidP="00725725">
            <w:pPr>
              <w:rPr>
                <w:rFonts w:ascii="Arial" w:hAnsi="Arial" w:cs="Arial"/>
                <w:u w:val="single"/>
              </w:rPr>
            </w:pPr>
            <w:r>
              <w:rPr>
                <w:rFonts w:ascii="Arial" w:hAnsi="Arial" w:cs="Arial"/>
                <w:u w:val="single"/>
              </w:rPr>
              <w:t>Yes</w:t>
            </w:r>
          </w:p>
        </w:tc>
        <w:tc>
          <w:tcPr>
            <w:tcW w:w="2347" w:type="dxa"/>
          </w:tcPr>
          <w:p w14:paraId="6AFBBBA2" w14:textId="788C0378" w:rsidR="008206E2" w:rsidRDefault="00A6391B" w:rsidP="00725725">
            <w:pPr>
              <w:rPr>
                <w:rFonts w:ascii="Arial" w:hAnsi="Arial" w:cs="Arial"/>
                <w:u w:val="single"/>
              </w:rPr>
            </w:pPr>
            <w:r>
              <w:rPr>
                <w:rFonts w:ascii="Arial" w:hAnsi="Arial" w:cs="Arial"/>
                <w:u w:val="single"/>
              </w:rPr>
              <w:t>Oral studies</w:t>
            </w:r>
          </w:p>
        </w:tc>
      </w:tr>
    </w:tbl>
    <w:p w14:paraId="17CDCDA7" w14:textId="77777777" w:rsidR="008206E2" w:rsidRPr="008206E2" w:rsidRDefault="008206E2" w:rsidP="00725725">
      <w:pPr>
        <w:rPr>
          <w:rFonts w:ascii="Arial" w:hAnsi="Arial" w:cs="Arial"/>
          <w:u w:val="single"/>
        </w:rPr>
      </w:pPr>
    </w:p>
    <w:p w14:paraId="7F7243C0" w14:textId="77777777" w:rsidR="008206E2" w:rsidRDefault="008206E2" w:rsidP="00725725">
      <w:pPr>
        <w:rPr>
          <w:u w:val="single"/>
        </w:rPr>
      </w:pPr>
    </w:p>
    <w:p w14:paraId="56831747" w14:textId="77777777" w:rsidR="00A6391B" w:rsidRDefault="00A6391B" w:rsidP="00725725">
      <w:pPr>
        <w:rPr>
          <w:u w:val="single"/>
        </w:rPr>
      </w:pPr>
    </w:p>
    <w:p w14:paraId="7E20D076" w14:textId="77777777" w:rsidR="00A6391B" w:rsidRDefault="00A6391B" w:rsidP="00725725">
      <w:pPr>
        <w:rPr>
          <w:u w:val="single"/>
        </w:rPr>
      </w:pPr>
    </w:p>
    <w:p w14:paraId="4BEA3E9F" w14:textId="77777777" w:rsidR="00A6391B" w:rsidRDefault="00A6391B" w:rsidP="00725725">
      <w:pPr>
        <w:rPr>
          <w:u w:val="single"/>
        </w:rPr>
      </w:pPr>
    </w:p>
    <w:p w14:paraId="7471280F" w14:textId="77777777" w:rsidR="00A6391B" w:rsidRDefault="00A6391B" w:rsidP="00725725">
      <w:pPr>
        <w:rPr>
          <w:u w:val="single"/>
        </w:rPr>
      </w:pPr>
    </w:p>
    <w:p w14:paraId="341AC089" w14:textId="77777777" w:rsidR="00A6391B" w:rsidRDefault="00A6391B" w:rsidP="00725725">
      <w:pPr>
        <w:rPr>
          <w:u w:val="single"/>
        </w:rPr>
      </w:pPr>
    </w:p>
    <w:p w14:paraId="5D9E0785" w14:textId="77777777" w:rsidR="008206E2" w:rsidRPr="00CF7FF3" w:rsidRDefault="008206E2" w:rsidP="00725725">
      <w:pPr>
        <w:rPr>
          <w:u w:val="single"/>
        </w:rPr>
      </w:pPr>
    </w:p>
    <w:p w14:paraId="169D88AA" w14:textId="77777777" w:rsidR="00725725" w:rsidRPr="00CF7FF3" w:rsidRDefault="00725725" w:rsidP="00725725">
      <w:pPr>
        <w:contextualSpacing/>
        <w:jc w:val="both"/>
        <w:rPr>
          <w:rFonts w:ascii="Arial" w:hAnsi="Arial" w:cs="Arial"/>
        </w:rPr>
      </w:pPr>
      <w:r w:rsidRPr="00CF7FF3">
        <w:rPr>
          <w:rFonts w:ascii="Arial" w:hAnsi="Arial" w:cs="Arial"/>
        </w:rPr>
        <w:t>Key requirements</w:t>
      </w:r>
      <w:r w:rsidR="00300B3D" w:rsidRPr="00CF7FF3">
        <w:rPr>
          <w:rFonts w:ascii="Arial" w:hAnsi="Arial" w:cs="Arial"/>
        </w:rPr>
        <w:t>:</w:t>
      </w:r>
    </w:p>
    <w:p w14:paraId="3490A26C" w14:textId="77777777" w:rsidR="00725725" w:rsidRPr="00CF7FF3" w:rsidRDefault="00725725" w:rsidP="00725725">
      <w:pPr>
        <w:contextualSpacing/>
        <w:jc w:val="both"/>
        <w:rPr>
          <w:rFonts w:ascii="Arial" w:hAnsi="Arial" w:cs="Arial"/>
          <w:b/>
        </w:rPr>
      </w:pPr>
    </w:p>
    <w:p w14:paraId="2BB3D9B5" w14:textId="77725976"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The supplier will have </w:t>
      </w:r>
      <w:r w:rsidR="008206E2">
        <w:rPr>
          <w:rFonts w:cs="Arial"/>
          <w:sz w:val="20"/>
          <w:szCs w:val="20"/>
        </w:rPr>
        <w:t xml:space="preserve">specialist </w:t>
      </w:r>
      <w:r w:rsidRPr="00CF7FF3">
        <w:rPr>
          <w:rFonts w:cs="Arial"/>
          <w:sz w:val="20"/>
          <w:szCs w:val="20"/>
        </w:rPr>
        <w:t xml:space="preserve">experience of </w:t>
      </w:r>
      <w:r w:rsidR="008206E2">
        <w:rPr>
          <w:rFonts w:cs="Arial"/>
          <w:sz w:val="20"/>
          <w:szCs w:val="20"/>
        </w:rPr>
        <w:t>the synthesis and critical evaluation of mammalian and human toxicology and be able to summarise key studies and decisions effectively and succinctly</w:t>
      </w:r>
      <w:r w:rsidRPr="00CF7FF3">
        <w:rPr>
          <w:rFonts w:cs="Arial"/>
          <w:sz w:val="20"/>
          <w:szCs w:val="20"/>
        </w:rPr>
        <w:t>.</w:t>
      </w:r>
    </w:p>
    <w:p w14:paraId="2DB3D1BE" w14:textId="77777777"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A single point of contact will be provided by the supplier. </w:t>
      </w:r>
    </w:p>
    <w:p w14:paraId="78DEFCCC" w14:textId="77777777" w:rsidR="008206E2" w:rsidRDefault="00725725" w:rsidP="00300B3D">
      <w:pPr>
        <w:pStyle w:val="ListParagraph"/>
        <w:numPr>
          <w:ilvl w:val="0"/>
          <w:numId w:val="22"/>
        </w:numPr>
        <w:spacing w:after="0"/>
        <w:rPr>
          <w:rFonts w:cs="Arial"/>
          <w:sz w:val="20"/>
          <w:szCs w:val="20"/>
        </w:rPr>
      </w:pPr>
      <w:r w:rsidRPr="00CF7FF3">
        <w:rPr>
          <w:rFonts w:cs="Arial"/>
          <w:sz w:val="20"/>
          <w:szCs w:val="20"/>
        </w:rPr>
        <w:t>Deliverables and timescales are outlined below.</w:t>
      </w:r>
    </w:p>
    <w:p w14:paraId="66822975" w14:textId="1D9524E8" w:rsidR="00725725" w:rsidRPr="008206E2" w:rsidRDefault="00725725" w:rsidP="008206E2">
      <w:pPr>
        <w:ind w:left="360"/>
        <w:rPr>
          <w:rFonts w:cs="Arial"/>
        </w:rPr>
      </w:pPr>
      <w:r w:rsidRPr="008206E2">
        <w:rPr>
          <w:rFonts w:cs="Arial"/>
        </w:rPr>
        <w:t xml:space="preserve"> </w:t>
      </w:r>
    </w:p>
    <w:p w14:paraId="2A7D59A1" w14:textId="77777777" w:rsidR="00725725" w:rsidRPr="00CF7FF3" w:rsidRDefault="00725725" w:rsidP="00725725">
      <w:pPr>
        <w:contextualSpacing/>
        <w:jc w:val="both"/>
        <w:rPr>
          <w:rFonts w:ascii="Arial" w:hAnsi="Arial" w:cs="Arial"/>
          <w:u w:val="single"/>
        </w:rPr>
      </w:pPr>
    </w:p>
    <w:p w14:paraId="25E42D16"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Timescales/Deadlines</w:t>
      </w:r>
    </w:p>
    <w:p w14:paraId="3DA2764A" w14:textId="77777777" w:rsidR="006739AF" w:rsidRPr="00CF7FF3" w:rsidRDefault="006739AF" w:rsidP="00E65F5D">
      <w:pPr>
        <w:rPr>
          <w:rFonts w:ascii="Arial" w:hAnsi="Arial" w:cs="Arial"/>
          <w:szCs w:val="22"/>
        </w:rPr>
      </w:pPr>
    </w:p>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418"/>
      </w:tblGrid>
      <w:tr w:rsidR="00CF7FF3" w:rsidRPr="00CF7FF3" w14:paraId="0929E971" w14:textId="77777777" w:rsidTr="00A6391B">
        <w:trPr>
          <w:trHeight w:val="834"/>
        </w:trPr>
        <w:tc>
          <w:tcPr>
            <w:tcW w:w="795" w:type="dxa"/>
          </w:tcPr>
          <w:p w14:paraId="1CA0D1CC" w14:textId="77777777" w:rsidR="00DB1132" w:rsidRPr="00CF7FF3" w:rsidRDefault="00DB1132" w:rsidP="00AD730C">
            <w:pPr>
              <w:pStyle w:val="BodyText"/>
              <w:rPr>
                <w:rFonts w:ascii="Arial" w:hAnsi="Arial" w:cs="Arial"/>
              </w:rPr>
            </w:pPr>
            <w:r w:rsidRPr="00CF7FF3">
              <w:rPr>
                <w:rFonts w:ascii="Arial" w:hAnsi="Arial" w:cs="Arial"/>
              </w:rPr>
              <w:t>Task No.</w:t>
            </w:r>
          </w:p>
        </w:tc>
        <w:tc>
          <w:tcPr>
            <w:tcW w:w="4162" w:type="dxa"/>
          </w:tcPr>
          <w:p w14:paraId="609D3B93" w14:textId="77777777" w:rsidR="00DB1132" w:rsidRPr="00CF7FF3" w:rsidRDefault="00DB1132" w:rsidP="00AD730C">
            <w:pPr>
              <w:pStyle w:val="BodyText"/>
              <w:rPr>
                <w:rFonts w:ascii="Arial" w:hAnsi="Arial" w:cs="Arial"/>
              </w:rPr>
            </w:pPr>
            <w:r w:rsidRPr="00CF7FF3">
              <w:rPr>
                <w:rFonts w:ascii="Arial" w:hAnsi="Arial" w:cs="Arial"/>
              </w:rPr>
              <w:t>Deliverable</w:t>
            </w:r>
          </w:p>
        </w:tc>
        <w:tc>
          <w:tcPr>
            <w:tcW w:w="1417" w:type="dxa"/>
          </w:tcPr>
          <w:p w14:paraId="0B0366A6" w14:textId="77777777" w:rsidR="00DB1132" w:rsidRPr="00CF7FF3" w:rsidRDefault="00DB1132" w:rsidP="00AD730C">
            <w:pPr>
              <w:pStyle w:val="BodyText"/>
              <w:rPr>
                <w:rFonts w:ascii="Arial" w:hAnsi="Arial" w:cs="Arial"/>
              </w:rPr>
            </w:pPr>
            <w:r w:rsidRPr="00CF7FF3">
              <w:rPr>
                <w:rFonts w:ascii="Arial" w:hAnsi="Arial" w:cs="Arial"/>
              </w:rPr>
              <w:t>Responsible party</w:t>
            </w:r>
          </w:p>
        </w:tc>
        <w:tc>
          <w:tcPr>
            <w:tcW w:w="1559" w:type="dxa"/>
          </w:tcPr>
          <w:p w14:paraId="1C85A588" w14:textId="77777777" w:rsidR="00DB1132" w:rsidRPr="00CF7FF3" w:rsidRDefault="00DB1132" w:rsidP="00AD730C">
            <w:pPr>
              <w:pStyle w:val="BodyText"/>
              <w:rPr>
                <w:rFonts w:ascii="Arial" w:hAnsi="Arial" w:cs="Arial"/>
              </w:rPr>
            </w:pPr>
            <w:r w:rsidRPr="00CF7FF3">
              <w:rPr>
                <w:rFonts w:ascii="Arial" w:hAnsi="Arial" w:cs="Arial"/>
              </w:rPr>
              <w:t>Format / Compatibility Requirements</w:t>
            </w:r>
          </w:p>
        </w:tc>
        <w:tc>
          <w:tcPr>
            <w:tcW w:w="1418" w:type="dxa"/>
          </w:tcPr>
          <w:p w14:paraId="4E2C00DC" w14:textId="77777777" w:rsidR="00DB1132" w:rsidRPr="00CF7FF3" w:rsidRDefault="00DB1132" w:rsidP="00AD730C">
            <w:pPr>
              <w:pStyle w:val="BodyText"/>
              <w:rPr>
                <w:rFonts w:ascii="Arial" w:hAnsi="Arial" w:cs="Arial"/>
              </w:rPr>
            </w:pPr>
            <w:r w:rsidRPr="00CF7FF3">
              <w:rPr>
                <w:rFonts w:ascii="Arial" w:hAnsi="Arial" w:cs="Arial"/>
              </w:rPr>
              <w:t>Date of completion, end:</w:t>
            </w:r>
          </w:p>
        </w:tc>
      </w:tr>
      <w:tr w:rsidR="00CF7FF3" w:rsidRPr="00CF7FF3" w14:paraId="70C2F600" w14:textId="77777777" w:rsidTr="00A6391B">
        <w:trPr>
          <w:trHeight w:val="347"/>
        </w:trPr>
        <w:tc>
          <w:tcPr>
            <w:tcW w:w="795" w:type="dxa"/>
          </w:tcPr>
          <w:p w14:paraId="27ED4EA6" w14:textId="77777777" w:rsidR="00DB1132" w:rsidRPr="00CF7FF3" w:rsidRDefault="00DB1132" w:rsidP="00AD730C">
            <w:pPr>
              <w:pStyle w:val="BodyText"/>
              <w:rPr>
                <w:rFonts w:ascii="Arial" w:hAnsi="Arial" w:cs="Arial"/>
              </w:rPr>
            </w:pPr>
            <w:r w:rsidRPr="00CF7FF3">
              <w:rPr>
                <w:rFonts w:ascii="Arial" w:hAnsi="Arial" w:cs="Arial"/>
              </w:rPr>
              <w:t>1</w:t>
            </w:r>
          </w:p>
        </w:tc>
        <w:tc>
          <w:tcPr>
            <w:tcW w:w="4162" w:type="dxa"/>
          </w:tcPr>
          <w:p w14:paraId="55EEEB6E" w14:textId="77777777" w:rsidR="00DB1132" w:rsidRPr="00CF7FF3" w:rsidRDefault="00DB1132" w:rsidP="00DB1132">
            <w:pPr>
              <w:contextualSpacing/>
              <w:rPr>
                <w:rFonts w:ascii="Arial" w:hAnsi="Arial" w:cs="Arial"/>
              </w:rPr>
            </w:pPr>
            <w:r w:rsidRPr="00CF7FF3">
              <w:rPr>
                <w:rFonts w:ascii="Arial" w:hAnsi="Arial" w:cs="Arial"/>
                <w:b/>
              </w:rPr>
              <w:t>Start-up meeting</w:t>
            </w:r>
            <w:r w:rsidRPr="00CF7FF3">
              <w:rPr>
                <w:rFonts w:ascii="Arial" w:hAnsi="Arial" w:cs="Arial"/>
              </w:rPr>
              <w:t xml:space="preserve"> with project team and the EA steering group, confirming:</w:t>
            </w:r>
          </w:p>
          <w:p w14:paraId="49CAAC7C" w14:textId="7D581028" w:rsidR="00DB1132" w:rsidRPr="00CF7FF3" w:rsidRDefault="00A6391B" w:rsidP="00300B3D">
            <w:pPr>
              <w:pStyle w:val="ListParagraph"/>
              <w:numPr>
                <w:ilvl w:val="0"/>
                <w:numId w:val="18"/>
              </w:numPr>
              <w:spacing w:after="0" w:line="240" w:lineRule="auto"/>
              <w:contextualSpacing/>
              <w:rPr>
                <w:rFonts w:cs="Arial"/>
                <w:sz w:val="20"/>
                <w:szCs w:val="20"/>
              </w:rPr>
            </w:pPr>
            <w:r>
              <w:rPr>
                <w:rFonts w:cs="Arial"/>
                <w:sz w:val="20"/>
                <w:szCs w:val="20"/>
              </w:rPr>
              <w:t>Dossiers to be revised</w:t>
            </w:r>
          </w:p>
          <w:p w14:paraId="7F47DC7F" w14:textId="3670B915" w:rsidR="00DB1132" w:rsidRPr="00CF7FF3" w:rsidRDefault="00A6391B" w:rsidP="00300B3D">
            <w:pPr>
              <w:pStyle w:val="ListParagraph"/>
              <w:numPr>
                <w:ilvl w:val="0"/>
                <w:numId w:val="18"/>
              </w:numPr>
              <w:spacing w:after="0" w:line="240" w:lineRule="auto"/>
              <w:contextualSpacing/>
              <w:rPr>
                <w:rFonts w:cs="Arial"/>
                <w:sz w:val="20"/>
                <w:szCs w:val="20"/>
              </w:rPr>
            </w:pPr>
            <w:r>
              <w:rPr>
                <w:rFonts w:cs="Arial"/>
                <w:sz w:val="20"/>
                <w:szCs w:val="20"/>
              </w:rPr>
              <w:t>Approach to review of prioritisation</w:t>
            </w:r>
            <w:r w:rsidR="00DB1132" w:rsidRPr="00CF7FF3">
              <w:rPr>
                <w:rFonts w:cs="Arial"/>
                <w:sz w:val="20"/>
                <w:szCs w:val="20"/>
              </w:rPr>
              <w:t xml:space="preserve"> </w:t>
            </w:r>
          </w:p>
          <w:p w14:paraId="5743253F" w14:textId="77777777" w:rsidR="00DB1132" w:rsidRPr="00CF7FF3" w:rsidRDefault="00DB1132" w:rsidP="00B11E3A">
            <w:pPr>
              <w:pStyle w:val="BodyText"/>
              <w:numPr>
                <w:ilvl w:val="0"/>
                <w:numId w:val="18"/>
              </w:numPr>
              <w:rPr>
                <w:rFonts w:ascii="Arial" w:hAnsi="Arial" w:cs="Arial"/>
              </w:rPr>
            </w:pPr>
            <w:r w:rsidRPr="00CF7FF3">
              <w:rPr>
                <w:rFonts w:ascii="Arial" w:hAnsi="Arial" w:cs="Arial"/>
              </w:rPr>
              <w:t>Project deliverables and timings</w:t>
            </w:r>
          </w:p>
        </w:tc>
        <w:tc>
          <w:tcPr>
            <w:tcW w:w="1417" w:type="dxa"/>
          </w:tcPr>
          <w:p w14:paraId="45F8C2D9" w14:textId="77777777" w:rsidR="00DB1132" w:rsidRPr="00CF7FF3" w:rsidRDefault="00DB1132" w:rsidP="00AD730C">
            <w:pPr>
              <w:pStyle w:val="BodyText"/>
              <w:rPr>
                <w:rFonts w:ascii="Arial" w:hAnsi="Arial" w:cs="Arial"/>
              </w:rPr>
            </w:pPr>
            <w:r w:rsidRPr="00CF7FF3">
              <w:rPr>
                <w:rFonts w:ascii="Arial" w:hAnsi="Arial" w:cs="Arial"/>
              </w:rPr>
              <w:t>Supplier</w:t>
            </w:r>
          </w:p>
        </w:tc>
        <w:tc>
          <w:tcPr>
            <w:tcW w:w="1559" w:type="dxa"/>
          </w:tcPr>
          <w:p w14:paraId="7357CAF5" w14:textId="77777777"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418" w:type="dxa"/>
          </w:tcPr>
          <w:p w14:paraId="0A1207D4" w14:textId="527EDE0C" w:rsidR="00DB1132" w:rsidRPr="00CF7FF3" w:rsidRDefault="00A6391B" w:rsidP="00F77C98">
            <w:pPr>
              <w:pStyle w:val="BodyText"/>
              <w:rPr>
                <w:rFonts w:ascii="Arial" w:hAnsi="Arial" w:cs="Arial"/>
              </w:rPr>
            </w:pPr>
            <w:r>
              <w:rPr>
                <w:rFonts w:ascii="Arial" w:hAnsi="Arial" w:cs="Arial"/>
              </w:rPr>
              <w:t>10 Sep 2021</w:t>
            </w:r>
          </w:p>
        </w:tc>
      </w:tr>
      <w:tr w:rsidR="00CF7FF3" w:rsidRPr="00CF7FF3" w14:paraId="69167DAE" w14:textId="77777777" w:rsidTr="00A6391B">
        <w:trPr>
          <w:trHeight w:val="365"/>
        </w:trPr>
        <w:tc>
          <w:tcPr>
            <w:tcW w:w="795" w:type="dxa"/>
          </w:tcPr>
          <w:p w14:paraId="026461BA" w14:textId="77777777" w:rsidR="00DB1132" w:rsidRPr="00CF7FF3" w:rsidRDefault="00DB1132" w:rsidP="00AD730C">
            <w:pPr>
              <w:pStyle w:val="BodyText"/>
              <w:rPr>
                <w:rFonts w:ascii="Arial" w:hAnsi="Arial" w:cs="Arial"/>
              </w:rPr>
            </w:pPr>
            <w:r w:rsidRPr="00CF7FF3">
              <w:rPr>
                <w:rFonts w:ascii="Arial" w:hAnsi="Arial" w:cs="Arial"/>
              </w:rPr>
              <w:t>2</w:t>
            </w:r>
          </w:p>
        </w:tc>
        <w:tc>
          <w:tcPr>
            <w:tcW w:w="4162" w:type="dxa"/>
          </w:tcPr>
          <w:p w14:paraId="783EC631" w14:textId="71A9B5E7" w:rsidR="00DB1132" w:rsidRPr="00CF7FF3" w:rsidRDefault="00A6391B" w:rsidP="00A6391B">
            <w:pPr>
              <w:contextualSpacing/>
              <w:rPr>
                <w:rFonts w:ascii="Arial" w:hAnsi="Arial" w:cs="Arial"/>
              </w:rPr>
            </w:pPr>
            <w:r>
              <w:rPr>
                <w:rFonts w:ascii="Arial" w:hAnsi="Arial" w:cs="Arial"/>
                <w:b/>
              </w:rPr>
              <w:t>Draft revised dossiers</w:t>
            </w:r>
            <w:r w:rsidRPr="00A6391B">
              <w:rPr>
                <w:rFonts w:ascii="Arial" w:hAnsi="Arial" w:cs="Arial"/>
              </w:rPr>
              <w:t xml:space="preserve"> </w:t>
            </w:r>
            <w:r>
              <w:rPr>
                <w:rFonts w:ascii="Arial" w:hAnsi="Arial" w:cs="Arial"/>
              </w:rPr>
              <w:t xml:space="preserve">in Table 1 </w:t>
            </w:r>
            <w:r w:rsidRPr="00A6391B">
              <w:rPr>
                <w:rFonts w:ascii="Arial" w:hAnsi="Arial" w:cs="Arial"/>
              </w:rPr>
              <w:t>to EA</w:t>
            </w:r>
            <w:r>
              <w:rPr>
                <w:rFonts w:ascii="Arial" w:hAnsi="Arial" w:cs="Arial"/>
              </w:rPr>
              <w:t xml:space="preserve"> (these can be provided in batches)</w:t>
            </w:r>
          </w:p>
        </w:tc>
        <w:tc>
          <w:tcPr>
            <w:tcW w:w="1417" w:type="dxa"/>
          </w:tcPr>
          <w:p w14:paraId="1B464EEC" w14:textId="77777777" w:rsidR="00DB1132" w:rsidRPr="00CF7FF3" w:rsidRDefault="00DB1132" w:rsidP="00AD730C">
            <w:pPr>
              <w:pStyle w:val="BodyText"/>
              <w:rPr>
                <w:rFonts w:ascii="Arial" w:hAnsi="Arial" w:cs="Arial"/>
              </w:rPr>
            </w:pPr>
            <w:r w:rsidRPr="00CF7FF3">
              <w:rPr>
                <w:rFonts w:ascii="Arial" w:hAnsi="Arial" w:cs="Arial"/>
              </w:rPr>
              <w:t xml:space="preserve">Supplier </w:t>
            </w:r>
          </w:p>
        </w:tc>
        <w:tc>
          <w:tcPr>
            <w:tcW w:w="1559" w:type="dxa"/>
          </w:tcPr>
          <w:p w14:paraId="734E76CB" w14:textId="48C788FD" w:rsidR="00DB1132" w:rsidRPr="00CF7FF3" w:rsidRDefault="00A6391B" w:rsidP="00AD730C">
            <w:pPr>
              <w:pStyle w:val="BodyText"/>
              <w:rPr>
                <w:rFonts w:ascii="Arial" w:hAnsi="Arial" w:cs="Arial"/>
              </w:rPr>
            </w:pPr>
            <w:r>
              <w:rPr>
                <w:rFonts w:ascii="Arial" w:hAnsi="Arial" w:cs="Arial"/>
              </w:rPr>
              <w:t>Word documents</w:t>
            </w:r>
          </w:p>
        </w:tc>
        <w:tc>
          <w:tcPr>
            <w:tcW w:w="1418" w:type="dxa"/>
          </w:tcPr>
          <w:p w14:paraId="24303964" w14:textId="261A1110" w:rsidR="00DB1132" w:rsidRPr="00CF7FF3" w:rsidRDefault="005A4B57" w:rsidP="005A4B57">
            <w:pPr>
              <w:pStyle w:val="BodyText"/>
              <w:rPr>
                <w:rFonts w:ascii="Arial" w:hAnsi="Arial" w:cs="Arial"/>
              </w:rPr>
            </w:pPr>
            <w:r>
              <w:rPr>
                <w:rFonts w:ascii="Arial" w:hAnsi="Arial" w:cs="Arial"/>
              </w:rPr>
              <w:t>29</w:t>
            </w:r>
            <w:r w:rsidRPr="00CF7FF3">
              <w:rPr>
                <w:rFonts w:ascii="Arial" w:hAnsi="Arial" w:cs="Arial"/>
              </w:rPr>
              <w:t xml:space="preserve"> </w:t>
            </w:r>
            <w:r>
              <w:rPr>
                <w:rFonts w:ascii="Arial" w:hAnsi="Arial" w:cs="Arial"/>
              </w:rPr>
              <w:t>Oct</w:t>
            </w:r>
            <w:r w:rsidRPr="00CF7FF3">
              <w:rPr>
                <w:rFonts w:ascii="Arial" w:hAnsi="Arial" w:cs="Arial"/>
              </w:rPr>
              <w:t xml:space="preserve"> </w:t>
            </w:r>
            <w:r w:rsidR="0045484A" w:rsidRPr="00CF7FF3">
              <w:rPr>
                <w:rFonts w:ascii="Arial" w:hAnsi="Arial" w:cs="Arial"/>
              </w:rPr>
              <w:t>2021</w:t>
            </w:r>
          </w:p>
        </w:tc>
      </w:tr>
      <w:tr w:rsidR="005A4B57" w:rsidRPr="00CF7FF3" w14:paraId="153353C3" w14:textId="77777777" w:rsidTr="00A6391B">
        <w:trPr>
          <w:trHeight w:val="365"/>
        </w:trPr>
        <w:tc>
          <w:tcPr>
            <w:tcW w:w="795" w:type="dxa"/>
          </w:tcPr>
          <w:p w14:paraId="4952F11A" w14:textId="6D2118A2" w:rsidR="005A4B57" w:rsidRPr="00CF7FF3" w:rsidRDefault="005A4B57" w:rsidP="005A4B57">
            <w:pPr>
              <w:pStyle w:val="BodyText"/>
              <w:rPr>
                <w:rFonts w:ascii="Arial" w:hAnsi="Arial" w:cs="Arial"/>
              </w:rPr>
            </w:pPr>
            <w:r>
              <w:rPr>
                <w:rFonts w:ascii="Arial" w:hAnsi="Arial" w:cs="Arial"/>
              </w:rPr>
              <w:t>3</w:t>
            </w:r>
          </w:p>
        </w:tc>
        <w:tc>
          <w:tcPr>
            <w:tcW w:w="4162" w:type="dxa"/>
          </w:tcPr>
          <w:p w14:paraId="0DF85F78" w14:textId="1C63C557" w:rsidR="005A4B57" w:rsidRDefault="005A4B57" w:rsidP="005A4B57">
            <w:pPr>
              <w:contextualSpacing/>
              <w:rPr>
                <w:rFonts w:ascii="Arial" w:hAnsi="Arial" w:cs="Arial"/>
                <w:b/>
              </w:rPr>
            </w:pPr>
            <w:r w:rsidRPr="00CF7FF3">
              <w:rPr>
                <w:rFonts w:ascii="Arial" w:hAnsi="Arial" w:cs="Arial"/>
              </w:rPr>
              <w:t xml:space="preserve">EA steering group reviews report and provides </w:t>
            </w:r>
            <w:r w:rsidRPr="00CF7FF3">
              <w:rPr>
                <w:rFonts w:ascii="Arial" w:hAnsi="Arial" w:cs="Arial"/>
                <w:b/>
              </w:rPr>
              <w:t xml:space="preserve">comments </w:t>
            </w:r>
            <w:r w:rsidRPr="00CF7FF3">
              <w:rPr>
                <w:rFonts w:ascii="Arial" w:hAnsi="Arial" w:cs="Arial"/>
              </w:rPr>
              <w:t>back to project team</w:t>
            </w:r>
          </w:p>
        </w:tc>
        <w:tc>
          <w:tcPr>
            <w:tcW w:w="1417" w:type="dxa"/>
          </w:tcPr>
          <w:p w14:paraId="0C733D16" w14:textId="3A964C82" w:rsidR="005A4B57" w:rsidRPr="00CF7FF3" w:rsidRDefault="005A4B57" w:rsidP="005A4B57">
            <w:pPr>
              <w:pStyle w:val="BodyText"/>
              <w:rPr>
                <w:rFonts w:ascii="Arial" w:hAnsi="Arial" w:cs="Arial"/>
              </w:rPr>
            </w:pPr>
            <w:r w:rsidRPr="00CF7FF3">
              <w:rPr>
                <w:rFonts w:ascii="Arial" w:hAnsi="Arial" w:cs="Arial"/>
              </w:rPr>
              <w:t>EA project manager</w:t>
            </w:r>
          </w:p>
        </w:tc>
        <w:tc>
          <w:tcPr>
            <w:tcW w:w="1559" w:type="dxa"/>
          </w:tcPr>
          <w:p w14:paraId="3BFB3B33" w14:textId="3301F005" w:rsidR="005A4B57" w:rsidRDefault="005A4B57" w:rsidP="005A4B57">
            <w:pPr>
              <w:pStyle w:val="BodyText"/>
              <w:rPr>
                <w:rFonts w:ascii="Arial" w:hAnsi="Arial" w:cs="Arial"/>
              </w:rPr>
            </w:pPr>
            <w:r w:rsidRPr="00CF7FF3">
              <w:rPr>
                <w:rFonts w:ascii="Arial" w:hAnsi="Arial" w:cs="Arial"/>
              </w:rPr>
              <w:t>Track changes in word document</w:t>
            </w:r>
          </w:p>
        </w:tc>
        <w:tc>
          <w:tcPr>
            <w:tcW w:w="1418" w:type="dxa"/>
          </w:tcPr>
          <w:p w14:paraId="301AF4EF" w14:textId="1C9A3D0A" w:rsidR="005A4B57" w:rsidRDefault="005A4B57" w:rsidP="005A4B57">
            <w:pPr>
              <w:pStyle w:val="BodyText"/>
              <w:rPr>
                <w:rFonts w:ascii="Arial" w:hAnsi="Arial" w:cs="Arial"/>
              </w:rPr>
            </w:pPr>
            <w:r>
              <w:rPr>
                <w:rFonts w:ascii="Arial" w:hAnsi="Arial" w:cs="Arial"/>
              </w:rPr>
              <w:t>12</w:t>
            </w:r>
            <w:r w:rsidRPr="00CF7FF3">
              <w:rPr>
                <w:rFonts w:ascii="Arial" w:hAnsi="Arial" w:cs="Arial"/>
              </w:rPr>
              <w:t xml:space="preserve"> </w:t>
            </w:r>
            <w:r>
              <w:rPr>
                <w:rFonts w:ascii="Arial" w:hAnsi="Arial" w:cs="Arial"/>
              </w:rPr>
              <w:t>Nov</w:t>
            </w:r>
            <w:r w:rsidRPr="00CF7FF3">
              <w:rPr>
                <w:rFonts w:ascii="Arial" w:hAnsi="Arial" w:cs="Arial"/>
              </w:rPr>
              <w:t xml:space="preserve"> 2021</w:t>
            </w:r>
          </w:p>
        </w:tc>
      </w:tr>
      <w:tr w:rsidR="005A4B57" w:rsidRPr="00CF7FF3" w14:paraId="6AA278CD" w14:textId="77777777" w:rsidTr="00A6391B">
        <w:trPr>
          <w:trHeight w:val="347"/>
        </w:trPr>
        <w:tc>
          <w:tcPr>
            <w:tcW w:w="795" w:type="dxa"/>
          </w:tcPr>
          <w:p w14:paraId="26D0D0B5" w14:textId="76013ACB" w:rsidR="005A4B57" w:rsidRPr="00CF7FF3" w:rsidRDefault="005A4B57" w:rsidP="005A4B57">
            <w:pPr>
              <w:pStyle w:val="BodyText"/>
              <w:rPr>
                <w:rFonts w:ascii="Arial" w:hAnsi="Arial" w:cs="Arial"/>
              </w:rPr>
            </w:pPr>
            <w:r>
              <w:rPr>
                <w:rFonts w:ascii="Arial" w:hAnsi="Arial" w:cs="Arial"/>
              </w:rPr>
              <w:t>4</w:t>
            </w:r>
          </w:p>
        </w:tc>
        <w:tc>
          <w:tcPr>
            <w:tcW w:w="4162" w:type="dxa"/>
          </w:tcPr>
          <w:p w14:paraId="33E368B3" w14:textId="28397449" w:rsidR="005A4B57" w:rsidRPr="00CF7FF3" w:rsidRDefault="005A4B57" w:rsidP="005A4B57">
            <w:pPr>
              <w:pStyle w:val="BodyText"/>
              <w:rPr>
                <w:rFonts w:ascii="Arial" w:hAnsi="Arial" w:cs="Arial"/>
                <w:b/>
              </w:rPr>
            </w:pPr>
            <w:r>
              <w:rPr>
                <w:rFonts w:ascii="Arial" w:hAnsi="Arial" w:cs="Arial"/>
                <w:b/>
              </w:rPr>
              <w:t>Final revised dossiers</w:t>
            </w:r>
          </w:p>
        </w:tc>
        <w:tc>
          <w:tcPr>
            <w:tcW w:w="1417" w:type="dxa"/>
          </w:tcPr>
          <w:p w14:paraId="363476AA" w14:textId="3F2ED5C8" w:rsidR="005A4B57" w:rsidRPr="00CF7FF3" w:rsidRDefault="005A4B57" w:rsidP="005A4B57">
            <w:pPr>
              <w:pStyle w:val="BodyText"/>
              <w:rPr>
                <w:rFonts w:ascii="Arial" w:hAnsi="Arial" w:cs="Arial"/>
              </w:rPr>
            </w:pPr>
            <w:r>
              <w:rPr>
                <w:rFonts w:ascii="Arial" w:hAnsi="Arial" w:cs="Arial"/>
              </w:rPr>
              <w:t>Supplier</w:t>
            </w:r>
          </w:p>
        </w:tc>
        <w:tc>
          <w:tcPr>
            <w:tcW w:w="1559" w:type="dxa"/>
          </w:tcPr>
          <w:p w14:paraId="15B93738" w14:textId="02CC3B84" w:rsidR="005A4B57" w:rsidRPr="00CF7FF3" w:rsidRDefault="005A4B57" w:rsidP="005A4B57">
            <w:pPr>
              <w:pStyle w:val="BodyText"/>
              <w:rPr>
                <w:rFonts w:ascii="Arial" w:hAnsi="Arial" w:cs="Arial"/>
              </w:rPr>
            </w:pPr>
            <w:r>
              <w:rPr>
                <w:rFonts w:ascii="Arial" w:hAnsi="Arial" w:cs="Arial"/>
              </w:rPr>
              <w:t>Word documents</w:t>
            </w:r>
          </w:p>
        </w:tc>
        <w:tc>
          <w:tcPr>
            <w:tcW w:w="1418" w:type="dxa"/>
          </w:tcPr>
          <w:p w14:paraId="7D88228D" w14:textId="642463AD" w:rsidR="005A4B57" w:rsidRDefault="005A4B57" w:rsidP="005A4B57">
            <w:pPr>
              <w:pStyle w:val="BodyText"/>
              <w:rPr>
                <w:rFonts w:ascii="Arial" w:hAnsi="Arial" w:cs="Arial"/>
              </w:rPr>
            </w:pPr>
            <w:r>
              <w:rPr>
                <w:rFonts w:ascii="Arial" w:hAnsi="Arial" w:cs="Arial"/>
              </w:rPr>
              <w:t>3 Dec 2021</w:t>
            </w:r>
          </w:p>
        </w:tc>
      </w:tr>
      <w:tr w:rsidR="005A4B57" w:rsidRPr="00CF7FF3" w14:paraId="46D973A4" w14:textId="77777777" w:rsidTr="00A6391B">
        <w:trPr>
          <w:trHeight w:val="347"/>
        </w:trPr>
        <w:tc>
          <w:tcPr>
            <w:tcW w:w="795" w:type="dxa"/>
          </w:tcPr>
          <w:p w14:paraId="1EE05993" w14:textId="77777777" w:rsidR="005A4B57" w:rsidRPr="00CF7FF3" w:rsidRDefault="005A4B57" w:rsidP="005A4B57">
            <w:pPr>
              <w:pStyle w:val="BodyText"/>
              <w:rPr>
                <w:rFonts w:ascii="Arial" w:hAnsi="Arial" w:cs="Arial"/>
              </w:rPr>
            </w:pPr>
            <w:r w:rsidRPr="00CF7FF3">
              <w:rPr>
                <w:rFonts w:ascii="Arial" w:hAnsi="Arial" w:cs="Arial"/>
              </w:rPr>
              <w:t>3</w:t>
            </w:r>
          </w:p>
        </w:tc>
        <w:tc>
          <w:tcPr>
            <w:tcW w:w="4162" w:type="dxa"/>
          </w:tcPr>
          <w:p w14:paraId="1FD91C52" w14:textId="0A28795A" w:rsidR="005A4B57" w:rsidRPr="00CF7FF3" w:rsidRDefault="005A4B57" w:rsidP="005A4B57">
            <w:pPr>
              <w:pStyle w:val="BodyText"/>
              <w:rPr>
                <w:rFonts w:ascii="Arial" w:hAnsi="Arial" w:cs="Arial"/>
              </w:rPr>
            </w:pPr>
            <w:r w:rsidRPr="00CF7FF3">
              <w:rPr>
                <w:rFonts w:ascii="Arial" w:hAnsi="Arial" w:cs="Arial"/>
                <w:b/>
              </w:rPr>
              <w:t xml:space="preserve">Draft </w:t>
            </w:r>
            <w:r>
              <w:rPr>
                <w:rFonts w:ascii="Arial" w:hAnsi="Arial" w:cs="Arial"/>
                <w:b/>
              </w:rPr>
              <w:t xml:space="preserve">prioritisation </w:t>
            </w:r>
            <w:r w:rsidRPr="00CF7FF3">
              <w:rPr>
                <w:rFonts w:ascii="Arial" w:hAnsi="Arial" w:cs="Arial"/>
                <w:b/>
              </w:rPr>
              <w:t>report</w:t>
            </w:r>
            <w:r w:rsidRPr="00CF7FF3">
              <w:rPr>
                <w:rFonts w:ascii="Arial" w:hAnsi="Arial" w:cs="Arial"/>
              </w:rPr>
              <w:t xml:space="preserve"> to EA</w:t>
            </w:r>
          </w:p>
        </w:tc>
        <w:tc>
          <w:tcPr>
            <w:tcW w:w="1417" w:type="dxa"/>
          </w:tcPr>
          <w:p w14:paraId="672026F1" w14:textId="77777777" w:rsidR="005A4B57" w:rsidRPr="00CF7FF3" w:rsidRDefault="005A4B57" w:rsidP="005A4B57">
            <w:pPr>
              <w:pStyle w:val="BodyText"/>
              <w:rPr>
                <w:rFonts w:ascii="Arial" w:hAnsi="Arial" w:cs="Arial"/>
              </w:rPr>
            </w:pPr>
            <w:r w:rsidRPr="00CF7FF3">
              <w:rPr>
                <w:rFonts w:ascii="Arial" w:hAnsi="Arial" w:cs="Arial"/>
              </w:rPr>
              <w:t>Supplier</w:t>
            </w:r>
          </w:p>
        </w:tc>
        <w:tc>
          <w:tcPr>
            <w:tcW w:w="1559" w:type="dxa"/>
          </w:tcPr>
          <w:p w14:paraId="5782CB62" w14:textId="77777777" w:rsidR="005A4B57" w:rsidRPr="00CF7FF3" w:rsidRDefault="005A4B57" w:rsidP="005A4B57">
            <w:pPr>
              <w:pStyle w:val="BodyText"/>
              <w:rPr>
                <w:rFonts w:ascii="Arial" w:hAnsi="Arial" w:cs="Arial"/>
              </w:rPr>
            </w:pPr>
            <w:r w:rsidRPr="00CF7FF3">
              <w:rPr>
                <w:rFonts w:ascii="Arial" w:hAnsi="Arial" w:cs="Arial"/>
              </w:rPr>
              <w:t>Word document</w:t>
            </w:r>
          </w:p>
        </w:tc>
        <w:tc>
          <w:tcPr>
            <w:tcW w:w="1418" w:type="dxa"/>
          </w:tcPr>
          <w:p w14:paraId="4FC154A7" w14:textId="3B005554" w:rsidR="005A4B57" w:rsidRPr="00CF7FF3" w:rsidRDefault="005A4B57" w:rsidP="005A4B57">
            <w:pPr>
              <w:pStyle w:val="BodyText"/>
              <w:rPr>
                <w:rFonts w:ascii="Arial" w:hAnsi="Arial" w:cs="Arial"/>
              </w:rPr>
            </w:pPr>
            <w:r>
              <w:rPr>
                <w:rFonts w:ascii="Arial" w:hAnsi="Arial" w:cs="Arial"/>
              </w:rPr>
              <w:t>3</w:t>
            </w:r>
            <w:r w:rsidRPr="00CF7FF3">
              <w:rPr>
                <w:rFonts w:ascii="Arial" w:hAnsi="Arial" w:cs="Arial"/>
              </w:rPr>
              <w:t xml:space="preserve"> </w:t>
            </w:r>
            <w:r>
              <w:rPr>
                <w:rFonts w:ascii="Arial" w:hAnsi="Arial" w:cs="Arial"/>
              </w:rPr>
              <w:t>Dec</w:t>
            </w:r>
            <w:r w:rsidRPr="00CF7FF3">
              <w:rPr>
                <w:rFonts w:ascii="Arial" w:hAnsi="Arial" w:cs="Arial"/>
              </w:rPr>
              <w:t xml:space="preserve"> 2021</w:t>
            </w:r>
          </w:p>
        </w:tc>
      </w:tr>
      <w:tr w:rsidR="005A4B57" w:rsidRPr="00CF7FF3" w14:paraId="28C8475D" w14:textId="77777777" w:rsidTr="00A6391B">
        <w:trPr>
          <w:trHeight w:val="365"/>
        </w:trPr>
        <w:tc>
          <w:tcPr>
            <w:tcW w:w="795" w:type="dxa"/>
          </w:tcPr>
          <w:p w14:paraId="1F3646C7" w14:textId="77777777" w:rsidR="005A4B57" w:rsidRPr="00CF7FF3" w:rsidRDefault="005A4B57" w:rsidP="005A4B57">
            <w:pPr>
              <w:pStyle w:val="BodyText"/>
              <w:rPr>
                <w:rFonts w:ascii="Arial" w:hAnsi="Arial" w:cs="Arial"/>
              </w:rPr>
            </w:pPr>
            <w:r w:rsidRPr="00CF7FF3">
              <w:rPr>
                <w:rFonts w:ascii="Arial" w:hAnsi="Arial" w:cs="Arial"/>
              </w:rPr>
              <w:t>4</w:t>
            </w:r>
          </w:p>
        </w:tc>
        <w:tc>
          <w:tcPr>
            <w:tcW w:w="4162" w:type="dxa"/>
          </w:tcPr>
          <w:p w14:paraId="0045FEDD" w14:textId="1EDDC3F2" w:rsidR="005A4B57" w:rsidRPr="00CF7FF3" w:rsidRDefault="005A4B57" w:rsidP="005A4B57">
            <w:pPr>
              <w:pStyle w:val="BodyText"/>
              <w:rPr>
                <w:rFonts w:ascii="Arial" w:hAnsi="Arial" w:cs="Arial"/>
              </w:rPr>
            </w:pPr>
            <w:r w:rsidRPr="00CF7FF3">
              <w:rPr>
                <w:rFonts w:ascii="Arial" w:hAnsi="Arial" w:cs="Arial"/>
              </w:rPr>
              <w:t xml:space="preserve">EA steering group reviews </w:t>
            </w:r>
            <w:r>
              <w:rPr>
                <w:rFonts w:ascii="Arial" w:hAnsi="Arial" w:cs="Arial"/>
              </w:rPr>
              <w:t>prioritisation</w:t>
            </w:r>
            <w:r w:rsidRPr="00CF7FF3">
              <w:rPr>
                <w:rFonts w:ascii="Arial" w:hAnsi="Arial" w:cs="Arial"/>
              </w:rPr>
              <w:t xml:space="preserve"> and provides </w:t>
            </w:r>
            <w:r w:rsidRPr="00CF7FF3">
              <w:rPr>
                <w:rFonts w:ascii="Arial" w:hAnsi="Arial" w:cs="Arial"/>
                <w:b/>
              </w:rPr>
              <w:t xml:space="preserve">comments </w:t>
            </w:r>
            <w:r w:rsidRPr="00CF7FF3">
              <w:rPr>
                <w:rFonts w:ascii="Arial" w:hAnsi="Arial" w:cs="Arial"/>
              </w:rPr>
              <w:t>back to project team</w:t>
            </w:r>
          </w:p>
        </w:tc>
        <w:tc>
          <w:tcPr>
            <w:tcW w:w="1417" w:type="dxa"/>
          </w:tcPr>
          <w:p w14:paraId="184F0B1A" w14:textId="77777777" w:rsidR="005A4B57" w:rsidRPr="00CF7FF3" w:rsidRDefault="005A4B57" w:rsidP="005A4B57">
            <w:pPr>
              <w:pStyle w:val="BodyText"/>
              <w:rPr>
                <w:rFonts w:ascii="Arial" w:hAnsi="Arial" w:cs="Arial"/>
              </w:rPr>
            </w:pPr>
            <w:r w:rsidRPr="00CF7FF3">
              <w:rPr>
                <w:rFonts w:ascii="Arial" w:hAnsi="Arial" w:cs="Arial"/>
              </w:rPr>
              <w:t>EA project manager</w:t>
            </w:r>
          </w:p>
        </w:tc>
        <w:tc>
          <w:tcPr>
            <w:tcW w:w="1559" w:type="dxa"/>
          </w:tcPr>
          <w:p w14:paraId="2B699B5F" w14:textId="77777777" w:rsidR="005A4B57" w:rsidRPr="00CF7FF3" w:rsidRDefault="005A4B57" w:rsidP="005A4B57">
            <w:pPr>
              <w:pStyle w:val="BodyText"/>
              <w:rPr>
                <w:rFonts w:ascii="Arial" w:hAnsi="Arial" w:cs="Arial"/>
              </w:rPr>
            </w:pPr>
            <w:r w:rsidRPr="00CF7FF3">
              <w:rPr>
                <w:rFonts w:ascii="Arial" w:hAnsi="Arial" w:cs="Arial"/>
              </w:rPr>
              <w:t>Track changes in word document</w:t>
            </w:r>
          </w:p>
        </w:tc>
        <w:tc>
          <w:tcPr>
            <w:tcW w:w="1418" w:type="dxa"/>
          </w:tcPr>
          <w:p w14:paraId="0D7A52D4" w14:textId="25CA56CD" w:rsidR="005A4B57" w:rsidRPr="00CF7FF3" w:rsidRDefault="005A4B57" w:rsidP="005A4B57">
            <w:pPr>
              <w:pStyle w:val="BodyText"/>
              <w:rPr>
                <w:rFonts w:ascii="Arial" w:hAnsi="Arial" w:cs="Arial"/>
              </w:rPr>
            </w:pPr>
            <w:r w:rsidRPr="00CF7FF3">
              <w:rPr>
                <w:rFonts w:ascii="Arial" w:hAnsi="Arial" w:cs="Arial"/>
              </w:rPr>
              <w:t xml:space="preserve">17 </w:t>
            </w:r>
            <w:r>
              <w:rPr>
                <w:rFonts w:ascii="Arial" w:hAnsi="Arial" w:cs="Arial"/>
              </w:rPr>
              <w:t>Dec</w:t>
            </w:r>
            <w:r w:rsidRPr="00CF7FF3">
              <w:rPr>
                <w:rFonts w:ascii="Arial" w:hAnsi="Arial" w:cs="Arial"/>
              </w:rPr>
              <w:t xml:space="preserve"> 2021</w:t>
            </w:r>
          </w:p>
        </w:tc>
      </w:tr>
      <w:tr w:rsidR="00E57E06" w:rsidRPr="00CF7FF3" w14:paraId="29585323" w14:textId="77777777" w:rsidTr="00A6391B">
        <w:trPr>
          <w:trHeight w:val="365"/>
        </w:trPr>
        <w:tc>
          <w:tcPr>
            <w:tcW w:w="795" w:type="dxa"/>
          </w:tcPr>
          <w:p w14:paraId="4EA32A91" w14:textId="39374D46" w:rsidR="00E57E06" w:rsidRDefault="00E57E06" w:rsidP="005A4B57">
            <w:pPr>
              <w:pStyle w:val="BodyText"/>
              <w:rPr>
                <w:rFonts w:ascii="Arial" w:hAnsi="Arial" w:cs="Arial"/>
              </w:rPr>
            </w:pPr>
            <w:r>
              <w:rPr>
                <w:rFonts w:ascii="Arial" w:hAnsi="Arial" w:cs="Arial"/>
              </w:rPr>
              <w:t>5</w:t>
            </w:r>
          </w:p>
        </w:tc>
        <w:tc>
          <w:tcPr>
            <w:tcW w:w="4162" w:type="dxa"/>
          </w:tcPr>
          <w:p w14:paraId="64A4CE1F" w14:textId="1C0E00C2" w:rsidR="00E57E06" w:rsidRPr="00AF6CA3" w:rsidRDefault="00E57E06" w:rsidP="005A4B57">
            <w:pPr>
              <w:contextualSpacing/>
              <w:rPr>
                <w:rFonts w:ascii="Arial" w:hAnsi="Arial" w:cs="Arial"/>
              </w:rPr>
            </w:pPr>
            <w:r>
              <w:rPr>
                <w:rFonts w:ascii="Arial" w:hAnsi="Arial" w:cs="Arial"/>
                <w:b/>
              </w:rPr>
              <w:t>Final prioritisation report</w:t>
            </w:r>
            <w:r>
              <w:rPr>
                <w:rFonts w:ascii="Arial" w:hAnsi="Arial" w:cs="Arial"/>
              </w:rPr>
              <w:t xml:space="preserve"> to EA</w:t>
            </w:r>
          </w:p>
        </w:tc>
        <w:tc>
          <w:tcPr>
            <w:tcW w:w="1417" w:type="dxa"/>
          </w:tcPr>
          <w:p w14:paraId="2184661D" w14:textId="603FDED4" w:rsidR="00E57E06" w:rsidRDefault="00E57E06" w:rsidP="005A4B57">
            <w:pPr>
              <w:pStyle w:val="BodyText"/>
              <w:rPr>
                <w:rFonts w:ascii="Arial" w:hAnsi="Arial" w:cs="Arial"/>
              </w:rPr>
            </w:pPr>
            <w:r>
              <w:rPr>
                <w:rFonts w:ascii="Arial" w:hAnsi="Arial" w:cs="Arial"/>
              </w:rPr>
              <w:t>Supplier</w:t>
            </w:r>
          </w:p>
        </w:tc>
        <w:tc>
          <w:tcPr>
            <w:tcW w:w="1559" w:type="dxa"/>
          </w:tcPr>
          <w:p w14:paraId="6F4E1AC2" w14:textId="0D544861" w:rsidR="00E57E06" w:rsidRPr="00CF7FF3" w:rsidRDefault="00E57E06" w:rsidP="005A4B57">
            <w:pPr>
              <w:pStyle w:val="BodyText"/>
              <w:rPr>
                <w:rFonts w:ascii="Arial" w:hAnsi="Arial" w:cs="Arial"/>
              </w:rPr>
            </w:pPr>
            <w:r>
              <w:rPr>
                <w:rFonts w:ascii="Arial" w:hAnsi="Arial" w:cs="Arial"/>
              </w:rPr>
              <w:t>Word document</w:t>
            </w:r>
          </w:p>
        </w:tc>
        <w:tc>
          <w:tcPr>
            <w:tcW w:w="1418" w:type="dxa"/>
          </w:tcPr>
          <w:p w14:paraId="22657578" w14:textId="75697126" w:rsidR="00E57E06" w:rsidRDefault="00E57E06" w:rsidP="005A4B57">
            <w:pPr>
              <w:pStyle w:val="BodyText"/>
              <w:rPr>
                <w:rFonts w:ascii="Arial" w:hAnsi="Arial" w:cs="Arial"/>
              </w:rPr>
            </w:pPr>
            <w:r>
              <w:rPr>
                <w:rFonts w:ascii="Arial" w:hAnsi="Arial" w:cs="Arial"/>
              </w:rPr>
              <w:t>7 Jan 2022</w:t>
            </w:r>
          </w:p>
        </w:tc>
      </w:tr>
      <w:tr w:rsidR="005A4B57" w:rsidRPr="00CF7FF3" w14:paraId="18B09DF5" w14:textId="77777777" w:rsidTr="00A6391B">
        <w:trPr>
          <w:trHeight w:val="365"/>
        </w:trPr>
        <w:tc>
          <w:tcPr>
            <w:tcW w:w="795" w:type="dxa"/>
          </w:tcPr>
          <w:p w14:paraId="0E6045A9" w14:textId="6926BCAF" w:rsidR="005A4B57" w:rsidRPr="00CF7FF3" w:rsidRDefault="00E57E06" w:rsidP="005A4B57">
            <w:pPr>
              <w:pStyle w:val="BodyText"/>
              <w:rPr>
                <w:rFonts w:ascii="Arial" w:hAnsi="Arial" w:cs="Arial"/>
              </w:rPr>
            </w:pPr>
            <w:r>
              <w:rPr>
                <w:rFonts w:ascii="Arial" w:hAnsi="Arial" w:cs="Arial"/>
              </w:rPr>
              <w:t>6</w:t>
            </w:r>
          </w:p>
        </w:tc>
        <w:tc>
          <w:tcPr>
            <w:tcW w:w="4162" w:type="dxa"/>
          </w:tcPr>
          <w:p w14:paraId="3D8AEE86" w14:textId="77777777" w:rsidR="005A4B57" w:rsidRPr="005A4B57" w:rsidRDefault="005A4B57" w:rsidP="005A4B57">
            <w:pPr>
              <w:contextualSpacing/>
              <w:rPr>
                <w:rFonts w:ascii="Arial" w:hAnsi="Arial" w:cs="Arial"/>
              </w:rPr>
            </w:pPr>
            <w:r>
              <w:rPr>
                <w:rFonts w:ascii="Arial" w:hAnsi="Arial" w:cs="Arial"/>
                <w:b/>
              </w:rPr>
              <w:t xml:space="preserve">Progress meeting </w:t>
            </w:r>
            <w:r w:rsidRPr="005A4B57">
              <w:rPr>
                <w:rFonts w:ascii="Arial" w:hAnsi="Arial" w:cs="Arial"/>
              </w:rPr>
              <w:t>with project team and the EA steering group, confirming:</w:t>
            </w:r>
          </w:p>
          <w:p w14:paraId="6EB27AFE" w14:textId="77777777" w:rsidR="005A4B57" w:rsidRPr="005A4B57" w:rsidRDefault="005A4B57" w:rsidP="005A4B57">
            <w:pPr>
              <w:pStyle w:val="ListParagraph"/>
              <w:numPr>
                <w:ilvl w:val="0"/>
                <w:numId w:val="29"/>
              </w:numPr>
              <w:contextualSpacing/>
              <w:rPr>
                <w:rFonts w:cs="Arial"/>
                <w:sz w:val="20"/>
                <w:szCs w:val="20"/>
              </w:rPr>
            </w:pPr>
            <w:r w:rsidRPr="005A4B57">
              <w:rPr>
                <w:rFonts w:cs="Arial"/>
                <w:sz w:val="20"/>
                <w:szCs w:val="20"/>
              </w:rPr>
              <w:t>Final prioritisation</w:t>
            </w:r>
          </w:p>
          <w:p w14:paraId="1E5D2044" w14:textId="41B35CEF" w:rsidR="005A4B57" w:rsidRPr="005A4B57" w:rsidRDefault="005A4B57" w:rsidP="005A4B57">
            <w:pPr>
              <w:pStyle w:val="ListParagraph"/>
              <w:numPr>
                <w:ilvl w:val="0"/>
                <w:numId w:val="29"/>
              </w:numPr>
              <w:contextualSpacing/>
              <w:rPr>
                <w:rFonts w:cs="Arial"/>
                <w:b/>
              </w:rPr>
            </w:pPr>
            <w:r w:rsidRPr="005A4B57">
              <w:rPr>
                <w:rFonts w:cs="Arial"/>
                <w:sz w:val="20"/>
                <w:szCs w:val="20"/>
              </w:rPr>
              <w:t>Programme for new dossiers</w:t>
            </w:r>
          </w:p>
        </w:tc>
        <w:tc>
          <w:tcPr>
            <w:tcW w:w="1417" w:type="dxa"/>
          </w:tcPr>
          <w:p w14:paraId="75AB8932" w14:textId="6A7B41E6" w:rsidR="005A4B57" w:rsidRPr="00CF7FF3" w:rsidRDefault="005A4B57" w:rsidP="005A4B57">
            <w:pPr>
              <w:pStyle w:val="BodyText"/>
              <w:rPr>
                <w:rFonts w:ascii="Arial" w:hAnsi="Arial" w:cs="Arial"/>
              </w:rPr>
            </w:pPr>
            <w:r>
              <w:rPr>
                <w:rFonts w:ascii="Arial" w:hAnsi="Arial" w:cs="Arial"/>
              </w:rPr>
              <w:t>Supplier</w:t>
            </w:r>
          </w:p>
        </w:tc>
        <w:tc>
          <w:tcPr>
            <w:tcW w:w="1559" w:type="dxa"/>
          </w:tcPr>
          <w:p w14:paraId="50BB41B8" w14:textId="052B95A5" w:rsidR="005A4B57" w:rsidRPr="00CF7FF3" w:rsidRDefault="005A4B57" w:rsidP="005A4B57">
            <w:pPr>
              <w:pStyle w:val="BodyText"/>
              <w:rPr>
                <w:rFonts w:ascii="Arial" w:hAnsi="Arial" w:cs="Arial"/>
              </w:rPr>
            </w:pPr>
            <w:r w:rsidRPr="00CF7FF3">
              <w:rPr>
                <w:rFonts w:ascii="Arial" w:hAnsi="Arial" w:cs="Arial"/>
              </w:rPr>
              <w:t>MS Teams meeting/ Telecon</w:t>
            </w:r>
          </w:p>
        </w:tc>
        <w:tc>
          <w:tcPr>
            <w:tcW w:w="1418" w:type="dxa"/>
          </w:tcPr>
          <w:p w14:paraId="3AD501BE" w14:textId="347B64BA" w:rsidR="005A4B57" w:rsidRPr="00CF7FF3" w:rsidRDefault="005A4B57" w:rsidP="005A4B57">
            <w:pPr>
              <w:pStyle w:val="BodyText"/>
              <w:rPr>
                <w:rFonts w:ascii="Arial" w:hAnsi="Arial" w:cs="Arial"/>
              </w:rPr>
            </w:pPr>
            <w:r>
              <w:rPr>
                <w:rFonts w:ascii="Arial" w:hAnsi="Arial" w:cs="Arial"/>
              </w:rPr>
              <w:t>7 Jan 2022</w:t>
            </w:r>
          </w:p>
        </w:tc>
      </w:tr>
      <w:tr w:rsidR="005A4B57" w:rsidRPr="00CF7FF3" w14:paraId="1122B098" w14:textId="77777777" w:rsidTr="00A6391B">
        <w:trPr>
          <w:trHeight w:val="365"/>
        </w:trPr>
        <w:tc>
          <w:tcPr>
            <w:tcW w:w="795" w:type="dxa"/>
          </w:tcPr>
          <w:p w14:paraId="2666850A" w14:textId="05165630" w:rsidR="005A4B57" w:rsidRPr="00CF7FF3" w:rsidRDefault="00E57E06" w:rsidP="005A4B57">
            <w:pPr>
              <w:pStyle w:val="BodyText"/>
              <w:rPr>
                <w:rFonts w:ascii="Arial" w:hAnsi="Arial" w:cs="Arial"/>
              </w:rPr>
            </w:pPr>
            <w:r>
              <w:rPr>
                <w:rFonts w:ascii="Arial" w:hAnsi="Arial" w:cs="Arial"/>
              </w:rPr>
              <w:t>7</w:t>
            </w:r>
          </w:p>
        </w:tc>
        <w:tc>
          <w:tcPr>
            <w:tcW w:w="4162" w:type="dxa"/>
          </w:tcPr>
          <w:p w14:paraId="460AAAB2" w14:textId="44F518F3" w:rsidR="005A4B57" w:rsidRPr="00CF7FF3" w:rsidRDefault="00E57E06" w:rsidP="005A4B57">
            <w:pPr>
              <w:contextualSpacing/>
              <w:rPr>
                <w:rFonts w:ascii="Arial" w:hAnsi="Arial" w:cs="Arial"/>
                <w:b/>
              </w:rPr>
            </w:pPr>
            <w:r>
              <w:rPr>
                <w:rFonts w:ascii="Arial" w:hAnsi="Arial" w:cs="Arial"/>
                <w:b/>
              </w:rPr>
              <w:t xml:space="preserve">Draft new dossiers </w:t>
            </w:r>
            <w:r w:rsidRPr="00E57E06">
              <w:rPr>
                <w:rFonts w:ascii="Arial" w:hAnsi="Arial" w:cs="Arial"/>
              </w:rPr>
              <w:t>to EA</w:t>
            </w:r>
            <w:r>
              <w:rPr>
                <w:rFonts w:ascii="Arial" w:hAnsi="Arial" w:cs="Arial"/>
              </w:rPr>
              <w:t xml:space="preserve"> (these can be provided in batches but all drafts must be submitted by the task end date)</w:t>
            </w:r>
          </w:p>
        </w:tc>
        <w:tc>
          <w:tcPr>
            <w:tcW w:w="1417" w:type="dxa"/>
          </w:tcPr>
          <w:p w14:paraId="2243553E" w14:textId="77777777" w:rsidR="005A4B57" w:rsidRPr="00CF7FF3" w:rsidRDefault="005A4B57" w:rsidP="005A4B57">
            <w:pPr>
              <w:pStyle w:val="BodyText"/>
              <w:rPr>
                <w:rFonts w:ascii="Arial" w:hAnsi="Arial" w:cs="Arial"/>
              </w:rPr>
            </w:pPr>
            <w:r w:rsidRPr="00CF7FF3">
              <w:rPr>
                <w:rFonts w:ascii="Arial" w:hAnsi="Arial" w:cs="Arial"/>
              </w:rPr>
              <w:t>Supplier</w:t>
            </w:r>
          </w:p>
        </w:tc>
        <w:tc>
          <w:tcPr>
            <w:tcW w:w="1559" w:type="dxa"/>
          </w:tcPr>
          <w:p w14:paraId="0C29F88E" w14:textId="41DC5D15" w:rsidR="005A4B57" w:rsidRPr="00CF7FF3" w:rsidRDefault="005A4B57" w:rsidP="00E57E06">
            <w:pPr>
              <w:pStyle w:val="BodyText"/>
              <w:rPr>
                <w:rFonts w:ascii="Arial" w:hAnsi="Arial" w:cs="Arial"/>
              </w:rPr>
            </w:pPr>
            <w:r w:rsidRPr="00CF7FF3">
              <w:rPr>
                <w:rFonts w:ascii="Arial" w:hAnsi="Arial" w:cs="Arial"/>
              </w:rPr>
              <w:t>Word document</w:t>
            </w:r>
            <w:r w:rsidR="00E57E06">
              <w:rPr>
                <w:rFonts w:ascii="Arial" w:hAnsi="Arial" w:cs="Arial"/>
              </w:rPr>
              <w:t>s</w:t>
            </w:r>
          </w:p>
        </w:tc>
        <w:tc>
          <w:tcPr>
            <w:tcW w:w="1418" w:type="dxa"/>
          </w:tcPr>
          <w:p w14:paraId="41310892" w14:textId="328AD1B0" w:rsidR="005A4B57" w:rsidRPr="00CF7FF3" w:rsidRDefault="00E57E06" w:rsidP="00E57E06">
            <w:pPr>
              <w:pStyle w:val="BodyText"/>
              <w:rPr>
                <w:rFonts w:ascii="Arial" w:hAnsi="Arial" w:cs="Arial"/>
              </w:rPr>
            </w:pPr>
            <w:r>
              <w:rPr>
                <w:rFonts w:ascii="Arial" w:hAnsi="Arial" w:cs="Arial"/>
              </w:rPr>
              <w:t>3</w:t>
            </w:r>
            <w:r w:rsidRPr="00CF7FF3">
              <w:rPr>
                <w:rFonts w:ascii="Arial" w:hAnsi="Arial" w:cs="Arial"/>
              </w:rPr>
              <w:t xml:space="preserve"> </w:t>
            </w:r>
            <w:r w:rsidR="005A4B57" w:rsidRPr="00CF7FF3">
              <w:rPr>
                <w:rFonts w:ascii="Arial" w:hAnsi="Arial" w:cs="Arial"/>
              </w:rPr>
              <w:t xml:space="preserve">Mar </w:t>
            </w:r>
            <w:r w:rsidRPr="00CF7FF3">
              <w:rPr>
                <w:rFonts w:ascii="Arial" w:hAnsi="Arial" w:cs="Arial"/>
              </w:rPr>
              <w:t>202</w:t>
            </w:r>
            <w:r>
              <w:rPr>
                <w:rFonts w:ascii="Arial" w:hAnsi="Arial" w:cs="Arial"/>
              </w:rPr>
              <w:t>2</w:t>
            </w:r>
          </w:p>
        </w:tc>
      </w:tr>
      <w:tr w:rsidR="00E57E06" w:rsidRPr="00CF7FF3" w14:paraId="42A56D9A" w14:textId="77777777" w:rsidTr="00A6391B">
        <w:trPr>
          <w:trHeight w:val="365"/>
        </w:trPr>
        <w:tc>
          <w:tcPr>
            <w:tcW w:w="795" w:type="dxa"/>
          </w:tcPr>
          <w:p w14:paraId="759803B7" w14:textId="487381ED" w:rsidR="00E57E06" w:rsidRPr="00CF7FF3" w:rsidRDefault="00E57E06" w:rsidP="00E57E06">
            <w:pPr>
              <w:pStyle w:val="BodyText"/>
              <w:rPr>
                <w:rFonts w:ascii="Arial" w:hAnsi="Arial" w:cs="Arial"/>
              </w:rPr>
            </w:pPr>
            <w:r>
              <w:rPr>
                <w:rFonts w:ascii="Arial" w:hAnsi="Arial" w:cs="Arial"/>
              </w:rPr>
              <w:t>8</w:t>
            </w:r>
          </w:p>
        </w:tc>
        <w:tc>
          <w:tcPr>
            <w:tcW w:w="4162" w:type="dxa"/>
          </w:tcPr>
          <w:p w14:paraId="63D388ED" w14:textId="2AA5F149" w:rsidR="00E57E06" w:rsidRPr="00CF7FF3" w:rsidRDefault="00E57E06" w:rsidP="00E57E06">
            <w:pPr>
              <w:contextualSpacing/>
              <w:rPr>
                <w:rFonts w:ascii="Arial" w:hAnsi="Arial" w:cs="Arial"/>
                <w:b/>
              </w:rPr>
            </w:pPr>
            <w:r w:rsidRPr="00CF7FF3">
              <w:rPr>
                <w:rFonts w:ascii="Arial" w:hAnsi="Arial" w:cs="Arial"/>
              </w:rPr>
              <w:t xml:space="preserve">EA steering group reviews report and provides </w:t>
            </w:r>
            <w:r w:rsidRPr="00CF7FF3">
              <w:rPr>
                <w:rFonts w:ascii="Arial" w:hAnsi="Arial" w:cs="Arial"/>
                <w:b/>
              </w:rPr>
              <w:t xml:space="preserve">comments </w:t>
            </w:r>
            <w:r w:rsidRPr="00CF7FF3">
              <w:rPr>
                <w:rFonts w:ascii="Arial" w:hAnsi="Arial" w:cs="Arial"/>
              </w:rPr>
              <w:t>back to project team</w:t>
            </w:r>
            <w:r>
              <w:rPr>
                <w:rFonts w:ascii="Arial" w:hAnsi="Arial" w:cs="Arial"/>
              </w:rPr>
              <w:t xml:space="preserve"> (end date based on receipt of final drafts)</w:t>
            </w:r>
          </w:p>
        </w:tc>
        <w:tc>
          <w:tcPr>
            <w:tcW w:w="1417" w:type="dxa"/>
          </w:tcPr>
          <w:p w14:paraId="4538D945" w14:textId="3E91C9F3" w:rsidR="00E57E06" w:rsidRPr="00CF7FF3" w:rsidRDefault="00E57E06" w:rsidP="00E57E06">
            <w:pPr>
              <w:pStyle w:val="BodyText"/>
              <w:rPr>
                <w:rFonts w:ascii="Arial" w:hAnsi="Arial" w:cs="Arial"/>
              </w:rPr>
            </w:pPr>
            <w:r w:rsidRPr="00CF7FF3">
              <w:rPr>
                <w:rFonts w:ascii="Arial" w:hAnsi="Arial" w:cs="Arial"/>
              </w:rPr>
              <w:t>EA project manager</w:t>
            </w:r>
          </w:p>
        </w:tc>
        <w:tc>
          <w:tcPr>
            <w:tcW w:w="1559" w:type="dxa"/>
          </w:tcPr>
          <w:p w14:paraId="30F3F87F" w14:textId="79FD3AA7" w:rsidR="00E57E06" w:rsidRPr="00CF7FF3" w:rsidRDefault="00E57E06" w:rsidP="00E57E06">
            <w:pPr>
              <w:pStyle w:val="BodyText"/>
              <w:rPr>
                <w:rFonts w:ascii="Arial" w:hAnsi="Arial" w:cs="Arial"/>
              </w:rPr>
            </w:pPr>
            <w:r w:rsidRPr="00CF7FF3">
              <w:rPr>
                <w:rFonts w:ascii="Arial" w:hAnsi="Arial" w:cs="Arial"/>
              </w:rPr>
              <w:t>Track changes in word document</w:t>
            </w:r>
          </w:p>
        </w:tc>
        <w:tc>
          <w:tcPr>
            <w:tcW w:w="1418" w:type="dxa"/>
          </w:tcPr>
          <w:p w14:paraId="1A90DE1B" w14:textId="129B0942" w:rsidR="00E57E06" w:rsidRPr="00CF7FF3" w:rsidRDefault="00E57E06" w:rsidP="00E57E06">
            <w:pPr>
              <w:pStyle w:val="BodyText"/>
              <w:rPr>
                <w:rFonts w:ascii="Arial" w:hAnsi="Arial" w:cs="Arial"/>
              </w:rPr>
            </w:pPr>
            <w:r>
              <w:rPr>
                <w:rFonts w:ascii="Arial" w:hAnsi="Arial" w:cs="Arial"/>
              </w:rPr>
              <w:t>17</w:t>
            </w:r>
            <w:r w:rsidRPr="00CF7FF3">
              <w:rPr>
                <w:rFonts w:ascii="Arial" w:hAnsi="Arial" w:cs="Arial"/>
              </w:rPr>
              <w:t xml:space="preserve"> </w:t>
            </w:r>
            <w:r>
              <w:rPr>
                <w:rFonts w:ascii="Arial" w:hAnsi="Arial" w:cs="Arial"/>
              </w:rPr>
              <w:t>Mar</w:t>
            </w:r>
            <w:r w:rsidRPr="00CF7FF3">
              <w:rPr>
                <w:rFonts w:ascii="Arial" w:hAnsi="Arial" w:cs="Arial"/>
              </w:rPr>
              <w:t xml:space="preserve"> 202</w:t>
            </w:r>
            <w:r>
              <w:rPr>
                <w:rFonts w:ascii="Arial" w:hAnsi="Arial" w:cs="Arial"/>
              </w:rPr>
              <w:t>2</w:t>
            </w:r>
          </w:p>
        </w:tc>
      </w:tr>
      <w:tr w:rsidR="00E57E06" w:rsidRPr="00CF7FF3" w14:paraId="0312E43D" w14:textId="77777777" w:rsidTr="00A6391B">
        <w:trPr>
          <w:trHeight w:val="365"/>
        </w:trPr>
        <w:tc>
          <w:tcPr>
            <w:tcW w:w="795" w:type="dxa"/>
          </w:tcPr>
          <w:p w14:paraId="19EBFDD9" w14:textId="5BE96444" w:rsidR="00E57E06" w:rsidRPr="00CF7FF3" w:rsidRDefault="00E57E06" w:rsidP="00E57E06">
            <w:pPr>
              <w:pStyle w:val="BodyText"/>
              <w:rPr>
                <w:rFonts w:ascii="Arial" w:hAnsi="Arial" w:cs="Arial"/>
              </w:rPr>
            </w:pPr>
            <w:r>
              <w:rPr>
                <w:rFonts w:ascii="Arial" w:hAnsi="Arial" w:cs="Arial"/>
              </w:rPr>
              <w:t>9</w:t>
            </w:r>
          </w:p>
        </w:tc>
        <w:tc>
          <w:tcPr>
            <w:tcW w:w="4162" w:type="dxa"/>
          </w:tcPr>
          <w:p w14:paraId="0D762D4D" w14:textId="70EDF8A0" w:rsidR="00E57E06" w:rsidRPr="00CF7FF3" w:rsidRDefault="00E57E06" w:rsidP="00E57E06">
            <w:pPr>
              <w:contextualSpacing/>
              <w:rPr>
                <w:rFonts w:ascii="Arial" w:hAnsi="Arial" w:cs="Arial"/>
                <w:b/>
              </w:rPr>
            </w:pPr>
            <w:r>
              <w:rPr>
                <w:rFonts w:ascii="Arial" w:hAnsi="Arial" w:cs="Arial"/>
                <w:b/>
              </w:rPr>
              <w:t>Final revised dossiers</w:t>
            </w:r>
          </w:p>
        </w:tc>
        <w:tc>
          <w:tcPr>
            <w:tcW w:w="1417" w:type="dxa"/>
          </w:tcPr>
          <w:p w14:paraId="09B490AF" w14:textId="746806DC" w:rsidR="00E57E06" w:rsidRPr="00CF7FF3" w:rsidRDefault="00E57E06" w:rsidP="00E57E06">
            <w:pPr>
              <w:pStyle w:val="BodyText"/>
              <w:rPr>
                <w:rFonts w:ascii="Arial" w:hAnsi="Arial" w:cs="Arial"/>
              </w:rPr>
            </w:pPr>
            <w:r>
              <w:rPr>
                <w:rFonts w:ascii="Arial" w:hAnsi="Arial" w:cs="Arial"/>
              </w:rPr>
              <w:t>Supplier</w:t>
            </w:r>
          </w:p>
        </w:tc>
        <w:tc>
          <w:tcPr>
            <w:tcW w:w="1559" w:type="dxa"/>
          </w:tcPr>
          <w:p w14:paraId="6F1F3568" w14:textId="55DC2620" w:rsidR="00E57E06" w:rsidRPr="00CF7FF3" w:rsidRDefault="00E57E06" w:rsidP="00E57E06">
            <w:pPr>
              <w:pStyle w:val="BodyText"/>
              <w:rPr>
                <w:rFonts w:ascii="Arial" w:hAnsi="Arial" w:cs="Arial"/>
              </w:rPr>
            </w:pPr>
            <w:r>
              <w:rPr>
                <w:rFonts w:ascii="Arial" w:hAnsi="Arial" w:cs="Arial"/>
              </w:rPr>
              <w:t>Word documents</w:t>
            </w:r>
          </w:p>
        </w:tc>
        <w:tc>
          <w:tcPr>
            <w:tcW w:w="1418" w:type="dxa"/>
          </w:tcPr>
          <w:p w14:paraId="1B50BA97" w14:textId="73186BC7" w:rsidR="00E57E06" w:rsidRPr="00CF7FF3" w:rsidRDefault="00E57E06" w:rsidP="00E57E06">
            <w:pPr>
              <w:pStyle w:val="BodyText"/>
              <w:rPr>
                <w:rFonts w:ascii="Arial" w:hAnsi="Arial" w:cs="Arial"/>
              </w:rPr>
            </w:pPr>
            <w:r>
              <w:rPr>
                <w:rFonts w:ascii="Arial" w:hAnsi="Arial" w:cs="Arial"/>
              </w:rPr>
              <w:t>31 Mar 2022</w:t>
            </w:r>
          </w:p>
        </w:tc>
      </w:tr>
    </w:tbl>
    <w:p w14:paraId="5AB4D1DD" w14:textId="77777777" w:rsidR="00725725" w:rsidRPr="00CF7FF3" w:rsidRDefault="00725725" w:rsidP="00E65F5D">
      <w:pPr>
        <w:rPr>
          <w:rFonts w:ascii="Arial" w:hAnsi="Arial" w:cs="Arial"/>
          <w:szCs w:val="22"/>
        </w:rPr>
      </w:pPr>
    </w:p>
    <w:p w14:paraId="65E3F408" w14:textId="77777777" w:rsidR="006739AF" w:rsidRDefault="006739AF" w:rsidP="00E65F5D">
      <w:pPr>
        <w:rPr>
          <w:rFonts w:ascii="Arial" w:hAnsi="Arial" w:cs="Arial"/>
          <w:szCs w:val="22"/>
        </w:rPr>
      </w:pPr>
    </w:p>
    <w:p w14:paraId="60BEE4EB" w14:textId="77777777" w:rsidR="00E57E06" w:rsidRDefault="00E57E06" w:rsidP="00E65F5D">
      <w:pPr>
        <w:rPr>
          <w:rFonts w:ascii="Arial" w:hAnsi="Arial" w:cs="Arial"/>
          <w:szCs w:val="22"/>
        </w:rPr>
      </w:pPr>
    </w:p>
    <w:p w14:paraId="1660F134" w14:textId="77777777" w:rsidR="00E57E06" w:rsidRDefault="00E57E06" w:rsidP="00E65F5D">
      <w:pPr>
        <w:rPr>
          <w:rFonts w:ascii="Arial" w:hAnsi="Arial" w:cs="Arial"/>
          <w:szCs w:val="22"/>
        </w:rPr>
      </w:pPr>
    </w:p>
    <w:p w14:paraId="20120599" w14:textId="77777777" w:rsidR="00E57E06" w:rsidRDefault="00E57E06" w:rsidP="00E65F5D">
      <w:pPr>
        <w:rPr>
          <w:rFonts w:ascii="Arial" w:hAnsi="Arial" w:cs="Arial"/>
          <w:szCs w:val="22"/>
        </w:rPr>
      </w:pPr>
    </w:p>
    <w:p w14:paraId="6E6D90C7" w14:textId="77777777" w:rsidR="00E57E06" w:rsidRPr="00CF7FF3" w:rsidRDefault="00E57E06" w:rsidP="00E65F5D">
      <w:pPr>
        <w:rPr>
          <w:rFonts w:ascii="Arial" w:hAnsi="Arial" w:cs="Arial"/>
          <w:szCs w:val="22"/>
        </w:rPr>
      </w:pPr>
    </w:p>
    <w:p w14:paraId="7515D48F"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14:paraId="6188633D" w14:textId="77777777" w:rsidR="006739AF" w:rsidRPr="00CF7FF3" w:rsidRDefault="006739AF" w:rsidP="00E65F5D">
      <w:pPr>
        <w:rPr>
          <w:rFonts w:ascii="Arial" w:hAnsi="Arial" w:cs="Arial"/>
          <w:szCs w:val="22"/>
        </w:rPr>
      </w:pPr>
    </w:p>
    <w:p w14:paraId="48540D93" w14:textId="54E24FC8"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Technical expertise in</w:t>
      </w:r>
      <w:r w:rsidR="00E57E06">
        <w:rPr>
          <w:rFonts w:cs="Arial"/>
          <w:b w:val="0"/>
          <w:sz w:val="20"/>
          <w:szCs w:val="22"/>
        </w:rPr>
        <w:t xml:space="preserve"> mammalian and human toxicology including critical evaluation of primary open and grey literature on a range of industrial contaminants</w:t>
      </w:r>
      <w:r w:rsidRPr="00CF7FF3">
        <w:rPr>
          <w:rFonts w:cs="Arial"/>
          <w:b w:val="0"/>
          <w:sz w:val="20"/>
          <w:szCs w:val="22"/>
        </w:rPr>
        <w:t>.</w:t>
      </w:r>
    </w:p>
    <w:p w14:paraId="7FFFC71B"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14:paraId="128644BB"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14:paraId="44077F64" w14:textId="77777777" w:rsidR="003014F2" w:rsidRPr="00CF7FF3" w:rsidRDefault="003014F2" w:rsidP="00E65F5D">
      <w:pPr>
        <w:pStyle w:val="BodyText"/>
        <w:spacing w:after="0"/>
        <w:rPr>
          <w:rFonts w:ascii="Arial" w:hAnsi="Arial" w:cs="Arial"/>
          <w:b/>
          <w:szCs w:val="22"/>
          <w:u w:val="single"/>
        </w:rPr>
      </w:pPr>
    </w:p>
    <w:p w14:paraId="6EAF07C7"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BCA3F13" w14:textId="77777777" w:rsidR="00D557F7" w:rsidRPr="00CF7FF3" w:rsidRDefault="00D557F7" w:rsidP="00E65F5D">
      <w:pPr>
        <w:jc w:val="both"/>
        <w:rPr>
          <w:rFonts w:ascii="Arial" w:hAnsi="Arial" w:cs="Arial"/>
          <w:b/>
          <w:szCs w:val="22"/>
          <w:u w:val="single"/>
        </w:rPr>
      </w:pPr>
    </w:p>
    <w:p w14:paraId="28E29764"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17D6A8DA" w14:textId="77777777" w:rsidR="00BC2742" w:rsidRPr="00CF7FF3" w:rsidRDefault="00BC2742" w:rsidP="00E65F5D">
      <w:pPr>
        <w:jc w:val="both"/>
        <w:rPr>
          <w:rFonts w:ascii="Arial" w:hAnsi="Arial" w:cs="Arial"/>
          <w:b/>
          <w:szCs w:val="22"/>
          <w:u w:val="single"/>
        </w:rPr>
      </w:pPr>
    </w:p>
    <w:p w14:paraId="21187EA6" w14:textId="69362625"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E57E06">
        <w:rPr>
          <w:rFonts w:cs="Arial"/>
          <w:sz w:val="20"/>
          <w:szCs w:val="22"/>
        </w:rPr>
        <w:t>Ian Martin</w:t>
      </w:r>
      <w:r w:rsidR="00443776" w:rsidRPr="00CF7FF3">
        <w:rPr>
          <w:rFonts w:cs="Arial"/>
          <w:sz w:val="20"/>
          <w:szCs w:val="22"/>
        </w:rPr>
        <w:t xml:space="preserve">, </w:t>
      </w:r>
      <w:r w:rsidR="00E57E06">
        <w:rPr>
          <w:rFonts w:cs="Arial"/>
          <w:sz w:val="20"/>
          <w:szCs w:val="22"/>
        </w:rPr>
        <w:t>ian.martin</w:t>
      </w:r>
      <w:r w:rsidR="00443776" w:rsidRPr="00CF7FF3">
        <w:rPr>
          <w:rFonts w:cs="Arial"/>
          <w:sz w:val="20"/>
          <w:szCs w:val="22"/>
        </w:rPr>
        <w:t>@environment-agency.gov.uk</w:t>
      </w:r>
    </w:p>
    <w:p w14:paraId="43BF7CC6" w14:textId="77777777" w:rsidR="00FB55C7" w:rsidRPr="00CF7FF3" w:rsidRDefault="00FB55C7" w:rsidP="00E65F5D">
      <w:pPr>
        <w:pStyle w:val="CcList"/>
        <w:rPr>
          <w:rFonts w:cs="Arial"/>
          <w:i/>
          <w:sz w:val="20"/>
          <w:szCs w:val="22"/>
        </w:rPr>
      </w:pPr>
    </w:p>
    <w:p w14:paraId="242282EF"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5B05DDD8" w14:textId="77777777" w:rsidR="00443776" w:rsidRPr="00CF7FF3" w:rsidRDefault="00443776" w:rsidP="00E65F5D">
      <w:pPr>
        <w:rPr>
          <w:rFonts w:ascii="Arial" w:hAnsi="Arial" w:cs="Arial"/>
        </w:rPr>
      </w:pPr>
    </w:p>
    <w:p w14:paraId="0B1C8B34" w14:textId="4381FAF8"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 xml:space="preserve">(monthly or fortnightly) </w:t>
      </w:r>
      <w:r w:rsidR="00BF2021" w:rsidRPr="00CF7FF3">
        <w:rPr>
          <w:rFonts w:ascii="Arial" w:hAnsi="Arial" w:cs="Arial"/>
        </w:rPr>
        <w:t>regarding</w:t>
      </w:r>
      <w:r w:rsidRPr="00CF7FF3">
        <w:rPr>
          <w:rFonts w:ascii="Arial" w:hAnsi="Arial" w:cs="Arial"/>
        </w:rPr>
        <w:t>:</w:t>
      </w:r>
    </w:p>
    <w:p w14:paraId="6114F44C" w14:textId="77777777" w:rsidR="00443776" w:rsidRPr="00CF7FF3" w:rsidRDefault="00443776" w:rsidP="00443776">
      <w:pPr>
        <w:rPr>
          <w:rFonts w:ascii="Arial" w:hAnsi="Arial" w:cs="Arial"/>
        </w:rPr>
      </w:pPr>
    </w:p>
    <w:p w14:paraId="7BED007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4E37D4E8"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4EEFB5E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5D222ECA"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0369ED5A" w14:textId="77777777" w:rsidR="00443776" w:rsidRPr="00CF7FF3" w:rsidRDefault="00443776" w:rsidP="00443776">
      <w:pPr>
        <w:rPr>
          <w:rFonts w:ascii="Arial" w:hAnsi="Arial" w:cs="Arial"/>
        </w:rPr>
      </w:pPr>
    </w:p>
    <w:p w14:paraId="11C353BD" w14:textId="7825AD43"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9A2B10">
        <w:rPr>
          <w:rFonts w:ascii="Arial" w:hAnsi="Arial" w:cs="Arial"/>
        </w:rPr>
        <w:t xml:space="preserve">  This panel will include representation from PHE, who will provide an authoritative and independent peer review of the documents produced.  Working closely with PHE is an essential part of this project.</w:t>
      </w:r>
      <w:r w:rsidRPr="00CF7FF3">
        <w:rPr>
          <w:rFonts w:ascii="Arial" w:hAnsi="Arial" w:cs="Arial"/>
        </w:rPr>
        <w:t xml:space="preserve"> The project advisory group will review </w:t>
      </w:r>
      <w:r w:rsidR="009A2B10">
        <w:rPr>
          <w:rFonts w:ascii="Arial" w:hAnsi="Arial" w:cs="Arial"/>
        </w:rPr>
        <w:t>drafts</w:t>
      </w:r>
      <w:r w:rsidRPr="00CF7FF3">
        <w:rPr>
          <w:rFonts w:ascii="Arial" w:hAnsi="Arial" w:cs="Arial"/>
        </w:rPr>
        <w:t xml:space="preserve"> produced by the contractor, prior to acceptance.  You should ensure that sufficient time is allowed within the project to consult with the project steering group in directing the project. Approximately </w:t>
      </w:r>
      <w:r w:rsidR="009A2B10">
        <w:rPr>
          <w:rFonts w:ascii="Arial" w:hAnsi="Arial" w:cs="Arial"/>
        </w:rPr>
        <w:t>2</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0D703C6D" w14:textId="77777777" w:rsidR="00443776" w:rsidRPr="00CF7FF3" w:rsidRDefault="00443776" w:rsidP="00443776">
      <w:pPr>
        <w:rPr>
          <w:rFonts w:ascii="Arial" w:hAnsi="Arial" w:cs="Arial"/>
        </w:rPr>
      </w:pPr>
    </w:p>
    <w:p w14:paraId="25CACF02" w14:textId="5A1CE535"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w:t>
      </w:r>
      <w:r w:rsidR="009A2B10">
        <w:rPr>
          <w:rFonts w:ascii="Arial" w:hAnsi="Arial" w:cs="Arial"/>
        </w:rPr>
        <w:t xml:space="preserve"> prioritised list of substances and agree the work schedule for the remainder of the project</w:t>
      </w:r>
      <w:r w:rsidRPr="00CF7FF3">
        <w:rPr>
          <w:rFonts w:ascii="Arial" w:hAnsi="Arial" w:cs="Arial"/>
        </w:rPr>
        <w:t>. Other project meetings and any other discussions needed, including project closure, will be conducted where necessary.</w:t>
      </w:r>
    </w:p>
    <w:p w14:paraId="7074360C" w14:textId="77777777" w:rsidR="00443776" w:rsidRPr="00CF7FF3" w:rsidRDefault="00443776" w:rsidP="00443776">
      <w:pPr>
        <w:rPr>
          <w:rFonts w:ascii="Arial" w:hAnsi="Arial" w:cs="Arial"/>
        </w:rPr>
      </w:pPr>
    </w:p>
    <w:p w14:paraId="354A5EA6" w14:textId="77777777"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14:paraId="011DDC8D" w14:textId="77777777" w:rsidR="00A946D1" w:rsidRPr="00CF7FF3" w:rsidRDefault="00A946D1" w:rsidP="00E65F5D">
      <w:pPr>
        <w:rPr>
          <w:rFonts w:ascii="Arial" w:hAnsi="Arial" w:cs="Arial"/>
          <w:szCs w:val="22"/>
        </w:rPr>
      </w:pPr>
    </w:p>
    <w:p w14:paraId="71A2C351"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0C2C002D" w14:textId="77777777" w:rsidR="00443776" w:rsidRPr="00CF7FF3" w:rsidRDefault="00443776" w:rsidP="00E65F5D">
      <w:pPr>
        <w:rPr>
          <w:rFonts w:ascii="Arial" w:hAnsi="Arial" w:cs="Arial"/>
          <w:szCs w:val="22"/>
        </w:rPr>
      </w:pPr>
    </w:p>
    <w:p w14:paraId="0F0F8635" w14:textId="01F53261" w:rsidR="00443776" w:rsidRPr="00CF7FF3" w:rsidRDefault="00443776" w:rsidP="00443776">
      <w:pPr>
        <w:rPr>
          <w:rFonts w:ascii="Arial" w:hAnsi="Arial" w:cs="Arial"/>
        </w:rPr>
      </w:pPr>
      <w:r w:rsidRPr="00CF7FF3">
        <w:rPr>
          <w:rFonts w:ascii="Arial" w:hAnsi="Arial" w:cs="Arial"/>
        </w:rPr>
        <w:t xml:space="preserve">It is proposed that full payment be made on acceptance of the final </w:t>
      </w:r>
      <w:r w:rsidR="009A2B10">
        <w:rPr>
          <w:rFonts w:ascii="Arial" w:hAnsi="Arial" w:cs="Arial"/>
        </w:rPr>
        <w:t>dossiers for new substances at the end of March 2022</w:t>
      </w:r>
      <w:r w:rsidRPr="00CF7FF3">
        <w:rPr>
          <w:rFonts w:ascii="Arial" w:hAnsi="Arial" w:cs="Arial"/>
        </w:rPr>
        <w:t>. Alternative programmes of work and payment schedules will be considered.</w:t>
      </w:r>
    </w:p>
    <w:p w14:paraId="619C5A25" w14:textId="77777777" w:rsidR="006277E6" w:rsidRDefault="006277E6" w:rsidP="00E65F5D">
      <w:pPr>
        <w:rPr>
          <w:rFonts w:ascii="Arial" w:hAnsi="Arial" w:cs="Arial"/>
          <w:szCs w:val="22"/>
        </w:rPr>
      </w:pPr>
    </w:p>
    <w:p w14:paraId="463B34CD"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686583DF" w14:textId="77777777" w:rsidR="006D6FE0" w:rsidRDefault="006D6FE0" w:rsidP="00E65F5D">
      <w:pPr>
        <w:rPr>
          <w:rFonts w:ascii="Arial" w:hAnsi="Arial" w:cs="Arial"/>
          <w:szCs w:val="22"/>
        </w:rPr>
      </w:pPr>
    </w:p>
    <w:p w14:paraId="1980F554" w14:textId="77777777" w:rsidR="006D6FE0" w:rsidRDefault="006D6FE0" w:rsidP="006D6FE0">
      <w:pPr>
        <w:rPr>
          <w:rFonts w:ascii="Arial" w:hAnsi="Arial" w:cs="Arial"/>
          <w:b/>
          <w:bCs/>
        </w:rPr>
      </w:pPr>
      <w:r>
        <w:rPr>
          <w:rFonts w:ascii="Arial" w:hAnsi="Arial" w:cs="Arial"/>
          <w:b/>
          <w:bCs/>
        </w:rPr>
        <w:t xml:space="preserve">Sustainability Considerations </w:t>
      </w:r>
    </w:p>
    <w:p w14:paraId="03505FE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D7BBFDD" w14:textId="77777777" w:rsidR="006D6FE0" w:rsidRDefault="006D6FE0" w:rsidP="006D6FE0">
      <w:pPr>
        <w:rPr>
          <w:rFonts w:ascii="Arial" w:hAnsi="Arial" w:cs="Arial"/>
        </w:rPr>
      </w:pPr>
    </w:p>
    <w:p w14:paraId="4F7C5BC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0DAA222" w14:textId="77777777" w:rsidR="006D6FE0" w:rsidRDefault="006D6FE0" w:rsidP="006D6FE0">
      <w:pPr>
        <w:rPr>
          <w:rFonts w:ascii="Arial" w:hAnsi="Arial" w:cs="Arial"/>
        </w:rPr>
      </w:pPr>
    </w:p>
    <w:p w14:paraId="0E8AEA5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24BD190" w14:textId="5B85F61D"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31B33444"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2E8DBF6"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A4B533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6C55A6D" w14:textId="1A2F5166"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4C2AC676"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00C85EB" w14:textId="77777777" w:rsidR="006D6FE0" w:rsidRDefault="006D6FE0" w:rsidP="006D6FE0">
      <w:pPr>
        <w:rPr>
          <w:rFonts w:ascii="Arial" w:hAnsi="Arial" w:cs="Arial"/>
        </w:rPr>
      </w:pPr>
    </w:p>
    <w:p w14:paraId="1B7A552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F2259C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3DB8E4D" w14:textId="77777777" w:rsidR="006D6FE0" w:rsidRDefault="00AF4714" w:rsidP="006D6FE0">
      <w:pPr>
        <w:rPr>
          <w:rFonts w:ascii="Arial" w:hAnsi="Arial" w:cs="Arial"/>
        </w:rPr>
      </w:pPr>
      <w:hyperlink r:id="rId19" w:history="1">
        <w:r w:rsidR="006D6FE0">
          <w:rPr>
            <w:rStyle w:val="Hyperlink"/>
          </w:rPr>
          <w:t>https://www.gov.uk/government/organisations/environment-agency/about/equality-and-diversity</w:t>
        </w:r>
      </w:hyperlink>
    </w:p>
    <w:p w14:paraId="38EED360" w14:textId="77777777" w:rsidR="006D6FE0" w:rsidRDefault="006D6FE0" w:rsidP="006D6FE0">
      <w:pPr>
        <w:rPr>
          <w:rFonts w:ascii="Arial" w:hAnsi="Arial" w:cs="Arial"/>
        </w:rPr>
      </w:pPr>
    </w:p>
    <w:p w14:paraId="3D2FD494" w14:textId="77777777" w:rsidR="006D6FE0" w:rsidRDefault="006D6FE0" w:rsidP="006D6FE0">
      <w:pPr>
        <w:rPr>
          <w:rFonts w:ascii="Arial" w:hAnsi="Arial" w:cs="Arial"/>
          <w:b/>
          <w:bCs/>
        </w:rPr>
      </w:pPr>
      <w:r>
        <w:rPr>
          <w:rFonts w:ascii="Arial" w:hAnsi="Arial" w:cs="Arial"/>
          <w:b/>
          <w:bCs/>
        </w:rPr>
        <w:t xml:space="preserve">Health and Safety </w:t>
      </w:r>
    </w:p>
    <w:p w14:paraId="6EFB0F4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085E4A5" w14:textId="77777777" w:rsidR="006D6FE0" w:rsidRDefault="006D6FE0" w:rsidP="006D6FE0">
      <w:pPr>
        <w:rPr>
          <w:rFonts w:ascii="Arial" w:hAnsi="Arial" w:cs="Arial"/>
          <w:color w:val="000000"/>
        </w:rPr>
      </w:pPr>
    </w:p>
    <w:p w14:paraId="1BA15D4B" w14:textId="77777777" w:rsidR="006D6FE0" w:rsidRDefault="006D6FE0" w:rsidP="006D6FE0">
      <w:pPr>
        <w:rPr>
          <w:rFonts w:ascii="Arial" w:hAnsi="Arial" w:cs="Arial"/>
          <w:color w:val="000000"/>
        </w:rPr>
      </w:pPr>
    </w:p>
    <w:p w14:paraId="1884C770"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8E3C837" w14:textId="77777777" w:rsidR="006D6FE0" w:rsidRDefault="006D6FE0" w:rsidP="006D6FE0">
      <w:pPr>
        <w:rPr>
          <w:rFonts w:ascii="Arial" w:hAnsi="Arial" w:cs="Arial"/>
          <w:color w:val="000000"/>
        </w:rPr>
      </w:pPr>
    </w:p>
    <w:p w14:paraId="1584A61F"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1CE5B952" w14:textId="77777777" w:rsidR="006D6FE0" w:rsidRDefault="006D6FE0" w:rsidP="006D6FE0">
      <w:pPr>
        <w:rPr>
          <w:rFonts w:ascii="Arial" w:eastAsia="Calibri" w:hAnsi="Arial" w:cs="Arial"/>
          <w:b/>
          <w:bCs/>
        </w:rPr>
      </w:pPr>
    </w:p>
    <w:p w14:paraId="3403524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E779526" w14:textId="77777777" w:rsidR="006D6FE0" w:rsidRDefault="006D6FE0" w:rsidP="006D6FE0">
      <w:pPr>
        <w:rPr>
          <w:rFonts w:ascii="Arial" w:hAnsi="Arial" w:cs="Arial"/>
        </w:rPr>
      </w:pPr>
    </w:p>
    <w:p w14:paraId="4CA1D794" w14:textId="77777777" w:rsidR="006D6FE0" w:rsidRDefault="006D6FE0" w:rsidP="006D6FE0">
      <w:pPr>
        <w:rPr>
          <w:rFonts w:ascii="Arial" w:hAnsi="Arial" w:cs="Arial"/>
          <w:b/>
          <w:bCs/>
        </w:rPr>
      </w:pPr>
      <w:r>
        <w:rPr>
          <w:rFonts w:ascii="Arial" w:hAnsi="Arial" w:cs="Arial"/>
          <w:b/>
          <w:bCs/>
        </w:rPr>
        <w:t xml:space="preserve">Supply chain </w:t>
      </w:r>
    </w:p>
    <w:p w14:paraId="77D81D82" w14:textId="77777777" w:rsidR="006D6FE0" w:rsidRDefault="006D6FE0" w:rsidP="006D6FE0">
      <w:pPr>
        <w:rPr>
          <w:rFonts w:ascii="Arial" w:hAnsi="Arial" w:cs="Arial"/>
        </w:rPr>
      </w:pPr>
    </w:p>
    <w:p w14:paraId="38F0EEC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E050729" w14:textId="77777777" w:rsidR="006D6FE0" w:rsidRDefault="006D6FE0" w:rsidP="006D6FE0">
      <w:pPr>
        <w:rPr>
          <w:rFonts w:ascii="Arial" w:hAnsi="Arial" w:cs="Arial"/>
        </w:rPr>
      </w:pPr>
    </w:p>
    <w:p w14:paraId="71F07294"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688AEF" w14:textId="77777777" w:rsidR="006D6FE0" w:rsidRDefault="006D6FE0" w:rsidP="006D6FE0">
      <w:pPr>
        <w:rPr>
          <w:rFonts w:ascii="Arial" w:hAnsi="Arial" w:cs="Arial"/>
        </w:rPr>
      </w:pPr>
    </w:p>
    <w:p w14:paraId="35A6AD5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654DD7D"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0C1DA0E" w14:textId="77777777" w:rsidR="006D6FE0" w:rsidRPr="00A946D1" w:rsidRDefault="006D6FE0" w:rsidP="00E65F5D">
      <w:pPr>
        <w:rPr>
          <w:rFonts w:ascii="Arial" w:hAnsi="Arial" w:cs="Arial"/>
          <w:szCs w:val="22"/>
        </w:rPr>
      </w:pPr>
    </w:p>
    <w:p w14:paraId="77D71629" w14:textId="77777777" w:rsidR="00491B79" w:rsidRPr="0093723A" w:rsidRDefault="00491B79" w:rsidP="00E65F5D">
      <w:pPr>
        <w:pStyle w:val="BodyText"/>
        <w:spacing w:after="0"/>
        <w:jc w:val="both"/>
        <w:rPr>
          <w:rFonts w:ascii="Arial" w:hAnsi="Arial" w:cs="Arial"/>
          <w:szCs w:val="22"/>
        </w:rPr>
      </w:pPr>
    </w:p>
    <w:p w14:paraId="117A234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15A70793" w14:textId="77777777" w:rsidR="005700D8" w:rsidRPr="0093723A" w:rsidRDefault="005700D8" w:rsidP="00E65F5D">
      <w:pPr>
        <w:pStyle w:val="Heading2"/>
        <w:numPr>
          <w:ilvl w:val="0"/>
          <w:numId w:val="0"/>
        </w:numPr>
        <w:tabs>
          <w:tab w:val="left" w:pos="426"/>
        </w:tabs>
        <w:rPr>
          <w:rFonts w:cs="Arial"/>
          <w:sz w:val="20"/>
          <w:szCs w:val="22"/>
        </w:rPr>
      </w:pPr>
    </w:p>
    <w:p w14:paraId="43DA442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7757D63" w14:textId="77777777" w:rsidR="005700D8" w:rsidRPr="0093723A" w:rsidRDefault="005700D8" w:rsidP="00E65F5D">
      <w:pPr>
        <w:pStyle w:val="Heading3"/>
        <w:numPr>
          <w:ilvl w:val="0"/>
          <w:numId w:val="0"/>
        </w:numPr>
        <w:rPr>
          <w:rFonts w:ascii="Arial" w:hAnsi="Arial" w:cs="Arial"/>
          <w:sz w:val="20"/>
          <w:szCs w:val="22"/>
        </w:rPr>
      </w:pPr>
    </w:p>
    <w:p w14:paraId="6158040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8A02C56" w14:textId="77777777" w:rsidR="005700D8" w:rsidRPr="0093723A" w:rsidRDefault="005700D8" w:rsidP="00E65F5D">
      <w:pPr>
        <w:ind w:right="-1"/>
        <w:jc w:val="both"/>
        <w:rPr>
          <w:rFonts w:ascii="Arial" w:hAnsi="Arial" w:cs="Arial"/>
          <w:szCs w:val="22"/>
        </w:rPr>
      </w:pPr>
    </w:p>
    <w:p w14:paraId="03D188E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87DDF76" w14:textId="77777777" w:rsidR="007931F6" w:rsidRPr="0093723A" w:rsidRDefault="007931F6" w:rsidP="00E65F5D">
      <w:pPr>
        <w:pStyle w:val="Heading3"/>
        <w:numPr>
          <w:ilvl w:val="0"/>
          <w:numId w:val="0"/>
        </w:numPr>
        <w:rPr>
          <w:rFonts w:ascii="Arial" w:hAnsi="Arial" w:cs="Arial"/>
          <w:sz w:val="20"/>
          <w:szCs w:val="22"/>
        </w:rPr>
      </w:pPr>
    </w:p>
    <w:p w14:paraId="2FF267A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17FCEA3" w14:textId="77777777" w:rsidR="005700D8" w:rsidRPr="0093723A" w:rsidRDefault="005700D8" w:rsidP="00E65F5D">
      <w:pPr>
        <w:ind w:right="-1"/>
        <w:jc w:val="both"/>
        <w:rPr>
          <w:rFonts w:ascii="Arial" w:hAnsi="Arial" w:cs="Arial"/>
          <w:szCs w:val="22"/>
        </w:rPr>
      </w:pPr>
    </w:p>
    <w:p w14:paraId="1F26E995"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2DBAC9B" w14:textId="77777777" w:rsidR="005700D8" w:rsidRPr="0093723A" w:rsidRDefault="005700D8" w:rsidP="00E65F5D">
      <w:pPr>
        <w:ind w:right="-1"/>
        <w:jc w:val="both"/>
        <w:rPr>
          <w:rFonts w:ascii="Arial" w:hAnsi="Arial" w:cs="Arial"/>
          <w:szCs w:val="22"/>
        </w:rPr>
      </w:pPr>
    </w:p>
    <w:p w14:paraId="3079937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31BBDB9" w14:textId="77777777" w:rsidR="005700D8" w:rsidRPr="0093723A" w:rsidRDefault="005700D8" w:rsidP="00E65F5D">
      <w:pPr>
        <w:ind w:right="-1"/>
        <w:jc w:val="both"/>
        <w:rPr>
          <w:rFonts w:ascii="Arial" w:hAnsi="Arial" w:cs="Arial"/>
          <w:szCs w:val="22"/>
        </w:rPr>
      </w:pPr>
    </w:p>
    <w:p w14:paraId="1A4A30D9"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B40AD54" w14:textId="77777777" w:rsidR="00702558" w:rsidRPr="0093723A" w:rsidRDefault="00702558" w:rsidP="00E65F5D">
      <w:pPr>
        <w:ind w:right="-1"/>
        <w:jc w:val="both"/>
        <w:rPr>
          <w:rFonts w:ascii="Arial" w:hAnsi="Arial" w:cs="Arial"/>
          <w:szCs w:val="22"/>
        </w:rPr>
      </w:pPr>
    </w:p>
    <w:p w14:paraId="6B4647B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239BC94" w14:textId="77777777" w:rsidR="00702558" w:rsidRPr="0093723A" w:rsidRDefault="00702558" w:rsidP="00E65F5D">
      <w:pPr>
        <w:rPr>
          <w:rFonts w:ascii="Arial" w:hAnsi="Arial" w:cs="Arial"/>
          <w:szCs w:val="22"/>
        </w:rPr>
      </w:pPr>
    </w:p>
    <w:p w14:paraId="7C043AB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94DDDEB" w14:textId="77777777" w:rsidR="00FB55C7" w:rsidRPr="0093723A" w:rsidRDefault="00FB55C7" w:rsidP="00E65F5D">
      <w:pPr>
        <w:pStyle w:val="Heading2"/>
        <w:numPr>
          <w:ilvl w:val="0"/>
          <w:numId w:val="0"/>
        </w:numPr>
        <w:rPr>
          <w:rFonts w:cs="Arial"/>
        </w:rPr>
      </w:pPr>
    </w:p>
    <w:p w14:paraId="4B4763F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CD24A7B" w14:textId="77777777" w:rsidR="005700D8" w:rsidRPr="0093723A" w:rsidRDefault="005700D8" w:rsidP="00E65F5D">
      <w:pPr>
        <w:jc w:val="both"/>
        <w:rPr>
          <w:rFonts w:ascii="Arial" w:hAnsi="Arial" w:cs="Arial"/>
          <w:szCs w:val="22"/>
        </w:rPr>
      </w:pPr>
    </w:p>
    <w:p w14:paraId="7A80050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C4EE904" w14:textId="77777777" w:rsidR="005700D8" w:rsidRPr="0093723A" w:rsidRDefault="005700D8" w:rsidP="00E65F5D">
      <w:pPr>
        <w:jc w:val="both"/>
        <w:rPr>
          <w:rFonts w:ascii="Arial" w:hAnsi="Arial" w:cs="Arial"/>
          <w:szCs w:val="22"/>
        </w:rPr>
      </w:pPr>
    </w:p>
    <w:p w14:paraId="1A4E0CE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F51DA93" w14:textId="77777777" w:rsidR="005700D8" w:rsidRPr="0093723A" w:rsidRDefault="005700D8" w:rsidP="00E65F5D">
      <w:pPr>
        <w:jc w:val="both"/>
        <w:rPr>
          <w:rFonts w:ascii="Arial" w:hAnsi="Arial" w:cs="Arial"/>
          <w:szCs w:val="22"/>
        </w:rPr>
      </w:pPr>
    </w:p>
    <w:p w14:paraId="423B1F6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12FAE3E" w14:textId="77777777" w:rsidR="00AC670A" w:rsidRPr="0093723A" w:rsidRDefault="00AC670A" w:rsidP="00E65F5D">
      <w:pPr>
        <w:rPr>
          <w:rFonts w:ascii="Arial" w:hAnsi="Arial" w:cs="Arial"/>
          <w:szCs w:val="22"/>
        </w:rPr>
      </w:pPr>
    </w:p>
    <w:p w14:paraId="4D3C70D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C1CCBC" w14:textId="77777777" w:rsidR="005700D8" w:rsidRPr="0093723A" w:rsidRDefault="005700D8" w:rsidP="00E65F5D">
      <w:pPr>
        <w:pStyle w:val="Header"/>
        <w:tabs>
          <w:tab w:val="clear" w:pos="4153"/>
          <w:tab w:val="clear" w:pos="8306"/>
        </w:tabs>
        <w:rPr>
          <w:rFonts w:ascii="Arial" w:hAnsi="Arial" w:cs="Arial"/>
          <w:szCs w:val="22"/>
        </w:rPr>
      </w:pPr>
    </w:p>
    <w:p w14:paraId="7FD81FF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14F0E24" w14:textId="77777777" w:rsidR="005700D8" w:rsidRPr="0093723A" w:rsidRDefault="005700D8" w:rsidP="00E65F5D">
      <w:pPr>
        <w:jc w:val="both"/>
        <w:rPr>
          <w:rFonts w:ascii="Arial" w:hAnsi="Arial" w:cs="Arial"/>
          <w:szCs w:val="22"/>
        </w:rPr>
      </w:pPr>
    </w:p>
    <w:p w14:paraId="70DE329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7480847" w14:textId="77777777" w:rsidR="005700D8" w:rsidRPr="0093723A" w:rsidRDefault="005700D8" w:rsidP="00E65F5D">
      <w:pPr>
        <w:pStyle w:val="Header"/>
        <w:tabs>
          <w:tab w:val="clear" w:pos="4153"/>
          <w:tab w:val="clear" w:pos="8306"/>
        </w:tabs>
        <w:rPr>
          <w:rFonts w:ascii="Arial" w:hAnsi="Arial" w:cs="Arial"/>
          <w:szCs w:val="22"/>
        </w:rPr>
      </w:pPr>
    </w:p>
    <w:p w14:paraId="4172467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805FF52" w14:textId="77777777" w:rsidR="00A946D1" w:rsidRDefault="00A946D1" w:rsidP="00E65F5D">
      <w:pPr>
        <w:pStyle w:val="AgencyStdParagraph"/>
        <w:widowControl/>
        <w:rPr>
          <w:rFonts w:ascii="Arial" w:hAnsi="Arial" w:cs="Arial"/>
          <w:sz w:val="20"/>
          <w:szCs w:val="22"/>
        </w:rPr>
      </w:pPr>
    </w:p>
    <w:p w14:paraId="7920E08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D537369" w14:textId="77777777" w:rsidR="001F22CB" w:rsidRDefault="001F22CB" w:rsidP="00E65F5D">
      <w:pPr>
        <w:pStyle w:val="AgencyStdParagraph"/>
        <w:widowControl/>
        <w:rPr>
          <w:rFonts w:ascii="Arial" w:hAnsi="Arial" w:cs="Arial"/>
          <w:sz w:val="20"/>
          <w:szCs w:val="22"/>
        </w:rPr>
      </w:pPr>
    </w:p>
    <w:p w14:paraId="057F7C7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6D64AFB" w14:textId="77777777" w:rsidR="005700D8" w:rsidRPr="0093723A" w:rsidRDefault="005700D8" w:rsidP="00E65F5D">
      <w:pPr>
        <w:pStyle w:val="Header"/>
        <w:tabs>
          <w:tab w:val="clear" w:pos="4153"/>
          <w:tab w:val="clear" w:pos="8306"/>
        </w:tabs>
        <w:jc w:val="both"/>
        <w:rPr>
          <w:rFonts w:ascii="Arial" w:hAnsi="Arial" w:cs="Arial"/>
          <w:szCs w:val="22"/>
        </w:rPr>
      </w:pPr>
    </w:p>
    <w:p w14:paraId="660734A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D7CEB9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C66439C" w14:textId="77777777" w:rsidR="005700D8" w:rsidRPr="0093723A" w:rsidRDefault="005700D8" w:rsidP="00E65F5D">
      <w:pPr>
        <w:rPr>
          <w:rFonts w:ascii="Arial" w:hAnsi="Arial" w:cs="Arial"/>
          <w:szCs w:val="22"/>
        </w:rPr>
      </w:pPr>
    </w:p>
    <w:p w14:paraId="7A3CB65F"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62D60B6" w14:textId="77777777" w:rsidR="005700D8" w:rsidRPr="0093723A" w:rsidRDefault="005700D8" w:rsidP="00E65F5D">
      <w:pPr>
        <w:jc w:val="both"/>
        <w:rPr>
          <w:rFonts w:ascii="Arial" w:hAnsi="Arial" w:cs="Arial"/>
          <w:szCs w:val="22"/>
        </w:rPr>
      </w:pPr>
    </w:p>
    <w:p w14:paraId="15E3E5E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2F6D8AE" w14:textId="77777777" w:rsidR="005700D8" w:rsidRPr="0093723A" w:rsidRDefault="005700D8" w:rsidP="00E65F5D">
      <w:pPr>
        <w:jc w:val="both"/>
        <w:rPr>
          <w:rFonts w:ascii="Arial" w:hAnsi="Arial" w:cs="Arial"/>
          <w:szCs w:val="22"/>
        </w:rPr>
      </w:pPr>
    </w:p>
    <w:p w14:paraId="32E3734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ACA9CD2" w14:textId="77777777" w:rsidR="005700D8" w:rsidRPr="0093723A" w:rsidRDefault="005700D8" w:rsidP="00E65F5D">
      <w:pPr>
        <w:jc w:val="both"/>
        <w:rPr>
          <w:rFonts w:ascii="Arial" w:hAnsi="Arial" w:cs="Arial"/>
          <w:szCs w:val="22"/>
        </w:rPr>
      </w:pPr>
    </w:p>
    <w:p w14:paraId="29EF144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3EAE361" w14:textId="77777777" w:rsidR="005700D8" w:rsidRPr="0093723A" w:rsidRDefault="005700D8" w:rsidP="00E65F5D">
      <w:pPr>
        <w:pStyle w:val="AgencyStdParagraph"/>
        <w:widowControl/>
        <w:rPr>
          <w:rFonts w:ascii="Arial" w:hAnsi="Arial" w:cs="Arial"/>
          <w:sz w:val="20"/>
          <w:szCs w:val="22"/>
        </w:rPr>
      </w:pPr>
    </w:p>
    <w:p w14:paraId="7521E16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FD1B644" w14:textId="77777777" w:rsidR="005700D8" w:rsidRPr="0093723A" w:rsidRDefault="005700D8" w:rsidP="00E65F5D">
      <w:pPr>
        <w:jc w:val="both"/>
        <w:rPr>
          <w:rFonts w:ascii="Arial" w:hAnsi="Arial" w:cs="Arial"/>
          <w:szCs w:val="22"/>
        </w:rPr>
      </w:pPr>
    </w:p>
    <w:p w14:paraId="1B4A13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3E8D1DE" w14:textId="77777777" w:rsidR="005700D8" w:rsidRPr="0093723A" w:rsidRDefault="005700D8" w:rsidP="00E65F5D">
      <w:pPr>
        <w:jc w:val="both"/>
        <w:rPr>
          <w:rFonts w:ascii="Arial" w:hAnsi="Arial" w:cs="Arial"/>
          <w:szCs w:val="22"/>
        </w:rPr>
      </w:pPr>
    </w:p>
    <w:p w14:paraId="15C7D73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E97265A" w14:textId="77777777" w:rsidR="005700D8" w:rsidRPr="0093723A" w:rsidRDefault="005700D8" w:rsidP="00E65F5D">
      <w:pPr>
        <w:jc w:val="both"/>
        <w:rPr>
          <w:rFonts w:ascii="Arial" w:hAnsi="Arial" w:cs="Arial"/>
          <w:szCs w:val="22"/>
        </w:rPr>
      </w:pPr>
    </w:p>
    <w:p w14:paraId="77A7235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2036F82" w14:textId="77777777" w:rsidR="005700D8" w:rsidRPr="0093723A" w:rsidRDefault="00103932" w:rsidP="00103932">
      <w:pPr>
        <w:jc w:val="both"/>
        <w:rPr>
          <w:rFonts w:ascii="Arial" w:hAnsi="Arial" w:cs="Arial"/>
          <w:szCs w:val="22"/>
        </w:rPr>
      </w:pPr>
      <w:r>
        <w:rPr>
          <w:rFonts w:ascii="Arial" w:hAnsi="Arial" w:cs="Arial"/>
          <w:szCs w:val="22"/>
        </w:rPr>
        <w:br w:type="page"/>
      </w:r>
    </w:p>
    <w:p w14:paraId="38D9C357"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1527B6C7" w14:textId="77777777" w:rsidR="002F4C87" w:rsidRPr="0093723A" w:rsidRDefault="002F4C87" w:rsidP="002F4C87">
      <w:pPr>
        <w:rPr>
          <w:rFonts w:ascii="Arial" w:hAnsi="Arial" w:cs="Arial"/>
          <w:szCs w:val="22"/>
        </w:rPr>
      </w:pPr>
    </w:p>
    <w:p w14:paraId="2F9B9F6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2D8E1E" w14:textId="77777777" w:rsidR="00F90369" w:rsidRDefault="002F4C87" w:rsidP="002F4C87">
      <w:pPr>
        <w:pStyle w:val="BodyText"/>
        <w:spacing w:after="0"/>
        <w:rPr>
          <w:rFonts w:ascii="Arial" w:hAnsi="Arial" w:cs="Arial"/>
          <w:szCs w:val="22"/>
        </w:rPr>
      </w:pPr>
      <w:r w:rsidRPr="0093723A">
        <w:rPr>
          <w:rFonts w:ascii="Arial" w:hAnsi="Arial" w:cs="Arial"/>
          <w:szCs w:val="22"/>
        </w:rPr>
        <w:t>All costs must be quoted on this schedule. Any costs not detailed will not be paid.</w:t>
      </w:r>
    </w:p>
    <w:p w14:paraId="3352A8B4" w14:textId="77777777" w:rsidR="00F90369" w:rsidRDefault="00F90369" w:rsidP="002F4C87">
      <w:pPr>
        <w:pStyle w:val="BodyText"/>
        <w:spacing w:after="0"/>
        <w:rPr>
          <w:rFonts w:ascii="Arial" w:hAnsi="Arial" w:cs="Arial"/>
          <w:szCs w:val="22"/>
        </w:rPr>
      </w:pPr>
    </w:p>
    <w:p w14:paraId="003FD5BE" w14:textId="1A353A5A" w:rsidR="002F4C87" w:rsidRPr="0093723A" w:rsidRDefault="00F90369" w:rsidP="002F4C87">
      <w:pPr>
        <w:pStyle w:val="BodyText"/>
        <w:spacing w:after="0"/>
        <w:rPr>
          <w:rFonts w:ascii="Arial" w:hAnsi="Arial" w:cs="Arial"/>
          <w:szCs w:val="22"/>
        </w:rPr>
      </w:pPr>
      <w:r>
        <w:rPr>
          <w:rFonts w:ascii="Arial" w:hAnsi="Arial" w:cs="Arial"/>
          <w:szCs w:val="22"/>
        </w:rPr>
        <w:t>Task 7 is for the provision of new dossiers for an undefined number of substances.</w:t>
      </w:r>
      <w:r w:rsidR="00094C8A">
        <w:rPr>
          <w:rFonts w:ascii="Arial" w:hAnsi="Arial" w:cs="Arial"/>
          <w:szCs w:val="22"/>
        </w:rPr>
        <w:t xml:space="preserve">  You should provide a day rate for all staff that may work on a dossier.  </w:t>
      </w:r>
      <w:r>
        <w:rPr>
          <w:rFonts w:ascii="Arial" w:hAnsi="Arial" w:cs="Arial"/>
          <w:szCs w:val="22"/>
        </w:rPr>
        <w:t xml:space="preserve">You should provide sufficient information </w:t>
      </w:r>
      <w:r w:rsidR="00094C8A">
        <w:rPr>
          <w:rFonts w:ascii="Arial" w:hAnsi="Arial" w:cs="Arial"/>
          <w:szCs w:val="22"/>
        </w:rPr>
        <w:t xml:space="preserve">to enable us to make a </w:t>
      </w:r>
      <w:r>
        <w:rPr>
          <w:rFonts w:ascii="Arial" w:hAnsi="Arial" w:cs="Arial"/>
          <w:szCs w:val="22"/>
        </w:rPr>
        <w:t xml:space="preserve">comparison of indicative costs for this item on </w:t>
      </w:r>
      <w:r w:rsidR="002D4250">
        <w:rPr>
          <w:rFonts w:ascii="Arial" w:hAnsi="Arial" w:cs="Arial"/>
          <w:szCs w:val="22"/>
        </w:rPr>
        <w:t xml:space="preserve">a time and materials basis </w:t>
      </w:r>
      <w:r w:rsidR="00094C8A">
        <w:rPr>
          <w:rFonts w:ascii="Arial" w:hAnsi="Arial" w:cs="Arial"/>
          <w:szCs w:val="22"/>
        </w:rPr>
        <w:t>for a simple dossier (for example, monoethanolamine) and a potentially more complicated dossier (for example, selenium, copper or zinc oxide).</w:t>
      </w:r>
      <w:r>
        <w:rPr>
          <w:rFonts w:ascii="Arial" w:hAnsi="Arial" w:cs="Arial"/>
          <w:szCs w:val="22"/>
        </w:rPr>
        <w:t xml:space="preserve"> </w:t>
      </w:r>
      <w:r w:rsidR="002F4C87" w:rsidRPr="0093723A">
        <w:rPr>
          <w:rFonts w:ascii="Arial" w:hAnsi="Arial" w:cs="Arial"/>
          <w:szCs w:val="22"/>
        </w:rPr>
        <w:t xml:space="preserve"> </w:t>
      </w:r>
    </w:p>
    <w:p w14:paraId="2BF795E5" w14:textId="77777777" w:rsidR="002F4C87" w:rsidRPr="0093723A" w:rsidRDefault="002F4C87" w:rsidP="002F4C87">
      <w:pPr>
        <w:pStyle w:val="BodyText"/>
        <w:spacing w:after="0"/>
        <w:rPr>
          <w:rFonts w:ascii="Arial" w:hAnsi="Arial" w:cs="Arial"/>
          <w:szCs w:val="22"/>
        </w:rPr>
      </w:pPr>
    </w:p>
    <w:p w14:paraId="543E2AB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6FF88883"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A8AF88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C99FCFB"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50A01E35"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06D60F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F2D71E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3D771E5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DD368F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526D92A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7BA19C8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9B3B5A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E4D0F8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588C0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9018D96"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A520F3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1FF4D4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A453D7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D54DF4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C072CE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07CDB2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91E18B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2A690E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B129E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44EDCE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659552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0F0A6E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B400B8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03069CC0"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FB82467"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566CC46C"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6C25239E"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7D44BC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77DEF4A"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5B851F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B2DCF7E" w14:textId="77777777" w:rsidR="002F4C87" w:rsidRPr="0093723A" w:rsidRDefault="002F4C87" w:rsidP="002F4C87">
            <w:pPr>
              <w:rPr>
                <w:rFonts w:ascii="Arial" w:hAnsi="Arial" w:cs="Arial"/>
                <w:snapToGrid w:val="0"/>
                <w:color w:val="000000"/>
                <w:sz w:val="18"/>
                <w:lang w:eastAsia="en-US"/>
              </w:rPr>
            </w:pPr>
          </w:p>
        </w:tc>
      </w:tr>
      <w:tr w:rsidR="002F4C87" w:rsidRPr="0093723A" w14:paraId="53235E7E"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551AD8B"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397B8829"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04AA6F8"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0EECDA33"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F7B8283" w14:textId="77777777" w:rsidR="002F4C87" w:rsidRPr="0093723A" w:rsidRDefault="002F4C87" w:rsidP="002F4C87">
            <w:pPr>
              <w:jc w:val="right"/>
              <w:rPr>
                <w:rFonts w:ascii="Arial" w:hAnsi="Arial" w:cs="Arial"/>
                <w:snapToGrid w:val="0"/>
                <w:color w:val="000000"/>
                <w:sz w:val="18"/>
                <w:lang w:eastAsia="en-US"/>
              </w:rPr>
            </w:pPr>
          </w:p>
        </w:tc>
      </w:tr>
    </w:tbl>
    <w:p w14:paraId="3AF44798" w14:textId="77777777" w:rsidR="007C5BBB" w:rsidRPr="007C5BBB" w:rsidRDefault="007C5BBB" w:rsidP="002F4C87">
      <w:pPr>
        <w:pStyle w:val="BodyText"/>
        <w:spacing w:after="0"/>
        <w:rPr>
          <w:rFonts w:ascii="Arial" w:hAnsi="Arial" w:cs="Arial"/>
          <w:b/>
          <w:color w:val="FF0000"/>
          <w:spacing w:val="-3"/>
          <w:szCs w:val="22"/>
        </w:rPr>
      </w:pPr>
    </w:p>
    <w:p w14:paraId="486B6158" w14:textId="77777777" w:rsidR="007C5BBB" w:rsidRPr="0093723A" w:rsidRDefault="007C5BBB" w:rsidP="002F4C87">
      <w:pPr>
        <w:pStyle w:val="BodyText"/>
        <w:spacing w:after="0"/>
        <w:rPr>
          <w:rFonts w:ascii="Arial" w:hAnsi="Arial" w:cs="Arial"/>
          <w:spacing w:val="-3"/>
          <w:szCs w:val="22"/>
        </w:rPr>
      </w:pPr>
    </w:p>
    <w:p w14:paraId="5A823F9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51CF514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96E42E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31904C4"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609422E" w14:textId="77777777" w:rsidR="002F4C87" w:rsidRPr="0093723A" w:rsidRDefault="002F4C87" w:rsidP="002F4C87">
            <w:pPr>
              <w:spacing w:line="120" w:lineRule="exact"/>
              <w:rPr>
                <w:rFonts w:ascii="Arial" w:hAnsi="Arial" w:cs="Arial"/>
                <w:b/>
                <w:szCs w:val="22"/>
                <w:u w:val="single"/>
              </w:rPr>
            </w:pPr>
          </w:p>
          <w:p w14:paraId="1C3CA34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D506F9F" w14:textId="77777777" w:rsidR="002F4C87" w:rsidRPr="0093723A" w:rsidRDefault="002F4C87" w:rsidP="002F4C87">
            <w:pPr>
              <w:spacing w:line="120" w:lineRule="exact"/>
              <w:rPr>
                <w:rFonts w:ascii="Arial" w:hAnsi="Arial" w:cs="Arial"/>
                <w:b/>
                <w:szCs w:val="22"/>
                <w:u w:val="single"/>
              </w:rPr>
            </w:pPr>
          </w:p>
          <w:p w14:paraId="71D713A1"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E7DE8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1D8C804"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047E221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5EF7225" w14:textId="77777777" w:rsidR="002F4C87" w:rsidRPr="0093723A" w:rsidRDefault="002F4C87" w:rsidP="002F4C87">
            <w:pPr>
              <w:spacing w:line="120" w:lineRule="exact"/>
              <w:rPr>
                <w:rFonts w:ascii="Arial" w:hAnsi="Arial" w:cs="Arial"/>
                <w:b/>
                <w:szCs w:val="22"/>
                <w:u w:val="single"/>
              </w:rPr>
            </w:pPr>
          </w:p>
          <w:p w14:paraId="7DFAFDCF" w14:textId="77777777" w:rsidR="002F4C87" w:rsidRPr="0093723A" w:rsidRDefault="002F4C87" w:rsidP="002F4C87">
            <w:pPr>
              <w:rPr>
                <w:rFonts w:ascii="Arial" w:hAnsi="Arial" w:cs="Arial"/>
                <w:b/>
                <w:szCs w:val="22"/>
                <w:u w:val="single"/>
              </w:rPr>
            </w:pPr>
          </w:p>
        </w:tc>
      </w:tr>
      <w:tr w:rsidR="002F4C87" w:rsidRPr="0093723A" w14:paraId="13C62CE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A505294" w14:textId="77777777" w:rsidR="002F4C87" w:rsidRPr="0093723A" w:rsidRDefault="002F4C87" w:rsidP="002F4C87">
            <w:pPr>
              <w:spacing w:line="120" w:lineRule="exact"/>
              <w:rPr>
                <w:rFonts w:ascii="Arial" w:hAnsi="Arial" w:cs="Arial"/>
                <w:b/>
                <w:szCs w:val="22"/>
                <w:u w:val="single"/>
              </w:rPr>
            </w:pPr>
          </w:p>
          <w:p w14:paraId="767CF5CB"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2EE5AA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191794" w14:textId="77777777" w:rsidR="002F4C87" w:rsidRPr="0093723A" w:rsidRDefault="002F4C87" w:rsidP="002F4C87">
            <w:pPr>
              <w:spacing w:line="120" w:lineRule="exact"/>
              <w:rPr>
                <w:rFonts w:ascii="Arial" w:hAnsi="Arial" w:cs="Arial"/>
                <w:b/>
                <w:szCs w:val="22"/>
                <w:u w:val="single"/>
              </w:rPr>
            </w:pPr>
          </w:p>
          <w:p w14:paraId="46AA7137" w14:textId="77777777" w:rsidR="002F4C87" w:rsidRPr="0093723A" w:rsidRDefault="002F4C87" w:rsidP="002F4C87">
            <w:pPr>
              <w:rPr>
                <w:rFonts w:ascii="Arial" w:hAnsi="Arial" w:cs="Arial"/>
                <w:b/>
                <w:szCs w:val="22"/>
                <w:u w:val="single"/>
              </w:rPr>
            </w:pPr>
          </w:p>
        </w:tc>
      </w:tr>
      <w:tr w:rsidR="002F4C87" w:rsidRPr="0093723A" w14:paraId="7DF25195"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34B5CFFF" w14:textId="77777777" w:rsidR="002F4C87" w:rsidRPr="0093723A" w:rsidRDefault="002F4C87" w:rsidP="002F4C87">
            <w:pPr>
              <w:spacing w:line="120" w:lineRule="exact"/>
              <w:rPr>
                <w:rFonts w:ascii="Arial" w:hAnsi="Arial" w:cs="Arial"/>
                <w:b/>
                <w:szCs w:val="22"/>
                <w:u w:val="single"/>
              </w:rPr>
            </w:pPr>
          </w:p>
          <w:p w14:paraId="3DF92BF3"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1B17D99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03B7FE" w14:textId="77777777" w:rsidR="002F4C87" w:rsidRPr="0093723A" w:rsidRDefault="002F4C87" w:rsidP="002F4C87">
            <w:pPr>
              <w:spacing w:line="120" w:lineRule="exact"/>
              <w:rPr>
                <w:rFonts w:ascii="Arial" w:hAnsi="Arial" w:cs="Arial"/>
                <w:b/>
                <w:szCs w:val="22"/>
                <w:u w:val="single"/>
              </w:rPr>
            </w:pPr>
          </w:p>
          <w:p w14:paraId="12B67D51" w14:textId="77777777" w:rsidR="002F4C87" w:rsidRPr="0093723A" w:rsidRDefault="002F4C87" w:rsidP="002F4C87">
            <w:pPr>
              <w:rPr>
                <w:rFonts w:ascii="Arial" w:hAnsi="Arial" w:cs="Arial"/>
                <w:b/>
                <w:szCs w:val="22"/>
                <w:u w:val="single"/>
              </w:rPr>
            </w:pPr>
          </w:p>
        </w:tc>
      </w:tr>
      <w:tr w:rsidR="002F4C87" w:rsidRPr="0093723A" w14:paraId="74599CEC"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5430B411" w14:textId="77777777" w:rsidR="002F4C87" w:rsidRPr="0093723A" w:rsidRDefault="002F4C87" w:rsidP="002F4C87">
            <w:pPr>
              <w:spacing w:line="120" w:lineRule="exact"/>
              <w:rPr>
                <w:rFonts w:ascii="Arial" w:hAnsi="Arial" w:cs="Arial"/>
                <w:b/>
                <w:szCs w:val="22"/>
                <w:u w:val="single"/>
              </w:rPr>
            </w:pPr>
          </w:p>
          <w:p w14:paraId="6B78E297" w14:textId="77777777" w:rsidR="002F4C87" w:rsidRPr="0093723A" w:rsidRDefault="002F4C87" w:rsidP="002F4C87">
            <w:pPr>
              <w:rPr>
                <w:rFonts w:ascii="Arial" w:hAnsi="Arial" w:cs="Arial"/>
                <w:b/>
                <w:szCs w:val="22"/>
                <w:u w:val="single"/>
              </w:rPr>
            </w:pPr>
          </w:p>
          <w:p w14:paraId="1799A2B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C03CA4C" w14:textId="77777777" w:rsidR="002F4C87" w:rsidRPr="0093723A" w:rsidRDefault="002F4C87" w:rsidP="002F4C87">
            <w:pPr>
              <w:spacing w:line="120" w:lineRule="exact"/>
              <w:rPr>
                <w:rFonts w:ascii="Arial" w:hAnsi="Arial" w:cs="Arial"/>
                <w:b/>
                <w:szCs w:val="22"/>
                <w:u w:val="single"/>
              </w:rPr>
            </w:pPr>
          </w:p>
          <w:p w14:paraId="3874CFEE" w14:textId="77777777" w:rsidR="002F4C87" w:rsidRPr="0093723A" w:rsidRDefault="002F4C87" w:rsidP="002F4C87">
            <w:pPr>
              <w:rPr>
                <w:rFonts w:ascii="Arial" w:hAnsi="Arial" w:cs="Arial"/>
                <w:b/>
                <w:szCs w:val="22"/>
                <w:u w:val="single"/>
              </w:rPr>
            </w:pPr>
          </w:p>
        </w:tc>
      </w:tr>
    </w:tbl>
    <w:p w14:paraId="2CE6042B" w14:textId="77777777" w:rsidR="002F4C87" w:rsidRPr="0093723A" w:rsidRDefault="002F4C87" w:rsidP="002F4C87">
      <w:pPr>
        <w:pStyle w:val="BodyText"/>
        <w:spacing w:after="0"/>
        <w:rPr>
          <w:rFonts w:ascii="Arial" w:hAnsi="Arial" w:cs="Arial"/>
          <w:b/>
          <w:szCs w:val="22"/>
        </w:rPr>
      </w:pPr>
    </w:p>
    <w:p w14:paraId="0F3AB7F8"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AB0707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7A175"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947D9B9"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459D4A2" w14:textId="77777777" w:rsidR="002F4C87" w:rsidRPr="0093723A" w:rsidRDefault="002F4C87" w:rsidP="002F4C87">
            <w:pPr>
              <w:spacing w:line="120" w:lineRule="exact"/>
              <w:rPr>
                <w:rFonts w:ascii="Arial" w:hAnsi="Arial" w:cs="Arial"/>
                <w:b/>
                <w:szCs w:val="22"/>
                <w:u w:val="single"/>
              </w:rPr>
            </w:pPr>
          </w:p>
          <w:p w14:paraId="553EF722"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B9BBA9A" w14:textId="77777777" w:rsidR="002F4C87" w:rsidRPr="0093723A" w:rsidRDefault="002F4C87" w:rsidP="002F4C87">
            <w:pPr>
              <w:spacing w:line="120" w:lineRule="exact"/>
              <w:rPr>
                <w:rFonts w:ascii="Arial" w:hAnsi="Arial" w:cs="Arial"/>
                <w:b/>
                <w:szCs w:val="22"/>
                <w:u w:val="single"/>
              </w:rPr>
            </w:pPr>
          </w:p>
          <w:p w14:paraId="50528B53"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09B7BFDB"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E03AD9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4786BA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AC65FD3" w14:textId="77777777" w:rsidR="002F4C87" w:rsidRPr="0093723A" w:rsidRDefault="002F4C87" w:rsidP="002F4C87">
            <w:pPr>
              <w:spacing w:line="120" w:lineRule="exact"/>
              <w:rPr>
                <w:rFonts w:ascii="Arial" w:hAnsi="Arial" w:cs="Arial"/>
                <w:b/>
                <w:szCs w:val="22"/>
                <w:u w:val="single"/>
              </w:rPr>
            </w:pPr>
          </w:p>
          <w:p w14:paraId="4756F50C" w14:textId="77777777" w:rsidR="002F4C87" w:rsidRPr="0093723A" w:rsidRDefault="002F4C87" w:rsidP="002F4C87">
            <w:pPr>
              <w:rPr>
                <w:rFonts w:ascii="Arial" w:hAnsi="Arial" w:cs="Arial"/>
                <w:b/>
                <w:szCs w:val="22"/>
                <w:u w:val="single"/>
              </w:rPr>
            </w:pPr>
          </w:p>
        </w:tc>
      </w:tr>
      <w:tr w:rsidR="002F4C87" w:rsidRPr="0093723A" w14:paraId="5323409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E26763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91A3B3" w14:textId="77777777" w:rsidR="002F4C87" w:rsidRPr="0093723A" w:rsidRDefault="002F4C87" w:rsidP="002F4C87">
            <w:pPr>
              <w:spacing w:line="120" w:lineRule="exact"/>
              <w:rPr>
                <w:rFonts w:ascii="Arial" w:hAnsi="Arial" w:cs="Arial"/>
                <w:b/>
                <w:szCs w:val="22"/>
                <w:u w:val="single"/>
              </w:rPr>
            </w:pPr>
          </w:p>
          <w:p w14:paraId="2241D8B4" w14:textId="77777777" w:rsidR="002F4C87" w:rsidRPr="0093723A" w:rsidRDefault="002F4C87" w:rsidP="002F4C87">
            <w:pPr>
              <w:rPr>
                <w:rFonts w:ascii="Arial" w:hAnsi="Arial" w:cs="Arial"/>
                <w:b/>
                <w:szCs w:val="22"/>
                <w:u w:val="single"/>
              </w:rPr>
            </w:pPr>
          </w:p>
        </w:tc>
      </w:tr>
      <w:tr w:rsidR="002F4C87" w:rsidRPr="0093723A" w14:paraId="1312007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71BA79"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80B70B9" w14:textId="77777777" w:rsidR="002F4C87" w:rsidRPr="0093723A" w:rsidRDefault="002F4C87" w:rsidP="002F4C87">
            <w:pPr>
              <w:spacing w:line="120" w:lineRule="exact"/>
              <w:rPr>
                <w:rFonts w:ascii="Arial" w:hAnsi="Arial" w:cs="Arial"/>
                <w:b/>
                <w:szCs w:val="22"/>
                <w:u w:val="single"/>
              </w:rPr>
            </w:pPr>
          </w:p>
          <w:p w14:paraId="79F04EF5" w14:textId="77777777" w:rsidR="002F4C87" w:rsidRPr="0093723A" w:rsidRDefault="002F4C87" w:rsidP="002F4C87">
            <w:pPr>
              <w:rPr>
                <w:rFonts w:ascii="Arial" w:hAnsi="Arial" w:cs="Arial"/>
                <w:b/>
                <w:szCs w:val="22"/>
                <w:u w:val="single"/>
              </w:rPr>
            </w:pPr>
          </w:p>
        </w:tc>
      </w:tr>
      <w:tr w:rsidR="002F4C87" w:rsidRPr="0093723A" w14:paraId="587ECA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A8D1FD" w14:textId="77777777" w:rsidR="002F4C87" w:rsidRPr="0093723A" w:rsidRDefault="002F4C87" w:rsidP="002F4C87">
            <w:pPr>
              <w:spacing w:line="120" w:lineRule="exact"/>
              <w:rPr>
                <w:rFonts w:ascii="Arial" w:hAnsi="Arial" w:cs="Arial"/>
                <w:b/>
                <w:szCs w:val="22"/>
                <w:u w:val="single"/>
              </w:rPr>
            </w:pPr>
          </w:p>
          <w:p w14:paraId="4B8C9AF2" w14:textId="77777777" w:rsidR="002F4C87" w:rsidRPr="0093723A" w:rsidRDefault="002F4C87" w:rsidP="002F4C87">
            <w:pPr>
              <w:rPr>
                <w:rFonts w:ascii="Arial" w:hAnsi="Arial" w:cs="Arial"/>
                <w:b/>
                <w:szCs w:val="22"/>
                <w:u w:val="single"/>
              </w:rPr>
            </w:pPr>
          </w:p>
          <w:p w14:paraId="6C210D0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AFEB571" w14:textId="77777777" w:rsidR="002F4C87" w:rsidRPr="0093723A" w:rsidRDefault="002F4C87" w:rsidP="002F4C87">
            <w:pPr>
              <w:spacing w:line="120" w:lineRule="exact"/>
              <w:rPr>
                <w:rFonts w:ascii="Arial" w:hAnsi="Arial" w:cs="Arial"/>
                <w:b/>
                <w:szCs w:val="22"/>
                <w:u w:val="single"/>
              </w:rPr>
            </w:pPr>
          </w:p>
          <w:p w14:paraId="2883847F" w14:textId="77777777" w:rsidR="002F4C87" w:rsidRPr="0093723A" w:rsidRDefault="002F4C87" w:rsidP="002F4C87">
            <w:pPr>
              <w:rPr>
                <w:rFonts w:ascii="Arial" w:hAnsi="Arial" w:cs="Arial"/>
                <w:b/>
                <w:szCs w:val="22"/>
                <w:u w:val="single"/>
              </w:rPr>
            </w:pPr>
          </w:p>
        </w:tc>
      </w:tr>
    </w:tbl>
    <w:p w14:paraId="13375CC4" w14:textId="77777777" w:rsidR="002F4C87" w:rsidRPr="0093723A" w:rsidRDefault="002F4C87" w:rsidP="002F4C87">
      <w:pPr>
        <w:rPr>
          <w:rFonts w:ascii="Arial" w:hAnsi="Arial" w:cs="Arial"/>
          <w:b/>
          <w:szCs w:val="22"/>
        </w:rPr>
      </w:pPr>
    </w:p>
    <w:p w14:paraId="4DEE7E74"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51760B45" w14:textId="77777777" w:rsidR="002F4C87" w:rsidRPr="0093723A" w:rsidRDefault="002F4C87" w:rsidP="002F4C87">
      <w:pPr>
        <w:rPr>
          <w:rFonts w:ascii="Arial" w:hAnsi="Arial" w:cs="Arial"/>
          <w:b/>
          <w:szCs w:val="22"/>
        </w:rPr>
      </w:pPr>
    </w:p>
    <w:p w14:paraId="389B3BD2"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3652B464"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D301A3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DDF36A6" w14:textId="77777777" w:rsidR="002F4C87" w:rsidRPr="0093723A" w:rsidRDefault="002F4C87" w:rsidP="002F4C87">
            <w:pPr>
              <w:spacing w:line="120" w:lineRule="exact"/>
              <w:rPr>
                <w:rFonts w:ascii="Arial" w:hAnsi="Arial" w:cs="Arial"/>
                <w:b/>
                <w:szCs w:val="22"/>
                <w:u w:val="single"/>
              </w:rPr>
            </w:pPr>
          </w:p>
          <w:p w14:paraId="17403B6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63286C7" w14:textId="77777777" w:rsidR="002F4C87" w:rsidRPr="0093723A" w:rsidRDefault="002F4C87" w:rsidP="002F4C87">
            <w:pPr>
              <w:spacing w:line="120" w:lineRule="exact"/>
              <w:rPr>
                <w:rFonts w:ascii="Arial" w:hAnsi="Arial" w:cs="Arial"/>
                <w:b/>
                <w:szCs w:val="22"/>
                <w:u w:val="single"/>
              </w:rPr>
            </w:pPr>
          </w:p>
          <w:p w14:paraId="2B693CE9"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F528E7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FB2098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6A5F4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0D5586B" w14:textId="77777777" w:rsidR="002F4C87" w:rsidRPr="0093723A" w:rsidRDefault="002F4C87" w:rsidP="002F4C87">
            <w:pPr>
              <w:spacing w:line="120" w:lineRule="exact"/>
              <w:rPr>
                <w:rFonts w:ascii="Arial" w:hAnsi="Arial" w:cs="Arial"/>
                <w:b/>
                <w:szCs w:val="22"/>
                <w:u w:val="single"/>
              </w:rPr>
            </w:pPr>
          </w:p>
          <w:p w14:paraId="73ADDADB" w14:textId="77777777" w:rsidR="002F4C87" w:rsidRPr="0093723A" w:rsidRDefault="002F4C87" w:rsidP="002F4C87">
            <w:pPr>
              <w:rPr>
                <w:rFonts w:ascii="Arial" w:hAnsi="Arial" w:cs="Arial"/>
                <w:b/>
                <w:szCs w:val="22"/>
                <w:u w:val="single"/>
              </w:rPr>
            </w:pPr>
          </w:p>
        </w:tc>
      </w:tr>
      <w:tr w:rsidR="002F4C87" w:rsidRPr="0093723A" w14:paraId="7EB4073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C24778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E0B51A3" w14:textId="77777777" w:rsidR="002F4C87" w:rsidRPr="0093723A" w:rsidRDefault="002F4C87" w:rsidP="002F4C87">
            <w:pPr>
              <w:spacing w:line="120" w:lineRule="exact"/>
              <w:rPr>
                <w:rFonts w:ascii="Arial" w:hAnsi="Arial" w:cs="Arial"/>
                <w:b/>
                <w:szCs w:val="22"/>
                <w:u w:val="single"/>
              </w:rPr>
            </w:pPr>
          </w:p>
          <w:p w14:paraId="5347A5E4" w14:textId="77777777" w:rsidR="002F4C87" w:rsidRPr="0093723A" w:rsidRDefault="002F4C87" w:rsidP="002F4C87">
            <w:pPr>
              <w:rPr>
                <w:rFonts w:ascii="Arial" w:hAnsi="Arial" w:cs="Arial"/>
                <w:b/>
                <w:szCs w:val="22"/>
                <w:u w:val="single"/>
              </w:rPr>
            </w:pPr>
          </w:p>
        </w:tc>
      </w:tr>
      <w:tr w:rsidR="002F4C87" w:rsidRPr="0093723A" w14:paraId="1AFC88A7"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5B8514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B71798E" w14:textId="77777777" w:rsidR="002F4C87" w:rsidRPr="0093723A" w:rsidRDefault="002F4C87" w:rsidP="002F4C87">
            <w:pPr>
              <w:spacing w:line="120" w:lineRule="exact"/>
              <w:rPr>
                <w:rFonts w:ascii="Arial" w:hAnsi="Arial" w:cs="Arial"/>
                <w:b/>
                <w:szCs w:val="22"/>
                <w:u w:val="single"/>
              </w:rPr>
            </w:pPr>
          </w:p>
          <w:p w14:paraId="6B50EF63" w14:textId="77777777" w:rsidR="002F4C87" w:rsidRPr="0093723A" w:rsidRDefault="002F4C87" w:rsidP="002F4C87">
            <w:pPr>
              <w:rPr>
                <w:rFonts w:ascii="Arial" w:hAnsi="Arial" w:cs="Arial"/>
                <w:b/>
                <w:szCs w:val="22"/>
                <w:u w:val="single"/>
              </w:rPr>
            </w:pPr>
          </w:p>
        </w:tc>
      </w:tr>
      <w:tr w:rsidR="002F4C87" w:rsidRPr="0093723A" w14:paraId="5E81FD5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6513207E" w14:textId="77777777" w:rsidR="002F4C87" w:rsidRPr="0093723A" w:rsidRDefault="002F4C87" w:rsidP="002F4C87">
            <w:pPr>
              <w:spacing w:line="120" w:lineRule="exact"/>
              <w:rPr>
                <w:rFonts w:ascii="Arial" w:hAnsi="Arial" w:cs="Arial"/>
                <w:b/>
                <w:szCs w:val="22"/>
                <w:u w:val="single"/>
              </w:rPr>
            </w:pPr>
          </w:p>
          <w:p w14:paraId="29D279F6" w14:textId="77777777" w:rsidR="002F4C87" w:rsidRPr="0093723A" w:rsidRDefault="002F4C87" w:rsidP="002F4C87">
            <w:pPr>
              <w:rPr>
                <w:rFonts w:ascii="Arial" w:hAnsi="Arial" w:cs="Arial"/>
                <w:b/>
                <w:szCs w:val="22"/>
                <w:u w:val="single"/>
              </w:rPr>
            </w:pPr>
          </w:p>
          <w:p w14:paraId="0A9D935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A29E9DC" w14:textId="77777777" w:rsidR="002F4C87" w:rsidRPr="0093723A" w:rsidRDefault="002F4C87" w:rsidP="002F4C87">
            <w:pPr>
              <w:spacing w:line="120" w:lineRule="exact"/>
              <w:rPr>
                <w:rFonts w:ascii="Arial" w:hAnsi="Arial" w:cs="Arial"/>
                <w:b/>
                <w:szCs w:val="22"/>
                <w:u w:val="single"/>
              </w:rPr>
            </w:pPr>
          </w:p>
          <w:p w14:paraId="14FD8FCA" w14:textId="77777777" w:rsidR="002F4C87" w:rsidRPr="0093723A" w:rsidRDefault="002F4C87" w:rsidP="002F4C87">
            <w:pPr>
              <w:rPr>
                <w:rFonts w:ascii="Arial" w:hAnsi="Arial" w:cs="Arial"/>
                <w:b/>
                <w:szCs w:val="22"/>
                <w:u w:val="single"/>
              </w:rPr>
            </w:pPr>
          </w:p>
        </w:tc>
      </w:tr>
    </w:tbl>
    <w:p w14:paraId="3BDFEA76" w14:textId="77777777" w:rsidR="002F4C87" w:rsidRPr="00544F4A" w:rsidRDefault="002F4C87" w:rsidP="002F4C87">
      <w:pPr>
        <w:rPr>
          <w:rFonts w:ascii="Arial" w:hAnsi="Arial" w:cs="Arial"/>
        </w:rPr>
      </w:pPr>
    </w:p>
    <w:p w14:paraId="1832892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5C3B624" w14:textId="77777777" w:rsidR="002F4C87" w:rsidRPr="00544F4A" w:rsidRDefault="002F4C87" w:rsidP="002F4C87">
      <w:pPr>
        <w:pStyle w:val="BodyText"/>
        <w:spacing w:after="0"/>
        <w:jc w:val="both"/>
        <w:rPr>
          <w:rFonts w:ascii="Arial" w:hAnsi="Arial" w:cs="Arial"/>
        </w:rPr>
      </w:pPr>
    </w:p>
    <w:p w14:paraId="202F66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573C4E0"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554B4B8" w14:textId="77777777" w:rsidR="002F4C87" w:rsidRPr="00544F4A" w:rsidRDefault="002F4C87" w:rsidP="002F4C87">
      <w:pPr>
        <w:jc w:val="both"/>
        <w:rPr>
          <w:rFonts w:ascii="Arial" w:hAnsi="Arial" w:cs="Arial"/>
          <w:b/>
          <w:bCs/>
        </w:rPr>
      </w:pPr>
    </w:p>
    <w:p w14:paraId="2DA5CD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CCAE0AD" w14:textId="77777777" w:rsidR="002F4C87" w:rsidRPr="00544F4A" w:rsidRDefault="002F4C87" w:rsidP="002F4C87">
      <w:pPr>
        <w:pStyle w:val="BodyText"/>
        <w:spacing w:after="0"/>
        <w:jc w:val="both"/>
        <w:rPr>
          <w:rFonts w:ascii="Arial" w:hAnsi="Arial" w:cs="Arial"/>
        </w:rPr>
      </w:pPr>
    </w:p>
    <w:p w14:paraId="1E1A39D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F2ADE80" w14:textId="77777777" w:rsidR="002F4C87" w:rsidRPr="00544F4A" w:rsidRDefault="002F4C87" w:rsidP="002F4C87">
      <w:pPr>
        <w:pStyle w:val="BodyText"/>
        <w:spacing w:after="0"/>
        <w:jc w:val="both"/>
        <w:rPr>
          <w:rFonts w:ascii="Arial" w:hAnsi="Arial" w:cs="Arial"/>
        </w:rPr>
      </w:pPr>
    </w:p>
    <w:p w14:paraId="5AA6C11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A49B105" w14:textId="77777777" w:rsidR="002F4C87" w:rsidRPr="00544F4A" w:rsidRDefault="002F4C87" w:rsidP="002F4C87">
      <w:pPr>
        <w:pStyle w:val="BodyText"/>
        <w:spacing w:after="0"/>
        <w:jc w:val="both"/>
        <w:rPr>
          <w:rFonts w:ascii="Arial" w:hAnsi="Arial" w:cs="Arial"/>
        </w:rPr>
      </w:pPr>
    </w:p>
    <w:p w14:paraId="0818F2B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02457E2" w14:textId="77777777" w:rsidR="002F4C87" w:rsidRPr="00544F4A" w:rsidRDefault="002F4C87" w:rsidP="002F4C87">
      <w:pPr>
        <w:pStyle w:val="BodyText"/>
        <w:spacing w:after="0"/>
        <w:jc w:val="both"/>
        <w:rPr>
          <w:rFonts w:ascii="Arial" w:hAnsi="Arial" w:cs="Arial"/>
        </w:rPr>
      </w:pPr>
    </w:p>
    <w:p w14:paraId="4D4C472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2536D88" w14:textId="77777777" w:rsidR="002F4C87" w:rsidRDefault="002F4C87" w:rsidP="00E65F5D">
      <w:pPr>
        <w:rPr>
          <w:rFonts w:ascii="Arial" w:hAnsi="Arial" w:cs="Arial"/>
          <w:szCs w:val="22"/>
        </w:rPr>
      </w:pPr>
    </w:p>
    <w:p w14:paraId="559DA843"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C4CF27A" w14:textId="77777777" w:rsidR="00895C87" w:rsidRPr="0093723A" w:rsidRDefault="00895C87" w:rsidP="00E65F5D">
      <w:pPr>
        <w:pStyle w:val="BodyText3"/>
        <w:spacing w:after="0"/>
        <w:rPr>
          <w:rFonts w:ascii="Arial" w:hAnsi="Arial" w:cs="Arial"/>
          <w:caps/>
          <w:sz w:val="20"/>
          <w:szCs w:val="22"/>
        </w:rPr>
      </w:pPr>
    </w:p>
    <w:p w14:paraId="4EFEFE8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7772A1B"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219715F7" w14:textId="77777777" w:rsidR="00895C87" w:rsidRPr="0093723A" w:rsidRDefault="00895C87" w:rsidP="00E65F5D">
      <w:pPr>
        <w:rPr>
          <w:rFonts w:ascii="Arial" w:hAnsi="Arial" w:cs="Arial"/>
          <w:szCs w:val="22"/>
        </w:rPr>
      </w:pPr>
    </w:p>
    <w:p w14:paraId="3C327B7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7B89E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E9AE82" w14:textId="77777777" w:rsidTr="00137E82">
        <w:tc>
          <w:tcPr>
            <w:tcW w:w="3652" w:type="dxa"/>
          </w:tcPr>
          <w:p w14:paraId="0092C1F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928EC2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1F7E3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3DC7D2F" w14:textId="77777777" w:rsidTr="00137E82">
        <w:tc>
          <w:tcPr>
            <w:tcW w:w="3652" w:type="dxa"/>
          </w:tcPr>
          <w:p w14:paraId="78D87A5A" w14:textId="77777777" w:rsidR="00895C87" w:rsidRPr="0093723A" w:rsidRDefault="00895C87" w:rsidP="00E65F5D">
            <w:pPr>
              <w:rPr>
                <w:rFonts w:ascii="Arial" w:hAnsi="Arial" w:cs="Arial"/>
                <w:szCs w:val="22"/>
              </w:rPr>
            </w:pPr>
          </w:p>
        </w:tc>
        <w:tc>
          <w:tcPr>
            <w:tcW w:w="3119" w:type="dxa"/>
          </w:tcPr>
          <w:p w14:paraId="23DAD9B0" w14:textId="77777777" w:rsidR="00895C87" w:rsidRPr="0093723A" w:rsidRDefault="00895C87" w:rsidP="00E65F5D">
            <w:pPr>
              <w:rPr>
                <w:rFonts w:ascii="Arial" w:hAnsi="Arial" w:cs="Arial"/>
                <w:szCs w:val="22"/>
              </w:rPr>
            </w:pPr>
          </w:p>
        </w:tc>
        <w:tc>
          <w:tcPr>
            <w:tcW w:w="2693" w:type="dxa"/>
          </w:tcPr>
          <w:p w14:paraId="1DDE0CAE" w14:textId="77777777" w:rsidR="00895C87" w:rsidRPr="0093723A" w:rsidRDefault="00895C87" w:rsidP="00E65F5D">
            <w:pPr>
              <w:rPr>
                <w:rFonts w:ascii="Arial" w:hAnsi="Arial" w:cs="Arial"/>
                <w:szCs w:val="22"/>
              </w:rPr>
            </w:pPr>
          </w:p>
          <w:p w14:paraId="6A993D9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07FE2E2" w14:textId="77777777" w:rsidTr="00137E82">
        <w:tc>
          <w:tcPr>
            <w:tcW w:w="3652" w:type="dxa"/>
          </w:tcPr>
          <w:p w14:paraId="0CBB37D0" w14:textId="77777777" w:rsidR="00895C87" w:rsidRPr="0093723A" w:rsidRDefault="00895C87" w:rsidP="00E65F5D">
            <w:pPr>
              <w:rPr>
                <w:rFonts w:ascii="Arial" w:hAnsi="Arial" w:cs="Arial"/>
                <w:szCs w:val="22"/>
              </w:rPr>
            </w:pPr>
          </w:p>
        </w:tc>
        <w:tc>
          <w:tcPr>
            <w:tcW w:w="3119" w:type="dxa"/>
          </w:tcPr>
          <w:p w14:paraId="0558E1D6" w14:textId="77777777" w:rsidR="00895C87" w:rsidRPr="0093723A" w:rsidRDefault="00895C87" w:rsidP="00E65F5D">
            <w:pPr>
              <w:rPr>
                <w:rFonts w:ascii="Arial" w:hAnsi="Arial" w:cs="Arial"/>
                <w:szCs w:val="22"/>
              </w:rPr>
            </w:pPr>
          </w:p>
        </w:tc>
        <w:tc>
          <w:tcPr>
            <w:tcW w:w="2693" w:type="dxa"/>
          </w:tcPr>
          <w:p w14:paraId="3DDC75DB" w14:textId="77777777" w:rsidR="00895C87" w:rsidRPr="0093723A" w:rsidRDefault="00895C87" w:rsidP="00E65F5D">
            <w:pPr>
              <w:rPr>
                <w:rFonts w:ascii="Arial" w:hAnsi="Arial" w:cs="Arial"/>
                <w:szCs w:val="22"/>
              </w:rPr>
            </w:pPr>
          </w:p>
          <w:p w14:paraId="4DA2255B" w14:textId="77777777" w:rsidR="00895C87" w:rsidRPr="0093723A" w:rsidRDefault="00895C87" w:rsidP="00E65F5D">
            <w:pPr>
              <w:rPr>
                <w:rFonts w:ascii="Arial" w:hAnsi="Arial" w:cs="Arial"/>
                <w:szCs w:val="22"/>
              </w:rPr>
            </w:pPr>
          </w:p>
        </w:tc>
      </w:tr>
      <w:tr w:rsidR="00895C87" w:rsidRPr="0093723A" w14:paraId="2C1BAFB0" w14:textId="77777777" w:rsidTr="00137E82">
        <w:tc>
          <w:tcPr>
            <w:tcW w:w="3652" w:type="dxa"/>
          </w:tcPr>
          <w:p w14:paraId="252FD53D" w14:textId="77777777" w:rsidR="00895C87" w:rsidRPr="0093723A" w:rsidRDefault="00895C87" w:rsidP="00E65F5D">
            <w:pPr>
              <w:rPr>
                <w:rFonts w:ascii="Arial" w:hAnsi="Arial" w:cs="Arial"/>
                <w:szCs w:val="22"/>
              </w:rPr>
            </w:pPr>
          </w:p>
        </w:tc>
        <w:tc>
          <w:tcPr>
            <w:tcW w:w="3119" w:type="dxa"/>
          </w:tcPr>
          <w:p w14:paraId="37145688" w14:textId="77777777" w:rsidR="00895C87" w:rsidRPr="0093723A" w:rsidRDefault="00895C87" w:rsidP="00E65F5D">
            <w:pPr>
              <w:rPr>
                <w:rFonts w:ascii="Arial" w:hAnsi="Arial" w:cs="Arial"/>
                <w:szCs w:val="22"/>
              </w:rPr>
            </w:pPr>
          </w:p>
        </w:tc>
        <w:tc>
          <w:tcPr>
            <w:tcW w:w="2693" w:type="dxa"/>
          </w:tcPr>
          <w:p w14:paraId="2248834A" w14:textId="77777777" w:rsidR="00895C87" w:rsidRPr="0093723A" w:rsidRDefault="00895C87" w:rsidP="00E65F5D">
            <w:pPr>
              <w:rPr>
                <w:rFonts w:ascii="Arial" w:hAnsi="Arial" w:cs="Arial"/>
                <w:szCs w:val="22"/>
              </w:rPr>
            </w:pPr>
          </w:p>
          <w:p w14:paraId="52E1663A" w14:textId="77777777" w:rsidR="00895C87" w:rsidRPr="0093723A" w:rsidRDefault="00895C87" w:rsidP="00E65F5D">
            <w:pPr>
              <w:rPr>
                <w:rFonts w:ascii="Arial" w:hAnsi="Arial" w:cs="Arial"/>
                <w:szCs w:val="22"/>
              </w:rPr>
            </w:pPr>
          </w:p>
        </w:tc>
      </w:tr>
    </w:tbl>
    <w:p w14:paraId="3D2FCD00" w14:textId="77777777" w:rsidR="00895C87" w:rsidRPr="0093723A" w:rsidRDefault="00895C87" w:rsidP="00E65F5D">
      <w:pPr>
        <w:rPr>
          <w:rFonts w:ascii="Arial" w:hAnsi="Arial" w:cs="Arial"/>
          <w:szCs w:val="22"/>
        </w:rPr>
      </w:pPr>
    </w:p>
    <w:p w14:paraId="6DD85F9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D77DC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80F824" w14:textId="77777777" w:rsidTr="00137E82">
        <w:tc>
          <w:tcPr>
            <w:tcW w:w="3652" w:type="dxa"/>
          </w:tcPr>
          <w:p w14:paraId="0601A41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801144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C7375F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9C07511" w14:textId="77777777" w:rsidTr="00137E82">
        <w:tc>
          <w:tcPr>
            <w:tcW w:w="3652" w:type="dxa"/>
          </w:tcPr>
          <w:p w14:paraId="42BC6980" w14:textId="77777777" w:rsidR="00895C87" w:rsidRPr="0093723A" w:rsidRDefault="00895C87" w:rsidP="00E65F5D">
            <w:pPr>
              <w:rPr>
                <w:rFonts w:ascii="Arial" w:hAnsi="Arial" w:cs="Arial"/>
                <w:szCs w:val="22"/>
              </w:rPr>
            </w:pPr>
          </w:p>
        </w:tc>
        <w:tc>
          <w:tcPr>
            <w:tcW w:w="3119" w:type="dxa"/>
          </w:tcPr>
          <w:p w14:paraId="512826F8" w14:textId="77777777" w:rsidR="00895C87" w:rsidRPr="0093723A" w:rsidRDefault="00895C87" w:rsidP="00E65F5D">
            <w:pPr>
              <w:rPr>
                <w:rFonts w:ascii="Arial" w:hAnsi="Arial" w:cs="Arial"/>
                <w:szCs w:val="22"/>
              </w:rPr>
            </w:pPr>
          </w:p>
        </w:tc>
        <w:tc>
          <w:tcPr>
            <w:tcW w:w="2693" w:type="dxa"/>
          </w:tcPr>
          <w:p w14:paraId="0C6BDF46" w14:textId="77777777" w:rsidR="00895C87" w:rsidRPr="0093723A" w:rsidRDefault="00895C87" w:rsidP="00E65F5D">
            <w:pPr>
              <w:rPr>
                <w:rFonts w:ascii="Arial" w:hAnsi="Arial" w:cs="Arial"/>
                <w:szCs w:val="22"/>
              </w:rPr>
            </w:pPr>
          </w:p>
          <w:p w14:paraId="2161387A" w14:textId="77777777" w:rsidR="00895C87" w:rsidRPr="0093723A" w:rsidRDefault="00895C87" w:rsidP="00E65F5D">
            <w:pPr>
              <w:rPr>
                <w:rFonts w:ascii="Arial" w:hAnsi="Arial" w:cs="Arial"/>
                <w:szCs w:val="22"/>
              </w:rPr>
            </w:pPr>
          </w:p>
        </w:tc>
      </w:tr>
      <w:tr w:rsidR="00895C87" w:rsidRPr="0093723A" w14:paraId="13F76354" w14:textId="77777777" w:rsidTr="00137E82">
        <w:tc>
          <w:tcPr>
            <w:tcW w:w="3652" w:type="dxa"/>
          </w:tcPr>
          <w:p w14:paraId="5757D15C" w14:textId="77777777" w:rsidR="00895C87" w:rsidRPr="0093723A" w:rsidRDefault="00895C87" w:rsidP="00E65F5D">
            <w:pPr>
              <w:rPr>
                <w:rFonts w:ascii="Arial" w:hAnsi="Arial" w:cs="Arial"/>
                <w:szCs w:val="22"/>
              </w:rPr>
            </w:pPr>
          </w:p>
        </w:tc>
        <w:tc>
          <w:tcPr>
            <w:tcW w:w="3119" w:type="dxa"/>
          </w:tcPr>
          <w:p w14:paraId="5F079B80" w14:textId="77777777" w:rsidR="00895C87" w:rsidRPr="0093723A" w:rsidRDefault="00895C87" w:rsidP="00E65F5D">
            <w:pPr>
              <w:rPr>
                <w:rFonts w:ascii="Arial" w:hAnsi="Arial" w:cs="Arial"/>
                <w:szCs w:val="22"/>
              </w:rPr>
            </w:pPr>
          </w:p>
        </w:tc>
        <w:tc>
          <w:tcPr>
            <w:tcW w:w="2693" w:type="dxa"/>
          </w:tcPr>
          <w:p w14:paraId="41E5589D" w14:textId="77777777" w:rsidR="00895C87" w:rsidRPr="0093723A" w:rsidRDefault="00895C87" w:rsidP="00E65F5D">
            <w:pPr>
              <w:rPr>
                <w:rFonts w:ascii="Arial" w:hAnsi="Arial" w:cs="Arial"/>
                <w:szCs w:val="22"/>
              </w:rPr>
            </w:pPr>
          </w:p>
          <w:p w14:paraId="16855415" w14:textId="77777777" w:rsidR="00895C87" w:rsidRPr="0093723A" w:rsidRDefault="00895C87" w:rsidP="00E65F5D">
            <w:pPr>
              <w:rPr>
                <w:rFonts w:ascii="Arial" w:hAnsi="Arial" w:cs="Arial"/>
                <w:szCs w:val="22"/>
              </w:rPr>
            </w:pPr>
          </w:p>
        </w:tc>
      </w:tr>
      <w:tr w:rsidR="00895C87" w:rsidRPr="0093723A" w14:paraId="1E3EAC3D" w14:textId="77777777" w:rsidTr="00137E82">
        <w:tc>
          <w:tcPr>
            <w:tcW w:w="3652" w:type="dxa"/>
          </w:tcPr>
          <w:p w14:paraId="14AA3BC0" w14:textId="77777777" w:rsidR="00895C87" w:rsidRPr="0093723A" w:rsidRDefault="00895C87" w:rsidP="00E65F5D">
            <w:pPr>
              <w:rPr>
                <w:rFonts w:ascii="Arial" w:hAnsi="Arial" w:cs="Arial"/>
                <w:szCs w:val="22"/>
              </w:rPr>
            </w:pPr>
          </w:p>
        </w:tc>
        <w:tc>
          <w:tcPr>
            <w:tcW w:w="3119" w:type="dxa"/>
          </w:tcPr>
          <w:p w14:paraId="61C2EAFF" w14:textId="77777777" w:rsidR="00895C87" w:rsidRPr="0093723A" w:rsidRDefault="00895C87" w:rsidP="00E65F5D">
            <w:pPr>
              <w:rPr>
                <w:rFonts w:ascii="Arial" w:hAnsi="Arial" w:cs="Arial"/>
                <w:szCs w:val="22"/>
              </w:rPr>
            </w:pPr>
          </w:p>
        </w:tc>
        <w:tc>
          <w:tcPr>
            <w:tcW w:w="2693" w:type="dxa"/>
          </w:tcPr>
          <w:p w14:paraId="0DBE25F6" w14:textId="77777777" w:rsidR="00895C87" w:rsidRPr="0093723A" w:rsidRDefault="00895C87" w:rsidP="00E65F5D">
            <w:pPr>
              <w:rPr>
                <w:rFonts w:ascii="Arial" w:hAnsi="Arial" w:cs="Arial"/>
                <w:szCs w:val="22"/>
              </w:rPr>
            </w:pPr>
          </w:p>
          <w:p w14:paraId="52C3025E" w14:textId="77777777" w:rsidR="00895C87" w:rsidRPr="0093723A" w:rsidRDefault="00895C87" w:rsidP="00E65F5D">
            <w:pPr>
              <w:rPr>
                <w:rFonts w:ascii="Arial" w:hAnsi="Arial" w:cs="Arial"/>
                <w:szCs w:val="22"/>
              </w:rPr>
            </w:pPr>
          </w:p>
        </w:tc>
      </w:tr>
    </w:tbl>
    <w:p w14:paraId="65625CB3" w14:textId="77777777" w:rsidR="00895C87" w:rsidRPr="0093723A" w:rsidRDefault="00895C87" w:rsidP="00E65F5D">
      <w:pPr>
        <w:jc w:val="both"/>
        <w:rPr>
          <w:rFonts w:ascii="Arial" w:hAnsi="Arial" w:cs="Arial"/>
          <w:szCs w:val="22"/>
        </w:rPr>
      </w:pPr>
    </w:p>
    <w:p w14:paraId="098B363E"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CAC9BA0" w14:textId="77777777" w:rsidR="0093252F" w:rsidRPr="0093723A" w:rsidRDefault="0093252F" w:rsidP="00E65F5D">
      <w:pPr>
        <w:rPr>
          <w:rFonts w:ascii="Arial" w:hAnsi="Arial" w:cs="Arial"/>
          <w:szCs w:val="22"/>
        </w:rPr>
      </w:pPr>
    </w:p>
    <w:p w14:paraId="44DB1E52"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526F76C" w14:textId="77777777" w:rsidR="00EA220E" w:rsidRDefault="00EA220E" w:rsidP="00E65F5D">
      <w:pPr>
        <w:rPr>
          <w:rFonts w:ascii="Arial" w:hAnsi="Arial" w:cs="Arial"/>
          <w:b/>
          <w:szCs w:val="22"/>
        </w:rPr>
      </w:pPr>
    </w:p>
    <w:p w14:paraId="62EEB69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7ADF75D9" w14:textId="77777777" w:rsidR="00EA220E" w:rsidRDefault="00EA220E" w:rsidP="00EA220E">
      <w:pPr>
        <w:rPr>
          <w:rFonts w:ascii="Arial" w:hAnsi="Arial" w:cs="Arial"/>
          <w:color w:val="FF0000"/>
          <w:szCs w:val="22"/>
        </w:rPr>
      </w:pPr>
    </w:p>
    <w:p w14:paraId="69B91278" w14:textId="77777777" w:rsidR="00EA220E" w:rsidRDefault="00EA220E" w:rsidP="00EA220E">
      <w:pPr>
        <w:rPr>
          <w:rFonts w:ascii="Arial" w:hAnsi="Arial" w:cs="Arial"/>
          <w:color w:val="FF0000"/>
          <w:szCs w:val="22"/>
        </w:rPr>
      </w:pPr>
    </w:p>
    <w:p w14:paraId="7C06838B"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F178AA"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6AAECD53" w14:textId="77777777" w:rsidR="00EA220E" w:rsidRPr="005A2AA8" w:rsidRDefault="00EA220E" w:rsidP="00EA220E">
      <w:pPr>
        <w:rPr>
          <w:rFonts w:ascii="Arial" w:hAnsi="Arial" w:cs="Arial"/>
          <w:sz w:val="22"/>
          <w:szCs w:val="22"/>
        </w:rPr>
      </w:pPr>
    </w:p>
    <w:p w14:paraId="4F07D280" w14:textId="77777777" w:rsidR="00EA220E" w:rsidRPr="005A2AA8" w:rsidRDefault="00EA220E" w:rsidP="00EA220E">
      <w:pPr>
        <w:rPr>
          <w:rFonts w:ascii="Arial" w:hAnsi="Arial" w:cs="Arial"/>
          <w:sz w:val="22"/>
          <w:szCs w:val="22"/>
        </w:rPr>
      </w:pPr>
    </w:p>
    <w:p w14:paraId="7A23612C"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A53CBAC" w14:textId="77777777" w:rsidR="00EA220E" w:rsidRPr="005A2AA8" w:rsidRDefault="00EA220E" w:rsidP="00EA220E">
      <w:pPr>
        <w:rPr>
          <w:rFonts w:ascii="Arial" w:hAnsi="Arial" w:cs="Arial"/>
          <w:sz w:val="22"/>
          <w:szCs w:val="22"/>
        </w:rPr>
      </w:pPr>
    </w:p>
    <w:p w14:paraId="3BB95489" w14:textId="77777777" w:rsidR="00EA220E" w:rsidRPr="005A2AA8" w:rsidRDefault="00EA220E" w:rsidP="00EA220E">
      <w:pPr>
        <w:rPr>
          <w:rFonts w:ascii="Arial" w:hAnsi="Arial" w:cs="Arial"/>
          <w:sz w:val="22"/>
          <w:szCs w:val="22"/>
        </w:rPr>
      </w:pPr>
    </w:p>
    <w:p w14:paraId="4FECD772"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C121BC9" w14:textId="77777777" w:rsidR="00EA220E" w:rsidRPr="005A2AA8" w:rsidRDefault="00EA220E" w:rsidP="00EA220E">
      <w:pPr>
        <w:rPr>
          <w:rFonts w:ascii="Arial" w:hAnsi="Arial" w:cs="Arial"/>
          <w:sz w:val="22"/>
          <w:szCs w:val="22"/>
        </w:rPr>
      </w:pPr>
    </w:p>
    <w:p w14:paraId="6DC0D305" w14:textId="77777777" w:rsidR="00EA220E" w:rsidRPr="005A2AA8" w:rsidRDefault="00EA220E" w:rsidP="00EA220E">
      <w:pPr>
        <w:rPr>
          <w:rFonts w:ascii="Arial" w:hAnsi="Arial" w:cs="Arial"/>
          <w:sz w:val="22"/>
          <w:szCs w:val="22"/>
        </w:rPr>
      </w:pPr>
    </w:p>
    <w:p w14:paraId="196C6154"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DDE8664" w14:textId="77777777" w:rsidR="00EA220E" w:rsidRPr="005A2AA8" w:rsidRDefault="00EA220E" w:rsidP="00EA220E">
      <w:pPr>
        <w:rPr>
          <w:rFonts w:ascii="Arial" w:hAnsi="Arial" w:cs="Arial"/>
          <w:sz w:val="22"/>
          <w:szCs w:val="22"/>
        </w:rPr>
      </w:pPr>
    </w:p>
    <w:p w14:paraId="0CD690FC" w14:textId="77777777" w:rsidR="00EA220E" w:rsidRPr="005A2AA8" w:rsidRDefault="00EA220E" w:rsidP="00EA220E">
      <w:pPr>
        <w:rPr>
          <w:rFonts w:ascii="Arial" w:hAnsi="Arial" w:cs="Arial"/>
          <w:sz w:val="22"/>
          <w:szCs w:val="22"/>
        </w:rPr>
      </w:pPr>
    </w:p>
    <w:p w14:paraId="1E84C155" w14:textId="77777777"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5F98CAE" w14:textId="77777777" w:rsidR="00EA220E" w:rsidRDefault="00EA220E" w:rsidP="00E65F5D">
      <w:pPr>
        <w:rPr>
          <w:rFonts w:ascii="Arial" w:hAnsi="Arial" w:cs="Arial"/>
          <w:b/>
          <w:szCs w:val="22"/>
        </w:rPr>
      </w:pPr>
    </w:p>
    <w:p w14:paraId="3196CEE5" w14:textId="77777777" w:rsidR="0044471C" w:rsidRDefault="0044471C" w:rsidP="00E65F5D">
      <w:pPr>
        <w:rPr>
          <w:rFonts w:ascii="Arial" w:hAnsi="Arial" w:cs="Arial"/>
          <w:b/>
          <w:szCs w:val="22"/>
        </w:rPr>
      </w:pPr>
    </w:p>
    <w:p w14:paraId="018BFF50" w14:textId="77777777" w:rsidR="00DA0A9A" w:rsidRDefault="00DA0A9A">
      <w:pPr>
        <w:rPr>
          <w:rFonts w:ascii="Arial" w:hAnsi="Arial" w:cs="Arial"/>
          <w:b/>
          <w:szCs w:val="22"/>
        </w:rPr>
      </w:pPr>
      <w:r>
        <w:rPr>
          <w:rFonts w:ascii="Arial" w:hAnsi="Arial" w:cs="Arial"/>
          <w:b/>
          <w:szCs w:val="22"/>
        </w:rPr>
        <w:br w:type="page"/>
      </w:r>
    </w:p>
    <w:p w14:paraId="72CE448D" w14:textId="77777777" w:rsidR="00F1537C" w:rsidRDefault="00F1537C" w:rsidP="00E65F5D">
      <w:pPr>
        <w:rPr>
          <w:rFonts w:ascii="Arial" w:hAnsi="Arial" w:cs="Arial"/>
          <w:b/>
          <w:szCs w:val="22"/>
        </w:rPr>
      </w:pPr>
    </w:p>
    <w:p w14:paraId="6E28C0AB" w14:textId="77777777" w:rsidR="00DA0A9A" w:rsidRDefault="00DA0A9A" w:rsidP="00E65F5D">
      <w:pPr>
        <w:rPr>
          <w:rFonts w:ascii="Arial" w:hAnsi="Arial" w:cs="Arial"/>
          <w:b/>
          <w:szCs w:val="22"/>
        </w:rPr>
      </w:pPr>
    </w:p>
    <w:p w14:paraId="2C7457A2" w14:textId="77777777" w:rsidR="00DA0A9A" w:rsidRPr="00DA0A9A" w:rsidRDefault="00DA0A9A" w:rsidP="00DA0A9A">
      <w:pPr>
        <w:rPr>
          <w:rFonts w:ascii="Arial" w:hAnsi="Arial" w:cs="Arial"/>
          <w:b/>
          <w:sz w:val="32"/>
          <w:szCs w:val="32"/>
        </w:rPr>
      </w:pPr>
      <w:r w:rsidRPr="00DA0A9A">
        <w:rPr>
          <w:rFonts w:ascii="Arial" w:hAnsi="Arial" w:cs="Arial"/>
          <w:b/>
          <w:sz w:val="32"/>
          <w:szCs w:val="32"/>
        </w:rPr>
        <w:t>APPENDIX D – EXAMPLE QSR DOSSIER</w:t>
      </w:r>
    </w:p>
    <w:p w14:paraId="0652B0E8" w14:textId="77777777" w:rsidR="00DA0A9A" w:rsidRDefault="00DA0A9A" w:rsidP="00DA0A9A">
      <w:pPr>
        <w:rPr>
          <w:rFonts w:ascii="Arial" w:hAnsi="Arial" w:cs="Arial"/>
          <w:b/>
          <w:szCs w:val="22"/>
        </w:rPr>
      </w:pPr>
    </w:p>
    <w:p w14:paraId="2D595999" w14:textId="77777777" w:rsidR="00DA0A9A" w:rsidRPr="00DA0A9A" w:rsidRDefault="00DA0A9A" w:rsidP="00DA0A9A">
      <w:pPr>
        <w:pStyle w:val="Heading2"/>
        <w:numPr>
          <w:ilvl w:val="0"/>
          <w:numId w:val="0"/>
        </w:numPr>
        <w:rPr>
          <w:rFonts w:cs="Arial"/>
          <w:szCs w:val="24"/>
        </w:rPr>
      </w:pPr>
      <w:bookmarkStart w:id="2" w:name="_Toc528158520"/>
      <w:r w:rsidRPr="00DA0A9A">
        <w:rPr>
          <w:rFonts w:cs="Arial"/>
          <w:szCs w:val="24"/>
        </w:rPr>
        <w:t>Mono-ethanolamine (CAS Number 141-43-5)</w:t>
      </w:r>
      <w:bookmarkEnd w:id="2"/>
    </w:p>
    <w:p w14:paraId="57CF0797" w14:textId="77777777" w:rsidR="00DA0A9A" w:rsidRPr="00DA0A9A" w:rsidRDefault="00DA0A9A" w:rsidP="00DA0A9A">
      <w:pPr>
        <w:rPr>
          <w:rFonts w:ascii="Arial" w:hAnsi="Arial" w:cs="Arial"/>
        </w:rPr>
      </w:pPr>
      <w:r w:rsidRPr="00DA0A9A">
        <w:rPr>
          <w:rFonts w:ascii="Arial" w:hAnsi="Arial" w:cs="Arial"/>
        </w:rPr>
        <w:t>MEA – also known as 2-aminoethanol, or ethanolamine – is a colourless, viscous liquid with an ammoniacal odour (HSE 2016), whose vapour is denser than air.  It is widely used in industry in the production of detergents and soaps, dyestuffs, rubber vulcanisation, and as a scrubber for acidic gases in enclosed atmospheres such as submarines.  MEA is used in a range of consumer products including cosmetics and personal care products, washing and cleaning products, coating products, biocides, inks and toners, and adhesives and sealants.  It is rapidly biodegradable in the environment and has an estimated phototransformation half-life in air of about 11 hours (HSE 2016).</w:t>
      </w:r>
    </w:p>
    <w:p w14:paraId="3C6310DC" w14:textId="77777777" w:rsidR="00DA0A9A" w:rsidRPr="00DA0A9A" w:rsidRDefault="00DA0A9A" w:rsidP="00DA0A9A">
      <w:pPr>
        <w:pStyle w:val="Heading3"/>
        <w:numPr>
          <w:ilvl w:val="0"/>
          <w:numId w:val="0"/>
        </w:numPr>
        <w:rPr>
          <w:rFonts w:ascii="Arial" w:hAnsi="Arial" w:cs="Arial"/>
          <w:szCs w:val="24"/>
        </w:rPr>
      </w:pPr>
    </w:p>
    <w:p w14:paraId="3F8A9C11" w14:textId="77777777" w:rsidR="00DA0A9A" w:rsidRPr="00D14F64" w:rsidRDefault="00DA0A9A" w:rsidP="00DA0A9A">
      <w:pPr>
        <w:pStyle w:val="Heading3"/>
        <w:numPr>
          <w:ilvl w:val="0"/>
          <w:numId w:val="0"/>
        </w:numPr>
        <w:rPr>
          <w:rFonts w:ascii="Arial" w:hAnsi="Arial" w:cs="Arial"/>
          <w:szCs w:val="24"/>
        </w:rPr>
      </w:pPr>
      <w:r w:rsidRPr="00D14F64">
        <w:rPr>
          <w:rFonts w:ascii="Arial" w:hAnsi="Arial" w:cs="Arial"/>
          <w:szCs w:val="24"/>
        </w:rPr>
        <w:t>Regulatory Standards</w:t>
      </w:r>
    </w:p>
    <w:tbl>
      <w:tblPr>
        <w:tblStyle w:val="TableGrid"/>
        <w:tblW w:w="0" w:type="auto"/>
        <w:tblBorders>
          <w:insideV w:val="none" w:sz="0" w:space="0" w:color="auto"/>
        </w:tblBorders>
        <w:tblLook w:val="04A0" w:firstRow="1" w:lastRow="0" w:firstColumn="1" w:lastColumn="0" w:noHBand="0" w:noVBand="1"/>
      </w:tblPr>
      <w:tblGrid>
        <w:gridCol w:w="3804"/>
        <w:gridCol w:w="4492"/>
      </w:tblGrid>
      <w:tr w:rsidR="00DA0A9A" w:rsidRPr="00D14F64" w14:paraId="5F53ECFF" w14:textId="77777777" w:rsidTr="00F90369">
        <w:tc>
          <w:tcPr>
            <w:tcW w:w="4248" w:type="dxa"/>
          </w:tcPr>
          <w:p w14:paraId="43921157" w14:textId="77777777" w:rsidR="00DA0A9A" w:rsidRPr="00DA0A9A" w:rsidRDefault="00DA0A9A" w:rsidP="00F90369">
            <w:pPr>
              <w:jc w:val="both"/>
              <w:rPr>
                <w:rFonts w:ascii="Arial" w:hAnsi="Arial" w:cs="Arial"/>
              </w:rPr>
            </w:pPr>
            <w:r w:rsidRPr="00DA0A9A">
              <w:rPr>
                <w:rFonts w:ascii="Arial" w:hAnsi="Arial" w:cs="Arial"/>
              </w:rPr>
              <w:t>None</w:t>
            </w:r>
          </w:p>
        </w:tc>
        <w:tc>
          <w:tcPr>
            <w:tcW w:w="5102" w:type="dxa"/>
          </w:tcPr>
          <w:p w14:paraId="55B0164A" w14:textId="77777777" w:rsidR="00DA0A9A" w:rsidRPr="00D14F64" w:rsidRDefault="00DA0A9A" w:rsidP="00F90369">
            <w:pPr>
              <w:jc w:val="both"/>
            </w:pPr>
          </w:p>
        </w:tc>
      </w:tr>
    </w:tbl>
    <w:p w14:paraId="31B7E3DB" w14:textId="77777777" w:rsidR="00DA0A9A" w:rsidRDefault="00DA0A9A" w:rsidP="00DA0A9A">
      <w:pPr>
        <w:pStyle w:val="Heading3"/>
        <w:numPr>
          <w:ilvl w:val="0"/>
          <w:numId w:val="0"/>
        </w:numPr>
        <w:rPr>
          <w:rFonts w:ascii="Arial" w:hAnsi="Arial" w:cs="Arial"/>
          <w:szCs w:val="24"/>
        </w:rPr>
      </w:pPr>
    </w:p>
    <w:p w14:paraId="76AD0DA4" w14:textId="77777777" w:rsidR="00DA0A9A" w:rsidRPr="00D14F64" w:rsidRDefault="00DA0A9A" w:rsidP="00DA0A9A">
      <w:pPr>
        <w:pStyle w:val="Heading3"/>
        <w:numPr>
          <w:ilvl w:val="0"/>
          <w:numId w:val="0"/>
        </w:numPr>
        <w:rPr>
          <w:rFonts w:ascii="Arial" w:hAnsi="Arial" w:cs="Arial"/>
          <w:szCs w:val="24"/>
        </w:rPr>
      </w:pPr>
      <w:r w:rsidRPr="00D14F64">
        <w:rPr>
          <w:rFonts w:ascii="Arial" w:hAnsi="Arial" w:cs="Arial"/>
          <w:szCs w:val="24"/>
        </w:rPr>
        <w:t>Recommended Environmental Assessment Level in Air</w:t>
      </w:r>
    </w:p>
    <w:tbl>
      <w:tblPr>
        <w:tblStyle w:val="TableGrid"/>
        <w:tblW w:w="0" w:type="auto"/>
        <w:tblLook w:val="04A0" w:firstRow="1" w:lastRow="0" w:firstColumn="1" w:lastColumn="0" w:noHBand="0" w:noVBand="1"/>
      </w:tblPr>
      <w:tblGrid>
        <w:gridCol w:w="3777"/>
        <w:gridCol w:w="4519"/>
      </w:tblGrid>
      <w:tr w:rsidR="00DA0A9A" w:rsidRPr="00D14F64" w14:paraId="7AF0AF4B" w14:textId="77777777" w:rsidTr="00F90369">
        <w:tc>
          <w:tcPr>
            <w:tcW w:w="4248" w:type="dxa"/>
          </w:tcPr>
          <w:p w14:paraId="67F1388C" w14:textId="77777777" w:rsidR="00DA0A9A" w:rsidRPr="00DA0A9A" w:rsidRDefault="00DA0A9A" w:rsidP="00F90369">
            <w:pPr>
              <w:jc w:val="both"/>
              <w:rPr>
                <w:rFonts w:ascii="Arial" w:hAnsi="Arial" w:cs="Arial"/>
              </w:rPr>
            </w:pPr>
            <w:r w:rsidRPr="00DA0A9A">
              <w:rPr>
                <w:rFonts w:ascii="Arial" w:hAnsi="Arial" w:cs="Arial"/>
              </w:rPr>
              <w:t>Long-term EAL</w:t>
            </w:r>
          </w:p>
        </w:tc>
        <w:tc>
          <w:tcPr>
            <w:tcW w:w="5102" w:type="dxa"/>
          </w:tcPr>
          <w:p w14:paraId="2C134953" w14:textId="77777777" w:rsidR="00DA0A9A" w:rsidRPr="00DA0A9A" w:rsidRDefault="00DA0A9A" w:rsidP="00F90369">
            <w:pPr>
              <w:jc w:val="both"/>
              <w:rPr>
                <w:rFonts w:ascii="Arial" w:hAnsi="Arial" w:cs="Arial"/>
              </w:rPr>
            </w:pPr>
            <w:r w:rsidRPr="00DA0A9A">
              <w:rPr>
                <w:rFonts w:ascii="Arial" w:hAnsi="Arial" w:cs="Arial"/>
              </w:rPr>
              <w:t>0.1 mg/m</w:t>
            </w:r>
            <w:r w:rsidRPr="00DA0A9A">
              <w:rPr>
                <w:rFonts w:ascii="Arial" w:hAnsi="Arial" w:cs="Arial"/>
                <w:vertAlign w:val="superscript"/>
              </w:rPr>
              <w:t>3</w:t>
            </w:r>
            <w:r w:rsidRPr="00DA0A9A">
              <w:rPr>
                <w:rFonts w:ascii="Arial" w:hAnsi="Arial" w:cs="Arial"/>
              </w:rPr>
              <w:t xml:space="preserve"> as a 24-hour mean</w:t>
            </w:r>
          </w:p>
        </w:tc>
      </w:tr>
      <w:tr w:rsidR="00DA0A9A" w:rsidRPr="00D14F64" w14:paraId="6EDC10BC" w14:textId="77777777" w:rsidTr="00F90369">
        <w:tc>
          <w:tcPr>
            <w:tcW w:w="4248" w:type="dxa"/>
          </w:tcPr>
          <w:p w14:paraId="7E81CEA6" w14:textId="77777777" w:rsidR="00DA0A9A" w:rsidRPr="00DA0A9A" w:rsidRDefault="00DA0A9A" w:rsidP="00F90369">
            <w:pPr>
              <w:jc w:val="both"/>
              <w:rPr>
                <w:rFonts w:ascii="Arial" w:hAnsi="Arial" w:cs="Arial"/>
              </w:rPr>
            </w:pPr>
            <w:r w:rsidRPr="00DA0A9A">
              <w:rPr>
                <w:rFonts w:ascii="Arial" w:hAnsi="Arial" w:cs="Arial"/>
              </w:rPr>
              <w:t>Short-term EAL</w:t>
            </w:r>
          </w:p>
        </w:tc>
        <w:tc>
          <w:tcPr>
            <w:tcW w:w="5102" w:type="dxa"/>
          </w:tcPr>
          <w:p w14:paraId="54E1A0A1" w14:textId="77777777" w:rsidR="00DA0A9A" w:rsidRPr="002005FC" w:rsidRDefault="002005FC" w:rsidP="002005FC">
            <w:pPr>
              <w:rPr>
                <w:rFonts w:ascii="Arial" w:hAnsi="Arial" w:cs="Arial"/>
              </w:rPr>
            </w:pPr>
            <w:r>
              <w:rPr>
                <w:rFonts w:ascii="Arial" w:hAnsi="Arial" w:cs="Arial"/>
              </w:rPr>
              <w:t xml:space="preserve">0.4 </w:t>
            </w:r>
            <w:r w:rsidR="00DA0A9A" w:rsidRPr="002005FC">
              <w:rPr>
                <w:rFonts w:ascii="Arial" w:hAnsi="Arial" w:cs="Arial"/>
              </w:rPr>
              <w:t>mg/m</w:t>
            </w:r>
            <w:r w:rsidR="00DA0A9A" w:rsidRPr="002005FC">
              <w:rPr>
                <w:rFonts w:ascii="Arial" w:hAnsi="Arial" w:cs="Arial"/>
                <w:vertAlign w:val="superscript"/>
              </w:rPr>
              <w:t>3</w:t>
            </w:r>
            <w:r w:rsidR="00DA0A9A" w:rsidRPr="002005FC">
              <w:rPr>
                <w:rFonts w:ascii="Arial" w:hAnsi="Arial" w:cs="Arial"/>
              </w:rPr>
              <w:t xml:space="preserve"> as a 1-hour mean</w:t>
            </w:r>
          </w:p>
        </w:tc>
      </w:tr>
    </w:tbl>
    <w:p w14:paraId="0B7AEABF" w14:textId="77777777" w:rsidR="00DA0A9A" w:rsidRDefault="00DA0A9A" w:rsidP="00DA0A9A">
      <w:pPr>
        <w:pStyle w:val="Heading3"/>
        <w:numPr>
          <w:ilvl w:val="0"/>
          <w:numId w:val="0"/>
        </w:numPr>
        <w:rPr>
          <w:rFonts w:ascii="Arial" w:hAnsi="Arial" w:cs="Arial"/>
          <w:szCs w:val="24"/>
        </w:rPr>
      </w:pPr>
    </w:p>
    <w:p w14:paraId="058C4AFA" w14:textId="77777777" w:rsidR="00DA0A9A" w:rsidRPr="00D14F64" w:rsidRDefault="00DA0A9A" w:rsidP="00DA0A9A">
      <w:pPr>
        <w:pStyle w:val="Heading3"/>
        <w:numPr>
          <w:ilvl w:val="0"/>
          <w:numId w:val="0"/>
        </w:numPr>
        <w:rPr>
          <w:rFonts w:ascii="Arial" w:hAnsi="Arial" w:cs="Arial"/>
          <w:szCs w:val="24"/>
        </w:rPr>
      </w:pPr>
      <w:r w:rsidRPr="00D14F64">
        <w:rPr>
          <w:rFonts w:ascii="Arial" w:hAnsi="Arial" w:cs="Arial"/>
          <w:szCs w:val="24"/>
        </w:rPr>
        <w:t>Overview</w:t>
      </w:r>
    </w:p>
    <w:p w14:paraId="72250506" w14:textId="77777777" w:rsidR="00DA0A9A" w:rsidRDefault="00DA0A9A" w:rsidP="002005FC">
      <w:pPr>
        <w:jc w:val="both"/>
        <w:rPr>
          <w:rFonts w:ascii="Arial" w:hAnsi="Arial" w:cs="Arial"/>
        </w:rPr>
      </w:pPr>
      <w:r w:rsidRPr="002005FC">
        <w:rPr>
          <w:rFonts w:ascii="Arial" w:hAnsi="Arial" w:cs="Arial"/>
        </w:rPr>
        <w:t>There are few authoritative reviews on the adverse effects from exposure to MEA (CNESST 2019, HSE 2016, SCOEL 1996).  It is a strong respiratory, ocular and skin irritant.  CNESST (2019) concluded that MEA is a skin and respiratory sensitiser, but this opinion has been disputed (HSE 2001 and 2016).</w:t>
      </w:r>
    </w:p>
    <w:p w14:paraId="113EBDD4" w14:textId="77777777" w:rsidR="002005FC" w:rsidRPr="002005FC" w:rsidRDefault="002005FC" w:rsidP="002005FC">
      <w:pPr>
        <w:jc w:val="both"/>
        <w:rPr>
          <w:rFonts w:ascii="Arial" w:hAnsi="Arial" w:cs="Arial"/>
        </w:rPr>
      </w:pPr>
    </w:p>
    <w:p w14:paraId="2F05313A"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Toxicokinetics</w:t>
      </w:r>
    </w:p>
    <w:p w14:paraId="753E5549" w14:textId="77777777" w:rsidR="00DA0A9A" w:rsidRDefault="00DA0A9A" w:rsidP="002005FC">
      <w:pPr>
        <w:jc w:val="both"/>
        <w:rPr>
          <w:rFonts w:ascii="Arial" w:hAnsi="Arial" w:cs="Arial"/>
        </w:rPr>
      </w:pPr>
      <w:r w:rsidRPr="002005FC">
        <w:rPr>
          <w:rFonts w:ascii="Arial" w:hAnsi="Arial" w:cs="Arial"/>
        </w:rPr>
        <w:t>Although MEA is a normal component of the human diet, part of the membrane-constituting class of glycerophospholipids and a degradation product of the amino acid serine, there is no quantitative information on its systemic uptake via the oral or inhalation routes (HSE 2016).  SCOEL (1996) concluded that MEA is absorbed through the skin, lungs and gastrointestinal tract.</w:t>
      </w:r>
    </w:p>
    <w:p w14:paraId="735ABBD7" w14:textId="77777777" w:rsidR="002005FC" w:rsidRPr="002005FC" w:rsidRDefault="002005FC" w:rsidP="002005FC">
      <w:pPr>
        <w:jc w:val="both"/>
        <w:rPr>
          <w:rFonts w:ascii="Arial" w:hAnsi="Arial" w:cs="Arial"/>
        </w:rPr>
      </w:pPr>
    </w:p>
    <w:p w14:paraId="7AE51DB7" w14:textId="77777777" w:rsidR="00DA0A9A" w:rsidRDefault="00DA0A9A" w:rsidP="002005FC">
      <w:pPr>
        <w:jc w:val="both"/>
        <w:rPr>
          <w:rFonts w:ascii="Arial" w:hAnsi="Arial" w:cs="Arial"/>
        </w:rPr>
      </w:pPr>
      <w:r w:rsidRPr="002005FC">
        <w:rPr>
          <w:rFonts w:ascii="Arial" w:hAnsi="Arial" w:cs="Arial"/>
        </w:rPr>
        <w:t>MEA is rapidly metabolised in the liver and incorporated into phospholipids in cellular membranes via the formation of phosphoryl ethanolamine and cytidinediphosphate ethanolamine (HSE 2016, SCOEL 1996).  Excess MEA is converted via acetaldehyde to carbon dioxide and exhaled.  In a study of dermal uptake in mice (Klain et al. 1985), MEA was widely distributed and extensively metabolised.  Following inter-peritoneal injection in rats, the highest concentrations were reported in the fatty tissues of the spleen, kidneys and small intestine (Taylor and Richardson 1967).Urea, glycine, serine, choline, and uric acid were the major urinary metabolites in mice (Klain et al. 1985).</w:t>
      </w:r>
    </w:p>
    <w:p w14:paraId="42B1E400" w14:textId="77777777" w:rsidR="002005FC" w:rsidRPr="002005FC" w:rsidRDefault="002005FC" w:rsidP="002005FC">
      <w:pPr>
        <w:jc w:val="both"/>
        <w:rPr>
          <w:rFonts w:ascii="Arial" w:hAnsi="Arial" w:cs="Arial"/>
        </w:rPr>
      </w:pPr>
    </w:p>
    <w:p w14:paraId="3D84AAD8"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Short- and Long-term Exposures</w:t>
      </w:r>
    </w:p>
    <w:p w14:paraId="259AE7F4" w14:textId="77777777" w:rsidR="00DA0A9A" w:rsidRDefault="00DA0A9A" w:rsidP="002005FC">
      <w:pPr>
        <w:jc w:val="both"/>
        <w:rPr>
          <w:rFonts w:ascii="Arial" w:hAnsi="Arial" w:cs="Arial"/>
        </w:rPr>
      </w:pPr>
      <w:r w:rsidRPr="002005FC">
        <w:rPr>
          <w:rFonts w:ascii="Arial" w:hAnsi="Arial" w:cs="Arial"/>
        </w:rPr>
        <w:t>The acute toxicity of MEA is low (SCOEL 1996), but it is a respiratory, ocular, and skin irritant (HSE 2016, TCEQ 2015).  No deaths or abnormal clinical signs after 14-days were reported in Sprague-Dawley rats exposed to 1,300 mg/m</w:t>
      </w:r>
      <w:r w:rsidRPr="002005FC">
        <w:rPr>
          <w:rFonts w:ascii="Arial" w:hAnsi="Arial" w:cs="Arial"/>
          <w:vertAlign w:val="superscript"/>
        </w:rPr>
        <w:t>3</w:t>
      </w:r>
      <w:r w:rsidRPr="002005FC">
        <w:rPr>
          <w:rFonts w:ascii="Arial" w:hAnsi="Arial" w:cs="Arial"/>
        </w:rPr>
        <w:t xml:space="preserve"> for 6 hours (a proprietary study conducted in 1988).</w:t>
      </w:r>
      <w:r w:rsidRPr="002005FC">
        <w:rPr>
          <w:rStyle w:val="FootnoteReference"/>
          <w:rFonts w:ascii="Arial" w:hAnsi="Arial" w:cs="Arial"/>
        </w:rPr>
        <w:t xml:space="preserve"> </w:t>
      </w:r>
      <w:r w:rsidRPr="002005FC">
        <w:rPr>
          <w:rStyle w:val="FootnoteReference"/>
          <w:rFonts w:ascii="Arial" w:hAnsi="Arial" w:cs="Arial"/>
        </w:rPr>
        <w:footnoteReference w:id="1"/>
      </w:r>
      <w:r w:rsidRPr="002005FC">
        <w:rPr>
          <w:rFonts w:ascii="Arial" w:hAnsi="Arial" w:cs="Arial"/>
        </w:rPr>
        <w:t xml:space="preserve">  Necropsy findings were also reported to be ‘unremarkable’.  In a sub-acute study, Wistar rats exposed to a respirable MEA aerosol at &gt;50 mg/m</w:t>
      </w:r>
      <w:r w:rsidRPr="002005FC">
        <w:rPr>
          <w:rFonts w:ascii="Arial" w:hAnsi="Arial" w:cs="Arial"/>
          <w:vertAlign w:val="superscript"/>
        </w:rPr>
        <w:t>3</w:t>
      </w:r>
      <w:r w:rsidRPr="002005FC">
        <w:rPr>
          <w:rFonts w:ascii="Arial" w:hAnsi="Arial" w:cs="Arial"/>
        </w:rPr>
        <w:t xml:space="preserve"> for 6 hours per day, 5 days per week showed signs of respiratory irritation including submucosal inflammation and squamous metaplasia in the larynx and trachea.</w:t>
      </w:r>
      <w:r w:rsidRPr="002005FC">
        <w:rPr>
          <w:rStyle w:val="FootnoteReference"/>
          <w:rFonts w:ascii="Arial" w:hAnsi="Arial" w:cs="Arial"/>
        </w:rPr>
        <w:footnoteReference w:id="2"/>
      </w:r>
      <w:r w:rsidRPr="002005FC">
        <w:rPr>
          <w:rFonts w:ascii="Arial" w:hAnsi="Arial" w:cs="Arial"/>
        </w:rPr>
        <w:t xml:space="preserve">  </w:t>
      </w:r>
    </w:p>
    <w:p w14:paraId="42C13A0E" w14:textId="77777777" w:rsidR="002005FC" w:rsidRPr="002005FC" w:rsidRDefault="002005FC" w:rsidP="002005FC">
      <w:pPr>
        <w:jc w:val="both"/>
        <w:rPr>
          <w:rFonts w:ascii="Arial" w:hAnsi="Arial" w:cs="Arial"/>
        </w:rPr>
      </w:pPr>
    </w:p>
    <w:p w14:paraId="09DD10B1" w14:textId="77777777" w:rsidR="00DA0A9A" w:rsidRDefault="00DA0A9A" w:rsidP="002005FC">
      <w:pPr>
        <w:jc w:val="both"/>
        <w:rPr>
          <w:rFonts w:ascii="Arial" w:hAnsi="Arial" w:cs="Arial"/>
        </w:rPr>
      </w:pPr>
      <w:r w:rsidRPr="002005FC">
        <w:rPr>
          <w:rFonts w:ascii="Arial" w:hAnsi="Arial" w:cs="Arial"/>
        </w:rPr>
        <w:t>Repeated continuous exposure at levels above 66 ppm (168 mg/m</w:t>
      </w:r>
      <w:r w:rsidRPr="002005FC">
        <w:rPr>
          <w:rFonts w:ascii="Arial" w:hAnsi="Arial" w:cs="Arial"/>
          <w:vertAlign w:val="superscript"/>
        </w:rPr>
        <w:t>3</w:t>
      </w:r>
      <w:r w:rsidRPr="002005FC">
        <w:rPr>
          <w:rFonts w:ascii="Arial" w:hAnsi="Arial" w:cs="Arial"/>
        </w:rPr>
        <w:t xml:space="preserve">) caused pathological lesions to the lung, liver, kidneys, spleen and testes in dogs, guinea pigs, and rats exposed for up to 90 days (Weeks </w:t>
      </w:r>
      <w:r w:rsidRPr="002005FC">
        <w:rPr>
          <w:rFonts w:ascii="Arial" w:hAnsi="Arial" w:cs="Arial"/>
          <w:iCs/>
        </w:rPr>
        <w:t>et al</w:t>
      </w:r>
      <w:r w:rsidRPr="002005FC">
        <w:rPr>
          <w:rFonts w:ascii="Arial" w:hAnsi="Arial" w:cs="Arial"/>
        </w:rPr>
        <w:t>., 1960).</w:t>
      </w:r>
      <w:r w:rsidRPr="002005FC">
        <w:rPr>
          <w:rStyle w:val="FootnoteReference"/>
          <w:rFonts w:ascii="Arial" w:hAnsi="Arial" w:cs="Arial"/>
        </w:rPr>
        <w:footnoteReference w:id="3"/>
      </w:r>
      <w:r w:rsidRPr="002005FC">
        <w:rPr>
          <w:rFonts w:ascii="Arial" w:hAnsi="Arial" w:cs="Arial"/>
        </w:rPr>
        <w:t xml:space="preserve">  Dogs exposed at 66 mg/m</w:t>
      </w:r>
      <w:r w:rsidRPr="002005FC">
        <w:rPr>
          <w:rFonts w:ascii="Arial" w:hAnsi="Arial" w:cs="Arial"/>
          <w:vertAlign w:val="superscript"/>
        </w:rPr>
        <w:t>3</w:t>
      </w:r>
      <w:r w:rsidRPr="002005FC">
        <w:rPr>
          <w:rFonts w:ascii="Arial" w:hAnsi="Arial" w:cs="Arial"/>
        </w:rPr>
        <w:t xml:space="preserve"> showed immediate signs of restlessness and discomfort, indicated by nose-pawing, muzzle-licking, and shallow-rapid respiration.  Exposure of rats, dogs and guinea pigs to MEA vapour was also reported to produce skin irritation at levels as low as 5 ppm (13 mg/m</w:t>
      </w:r>
      <w:r w:rsidRPr="002005FC">
        <w:rPr>
          <w:rFonts w:ascii="Arial" w:hAnsi="Arial" w:cs="Arial"/>
          <w:vertAlign w:val="superscript"/>
        </w:rPr>
        <w:t>3</w:t>
      </w:r>
      <w:r w:rsidRPr="002005FC">
        <w:rPr>
          <w:rFonts w:ascii="Arial" w:hAnsi="Arial" w:cs="Arial"/>
        </w:rPr>
        <w:t>), although SCOEL (1996) suggested that this may have been potentiated by direct skin contact with liquid that had condensed on the surface of the inhalation chamber.  Localised respiratory inflammation was also observed at concentrations &gt;50 mg/m</w:t>
      </w:r>
      <w:r w:rsidRPr="002005FC">
        <w:rPr>
          <w:rFonts w:ascii="Arial" w:hAnsi="Arial" w:cs="Arial"/>
          <w:vertAlign w:val="superscript"/>
        </w:rPr>
        <w:t>3</w:t>
      </w:r>
      <w:r w:rsidRPr="002005FC">
        <w:rPr>
          <w:rFonts w:ascii="Arial" w:hAnsi="Arial" w:cs="Arial"/>
        </w:rPr>
        <w:t xml:space="preserve"> in Wistar rats exposed for 6 hours per day, 5 days per week, for 4 weeks (proprietary study, see Pivotal Studies).</w:t>
      </w:r>
    </w:p>
    <w:p w14:paraId="00D61578" w14:textId="77777777" w:rsidR="002005FC" w:rsidRPr="002005FC" w:rsidRDefault="002005FC" w:rsidP="002005FC">
      <w:pPr>
        <w:jc w:val="both"/>
        <w:rPr>
          <w:rFonts w:ascii="Arial" w:hAnsi="Arial" w:cs="Arial"/>
        </w:rPr>
      </w:pPr>
    </w:p>
    <w:p w14:paraId="300254CB" w14:textId="77777777" w:rsidR="00DA0A9A" w:rsidRDefault="00DA0A9A" w:rsidP="002005FC">
      <w:pPr>
        <w:jc w:val="both"/>
        <w:rPr>
          <w:rFonts w:ascii="Arial" w:hAnsi="Arial" w:cs="Arial"/>
        </w:rPr>
      </w:pPr>
      <w:r w:rsidRPr="002005FC">
        <w:rPr>
          <w:rFonts w:ascii="Arial" w:hAnsi="Arial" w:cs="Arial"/>
        </w:rPr>
        <w:t>Respiratory sensitisation resulting in occupational asthma has been identified as a concern by CNESST (2019), but this opinion has been disputed (HSE 2001 and 2016, SCOEL 1996).  Although several case reports (Gelfand 1963, Makela et al. 2011, Sallie et al. 1994, Savonius et al. 1994) have identified symptoms of respiratory sensitisation, there are difficulties in interpretation due to concomitant exposures, uncertainties in the concentration and duration of exposure, and other factors such as the sensitivity of those studied to multiple allergies.  HSE (2016) noted that symptoms of occupational asthma had been identified in only a limited number of case reports despite the widespread use of MEA.  In a mechanistic study by Kamijo et al. (2009) significant bronchoconstriction was observed in guinea pigs, but there was no evidence of respiratory sensitisation (HSE 2016).  The authors suggested that the mechanism for bronchoconstriction possibly involved agnostic effects at the histamine H1 and muscarinic receptors.</w:t>
      </w:r>
    </w:p>
    <w:p w14:paraId="647BAC10" w14:textId="77777777" w:rsidR="002005FC" w:rsidRPr="002005FC" w:rsidRDefault="002005FC" w:rsidP="002005FC">
      <w:pPr>
        <w:jc w:val="both"/>
        <w:rPr>
          <w:rFonts w:ascii="Arial" w:hAnsi="Arial" w:cs="Arial"/>
        </w:rPr>
      </w:pPr>
    </w:p>
    <w:p w14:paraId="7784CF9E" w14:textId="77777777" w:rsidR="00DA0A9A" w:rsidRPr="002005FC" w:rsidRDefault="00DA0A9A" w:rsidP="002005FC">
      <w:pPr>
        <w:jc w:val="both"/>
        <w:rPr>
          <w:rFonts w:ascii="Arial" w:hAnsi="Arial" w:cs="Arial"/>
        </w:rPr>
      </w:pPr>
      <w:r w:rsidRPr="002005FC">
        <w:rPr>
          <w:rFonts w:ascii="Arial" w:hAnsi="Arial" w:cs="Arial"/>
        </w:rPr>
        <w:t>Evidence for neurobehavioral effects have been reported.  Repeated inhalation exposure at levels above 66 ppm (168 mg/m</w:t>
      </w:r>
      <w:r w:rsidRPr="002005FC">
        <w:rPr>
          <w:rFonts w:ascii="Arial" w:hAnsi="Arial" w:cs="Arial"/>
          <w:vertAlign w:val="superscript"/>
        </w:rPr>
        <w:t>3</w:t>
      </w:r>
      <w:r w:rsidRPr="002005FC">
        <w:rPr>
          <w:rFonts w:ascii="Arial" w:hAnsi="Arial" w:cs="Arial"/>
        </w:rPr>
        <w:t xml:space="preserve">) caused neurobehavioral changes in dogs, guinea pigs, and rats exposed continuously to MEA vapour for up to 90 days (Weeks </w:t>
      </w:r>
      <w:r w:rsidRPr="002005FC">
        <w:rPr>
          <w:rFonts w:ascii="Arial" w:hAnsi="Arial" w:cs="Arial"/>
          <w:iCs/>
        </w:rPr>
        <w:t>et al</w:t>
      </w:r>
      <w:r w:rsidRPr="002005FC">
        <w:rPr>
          <w:rFonts w:ascii="Arial" w:hAnsi="Arial" w:cs="Arial"/>
        </w:rPr>
        <w:t>., 1960).  Rats exposed for 2-3 weeks to 5 ppm (13 mg/m</w:t>
      </w:r>
      <w:r w:rsidRPr="002005FC">
        <w:rPr>
          <w:rFonts w:ascii="Arial" w:hAnsi="Arial" w:cs="Arial"/>
          <w:vertAlign w:val="superscript"/>
        </w:rPr>
        <w:t>3</w:t>
      </w:r>
      <w:r w:rsidRPr="002005FC">
        <w:rPr>
          <w:rFonts w:ascii="Arial" w:hAnsi="Arial" w:cs="Arial"/>
        </w:rPr>
        <w:t xml:space="preserve">) exhibited lethargy (Weeks et al. 1960).  </w:t>
      </w:r>
    </w:p>
    <w:p w14:paraId="3D1DD4D6" w14:textId="77777777" w:rsidR="002005FC" w:rsidRDefault="002005FC" w:rsidP="002005FC">
      <w:pPr>
        <w:jc w:val="both"/>
        <w:rPr>
          <w:rFonts w:ascii="Arial" w:hAnsi="Arial" w:cs="Arial"/>
        </w:rPr>
      </w:pPr>
    </w:p>
    <w:p w14:paraId="3C7AFA12" w14:textId="77777777" w:rsidR="00DA0A9A" w:rsidRDefault="00DA0A9A" w:rsidP="002005FC">
      <w:pPr>
        <w:jc w:val="both"/>
        <w:rPr>
          <w:rFonts w:ascii="Arial" w:hAnsi="Arial" w:cs="Arial"/>
        </w:rPr>
      </w:pPr>
      <w:r w:rsidRPr="002005FC">
        <w:rPr>
          <w:rFonts w:ascii="Arial" w:hAnsi="Arial" w:cs="Arial"/>
        </w:rPr>
        <w:t>Evidence for reproductive toxicity has also been reported (Weeks et al. 1960, Mankes 1986), but SCOEL (1996) concluded that this occurred at exposure levels much higher than those that induced either irritation or neurobehavioral effects.</w:t>
      </w:r>
    </w:p>
    <w:p w14:paraId="54D866B2" w14:textId="77777777" w:rsidR="002005FC" w:rsidRPr="002005FC" w:rsidRDefault="002005FC" w:rsidP="002005FC">
      <w:pPr>
        <w:jc w:val="both"/>
        <w:rPr>
          <w:rFonts w:ascii="Arial" w:hAnsi="Arial" w:cs="Arial"/>
        </w:rPr>
      </w:pPr>
    </w:p>
    <w:p w14:paraId="0CE8928F"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Genotoxicity and Carcinogenicity</w:t>
      </w:r>
    </w:p>
    <w:p w14:paraId="514B2DE6" w14:textId="77777777" w:rsidR="00DA0A9A" w:rsidRDefault="00DA0A9A" w:rsidP="002005FC">
      <w:pPr>
        <w:jc w:val="both"/>
        <w:rPr>
          <w:rFonts w:ascii="Arial" w:hAnsi="Arial" w:cs="Arial"/>
        </w:rPr>
      </w:pPr>
      <w:r w:rsidRPr="002005FC">
        <w:rPr>
          <w:rFonts w:ascii="Arial" w:hAnsi="Arial" w:cs="Arial"/>
          <w:i/>
          <w:iCs/>
          <w:color w:val="000000"/>
        </w:rPr>
        <w:t xml:space="preserve">In vitro </w:t>
      </w:r>
      <w:r w:rsidRPr="002005FC">
        <w:rPr>
          <w:rFonts w:ascii="Arial" w:hAnsi="Arial" w:cs="Arial"/>
          <w:color w:val="000000"/>
        </w:rPr>
        <w:t xml:space="preserve">genotoxicity was investigated in three bacterial reverse mutation assays, a chromosome aberration assay in rat hepatocytes and two mammalian cell gene mutation assays (mouse lymphoma [L5178Y] and Chinese hamster lung fibroblasts [V79]).  Negative results were reported in all studies (HSE 2016).  Negative results were also obtained from an </w:t>
      </w:r>
      <w:r w:rsidRPr="002005FC">
        <w:rPr>
          <w:rFonts w:ascii="Arial" w:hAnsi="Arial" w:cs="Arial"/>
          <w:i/>
          <w:iCs/>
          <w:color w:val="000000"/>
        </w:rPr>
        <w:t xml:space="preserve">in vivo </w:t>
      </w:r>
      <w:r w:rsidRPr="002005FC">
        <w:rPr>
          <w:rFonts w:ascii="Arial" w:hAnsi="Arial" w:cs="Arial"/>
          <w:color w:val="000000"/>
        </w:rPr>
        <w:t xml:space="preserve">mouse micronucleus test where clear signs of substance related toxicity were observed at the highest dose.  HSE (2016) concluded that based on the tests performed, the results for MEA were consistently negative and that they gave no cause for additional concerns.  </w:t>
      </w:r>
      <w:r w:rsidRPr="002005FC">
        <w:rPr>
          <w:rFonts w:ascii="Arial" w:hAnsi="Arial" w:cs="Arial"/>
        </w:rPr>
        <w:t>SCOEL (1996) also reported that MEA was not mutagenic in bacteria and did not induce cell transformation.</w:t>
      </w:r>
    </w:p>
    <w:p w14:paraId="4C2CA200" w14:textId="77777777" w:rsidR="002005FC" w:rsidRPr="002005FC" w:rsidRDefault="002005FC" w:rsidP="002005FC">
      <w:pPr>
        <w:jc w:val="both"/>
        <w:rPr>
          <w:rFonts w:ascii="Arial" w:hAnsi="Arial" w:cs="Arial"/>
        </w:rPr>
      </w:pPr>
    </w:p>
    <w:p w14:paraId="674FC4D8" w14:textId="77777777" w:rsidR="00DA0A9A" w:rsidRPr="002005FC" w:rsidRDefault="00DA0A9A" w:rsidP="002005FC">
      <w:pPr>
        <w:jc w:val="both"/>
        <w:rPr>
          <w:rFonts w:ascii="Arial" w:hAnsi="Arial" w:cs="Arial"/>
        </w:rPr>
      </w:pPr>
      <w:r w:rsidRPr="002005FC">
        <w:rPr>
          <w:rFonts w:ascii="Arial" w:hAnsi="Arial" w:cs="Arial"/>
        </w:rPr>
        <w:t xml:space="preserve">No specific carcinogenicity studies have been reported (HSE 2016, SCOEL 1996).  HSE (2016) noted that hyperplasia and metaplasia were observed in the respiratory tract in the 28-day proprietary study with Wistar rats (see Pivotal Studies).  However, they concluded that MEA is a corrosive substance and that the relevance of these respiratory tract lesions to human carcinogenicity was questionable. </w:t>
      </w:r>
    </w:p>
    <w:p w14:paraId="7A3F936B" w14:textId="77777777" w:rsidR="002005FC" w:rsidRPr="00D14F64" w:rsidRDefault="002005FC" w:rsidP="00DA0A9A"/>
    <w:p w14:paraId="740760DC"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Pivotal Studies</w:t>
      </w:r>
    </w:p>
    <w:p w14:paraId="5A1BD4D3" w14:textId="77777777" w:rsidR="00DA0A9A" w:rsidRDefault="00DA0A9A" w:rsidP="002005FC">
      <w:pPr>
        <w:jc w:val="both"/>
        <w:rPr>
          <w:rFonts w:ascii="Arial" w:hAnsi="Arial" w:cs="Arial"/>
          <w:color w:val="000000"/>
        </w:rPr>
      </w:pPr>
      <w:r w:rsidRPr="002005FC">
        <w:rPr>
          <w:rFonts w:ascii="Arial" w:hAnsi="Arial" w:cs="Arial"/>
        </w:rPr>
        <w:t>In a sub-acute study submitted as evidence in support of an application under REACH (HSE 2016), Wistar rats were exposed to a respirable MEA aerosol at 10 mg/m</w:t>
      </w:r>
      <w:r w:rsidRPr="002005FC">
        <w:rPr>
          <w:rFonts w:ascii="Arial" w:hAnsi="Arial" w:cs="Arial"/>
          <w:vertAlign w:val="superscript"/>
        </w:rPr>
        <w:t>3</w:t>
      </w:r>
      <w:r w:rsidRPr="002005FC">
        <w:rPr>
          <w:rFonts w:ascii="Arial" w:hAnsi="Arial" w:cs="Arial"/>
        </w:rPr>
        <w:t>, 50 mg/m</w:t>
      </w:r>
      <w:r w:rsidRPr="002005FC">
        <w:rPr>
          <w:rFonts w:ascii="Arial" w:hAnsi="Arial" w:cs="Arial"/>
          <w:vertAlign w:val="superscript"/>
        </w:rPr>
        <w:t>3</w:t>
      </w:r>
      <w:r w:rsidRPr="002005FC">
        <w:rPr>
          <w:rFonts w:ascii="Arial" w:hAnsi="Arial" w:cs="Arial"/>
        </w:rPr>
        <w:t>, or 150 mg/m</w:t>
      </w:r>
      <w:r w:rsidRPr="002005FC">
        <w:rPr>
          <w:rFonts w:ascii="Arial" w:hAnsi="Arial" w:cs="Arial"/>
          <w:vertAlign w:val="superscript"/>
        </w:rPr>
        <w:t>3</w:t>
      </w:r>
      <w:r w:rsidRPr="002005FC">
        <w:rPr>
          <w:rFonts w:ascii="Arial" w:hAnsi="Arial" w:cs="Arial"/>
        </w:rPr>
        <w:t xml:space="preserve"> for 6 hours per day, 5 days per week, for 4 weeks.</w:t>
      </w:r>
      <w:r w:rsidRPr="002005FC">
        <w:rPr>
          <w:rFonts w:ascii="Arial" w:hAnsi="Arial" w:cs="Arial"/>
          <w:vertAlign w:val="superscript"/>
        </w:rPr>
        <w:t>2</w:t>
      </w:r>
      <w:r w:rsidRPr="002005FC">
        <w:rPr>
          <w:rFonts w:ascii="Arial" w:hAnsi="Arial" w:cs="Arial"/>
        </w:rPr>
        <w:t xml:space="preserve">  Each concentration group consisted of 10 rats (5 of each sex).  Animals were monitored for mortality, clinical signs of toxicity, bodyweight, food consumption, ophthalmological effects, haematological and clinical chemical effects, and were subject to necropsy at the end of the study including gross pathology and histological investigation.  No systemic effects were observed at any concentration level.  </w:t>
      </w:r>
      <w:r w:rsidRPr="002005FC">
        <w:rPr>
          <w:rFonts w:ascii="Arial" w:hAnsi="Arial" w:cs="Arial"/>
          <w:color w:val="000000"/>
        </w:rPr>
        <w:t xml:space="preserve">No histopathological effects were seen in any other organ outside the respiratory tract.  </w:t>
      </w:r>
      <w:r w:rsidRPr="002005FC">
        <w:rPr>
          <w:rFonts w:ascii="Arial" w:hAnsi="Arial" w:cs="Arial"/>
        </w:rPr>
        <w:t>Exposure at 150 mg/m</w:t>
      </w:r>
      <w:r w:rsidRPr="002005FC">
        <w:rPr>
          <w:rFonts w:ascii="Arial" w:hAnsi="Arial" w:cs="Arial"/>
          <w:vertAlign w:val="superscript"/>
        </w:rPr>
        <w:t>3</w:t>
      </w:r>
      <w:r w:rsidRPr="002005FC">
        <w:rPr>
          <w:rFonts w:ascii="Arial" w:hAnsi="Arial" w:cs="Arial"/>
        </w:rPr>
        <w:t xml:space="preserve"> resulted in submucosal inflammation </w:t>
      </w:r>
      <w:r w:rsidRPr="002005FC">
        <w:rPr>
          <w:rFonts w:ascii="Arial" w:hAnsi="Arial" w:cs="Arial"/>
          <w:color w:val="000000"/>
        </w:rPr>
        <w:t>(levels I, II) in males and females, degeneration of submucosal glands (level I) in males and females, focal epithelial necrosis (level I) in males and females, focal squamous metaplasia, (level I) in males and females; (level II) in one male and two females and focal epithelial hyperplasia (level II) in males and females were observed in the larynx. In the trachea, focal squamous metaplasia (carina) accompanied by inflammation in males was observed.  At 50 mg/m³ submucosal inflammation (level I and II) in males and females and squamous metaplasia (level I and II) in few males and females in the larynx was reported.  No treatment-related weight changes, gross lesions or microscopic findings at the low concentration (10 mg/m</w:t>
      </w:r>
      <w:r w:rsidRPr="002005FC">
        <w:rPr>
          <w:rFonts w:ascii="Arial" w:hAnsi="Arial" w:cs="Arial"/>
          <w:color w:val="000000"/>
          <w:vertAlign w:val="superscript"/>
        </w:rPr>
        <w:t>3</w:t>
      </w:r>
      <w:r w:rsidRPr="002005FC">
        <w:rPr>
          <w:rFonts w:ascii="Arial" w:hAnsi="Arial" w:cs="Arial"/>
          <w:color w:val="000000"/>
        </w:rPr>
        <w:t>).  HSE (2016) concluded that the NOAEC for localised and systemic effects were 10 mg/m</w:t>
      </w:r>
      <w:r w:rsidRPr="002005FC">
        <w:rPr>
          <w:rFonts w:ascii="Arial" w:hAnsi="Arial" w:cs="Arial"/>
          <w:color w:val="000000"/>
          <w:vertAlign w:val="superscript"/>
        </w:rPr>
        <w:t>3</w:t>
      </w:r>
      <w:r w:rsidRPr="002005FC">
        <w:rPr>
          <w:rFonts w:ascii="Arial" w:hAnsi="Arial" w:cs="Arial"/>
          <w:color w:val="000000"/>
        </w:rPr>
        <w:t xml:space="preserve"> and 150 mg/m</w:t>
      </w:r>
      <w:r w:rsidRPr="002005FC">
        <w:rPr>
          <w:rFonts w:ascii="Arial" w:hAnsi="Arial" w:cs="Arial"/>
          <w:color w:val="000000"/>
          <w:vertAlign w:val="superscript"/>
        </w:rPr>
        <w:t>3</w:t>
      </w:r>
      <w:r w:rsidRPr="002005FC">
        <w:rPr>
          <w:rFonts w:ascii="Arial" w:hAnsi="Arial" w:cs="Arial"/>
          <w:color w:val="000000"/>
        </w:rPr>
        <w:t>, respectively.</w:t>
      </w:r>
    </w:p>
    <w:p w14:paraId="78C09B0F" w14:textId="77777777" w:rsidR="002005FC" w:rsidRPr="002005FC" w:rsidRDefault="002005FC" w:rsidP="002005FC">
      <w:pPr>
        <w:jc w:val="both"/>
        <w:rPr>
          <w:rFonts w:ascii="Arial" w:hAnsi="Arial" w:cs="Arial"/>
          <w:color w:val="000000"/>
        </w:rPr>
      </w:pPr>
    </w:p>
    <w:p w14:paraId="10098AAF" w14:textId="77777777" w:rsidR="00DA0A9A" w:rsidRPr="002005FC" w:rsidRDefault="00DA0A9A" w:rsidP="002005FC">
      <w:pPr>
        <w:jc w:val="both"/>
        <w:rPr>
          <w:rFonts w:ascii="Arial" w:hAnsi="Arial" w:cs="Arial"/>
        </w:rPr>
      </w:pPr>
      <w:r w:rsidRPr="002005FC">
        <w:rPr>
          <w:rFonts w:ascii="Arial" w:hAnsi="Arial" w:cs="Arial"/>
          <w:color w:val="000000"/>
        </w:rPr>
        <w:t xml:space="preserve">In a sub-chronic study by Weeks et al. (1960), male adult beagles (n=3 per exposure group), six-week old male guinea pigs (n=22 or 30 per group), and eight-week old female rats (n=45 per group) were </w:t>
      </w:r>
      <w:r w:rsidRPr="002005FC">
        <w:rPr>
          <w:rFonts w:ascii="Arial" w:hAnsi="Arial" w:cs="Arial"/>
        </w:rPr>
        <w:t>exposed continuously exposed to MEA at concentrations of 12 – 26 ppm (30.5 – 66.0 mg/m</w:t>
      </w:r>
      <w:r w:rsidRPr="002005FC">
        <w:rPr>
          <w:rFonts w:ascii="Arial" w:hAnsi="Arial" w:cs="Arial"/>
          <w:vertAlign w:val="superscript"/>
        </w:rPr>
        <w:t>3</w:t>
      </w:r>
      <w:r w:rsidRPr="002005FC">
        <w:rPr>
          <w:rFonts w:ascii="Arial" w:hAnsi="Arial" w:cs="Arial"/>
        </w:rPr>
        <w:t>), or 66 – 102 ppm (167.6 – 259.1 mg/m</w:t>
      </w:r>
      <w:r w:rsidRPr="002005FC">
        <w:rPr>
          <w:rFonts w:ascii="Arial" w:hAnsi="Arial" w:cs="Arial"/>
          <w:vertAlign w:val="superscript"/>
        </w:rPr>
        <w:t>3</w:t>
      </w:r>
      <w:r w:rsidRPr="002005FC">
        <w:rPr>
          <w:rFonts w:ascii="Arial" w:hAnsi="Arial" w:cs="Arial"/>
        </w:rPr>
        <w:t>) for between 24 and 90 days.  Additionally, 4-6 week old male and female rats (n=20) and male beagles (n=3) were exposed to 5 – 6 ppm (12.7 – 15.2 mg/m</w:t>
      </w:r>
      <w:r w:rsidRPr="002005FC">
        <w:rPr>
          <w:rFonts w:ascii="Arial" w:hAnsi="Arial" w:cs="Arial"/>
          <w:vertAlign w:val="superscript"/>
        </w:rPr>
        <w:t>3</w:t>
      </w:r>
      <w:r w:rsidRPr="002005FC">
        <w:rPr>
          <w:rFonts w:ascii="Arial" w:hAnsi="Arial" w:cs="Arial"/>
        </w:rPr>
        <w:t>) for 40 and 60 days, respectively.</w:t>
      </w:r>
    </w:p>
    <w:p w14:paraId="591A1558" w14:textId="77777777" w:rsidR="002005FC" w:rsidRDefault="002005FC" w:rsidP="002005FC">
      <w:pPr>
        <w:jc w:val="both"/>
        <w:rPr>
          <w:rFonts w:ascii="Arial" w:hAnsi="Arial" w:cs="Arial"/>
        </w:rPr>
      </w:pPr>
    </w:p>
    <w:p w14:paraId="58B1AC88" w14:textId="77777777" w:rsidR="00DA0A9A" w:rsidRDefault="00DA0A9A" w:rsidP="002005FC">
      <w:pPr>
        <w:jc w:val="both"/>
        <w:rPr>
          <w:rFonts w:ascii="Arial" w:hAnsi="Arial" w:cs="Arial"/>
        </w:rPr>
      </w:pPr>
      <w:r w:rsidRPr="002005FC">
        <w:rPr>
          <w:rFonts w:ascii="Arial" w:hAnsi="Arial" w:cs="Arial"/>
        </w:rPr>
        <w:t>Dogs tolerated a much higher concentration of MEA than rodents, with two dogs surviving 30-days exposure at the highest doses (167.6 – 259.1 mg/m</w:t>
      </w:r>
      <w:r w:rsidRPr="002005FC">
        <w:rPr>
          <w:rFonts w:ascii="Arial" w:hAnsi="Arial" w:cs="Arial"/>
          <w:vertAlign w:val="superscript"/>
        </w:rPr>
        <w:t>3</w:t>
      </w:r>
      <w:r w:rsidRPr="002005FC">
        <w:rPr>
          <w:rFonts w:ascii="Arial" w:hAnsi="Arial" w:cs="Arial"/>
        </w:rPr>
        <w:t>).  At their respective highest dose, 83% of the rats and 75% of the guinea pigs died after 28- and 24-days exposure, respectively. The two surviving dogs developed lung irritation (i.e., moist rales) by the middle of the second week, which was associated with a low grade fever that ran a course of about 2 weeks. Depressed, lethargic, and apathetic states were noted in all animals that survived the high dose.  Other common effects like skin lesions on ground contact points (feet, nose, lips, and chin) and skin points of tension (around extensor surface of larger joints) showed dark eschars (i.e., dry scabs that form on burned skin) which covered ulcerated skin beneath. These skin-related effects may be associated with the animals constantly in contact with MEA condensate as it accumulated on the walls and floors of the exposure chambers throughout the experiments.</w:t>
      </w:r>
    </w:p>
    <w:p w14:paraId="3334B5E6" w14:textId="77777777" w:rsidR="002005FC" w:rsidRPr="002005FC" w:rsidRDefault="002005FC" w:rsidP="002005FC">
      <w:pPr>
        <w:jc w:val="both"/>
        <w:rPr>
          <w:rFonts w:ascii="Arial" w:hAnsi="Arial" w:cs="Arial"/>
        </w:rPr>
      </w:pPr>
    </w:p>
    <w:p w14:paraId="0832FFE4" w14:textId="77777777" w:rsidR="00DA0A9A" w:rsidRPr="002005FC" w:rsidRDefault="00DA0A9A" w:rsidP="002005FC">
      <w:pPr>
        <w:jc w:val="both"/>
        <w:rPr>
          <w:rFonts w:ascii="Arial" w:hAnsi="Arial" w:cs="Arial"/>
        </w:rPr>
      </w:pPr>
      <w:r w:rsidRPr="002005FC">
        <w:rPr>
          <w:rFonts w:ascii="Arial" w:hAnsi="Arial" w:cs="Arial"/>
        </w:rPr>
        <w:t>All animals survived their respective intermediate concentrations (30.5 – 66.0 mg/m</w:t>
      </w:r>
      <w:r w:rsidRPr="002005FC">
        <w:rPr>
          <w:rFonts w:ascii="Arial" w:hAnsi="Arial" w:cs="Arial"/>
          <w:vertAlign w:val="superscript"/>
        </w:rPr>
        <w:t>3</w:t>
      </w:r>
      <w:r w:rsidRPr="002005FC">
        <w:rPr>
          <w:rFonts w:ascii="Arial" w:hAnsi="Arial" w:cs="Arial"/>
        </w:rPr>
        <w:t>) of MEA vapour for 90 days.  Signs and symptoms were similar to those seen at the higher concentrations, but not so severe. Dogs exposed to 66.0 mg/m</w:t>
      </w:r>
      <w:r w:rsidRPr="002005FC">
        <w:rPr>
          <w:rFonts w:ascii="Arial" w:hAnsi="Arial" w:cs="Arial"/>
          <w:vertAlign w:val="superscript"/>
        </w:rPr>
        <w:t>3</w:t>
      </w:r>
      <w:r w:rsidRPr="002005FC">
        <w:rPr>
          <w:rFonts w:ascii="Arial" w:hAnsi="Arial" w:cs="Arial"/>
        </w:rPr>
        <w:t xml:space="preserve"> showed “immediate” signs of restlessness and discomfort, indicated by nose-pawing, muzzle-licking, and shallow-rapid respiration (whilst the specific duration is not stated, as irritation is primarily concentration-dependent, it was assumed the “immediate” irritant effects reported would also occur at a 1-hour duration).  Throughout the experiment these dogs were more irritable than controls, and after a few days of exposure were less alert and bordered variably on lethargy.  Slight tremors of rear leg muscles were also noted.  Also, skin at floor contact points on the chest and scrotum of the dogs became irritated, which was relieved by ointment. </w:t>
      </w:r>
    </w:p>
    <w:p w14:paraId="278F7E4F" w14:textId="77777777" w:rsidR="002005FC" w:rsidRDefault="002005FC" w:rsidP="002005FC">
      <w:pPr>
        <w:jc w:val="both"/>
        <w:rPr>
          <w:rFonts w:ascii="Arial" w:hAnsi="Arial" w:cs="Arial"/>
        </w:rPr>
      </w:pPr>
    </w:p>
    <w:p w14:paraId="46ED642E" w14:textId="77777777" w:rsidR="002005FC" w:rsidRDefault="00DA0A9A" w:rsidP="002005FC">
      <w:pPr>
        <w:jc w:val="both"/>
        <w:rPr>
          <w:rFonts w:ascii="Arial" w:hAnsi="Arial" w:cs="Arial"/>
        </w:rPr>
      </w:pPr>
      <w:r w:rsidRPr="002005FC">
        <w:rPr>
          <w:rFonts w:ascii="Arial" w:hAnsi="Arial" w:cs="Arial"/>
        </w:rPr>
        <w:t>Dogs exposed to 30.5 mg/m</w:t>
      </w:r>
      <w:r w:rsidRPr="002005FC">
        <w:rPr>
          <w:rFonts w:ascii="Arial" w:hAnsi="Arial" w:cs="Arial"/>
          <w:vertAlign w:val="superscript"/>
        </w:rPr>
        <w:t>3</w:t>
      </w:r>
      <w:r w:rsidRPr="002005FC">
        <w:rPr>
          <w:rFonts w:ascii="Arial" w:hAnsi="Arial" w:cs="Arial"/>
        </w:rPr>
        <w:t xml:space="preserve"> for 90 days did not show immediate behavioural changes.  No significant weight changes occurred nor did physical examinations reveal any changes.  However, after several days their skin became irritated and soothing ointment was applied, which relieved the condition and the skin showed no further signs of irritation.  Concurrently, lethargy or depression appeared and lasted about three weeks before their behaviour returned to normal.  Rodents exposed to 30.5 – 38.1 mg/m</w:t>
      </w:r>
      <w:r w:rsidRPr="002005FC">
        <w:rPr>
          <w:rFonts w:ascii="Arial" w:hAnsi="Arial" w:cs="Arial"/>
          <w:vertAlign w:val="superscript"/>
        </w:rPr>
        <w:t>3</w:t>
      </w:r>
      <w:r w:rsidRPr="002005FC">
        <w:rPr>
          <w:rFonts w:ascii="Arial" w:hAnsi="Arial" w:cs="Arial"/>
        </w:rPr>
        <w:t xml:space="preserve"> became less active than the controls after about 3 days, and showed definite lethargy after about 10 days, which lasted throughout the balance of the exposure.  In addition to hair loss, rodents showed an approximate 10% reduction in weight gain and approximately a 40% increase in water consumption.</w:t>
      </w:r>
    </w:p>
    <w:p w14:paraId="1C291D7E" w14:textId="77777777" w:rsidR="00DA0A9A" w:rsidRPr="002005FC" w:rsidRDefault="00DA0A9A" w:rsidP="002005FC">
      <w:pPr>
        <w:jc w:val="both"/>
        <w:rPr>
          <w:rFonts w:ascii="Arial" w:hAnsi="Arial" w:cs="Arial"/>
        </w:rPr>
      </w:pPr>
      <w:r w:rsidRPr="002005FC">
        <w:rPr>
          <w:rFonts w:ascii="Arial" w:hAnsi="Arial" w:cs="Arial"/>
        </w:rPr>
        <w:t xml:space="preserve"> </w:t>
      </w:r>
    </w:p>
    <w:p w14:paraId="705D2A03" w14:textId="77777777" w:rsidR="002005FC" w:rsidRDefault="00DA0A9A" w:rsidP="002005FC">
      <w:pPr>
        <w:jc w:val="both"/>
        <w:rPr>
          <w:rFonts w:ascii="Arial" w:hAnsi="Arial" w:cs="Arial"/>
        </w:rPr>
      </w:pPr>
      <w:r w:rsidRPr="002005FC">
        <w:rPr>
          <w:rFonts w:ascii="Arial" w:hAnsi="Arial" w:cs="Arial"/>
        </w:rPr>
        <w:t>For the low exposure group, young (4-5 weeks old) male and female rats and mature beagles were exposed to 12.7 – 15.2 mg/m</w:t>
      </w:r>
      <w:r w:rsidRPr="002005FC">
        <w:rPr>
          <w:rFonts w:ascii="Arial" w:hAnsi="Arial" w:cs="Arial"/>
          <w:vertAlign w:val="superscript"/>
        </w:rPr>
        <w:t>3</w:t>
      </w:r>
      <w:r w:rsidRPr="002005FC">
        <w:rPr>
          <w:rFonts w:ascii="Arial" w:hAnsi="Arial" w:cs="Arial"/>
        </w:rPr>
        <w:t xml:space="preserve"> for 40 days and 60 days, respectively. All animals survived exposure to these low concentrations.  Neurobehavioral changes in animals were noted after 2-3 weeks of continuous exposure at these concentrations.  In dogs, a slight decrease in alertness and activity was noted. 2 of the three exposed dogs also showed slight weight loss concurrently.  No changes from normal were observed in pulse, temperature, and heart and lung sounds. Skin irritation and hair loss occurred on chest-floor contact areas, and the scrotum became bare and spotted with small scattered black eschars.  All rats exposed to 12.7 mg/m</w:t>
      </w:r>
      <w:r w:rsidRPr="002005FC">
        <w:rPr>
          <w:rFonts w:ascii="Arial" w:hAnsi="Arial" w:cs="Arial"/>
          <w:vertAlign w:val="superscript"/>
        </w:rPr>
        <w:t>3</w:t>
      </w:r>
      <w:r w:rsidRPr="002005FC">
        <w:rPr>
          <w:rFonts w:ascii="Arial" w:hAnsi="Arial" w:cs="Arial"/>
        </w:rPr>
        <w:t xml:space="preserve"> showed pelt discoloration after 12 days and transitory hair loss on the head and back after 3 weeks, which was more pronounced in the females.  Additionally, some slowness in movement developed in rats after 3 weeks, which lasted throughout the 40-day exposure duration.</w:t>
      </w:r>
    </w:p>
    <w:p w14:paraId="41219A9E" w14:textId="77777777" w:rsidR="00DA0A9A" w:rsidRPr="002005FC" w:rsidRDefault="00DA0A9A" w:rsidP="002005FC">
      <w:pPr>
        <w:jc w:val="both"/>
        <w:rPr>
          <w:rFonts w:ascii="Arial" w:hAnsi="Arial" w:cs="Arial"/>
        </w:rPr>
      </w:pPr>
      <w:r w:rsidRPr="002005FC">
        <w:rPr>
          <w:rFonts w:ascii="Arial" w:hAnsi="Arial" w:cs="Arial"/>
        </w:rPr>
        <w:t xml:space="preserve"> </w:t>
      </w:r>
    </w:p>
    <w:p w14:paraId="41357E08" w14:textId="77777777" w:rsidR="00DA0A9A" w:rsidRDefault="00DA0A9A" w:rsidP="002005FC">
      <w:pPr>
        <w:jc w:val="both"/>
        <w:rPr>
          <w:rFonts w:ascii="Arial" w:hAnsi="Arial" w:cs="Arial"/>
        </w:rPr>
      </w:pPr>
      <w:r w:rsidRPr="002005FC">
        <w:rPr>
          <w:rFonts w:ascii="Arial" w:hAnsi="Arial" w:cs="Arial"/>
        </w:rPr>
        <w:t>Based on the results of this study, 30.5 mg/m</w:t>
      </w:r>
      <w:r w:rsidRPr="002005FC">
        <w:rPr>
          <w:rFonts w:ascii="Arial" w:hAnsi="Arial" w:cs="Arial"/>
          <w:vertAlign w:val="superscript"/>
        </w:rPr>
        <w:t>3</w:t>
      </w:r>
      <w:r w:rsidRPr="002005FC">
        <w:rPr>
          <w:rFonts w:ascii="Arial" w:hAnsi="Arial" w:cs="Arial"/>
        </w:rPr>
        <w:t xml:space="preserve"> was selected by TCEQ (2015) as the acute LOAEC for nasal irritation symptoms (e.g., nose-pawing, shallow breathing) in dogs.  Neurobehavioral changes seen in rats and dogs at 12.7 mg/m</w:t>
      </w:r>
      <w:r w:rsidRPr="002005FC">
        <w:rPr>
          <w:rFonts w:ascii="Arial" w:hAnsi="Arial" w:cs="Arial"/>
          <w:vertAlign w:val="superscript"/>
        </w:rPr>
        <w:t>3</w:t>
      </w:r>
      <w:r w:rsidRPr="002005FC">
        <w:rPr>
          <w:rFonts w:ascii="Arial" w:hAnsi="Arial" w:cs="Arial"/>
        </w:rPr>
        <w:t xml:space="preserve"> were selected by TCEQ (2015) and HSE (2016) for the chronic LOAEC.</w:t>
      </w:r>
    </w:p>
    <w:p w14:paraId="3C30E28E" w14:textId="77777777" w:rsidR="002005FC" w:rsidRPr="002005FC" w:rsidRDefault="002005FC" w:rsidP="002005FC">
      <w:pPr>
        <w:jc w:val="both"/>
        <w:rPr>
          <w:rFonts w:ascii="Arial" w:hAnsi="Arial" w:cs="Arial"/>
        </w:rPr>
      </w:pPr>
    </w:p>
    <w:p w14:paraId="3A703FC5" w14:textId="77777777" w:rsidR="00DA0A9A" w:rsidRPr="00D14F64" w:rsidRDefault="00DA0A9A" w:rsidP="002005FC">
      <w:pPr>
        <w:pStyle w:val="Heading3"/>
        <w:numPr>
          <w:ilvl w:val="0"/>
          <w:numId w:val="0"/>
        </w:numPr>
        <w:rPr>
          <w:rFonts w:ascii="Arial" w:hAnsi="Arial" w:cs="Arial"/>
          <w:szCs w:val="24"/>
        </w:rPr>
      </w:pPr>
      <w:r w:rsidRPr="00D14F64">
        <w:rPr>
          <w:rFonts w:ascii="Arial" w:hAnsi="Arial" w:cs="Arial"/>
          <w:szCs w:val="24"/>
        </w:rPr>
        <w:t>Short-term Exposure</w:t>
      </w:r>
    </w:p>
    <w:p w14:paraId="7F4B4EC4" w14:textId="77777777" w:rsidR="00DA0A9A" w:rsidRPr="002005FC" w:rsidRDefault="00DA0A9A" w:rsidP="00DA0A9A">
      <w:pPr>
        <w:rPr>
          <w:rFonts w:ascii="Arial" w:hAnsi="Arial" w:cs="Arial"/>
        </w:rPr>
      </w:pPr>
      <w:r w:rsidRPr="002005FC">
        <w:rPr>
          <w:rFonts w:ascii="Arial" w:hAnsi="Arial" w:cs="Arial"/>
        </w:rPr>
        <w:t>HSE (2016) and TCEQ (2015) have proposed HBGVs for MEA.</w:t>
      </w:r>
    </w:p>
    <w:p w14:paraId="0719AC1E" w14:textId="77777777" w:rsidR="002005FC" w:rsidRPr="00D14F64" w:rsidRDefault="002005FC" w:rsidP="00DA0A9A"/>
    <w:p w14:paraId="7EECB890"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Health and Safety Executive</w:t>
      </w:r>
    </w:p>
    <w:p w14:paraId="5A7158F5" w14:textId="77777777" w:rsidR="00DA0A9A" w:rsidRPr="002005FC" w:rsidRDefault="00DA0A9A" w:rsidP="002005FC">
      <w:pPr>
        <w:jc w:val="both"/>
        <w:rPr>
          <w:rFonts w:ascii="Arial" w:hAnsi="Arial" w:cs="Arial"/>
        </w:rPr>
      </w:pPr>
      <w:r w:rsidRPr="002005FC">
        <w:rPr>
          <w:rFonts w:ascii="Arial" w:hAnsi="Arial" w:cs="Arial"/>
          <w:color w:val="000000"/>
        </w:rPr>
        <w:t>HSE (2016) proposed a DNEL of 3.8 mg/m</w:t>
      </w:r>
      <w:r w:rsidRPr="002005FC">
        <w:rPr>
          <w:rFonts w:ascii="Arial" w:hAnsi="Arial" w:cs="Arial"/>
          <w:color w:val="000000"/>
          <w:vertAlign w:val="superscript"/>
        </w:rPr>
        <w:t>3</w:t>
      </w:r>
      <w:r w:rsidRPr="002005FC">
        <w:rPr>
          <w:rFonts w:ascii="Arial" w:hAnsi="Arial" w:cs="Arial"/>
          <w:color w:val="000000"/>
        </w:rPr>
        <w:t xml:space="preserve"> to protect the general public from local and systemic effects from acute exposure.  It was based on the 15-minute STEL of 7.6 mg/m</w:t>
      </w:r>
      <w:r w:rsidRPr="002005FC">
        <w:rPr>
          <w:rFonts w:ascii="Arial" w:hAnsi="Arial" w:cs="Arial"/>
          <w:color w:val="000000"/>
          <w:vertAlign w:val="superscript"/>
        </w:rPr>
        <w:t>3</w:t>
      </w:r>
      <w:r w:rsidRPr="002005FC">
        <w:rPr>
          <w:rFonts w:ascii="Arial" w:hAnsi="Arial" w:cs="Arial"/>
          <w:color w:val="000000"/>
        </w:rPr>
        <w:t xml:space="preserve">, which had been recommended by SCOEL (1996) to prevent worker exposure to irritating levels.  In the study by Weeks et al. (1960), </w:t>
      </w:r>
      <w:r w:rsidRPr="002005FC">
        <w:rPr>
          <w:rFonts w:ascii="Arial" w:hAnsi="Arial" w:cs="Arial"/>
        </w:rPr>
        <w:t>exposure of rats, guinea pigs, and dogs to MEA vapour had produced skin irritation at levels as low as 12.7 mg/m</w:t>
      </w:r>
      <w:r w:rsidRPr="002005FC">
        <w:rPr>
          <w:rFonts w:ascii="Arial" w:hAnsi="Arial" w:cs="Arial"/>
          <w:vertAlign w:val="superscript"/>
        </w:rPr>
        <w:t>3</w:t>
      </w:r>
      <w:r w:rsidRPr="002005FC">
        <w:rPr>
          <w:rFonts w:ascii="Arial" w:hAnsi="Arial" w:cs="Arial"/>
        </w:rPr>
        <w:t xml:space="preserve">.  HSE (2016) applied a further UF of two to account for wider sensitivity in the general population.  </w:t>
      </w:r>
    </w:p>
    <w:p w14:paraId="496E9787" w14:textId="77777777" w:rsidR="00DA0A9A" w:rsidRDefault="00DA0A9A" w:rsidP="00DA0A9A"/>
    <w:p w14:paraId="32B7FECB"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Texas Commission on Environmental Quality</w:t>
      </w:r>
    </w:p>
    <w:p w14:paraId="57B68909" w14:textId="77777777" w:rsidR="00DA0A9A" w:rsidRDefault="00DA0A9A" w:rsidP="002005FC">
      <w:pPr>
        <w:jc w:val="both"/>
        <w:rPr>
          <w:rFonts w:ascii="Arial" w:hAnsi="Arial" w:cs="Arial"/>
        </w:rPr>
      </w:pPr>
      <w:r w:rsidRPr="002005FC">
        <w:rPr>
          <w:rFonts w:ascii="Arial" w:hAnsi="Arial" w:cs="Arial"/>
        </w:rPr>
        <w:t>TCEQ (2015) proposed an acute Air Monitoring Comparison Value (AMCV) of 0.32 mg/m</w:t>
      </w:r>
      <w:r w:rsidRPr="002005FC">
        <w:rPr>
          <w:rFonts w:ascii="Arial" w:hAnsi="Arial" w:cs="Arial"/>
          <w:vertAlign w:val="superscript"/>
        </w:rPr>
        <w:t>3</w:t>
      </w:r>
      <w:r w:rsidRPr="002005FC">
        <w:rPr>
          <w:rFonts w:ascii="Arial" w:hAnsi="Arial" w:cs="Arial"/>
        </w:rPr>
        <w:t>.  It was based on a NOAEC of 30.5 mg/m</w:t>
      </w:r>
      <w:r w:rsidRPr="002005FC">
        <w:rPr>
          <w:rFonts w:ascii="Arial" w:hAnsi="Arial" w:cs="Arial"/>
          <w:vertAlign w:val="superscript"/>
        </w:rPr>
        <w:t>3</w:t>
      </w:r>
      <w:r w:rsidRPr="002005FC">
        <w:rPr>
          <w:rFonts w:ascii="Arial" w:hAnsi="Arial" w:cs="Arial"/>
        </w:rPr>
        <w:t xml:space="preserve"> for behavioural signs of nasal irritation (nose-pawing, shallow breathing) in dogs subject to continuous exposure for up to 90 days (Weeks et al. 1960).  A UF of 90 was applied (a factor of 3 for interspecies variation, a factor of 10 for intra-species variation, and a further factor of 3 for deficiencies in the database for acute toxicity).  No adjustment was applied to the use of a sub-chronic study because irritation was considered a concentration-based effect.</w:t>
      </w:r>
    </w:p>
    <w:p w14:paraId="10B40F90" w14:textId="77777777" w:rsidR="002005FC" w:rsidRDefault="002005FC" w:rsidP="002005FC">
      <w:pPr>
        <w:jc w:val="both"/>
        <w:rPr>
          <w:rFonts w:ascii="Arial" w:hAnsi="Arial" w:cs="Arial"/>
        </w:rPr>
      </w:pPr>
    </w:p>
    <w:p w14:paraId="66C5D35D" w14:textId="77777777" w:rsidR="002005FC" w:rsidRPr="002005FC" w:rsidRDefault="002005FC" w:rsidP="002005FC">
      <w:pPr>
        <w:jc w:val="both"/>
        <w:rPr>
          <w:rFonts w:ascii="Arial" w:hAnsi="Arial" w:cs="Arial"/>
        </w:rPr>
      </w:pPr>
    </w:p>
    <w:p w14:paraId="4E4A7EA3" w14:textId="77777777" w:rsidR="00DA0A9A" w:rsidRPr="00D14F64" w:rsidRDefault="00DA0A9A" w:rsidP="002005FC">
      <w:pPr>
        <w:pStyle w:val="Heading3"/>
        <w:numPr>
          <w:ilvl w:val="0"/>
          <w:numId w:val="0"/>
        </w:numPr>
        <w:rPr>
          <w:rFonts w:ascii="Arial" w:hAnsi="Arial" w:cs="Arial"/>
          <w:szCs w:val="24"/>
        </w:rPr>
      </w:pPr>
      <w:r w:rsidRPr="00D14F64">
        <w:rPr>
          <w:rFonts w:ascii="Arial" w:hAnsi="Arial" w:cs="Arial"/>
          <w:szCs w:val="24"/>
        </w:rPr>
        <w:t>Long-term Exposure</w:t>
      </w:r>
    </w:p>
    <w:p w14:paraId="1AE9039E" w14:textId="77777777" w:rsidR="00DA0A9A" w:rsidRPr="002005FC" w:rsidRDefault="00DA0A9A" w:rsidP="00DA0A9A">
      <w:pPr>
        <w:rPr>
          <w:rFonts w:ascii="Arial" w:hAnsi="Arial" w:cs="Arial"/>
        </w:rPr>
      </w:pPr>
      <w:r w:rsidRPr="002005FC">
        <w:rPr>
          <w:rFonts w:ascii="Arial" w:hAnsi="Arial" w:cs="Arial"/>
        </w:rPr>
        <w:t>HSE (2016), TCEQ (2015), and the industry REACH dossier have proposed HBGVs.</w:t>
      </w:r>
    </w:p>
    <w:p w14:paraId="783C740D" w14:textId="77777777" w:rsidR="002005FC" w:rsidRPr="00D14F64" w:rsidRDefault="002005FC" w:rsidP="00DA0A9A"/>
    <w:p w14:paraId="423D04A5"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Health and Safety Executive</w:t>
      </w:r>
    </w:p>
    <w:p w14:paraId="39E7F367" w14:textId="77777777" w:rsidR="00DA0A9A" w:rsidRPr="002005FC" w:rsidRDefault="00DA0A9A" w:rsidP="002005FC">
      <w:pPr>
        <w:jc w:val="both"/>
        <w:rPr>
          <w:rFonts w:ascii="Arial" w:hAnsi="Arial" w:cs="Arial"/>
        </w:rPr>
      </w:pPr>
      <w:r w:rsidRPr="002005FC">
        <w:rPr>
          <w:rFonts w:ascii="Arial" w:hAnsi="Arial" w:cs="Arial"/>
          <w:color w:val="000000"/>
        </w:rPr>
        <w:t>HSE (2016) derived a DNEL of 0.5 mg/m</w:t>
      </w:r>
      <w:r w:rsidRPr="002005FC">
        <w:rPr>
          <w:rFonts w:ascii="Arial" w:hAnsi="Arial" w:cs="Arial"/>
          <w:color w:val="000000"/>
          <w:vertAlign w:val="superscript"/>
        </w:rPr>
        <w:t>3</w:t>
      </w:r>
      <w:r w:rsidRPr="002005FC">
        <w:rPr>
          <w:rFonts w:ascii="Arial" w:hAnsi="Arial" w:cs="Arial"/>
          <w:color w:val="000000"/>
        </w:rPr>
        <w:t xml:space="preserve"> to protect the general public from systemic effects from long-term exposure.  It was based on the OEL of 2.5 mg/m</w:t>
      </w:r>
      <w:r w:rsidRPr="002005FC">
        <w:rPr>
          <w:rFonts w:ascii="Arial" w:hAnsi="Arial" w:cs="Arial"/>
          <w:color w:val="000000"/>
          <w:vertAlign w:val="superscript"/>
        </w:rPr>
        <w:t>3</w:t>
      </w:r>
      <w:r w:rsidRPr="002005FC">
        <w:rPr>
          <w:rFonts w:ascii="Arial" w:hAnsi="Arial" w:cs="Arial"/>
          <w:color w:val="000000"/>
        </w:rPr>
        <w:t xml:space="preserve"> as an 8-hour TWA derived by SCOEL (1996), which itself used the LOAEC of 12.7 mg/m</w:t>
      </w:r>
      <w:r w:rsidRPr="002005FC">
        <w:rPr>
          <w:rFonts w:ascii="Arial" w:hAnsi="Arial" w:cs="Arial"/>
          <w:color w:val="000000"/>
          <w:vertAlign w:val="superscript"/>
        </w:rPr>
        <w:t>3</w:t>
      </w:r>
      <w:r w:rsidRPr="002005FC">
        <w:rPr>
          <w:rFonts w:ascii="Arial" w:hAnsi="Arial" w:cs="Arial"/>
          <w:color w:val="000000"/>
        </w:rPr>
        <w:t xml:space="preserve"> </w:t>
      </w:r>
      <w:r w:rsidRPr="002005FC">
        <w:rPr>
          <w:rFonts w:ascii="Arial" w:hAnsi="Arial" w:cs="Arial"/>
        </w:rPr>
        <w:t>for signs of lethargy and sluggish movement seen in rodents (Weeks et al. 1960) and a UF of 5 for interspecies variation.  HSE (2016) corrected the OEL to continuous exposure (8/24) and divided it by an additional UF of 2 for wider sensitivity in the general population.</w:t>
      </w:r>
    </w:p>
    <w:p w14:paraId="12717882" w14:textId="77777777" w:rsidR="002005FC" w:rsidRPr="00D14F64" w:rsidRDefault="002005FC" w:rsidP="00DA0A9A"/>
    <w:p w14:paraId="2628CEA6" w14:textId="77777777" w:rsidR="00DA0A9A" w:rsidRPr="002005FC" w:rsidRDefault="00DA0A9A" w:rsidP="002005FC">
      <w:pPr>
        <w:pStyle w:val="Heading4"/>
        <w:numPr>
          <w:ilvl w:val="0"/>
          <w:numId w:val="0"/>
        </w:numPr>
        <w:rPr>
          <w:rFonts w:ascii="Arial" w:hAnsi="Arial" w:cs="Arial"/>
          <w:b/>
          <w:i w:val="0"/>
          <w:color w:val="auto"/>
        </w:rPr>
      </w:pPr>
      <w:r w:rsidRPr="002005FC">
        <w:rPr>
          <w:rFonts w:ascii="Arial" w:hAnsi="Arial" w:cs="Arial"/>
          <w:b/>
          <w:i w:val="0"/>
          <w:color w:val="auto"/>
        </w:rPr>
        <w:t>REACH Chemical Dossier</w:t>
      </w:r>
    </w:p>
    <w:p w14:paraId="068C6B5C" w14:textId="77777777" w:rsidR="002005FC" w:rsidRPr="002005FC" w:rsidRDefault="00DA0A9A" w:rsidP="002005FC">
      <w:pPr>
        <w:jc w:val="both"/>
        <w:rPr>
          <w:rFonts w:ascii="Arial" w:hAnsi="Arial" w:cs="Arial"/>
        </w:rPr>
      </w:pPr>
      <w:r w:rsidRPr="002005FC">
        <w:rPr>
          <w:rFonts w:ascii="Arial" w:hAnsi="Arial" w:cs="Arial"/>
        </w:rPr>
        <w:t>The industry REACH dossier for MEA on the ECHA dissemination portal derived a DNEL of 2 mg/m</w:t>
      </w:r>
      <w:r w:rsidRPr="002005FC">
        <w:rPr>
          <w:rFonts w:ascii="Arial" w:hAnsi="Arial" w:cs="Arial"/>
          <w:vertAlign w:val="superscript"/>
        </w:rPr>
        <w:t>3</w:t>
      </w:r>
      <w:r w:rsidRPr="002005FC">
        <w:rPr>
          <w:rFonts w:ascii="Arial" w:hAnsi="Arial" w:cs="Arial"/>
        </w:rPr>
        <w:t xml:space="preserve"> to protect the general public from localised effects from long-term exposure.</w:t>
      </w:r>
      <w:r w:rsidRPr="002005FC">
        <w:rPr>
          <w:rStyle w:val="FootnoteReference"/>
          <w:rFonts w:ascii="Arial" w:hAnsi="Arial" w:cs="Arial"/>
        </w:rPr>
        <w:t xml:space="preserve"> </w:t>
      </w:r>
      <w:r w:rsidRPr="002005FC">
        <w:rPr>
          <w:rStyle w:val="FootnoteReference"/>
          <w:rFonts w:ascii="Arial" w:hAnsi="Arial" w:cs="Arial"/>
        </w:rPr>
        <w:footnoteReference w:id="4"/>
      </w:r>
      <w:r w:rsidRPr="002005FC">
        <w:rPr>
          <w:rFonts w:ascii="Arial" w:hAnsi="Arial" w:cs="Arial"/>
        </w:rPr>
        <w:t xml:space="preserve">  It was based on a NOAEL of 10 mg/m</w:t>
      </w:r>
      <w:r w:rsidRPr="002005FC">
        <w:rPr>
          <w:rFonts w:ascii="Arial" w:hAnsi="Arial" w:cs="Arial"/>
          <w:vertAlign w:val="superscript"/>
        </w:rPr>
        <w:t>3</w:t>
      </w:r>
      <w:r w:rsidRPr="002005FC">
        <w:rPr>
          <w:rFonts w:ascii="Arial" w:hAnsi="Arial" w:cs="Arial"/>
        </w:rPr>
        <w:t xml:space="preserve"> from a proprietary sub-acute study in Wistar rats for inflammation and lesions in the respiratory tract (see Pivotal Studies).  Concentration was considered more important than exposure duration for an irritant effect and therefore no correction was applied for intermittent exposure.  A UF of 5 was applied (a factor of 1 for interspecies variation and a factor of 5 for intra-species variation).</w:t>
      </w:r>
    </w:p>
    <w:p w14:paraId="53FF4C9D" w14:textId="77777777" w:rsidR="00DA0A9A" w:rsidRPr="00D14F64" w:rsidRDefault="00DA0A9A" w:rsidP="00DA0A9A">
      <w:r w:rsidRPr="00D14F64">
        <w:t xml:space="preserve">    </w:t>
      </w:r>
    </w:p>
    <w:p w14:paraId="042AF29D" w14:textId="77777777" w:rsidR="00DA0A9A" w:rsidRPr="002005FC" w:rsidRDefault="00DA0A9A" w:rsidP="002005FC">
      <w:pPr>
        <w:pStyle w:val="Heading4"/>
        <w:numPr>
          <w:ilvl w:val="0"/>
          <w:numId w:val="0"/>
        </w:numPr>
        <w:rPr>
          <w:rFonts w:ascii="Arial" w:hAnsi="Arial" w:cs="Arial"/>
          <w:b/>
          <w:i w:val="0"/>
        </w:rPr>
      </w:pPr>
      <w:r w:rsidRPr="002005FC">
        <w:rPr>
          <w:rFonts w:ascii="Arial" w:hAnsi="Arial" w:cs="Arial"/>
          <w:b/>
          <w:i w:val="0"/>
          <w:color w:val="auto"/>
        </w:rPr>
        <w:t>Texas Commission on Environmental Quality (TCEQ)</w:t>
      </w:r>
    </w:p>
    <w:p w14:paraId="7EAA20C3" w14:textId="77777777" w:rsidR="00DA0A9A" w:rsidRPr="002005FC" w:rsidRDefault="00DA0A9A" w:rsidP="002005FC">
      <w:pPr>
        <w:jc w:val="both"/>
        <w:rPr>
          <w:rFonts w:ascii="Arial" w:hAnsi="Arial" w:cs="Arial"/>
        </w:rPr>
      </w:pPr>
      <w:r w:rsidRPr="002005FC">
        <w:rPr>
          <w:rFonts w:ascii="Arial" w:hAnsi="Arial" w:cs="Arial"/>
        </w:rPr>
        <w:t>TCEQ (2015) proposed a chronic AMCV of 0.023 mg/m</w:t>
      </w:r>
      <w:r w:rsidRPr="002005FC">
        <w:rPr>
          <w:rFonts w:ascii="Arial" w:hAnsi="Arial" w:cs="Arial"/>
          <w:vertAlign w:val="superscript"/>
        </w:rPr>
        <w:t>3</w:t>
      </w:r>
      <w:r w:rsidRPr="002005FC">
        <w:rPr>
          <w:rFonts w:ascii="Arial" w:hAnsi="Arial" w:cs="Arial"/>
        </w:rPr>
        <w:t>, which was based on a LOAEC of 12.7 mg/m</w:t>
      </w:r>
      <w:r w:rsidRPr="002005FC">
        <w:rPr>
          <w:rFonts w:ascii="Arial" w:hAnsi="Arial" w:cs="Arial"/>
          <w:vertAlign w:val="superscript"/>
        </w:rPr>
        <w:t>3</w:t>
      </w:r>
      <w:r w:rsidRPr="002005FC">
        <w:rPr>
          <w:rFonts w:ascii="Arial" w:hAnsi="Arial" w:cs="Arial"/>
        </w:rPr>
        <w:t xml:space="preserve"> for signs of lethargy and sluggish movement observed in rodents (rats and guinea pigs) exposed to MEA vapour for up to 90 days (Weeks et al. 1960).  A UF of 540 was applied (a factor of 3 for extrapolation from a LOAEC to NOAEC, a factor of 3 for interspecies variation, a factor of 10 for intra-species variation, a factor of 2 for the sub-chronic to chronic exposure duration, and a factor of 3 for deficiencies in the database for chronic toxicity).</w:t>
      </w:r>
    </w:p>
    <w:p w14:paraId="5FB7CDBA" w14:textId="77777777" w:rsidR="002005FC" w:rsidRPr="002005FC" w:rsidRDefault="002005FC" w:rsidP="002005FC">
      <w:pPr>
        <w:jc w:val="both"/>
        <w:rPr>
          <w:rFonts w:ascii="Arial" w:hAnsi="Arial" w:cs="Arial"/>
        </w:rPr>
      </w:pPr>
    </w:p>
    <w:p w14:paraId="295C4033" w14:textId="77777777" w:rsidR="002005FC" w:rsidRPr="00D14F64" w:rsidRDefault="002005FC" w:rsidP="00DA0A9A"/>
    <w:p w14:paraId="5317A005" w14:textId="77777777" w:rsidR="00DA0A9A" w:rsidRPr="00D14F64" w:rsidRDefault="00DA0A9A" w:rsidP="002005FC">
      <w:pPr>
        <w:pStyle w:val="Heading3"/>
        <w:numPr>
          <w:ilvl w:val="0"/>
          <w:numId w:val="0"/>
        </w:numPr>
        <w:rPr>
          <w:rFonts w:ascii="Arial" w:hAnsi="Arial" w:cs="Arial"/>
          <w:szCs w:val="24"/>
        </w:rPr>
      </w:pPr>
      <w:r w:rsidRPr="00D14F64">
        <w:rPr>
          <w:rFonts w:ascii="Arial" w:hAnsi="Arial" w:cs="Arial"/>
          <w:szCs w:val="24"/>
        </w:rPr>
        <w:t>Summary</w:t>
      </w:r>
    </w:p>
    <w:p w14:paraId="4C62C232" w14:textId="77777777" w:rsidR="00DA0A9A" w:rsidRPr="0032556C" w:rsidRDefault="00DA0A9A" w:rsidP="0032556C">
      <w:pPr>
        <w:jc w:val="both"/>
        <w:rPr>
          <w:rFonts w:ascii="Arial" w:hAnsi="Arial" w:cs="Arial"/>
        </w:rPr>
      </w:pPr>
      <w:r w:rsidRPr="0032556C">
        <w:rPr>
          <w:rFonts w:ascii="Arial" w:hAnsi="Arial" w:cs="Arial"/>
        </w:rPr>
        <w:t>Several authoritative organisations have proposed HBGVs for MEA, although the overall toxicological database is small.</w:t>
      </w:r>
    </w:p>
    <w:p w14:paraId="03C0E4F7" w14:textId="77777777" w:rsidR="0032556C" w:rsidRPr="0032556C" w:rsidRDefault="00DA0A9A" w:rsidP="0032556C">
      <w:pPr>
        <w:jc w:val="both"/>
        <w:rPr>
          <w:rFonts w:ascii="Arial" w:hAnsi="Arial" w:cs="Arial"/>
        </w:rPr>
      </w:pPr>
      <w:r w:rsidRPr="0032556C">
        <w:rPr>
          <w:rFonts w:ascii="Arial" w:hAnsi="Arial" w:cs="Arial"/>
        </w:rPr>
        <w:t>Short-term exposure guidelines have been proposed by HSE (2016) and TCEQ (2015) based on localised irritation observed in rodents (rats and guinea pigs) and dogs in a repeat dose inhalation study (Weeks et al. 1960).  Although TCEQ (2015) used a higher LOAEC of 30.5 mg/m</w:t>
      </w:r>
      <w:r w:rsidRPr="0032556C">
        <w:rPr>
          <w:rFonts w:ascii="Arial" w:hAnsi="Arial" w:cs="Arial"/>
          <w:vertAlign w:val="superscript"/>
        </w:rPr>
        <w:t>3</w:t>
      </w:r>
      <w:r w:rsidRPr="0032556C">
        <w:rPr>
          <w:rFonts w:ascii="Arial" w:hAnsi="Arial" w:cs="Arial"/>
        </w:rPr>
        <w:t xml:space="preserve"> as the POD, they also applied a larger UF, which lead to a lower guideline.</w:t>
      </w:r>
    </w:p>
    <w:p w14:paraId="1A1C8151" w14:textId="77777777" w:rsidR="00DA0A9A" w:rsidRPr="0032556C" w:rsidRDefault="00DA0A9A" w:rsidP="0032556C">
      <w:pPr>
        <w:jc w:val="both"/>
        <w:rPr>
          <w:rFonts w:ascii="Arial" w:hAnsi="Arial" w:cs="Arial"/>
        </w:rPr>
      </w:pPr>
      <w:r w:rsidRPr="0032556C">
        <w:rPr>
          <w:rFonts w:ascii="Arial" w:hAnsi="Arial" w:cs="Arial"/>
        </w:rPr>
        <w:t xml:space="preserve">   </w:t>
      </w:r>
    </w:p>
    <w:tbl>
      <w:tblPr>
        <w:tblStyle w:val="TableGrid"/>
        <w:tblW w:w="9498" w:type="dxa"/>
        <w:tblLook w:val="04A0" w:firstRow="1" w:lastRow="0" w:firstColumn="1" w:lastColumn="0" w:noHBand="0" w:noVBand="1"/>
      </w:tblPr>
      <w:tblGrid>
        <w:gridCol w:w="1980"/>
        <w:gridCol w:w="1701"/>
        <w:gridCol w:w="1276"/>
        <w:gridCol w:w="1842"/>
        <w:gridCol w:w="2699"/>
      </w:tblGrid>
      <w:tr w:rsidR="00DA0A9A" w:rsidRPr="00D14F64" w14:paraId="724060EB" w14:textId="77777777" w:rsidTr="00F90369">
        <w:tc>
          <w:tcPr>
            <w:tcW w:w="9498" w:type="dxa"/>
            <w:gridSpan w:val="5"/>
            <w:tcBorders>
              <w:top w:val="nil"/>
              <w:left w:val="nil"/>
              <w:right w:val="nil"/>
            </w:tcBorders>
            <w:shd w:val="clear" w:color="auto" w:fill="auto"/>
          </w:tcPr>
          <w:p w14:paraId="5299D2FF" w14:textId="77777777" w:rsidR="00DA0A9A" w:rsidRPr="0032556C" w:rsidRDefault="00DA0A9A" w:rsidP="00F90369">
            <w:pPr>
              <w:rPr>
                <w:rFonts w:ascii="Arial" w:hAnsi="Arial" w:cs="Arial"/>
                <w:b/>
              </w:rPr>
            </w:pPr>
            <w:r w:rsidRPr="0032556C">
              <w:rPr>
                <w:rFonts w:ascii="Arial" w:hAnsi="Arial" w:cs="Arial"/>
                <w:b/>
              </w:rPr>
              <w:t>Summary of Health-based Guidance Values for Short-term Exposures</w:t>
            </w:r>
          </w:p>
        </w:tc>
      </w:tr>
      <w:tr w:rsidR="00DA0A9A" w:rsidRPr="00D14F64" w14:paraId="0C865F3B" w14:textId="77777777" w:rsidTr="00F90369">
        <w:tc>
          <w:tcPr>
            <w:tcW w:w="1980" w:type="dxa"/>
            <w:shd w:val="pct20" w:color="auto" w:fill="auto"/>
          </w:tcPr>
          <w:p w14:paraId="2AD300DF" w14:textId="77777777" w:rsidR="00DA0A9A" w:rsidRPr="0032556C" w:rsidRDefault="00DA0A9A" w:rsidP="00F90369">
            <w:pPr>
              <w:rPr>
                <w:rFonts w:ascii="Arial" w:hAnsi="Arial" w:cs="Arial"/>
                <w:b/>
              </w:rPr>
            </w:pPr>
            <w:r w:rsidRPr="0032556C">
              <w:rPr>
                <w:rFonts w:ascii="Arial" w:hAnsi="Arial" w:cs="Arial"/>
                <w:b/>
              </w:rPr>
              <w:t>Guideline</w:t>
            </w:r>
          </w:p>
        </w:tc>
        <w:tc>
          <w:tcPr>
            <w:tcW w:w="1701" w:type="dxa"/>
            <w:shd w:val="pct20" w:color="auto" w:fill="auto"/>
          </w:tcPr>
          <w:p w14:paraId="7BD53B42" w14:textId="77777777" w:rsidR="00DA0A9A" w:rsidRPr="0032556C" w:rsidRDefault="00DA0A9A" w:rsidP="00F90369">
            <w:pPr>
              <w:rPr>
                <w:rFonts w:ascii="Arial" w:hAnsi="Arial" w:cs="Arial"/>
                <w:b/>
              </w:rPr>
            </w:pPr>
            <w:r w:rsidRPr="0032556C">
              <w:rPr>
                <w:rFonts w:ascii="Arial" w:hAnsi="Arial" w:cs="Arial"/>
                <w:b/>
              </w:rPr>
              <w:t>Value (mg/m</w:t>
            </w:r>
            <w:r w:rsidRPr="0032556C">
              <w:rPr>
                <w:rFonts w:ascii="Arial" w:hAnsi="Arial" w:cs="Arial"/>
                <w:b/>
                <w:vertAlign w:val="superscript"/>
              </w:rPr>
              <w:t>3</w:t>
            </w:r>
            <w:r w:rsidRPr="0032556C">
              <w:rPr>
                <w:rFonts w:ascii="Arial" w:hAnsi="Arial" w:cs="Arial"/>
                <w:b/>
              </w:rPr>
              <w:t>)</w:t>
            </w:r>
          </w:p>
        </w:tc>
        <w:tc>
          <w:tcPr>
            <w:tcW w:w="1276" w:type="dxa"/>
            <w:shd w:val="pct20" w:color="auto" w:fill="auto"/>
          </w:tcPr>
          <w:p w14:paraId="3E4F416C" w14:textId="77777777" w:rsidR="00DA0A9A" w:rsidRPr="0032556C" w:rsidRDefault="00DA0A9A" w:rsidP="00F90369">
            <w:pPr>
              <w:rPr>
                <w:rFonts w:ascii="Arial" w:hAnsi="Arial" w:cs="Arial"/>
                <w:b/>
              </w:rPr>
            </w:pPr>
            <w:r w:rsidRPr="0032556C">
              <w:rPr>
                <w:rFonts w:ascii="Arial" w:hAnsi="Arial" w:cs="Arial"/>
                <w:b/>
              </w:rPr>
              <w:t>Duration</w:t>
            </w:r>
          </w:p>
        </w:tc>
        <w:tc>
          <w:tcPr>
            <w:tcW w:w="1842" w:type="dxa"/>
            <w:shd w:val="pct20" w:color="auto" w:fill="auto"/>
          </w:tcPr>
          <w:p w14:paraId="018D9C30" w14:textId="77777777" w:rsidR="00DA0A9A" w:rsidRPr="0032556C" w:rsidRDefault="00DA0A9A" w:rsidP="00F90369">
            <w:pPr>
              <w:rPr>
                <w:rFonts w:ascii="Arial" w:hAnsi="Arial" w:cs="Arial"/>
                <w:b/>
              </w:rPr>
            </w:pPr>
            <w:r w:rsidRPr="0032556C">
              <w:rPr>
                <w:rFonts w:ascii="Arial" w:hAnsi="Arial" w:cs="Arial"/>
                <w:b/>
              </w:rPr>
              <w:t>Critical effect(s)</w:t>
            </w:r>
          </w:p>
        </w:tc>
        <w:tc>
          <w:tcPr>
            <w:tcW w:w="2699" w:type="dxa"/>
            <w:shd w:val="pct20" w:color="auto" w:fill="auto"/>
          </w:tcPr>
          <w:p w14:paraId="30AD89A5" w14:textId="77777777" w:rsidR="00DA0A9A" w:rsidRPr="0032556C" w:rsidRDefault="00DA0A9A" w:rsidP="00F90369">
            <w:pPr>
              <w:rPr>
                <w:rFonts w:ascii="Arial" w:hAnsi="Arial" w:cs="Arial"/>
                <w:b/>
              </w:rPr>
            </w:pPr>
            <w:r w:rsidRPr="0032556C">
              <w:rPr>
                <w:rFonts w:ascii="Arial" w:hAnsi="Arial" w:cs="Arial"/>
                <w:b/>
              </w:rPr>
              <w:t>Pivotal reference(s)</w:t>
            </w:r>
          </w:p>
        </w:tc>
      </w:tr>
      <w:tr w:rsidR="00DA0A9A" w:rsidRPr="00D14F64" w14:paraId="4F474F22" w14:textId="77777777" w:rsidTr="00F90369">
        <w:tc>
          <w:tcPr>
            <w:tcW w:w="1980" w:type="dxa"/>
          </w:tcPr>
          <w:p w14:paraId="1A0002B6" w14:textId="77777777" w:rsidR="00DA0A9A" w:rsidRPr="0032556C" w:rsidRDefault="00DA0A9A" w:rsidP="00F90369">
            <w:pPr>
              <w:rPr>
                <w:rFonts w:ascii="Arial" w:hAnsi="Arial" w:cs="Arial"/>
              </w:rPr>
            </w:pPr>
            <w:r w:rsidRPr="0032556C">
              <w:rPr>
                <w:rFonts w:ascii="Arial" w:hAnsi="Arial" w:cs="Arial"/>
              </w:rPr>
              <w:t>Current EAL</w:t>
            </w:r>
          </w:p>
        </w:tc>
        <w:tc>
          <w:tcPr>
            <w:tcW w:w="1701" w:type="dxa"/>
          </w:tcPr>
          <w:p w14:paraId="0D74B8A7" w14:textId="77777777" w:rsidR="00DA0A9A" w:rsidRPr="0032556C" w:rsidRDefault="00DA0A9A" w:rsidP="00F90369">
            <w:pPr>
              <w:rPr>
                <w:rFonts w:ascii="Arial" w:hAnsi="Arial" w:cs="Arial"/>
              </w:rPr>
            </w:pPr>
            <w:r w:rsidRPr="0032556C">
              <w:rPr>
                <w:rFonts w:ascii="Arial" w:hAnsi="Arial" w:cs="Arial"/>
              </w:rPr>
              <w:t>None</w:t>
            </w:r>
          </w:p>
        </w:tc>
        <w:tc>
          <w:tcPr>
            <w:tcW w:w="1276" w:type="dxa"/>
          </w:tcPr>
          <w:p w14:paraId="51DCA729" w14:textId="77777777" w:rsidR="00DA0A9A" w:rsidRPr="0032556C" w:rsidRDefault="00DA0A9A" w:rsidP="00F90369">
            <w:pPr>
              <w:rPr>
                <w:rFonts w:ascii="Arial" w:hAnsi="Arial" w:cs="Arial"/>
              </w:rPr>
            </w:pPr>
            <w:r w:rsidRPr="0032556C">
              <w:rPr>
                <w:rFonts w:ascii="Arial" w:hAnsi="Arial" w:cs="Arial"/>
              </w:rPr>
              <w:t>-</w:t>
            </w:r>
          </w:p>
        </w:tc>
        <w:tc>
          <w:tcPr>
            <w:tcW w:w="1842" w:type="dxa"/>
          </w:tcPr>
          <w:p w14:paraId="1905B2D7" w14:textId="77777777" w:rsidR="00DA0A9A" w:rsidRPr="0032556C" w:rsidRDefault="00DA0A9A" w:rsidP="00F90369">
            <w:pPr>
              <w:rPr>
                <w:rFonts w:ascii="Arial" w:hAnsi="Arial" w:cs="Arial"/>
              </w:rPr>
            </w:pPr>
            <w:r w:rsidRPr="0032556C">
              <w:rPr>
                <w:rFonts w:ascii="Arial" w:hAnsi="Arial" w:cs="Arial"/>
              </w:rPr>
              <w:t>-</w:t>
            </w:r>
          </w:p>
        </w:tc>
        <w:tc>
          <w:tcPr>
            <w:tcW w:w="2699" w:type="dxa"/>
          </w:tcPr>
          <w:p w14:paraId="0AAAA34C" w14:textId="77777777" w:rsidR="00DA0A9A" w:rsidRPr="0032556C" w:rsidRDefault="00DA0A9A" w:rsidP="00F90369">
            <w:pPr>
              <w:rPr>
                <w:rFonts w:ascii="Arial" w:hAnsi="Arial" w:cs="Arial"/>
              </w:rPr>
            </w:pPr>
            <w:r w:rsidRPr="0032556C">
              <w:rPr>
                <w:rFonts w:ascii="Arial" w:hAnsi="Arial" w:cs="Arial"/>
              </w:rPr>
              <w:t>-</w:t>
            </w:r>
          </w:p>
        </w:tc>
      </w:tr>
      <w:tr w:rsidR="00DA0A9A" w:rsidRPr="00D14F64" w14:paraId="1F5EC4A7" w14:textId="77777777" w:rsidTr="00F90369">
        <w:tc>
          <w:tcPr>
            <w:tcW w:w="1980" w:type="dxa"/>
          </w:tcPr>
          <w:p w14:paraId="7DB3B1DA" w14:textId="77777777" w:rsidR="00DA0A9A" w:rsidRPr="0032556C" w:rsidRDefault="00DA0A9A" w:rsidP="00F90369">
            <w:pPr>
              <w:rPr>
                <w:rFonts w:ascii="Arial" w:hAnsi="Arial" w:cs="Arial"/>
              </w:rPr>
            </w:pPr>
            <w:r w:rsidRPr="0032556C">
              <w:rPr>
                <w:rFonts w:ascii="Arial" w:hAnsi="Arial" w:cs="Arial"/>
              </w:rPr>
              <w:t>AMCV</w:t>
            </w:r>
          </w:p>
        </w:tc>
        <w:tc>
          <w:tcPr>
            <w:tcW w:w="1701" w:type="dxa"/>
          </w:tcPr>
          <w:p w14:paraId="71BAE49D" w14:textId="77777777" w:rsidR="00DA0A9A" w:rsidRPr="0032556C" w:rsidRDefault="00DA0A9A" w:rsidP="00F90369">
            <w:pPr>
              <w:rPr>
                <w:rFonts w:ascii="Arial" w:hAnsi="Arial" w:cs="Arial"/>
              </w:rPr>
            </w:pPr>
            <w:r w:rsidRPr="0032556C">
              <w:rPr>
                <w:rFonts w:ascii="Arial" w:hAnsi="Arial" w:cs="Arial"/>
              </w:rPr>
              <w:t>0.32</w:t>
            </w:r>
          </w:p>
        </w:tc>
        <w:tc>
          <w:tcPr>
            <w:tcW w:w="1276" w:type="dxa"/>
          </w:tcPr>
          <w:p w14:paraId="29E154F2" w14:textId="77777777" w:rsidR="00DA0A9A" w:rsidRPr="0032556C" w:rsidRDefault="00DA0A9A" w:rsidP="00F90369">
            <w:pPr>
              <w:rPr>
                <w:rFonts w:ascii="Arial" w:hAnsi="Arial" w:cs="Arial"/>
              </w:rPr>
            </w:pPr>
            <w:r w:rsidRPr="0032556C">
              <w:rPr>
                <w:rFonts w:ascii="Arial" w:hAnsi="Arial" w:cs="Arial"/>
              </w:rPr>
              <w:t>0.5 – 1-hour</w:t>
            </w:r>
          </w:p>
        </w:tc>
        <w:tc>
          <w:tcPr>
            <w:tcW w:w="1842" w:type="dxa"/>
          </w:tcPr>
          <w:p w14:paraId="44848FC5" w14:textId="77777777" w:rsidR="00DA0A9A" w:rsidRPr="0032556C" w:rsidRDefault="00DA0A9A" w:rsidP="00F90369">
            <w:pPr>
              <w:rPr>
                <w:rFonts w:ascii="Arial" w:hAnsi="Arial" w:cs="Arial"/>
              </w:rPr>
            </w:pPr>
            <w:r w:rsidRPr="0032556C">
              <w:rPr>
                <w:rFonts w:ascii="Arial" w:hAnsi="Arial" w:cs="Arial"/>
              </w:rPr>
              <w:t>Irritation</w:t>
            </w:r>
          </w:p>
        </w:tc>
        <w:tc>
          <w:tcPr>
            <w:tcW w:w="2699" w:type="dxa"/>
          </w:tcPr>
          <w:p w14:paraId="2C8C59D3" w14:textId="77777777" w:rsidR="00DA0A9A" w:rsidRPr="0032556C" w:rsidRDefault="00DA0A9A" w:rsidP="00F90369">
            <w:pPr>
              <w:rPr>
                <w:rFonts w:ascii="Arial" w:hAnsi="Arial" w:cs="Arial"/>
              </w:rPr>
            </w:pPr>
            <w:r w:rsidRPr="0032556C">
              <w:rPr>
                <w:rFonts w:ascii="Arial" w:hAnsi="Arial" w:cs="Arial"/>
              </w:rPr>
              <w:t>Weeks et al. 1960</w:t>
            </w:r>
          </w:p>
        </w:tc>
      </w:tr>
      <w:tr w:rsidR="00DA0A9A" w:rsidRPr="00D14F64" w14:paraId="31F0E753" w14:textId="77777777" w:rsidTr="00F90369">
        <w:tc>
          <w:tcPr>
            <w:tcW w:w="1980" w:type="dxa"/>
          </w:tcPr>
          <w:p w14:paraId="11AAFBB5" w14:textId="77777777" w:rsidR="00DA0A9A" w:rsidRPr="0032556C" w:rsidRDefault="00DA0A9A" w:rsidP="00F90369">
            <w:pPr>
              <w:rPr>
                <w:rFonts w:ascii="Arial" w:hAnsi="Arial" w:cs="Arial"/>
              </w:rPr>
            </w:pPr>
            <w:r w:rsidRPr="0032556C">
              <w:rPr>
                <w:rFonts w:ascii="Arial" w:hAnsi="Arial" w:cs="Arial"/>
              </w:rPr>
              <w:t>DNEL (HSE 2016)</w:t>
            </w:r>
          </w:p>
        </w:tc>
        <w:tc>
          <w:tcPr>
            <w:tcW w:w="1701" w:type="dxa"/>
          </w:tcPr>
          <w:p w14:paraId="67871BB4" w14:textId="77777777" w:rsidR="00DA0A9A" w:rsidRPr="0032556C" w:rsidRDefault="00DA0A9A" w:rsidP="00F90369">
            <w:pPr>
              <w:rPr>
                <w:rFonts w:ascii="Arial" w:hAnsi="Arial" w:cs="Arial"/>
              </w:rPr>
            </w:pPr>
            <w:r w:rsidRPr="0032556C">
              <w:rPr>
                <w:rFonts w:ascii="Arial" w:hAnsi="Arial" w:cs="Arial"/>
              </w:rPr>
              <w:t>3.2</w:t>
            </w:r>
          </w:p>
        </w:tc>
        <w:tc>
          <w:tcPr>
            <w:tcW w:w="1276" w:type="dxa"/>
          </w:tcPr>
          <w:p w14:paraId="453EB722" w14:textId="77777777" w:rsidR="00DA0A9A" w:rsidRPr="0032556C" w:rsidRDefault="00DA0A9A" w:rsidP="00F90369">
            <w:pPr>
              <w:rPr>
                <w:rFonts w:ascii="Arial" w:hAnsi="Arial" w:cs="Arial"/>
              </w:rPr>
            </w:pPr>
            <w:r w:rsidRPr="0032556C">
              <w:rPr>
                <w:rFonts w:ascii="Arial" w:hAnsi="Arial" w:cs="Arial"/>
              </w:rPr>
              <w:t>15-mins</w:t>
            </w:r>
          </w:p>
        </w:tc>
        <w:tc>
          <w:tcPr>
            <w:tcW w:w="1842" w:type="dxa"/>
          </w:tcPr>
          <w:p w14:paraId="12047F07" w14:textId="77777777" w:rsidR="00DA0A9A" w:rsidRPr="0032556C" w:rsidRDefault="00DA0A9A" w:rsidP="00F90369">
            <w:pPr>
              <w:rPr>
                <w:rFonts w:ascii="Arial" w:hAnsi="Arial" w:cs="Arial"/>
              </w:rPr>
            </w:pPr>
            <w:r w:rsidRPr="0032556C">
              <w:rPr>
                <w:rFonts w:ascii="Arial" w:hAnsi="Arial" w:cs="Arial"/>
              </w:rPr>
              <w:t>Irritation</w:t>
            </w:r>
          </w:p>
        </w:tc>
        <w:tc>
          <w:tcPr>
            <w:tcW w:w="2699" w:type="dxa"/>
          </w:tcPr>
          <w:p w14:paraId="5189E3B1" w14:textId="77777777" w:rsidR="00DA0A9A" w:rsidRPr="0032556C" w:rsidRDefault="00DA0A9A" w:rsidP="00F90369">
            <w:pPr>
              <w:rPr>
                <w:rFonts w:ascii="Arial" w:hAnsi="Arial" w:cs="Arial"/>
              </w:rPr>
            </w:pPr>
            <w:r w:rsidRPr="0032556C">
              <w:rPr>
                <w:rFonts w:ascii="Arial" w:hAnsi="Arial" w:cs="Arial"/>
              </w:rPr>
              <w:t>Weeks et al. 1960</w:t>
            </w:r>
          </w:p>
        </w:tc>
      </w:tr>
    </w:tbl>
    <w:p w14:paraId="01E735D2" w14:textId="77777777" w:rsidR="00DA0A9A" w:rsidRDefault="00DA0A9A" w:rsidP="00DA0A9A"/>
    <w:p w14:paraId="1E086486" w14:textId="77777777" w:rsidR="00DA0A9A" w:rsidRPr="0032556C" w:rsidRDefault="00DA0A9A" w:rsidP="0032556C">
      <w:pPr>
        <w:jc w:val="both"/>
        <w:rPr>
          <w:rFonts w:ascii="Arial" w:hAnsi="Arial" w:cs="Arial"/>
        </w:rPr>
      </w:pPr>
      <w:r w:rsidRPr="0032556C">
        <w:rPr>
          <w:rFonts w:ascii="Arial" w:hAnsi="Arial" w:cs="Arial"/>
        </w:rPr>
        <w:t>Long-term chronic exposure guidelines were proposed by HSE (2016), TCEQ (2015), and the industry REACH dossier.  HSE (2016) and TCEQ (2015) used the same endpoint of neurobehavioral effects seen in rodents and dogs (Weeks et al. 1960), whilst the industry REACH dossier used respiratory irritation observed in a sub-acute rodent study (see Pivotal Studies).  The POD were similar (10 or 12.7 mg/m</w:t>
      </w:r>
      <w:r w:rsidRPr="0032556C">
        <w:rPr>
          <w:rFonts w:ascii="Arial" w:hAnsi="Arial" w:cs="Arial"/>
          <w:vertAlign w:val="superscript"/>
        </w:rPr>
        <w:t>3</w:t>
      </w:r>
      <w:r w:rsidRPr="0032556C">
        <w:rPr>
          <w:rFonts w:ascii="Arial" w:hAnsi="Arial" w:cs="Arial"/>
        </w:rPr>
        <w:t>) and the wide difference in health-based guidance values is explained by the choice of UF (5, 10, and 540).</w:t>
      </w:r>
    </w:p>
    <w:p w14:paraId="43053B1A" w14:textId="77777777" w:rsidR="00DA0A9A" w:rsidRPr="00D14F64" w:rsidRDefault="00DA0A9A" w:rsidP="00DA0A9A"/>
    <w:tbl>
      <w:tblPr>
        <w:tblStyle w:val="TableGrid"/>
        <w:tblW w:w="9356" w:type="dxa"/>
        <w:tblLook w:val="04A0" w:firstRow="1" w:lastRow="0" w:firstColumn="1" w:lastColumn="0" w:noHBand="0" w:noVBand="1"/>
      </w:tblPr>
      <w:tblGrid>
        <w:gridCol w:w="2405"/>
        <w:gridCol w:w="992"/>
        <w:gridCol w:w="1039"/>
        <w:gridCol w:w="1949"/>
        <w:gridCol w:w="2971"/>
      </w:tblGrid>
      <w:tr w:rsidR="00DA0A9A" w:rsidRPr="00D14F64" w14:paraId="6F847D6B" w14:textId="77777777" w:rsidTr="00F90369">
        <w:tc>
          <w:tcPr>
            <w:tcW w:w="9356" w:type="dxa"/>
            <w:gridSpan w:val="5"/>
            <w:tcBorders>
              <w:top w:val="nil"/>
              <w:left w:val="nil"/>
              <w:right w:val="nil"/>
            </w:tcBorders>
            <w:shd w:val="clear" w:color="auto" w:fill="auto"/>
          </w:tcPr>
          <w:p w14:paraId="3AB93DCC" w14:textId="77777777" w:rsidR="00DA0A9A" w:rsidRPr="0032556C" w:rsidRDefault="00DA0A9A" w:rsidP="00F90369">
            <w:pPr>
              <w:rPr>
                <w:rFonts w:ascii="Arial" w:hAnsi="Arial" w:cs="Arial"/>
                <w:b/>
              </w:rPr>
            </w:pPr>
            <w:r w:rsidRPr="0032556C">
              <w:rPr>
                <w:rFonts w:ascii="Arial" w:hAnsi="Arial" w:cs="Arial"/>
                <w:b/>
              </w:rPr>
              <w:t>Summary of Health-based Guidance Values for Long-term Exposures</w:t>
            </w:r>
          </w:p>
        </w:tc>
      </w:tr>
      <w:tr w:rsidR="00DA0A9A" w:rsidRPr="00D14F64" w14:paraId="5796537A" w14:textId="77777777" w:rsidTr="00F90369">
        <w:tc>
          <w:tcPr>
            <w:tcW w:w="2410" w:type="dxa"/>
            <w:shd w:val="pct20" w:color="auto" w:fill="auto"/>
          </w:tcPr>
          <w:p w14:paraId="48CC688F" w14:textId="77777777" w:rsidR="00DA0A9A" w:rsidRPr="0032556C" w:rsidRDefault="00DA0A9A" w:rsidP="00F90369">
            <w:pPr>
              <w:rPr>
                <w:rFonts w:ascii="Arial" w:hAnsi="Arial" w:cs="Arial"/>
                <w:b/>
              </w:rPr>
            </w:pPr>
            <w:r w:rsidRPr="0032556C">
              <w:rPr>
                <w:rFonts w:ascii="Arial" w:hAnsi="Arial" w:cs="Arial"/>
                <w:b/>
              </w:rPr>
              <w:t>Guideline</w:t>
            </w:r>
          </w:p>
        </w:tc>
        <w:tc>
          <w:tcPr>
            <w:tcW w:w="992" w:type="dxa"/>
            <w:shd w:val="pct20" w:color="auto" w:fill="auto"/>
          </w:tcPr>
          <w:p w14:paraId="64D404FF" w14:textId="77777777" w:rsidR="00DA0A9A" w:rsidRPr="0032556C" w:rsidRDefault="00DA0A9A" w:rsidP="00F90369">
            <w:pPr>
              <w:rPr>
                <w:rFonts w:ascii="Arial" w:hAnsi="Arial" w:cs="Arial"/>
                <w:b/>
              </w:rPr>
            </w:pPr>
            <w:r w:rsidRPr="0032556C">
              <w:rPr>
                <w:rFonts w:ascii="Arial" w:hAnsi="Arial" w:cs="Arial"/>
                <w:b/>
              </w:rPr>
              <w:t>Value (mg/m</w:t>
            </w:r>
            <w:r w:rsidRPr="0032556C">
              <w:rPr>
                <w:rFonts w:ascii="Arial" w:hAnsi="Arial" w:cs="Arial"/>
                <w:b/>
                <w:vertAlign w:val="superscript"/>
              </w:rPr>
              <w:t>3</w:t>
            </w:r>
            <w:r w:rsidRPr="0032556C">
              <w:rPr>
                <w:rFonts w:ascii="Arial" w:hAnsi="Arial" w:cs="Arial"/>
                <w:b/>
              </w:rPr>
              <w:t>)</w:t>
            </w:r>
          </w:p>
        </w:tc>
        <w:tc>
          <w:tcPr>
            <w:tcW w:w="1027" w:type="dxa"/>
            <w:shd w:val="pct20" w:color="auto" w:fill="auto"/>
          </w:tcPr>
          <w:p w14:paraId="34D09CAE" w14:textId="77777777" w:rsidR="00DA0A9A" w:rsidRPr="0032556C" w:rsidRDefault="00DA0A9A" w:rsidP="00F90369">
            <w:pPr>
              <w:rPr>
                <w:rFonts w:ascii="Arial" w:hAnsi="Arial" w:cs="Arial"/>
                <w:b/>
              </w:rPr>
            </w:pPr>
            <w:r w:rsidRPr="0032556C">
              <w:rPr>
                <w:rFonts w:ascii="Arial" w:hAnsi="Arial" w:cs="Arial"/>
                <w:b/>
              </w:rPr>
              <w:t>Duration</w:t>
            </w:r>
          </w:p>
        </w:tc>
        <w:tc>
          <w:tcPr>
            <w:tcW w:w="1950" w:type="dxa"/>
            <w:shd w:val="pct20" w:color="auto" w:fill="auto"/>
          </w:tcPr>
          <w:p w14:paraId="42178438" w14:textId="77777777" w:rsidR="00DA0A9A" w:rsidRPr="0032556C" w:rsidRDefault="00DA0A9A" w:rsidP="00F90369">
            <w:pPr>
              <w:rPr>
                <w:rFonts w:ascii="Arial" w:hAnsi="Arial" w:cs="Arial"/>
                <w:b/>
              </w:rPr>
            </w:pPr>
            <w:r w:rsidRPr="0032556C">
              <w:rPr>
                <w:rFonts w:ascii="Arial" w:hAnsi="Arial" w:cs="Arial"/>
                <w:b/>
              </w:rPr>
              <w:t>Critical effect(s)</w:t>
            </w:r>
          </w:p>
        </w:tc>
        <w:tc>
          <w:tcPr>
            <w:tcW w:w="2977" w:type="dxa"/>
            <w:shd w:val="pct20" w:color="auto" w:fill="auto"/>
          </w:tcPr>
          <w:p w14:paraId="1B383D5A" w14:textId="77777777" w:rsidR="00DA0A9A" w:rsidRPr="0032556C" w:rsidRDefault="00DA0A9A" w:rsidP="00F90369">
            <w:pPr>
              <w:rPr>
                <w:rFonts w:ascii="Arial" w:hAnsi="Arial" w:cs="Arial"/>
                <w:b/>
              </w:rPr>
            </w:pPr>
            <w:r w:rsidRPr="0032556C">
              <w:rPr>
                <w:rFonts w:ascii="Arial" w:hAnsi="Arial" w:cs="Arial"/>
                <w:b/>
              </w:rPr>
              <w:t>Pivotal reference(s)</w:t>
            </w:r>
          </w:p>
        </w:tc>
      </w:tr>
      <w:tr w:rsidR="00DA0A9A" w:rsidRPr="00D14F64" w14:paraId="3BA871CE" w14:textId="77777777" w:rsidTr="00F90369">
        <w:tc>
          <w:tcPr>
            <w:tcW w:w="2410" w:type="dxa"/>
          </w:tcPr>
          <w:p w14:paraId="3D0D487C" w14:textId="77777777" w:rsidR="00DA0A9A" w:rsidRPr="0032556C" w:rsidRDefault="00DA0A9A" w:rsidP="00F90369">
            <w:pPr>
              <w:rPr>
                <w:rFonts w:ascii="Arial" w:hAnsi="Arial" w:cs="Arial"/>
              </w:rPr>
            </w:pPr>
            <w:r w:rsidRPr="0032556C">
              <w:rPr>
                <w:rFonts w:ascii="Arial" w:hAnsi="Arial" w:cs="Arial"/>
              </w:rPr>
              <w:t>Current EAL</w:t>
            </w:r>
          </w:p>
        </w:tc>
        <w:tc>
          <w:tcPr>
            <w:tcW w:w="992" w:type="dxa"/>
          </w:tcPr>
          <w:p w14:paraId="41A29CBB" w14:textId="77777777" w:rsidR="00DA0A9A" w:rsidRPr="0032556C" w:rsidRDefault="00DA0A9A" w:rsidP="00F90369">
            <w:pPr>
              <w:rPr>
                <w:rFonts w:ascii="Arial" w:hAnsi="Arial" w:cs="Arial"/>
              </w:rPr>
            </w:pPr>
            <w:r w:rsidRPr="0032556C">
              <w:rPr>
                <w:rFonts w:ascii="Arial" w:hAnsi="Arial" w:cs="Arial"/>
              </w:rPr>
              <w:t>None</w:t>
            </w:r>
          </w:p>
        </w:tc>
        <w:tc>
          <w:tcPr>
            <w:tcW w:w="1027" w:type="dxa"/>
          </w:tcPr>
          <w:p w14:paraId="16638A0D" w14:textId="77777777" w:rsidR="00DA0A9A" w:rsidRPr="0032556C" w:rsidRDefault="00DA0A9A" w:rsidP="00F90369">
            <w:pPr>
              <w:rPr>
                <w:rFonts w:ascii="Arial" w:hAnsi="Arial" w:cs="Arial"/>
              </w:rPr>
            </w:pPr>
            <w:r w:rsidRPr="0032556C">
              <w:rPr>
                <w:rFonts w:ascii="Arial" w:hAnsi="Arial" w:cs="Arial"/>
              </w:rPr>
              <w:t>-</w:t>
            </w:r>
          </w:p>
        </w:tc>
        <w:tc>
          <w:tcPr>
            <w:tcW w:w="1950" w:type="dxa"/>
          </w:tcPr>
          <w:p w14:paraId="03B3DF94" w14:textId="77777777" w:rsidR="00DA0A9A" w:rsidRPr="0032556C" w:rsidRDefault="00DA0A9A" w:rsidP="00F90369">
            <w:pPr>
              <w:rPr>
                <w:rFonts w:ascii="Arial" w:hAnsi="Arial" w:cs="Arial"/>
              </w:rPr>
            </w:pPr>
            <w:r w:rsidRPr="0032556C">
              <w:rPr>
                <w:rFonts w:ascii="Arial" w:hAnsi="Arial" w:cs="Arial"/>
              </w:rPr>
              <w:t>-</w:t>
            </w:r>
          </w:p>
        </w:tc>
        <w:tc>
          <w:tcPr>
            <w:tcW w:w="2977" w:type="dxa"/>
          </w:tcPr>
          <w:p w14:paraId="2694F5DA" w14:textId="77777777" w:rsidR="00DA0A9A" w:rsidRPr="0032556C" w:rsidRDefault="00DA0A9A" w:rsidP="00F90369">
            <w:pPr>
              <w:rPr>
                <w:rFonts w:ascii="Arial" w:hAnsi="Arial" w:cs="Arial"/>
              </w:rPr>
            </w:pPr>
            <w:r w:rsidRPr="0032556C">
              <w:rPr>
                <w:rFonts w:ascii="Arial" w:hAnsi="Arial" w:cs="Arial"/>
              </w:rPr>
              <w:t>-</w:t>
            </w:r>
          </w:p>
        </w:tc>
      </w:tr>
      <w:tr w:rsidR="00DA0A9A" w:rsidRPr="00D14F64" w14:paraId="47869934" w14:textId="77777777" w:rsidTr="00F90369">
        <w:tc>
          <w:tcPr>
            <w:tcW w:w="2410" w:type="dxa"/>
          </w:tcPr>
          <w:p w14:paraId="4822BBDC" w14:textId="77777777" w:rsidR="00DA0A9A" w:rsidRPr="0032556C" w:rsidRDefault="00DA0A9A" w:rsidP="00F90369">
            <w:pPr>
              <w:rPr>
                <w:rFonts w:ascii="Arial" w:hAnsi="Arial" w:cs="Arial"/>
              </w:rPr>
            </w:pPr>
            <w:r w:rsidRPr="0032556C">
              <w:rPr>
                <w:rFonts w:ascii="Arial" w:hAnsi="Arial" w:cs="Arial"/>
              </w:rPr>
              <w:t>AMCV</w:t>
            </w:r>
          </w:p>
        </w:tc>
        <w:tc>
          <w:tcPr>
            <w:tcW w:w="992" w:type="dxa"/>
          </w:tcPr>
          <w:p w14:paraId="778DC075" w14:textId="77777777" w:rsidR="00DA0A9A" w:rsidRPr="0032556C" w:rsidRDefault="00DA0A9A" w:rsidP="00F90369">
            <w:pPr>
              <w:rPr>
                <w:rFonts w:ascii="Arial" w:hAnsi="Arial" w:cs="Arial"/>
              </w:rPr>
            </w:pPr>
            <w:r w:rsidRPr="0032556C">
              <w:rPr>
                <w:rFonts w:ascii="Arial" w:hAnsi="Arial" w:cs="Arial"/>
              </w:rPr>
              <w:t>0.023</w:t>
            </w:r>
          </w:p>
        </w:tc>
        <w:tc>
          <w:tcPr>
            <w:tcW w:w="1027" w:type="dxa"/>
          </w:tcPr>
          <w:p w14:paraId="141D4B08" w14:textId="77777777" w:rsidR="00DA0A9A" w:rsidRPr="0032556C" w:rsidRDefault="00DA0A9A" w:rsidP="00F90369">
            <w:pPr>
              <w:rPr>
                <w:rFonts w:ascii="Arial" w:hAnsi="Arial" w:cs="Arial"/>
              </w:rPr>
            </w:pPr>
            <w:r w:rsidRPr="0032556C">
              <w:rPr>
                <w:rFonts w:ascii="Arial" w:hAnsi="Arial" w:cs="Arial"/>
              </w:rPr>
              <w:t>Life-time</w:t>
            </w:r>
          </w:p>
        </w:tc>
        <w:tc>
          <w:tcPr>
            <w:tcW w:w="1950" w:type="dxa"/>
          </w:tcPr>
          <w:p w14:paraId="42D43591" w14:textId="77777777" w:rsidR="00DA0A9A" w:rsidRPr="0032556C" w:rsidRDefault="00DA0A9A" w:rsidP="00F90369">
            <w:pPr>
              <w:rPr>
                <w:rFonts w:ascii="Arial" w:hAnsi="Arial" w:cs="Arial"/>
              </w:rPr>
            </w:pPr>
            <w:r w:rsidRPr="0032556C">
              <w:rPr>
                <w:rFonts w:ascii="Arial" w:hAnsi="Arial" w:cs="Arial"/>
              </w:rPr>
              <w:t>Neurobehavioral</w:t>
            </w:r>
          </w:p>
        </w:tc>
        <w:tc>
          <w:tcPr>
            <w:tcW w:w="2977" w:type="dxa"/>
          </w:tcPr>
          <w:p w14:paraId="6217D656" w14:textId="77777777" w:rsidR="00DA0A9A" w:rsidRPr="0032556C" w:rsidRDefault="00DA0A9A" w:rsidP="00F90369">
            <w:pPr>
              <w:rPr>
                <w:rFonts w:ascii="Arial" w:hAnsi="Arial" w:cs="Arial"/>
              </w:rPr>
            </w:pPr>
            <w:r w:rsidRPr="0032556C">
              <w:rPr>
                <w:rFonts w:ascii="Arial" w:hAnsi="Arial" w:cs="Arial"/>
              </w:rPr>
              <w:t>Weeks et al. 1960</w:t>
            </w:r>
          </w:p>
        </w:tc>
      </w:tr>
      <w:tr w:rsidR="00DA0A9A" w:rsidRPr="00D14F64" w14:paraId="6074DB63" w14:textId="77777777" w:rsidTr="00F90369">
        <w:tc>
          <w:tcPr>
            <w:tcW w:w="2410" w:type="dxa"/>
          </w:tcPr>
          <w:p w14:paraId="11B03251" w14:textId="77777777" w:rsidR="00DA0A9A" w:rsidRPr="0032556C" w:rsidRDefault="00DA0A9A" w:rsidP="00F90369">
            <w:pPr>
              <w:rPr>
                <w:rFonts w:ascii="Arial" w:hAnsi="Arial" w:cs="Arial"/>
              </w:rPr>
            </w:pPr>
            <w:r w:rsidRPr="0032556C">
              <w:rPr>
                <w:rFonts w:ascii="Arial" w:hAnsi="Arial" w:cs="Arial"/>
              </w:rPr>
              <w:t>DNEL (HSE 2016)</w:t>
            </w:r>
          </w:p>
        </w:tc>
        <w:tc>
          <w:tcPr>
            <w:tcW w:w="992" w:type="dxa"/>
          </w:tcPr>
          <w:p w14:paraId="2F86F969" w14:textId="77777777" w:rsidR="00DA0A9A" w:rsidRPr="0032556C" w:rsidRDefault="00DA0A9A" w:rsidP="00F90369">
            <w:pPr>
              <w:rPr>
                <w:rFonts w:ascii="Arial" w:hAnsi="Arial" w:cs="Arial"/>
              </w:rPr>
            </w:pPr>
            <w:r w:rsidRPr="0032556C">
              <w:rPr>
                <w:rFonts w:ascii="Arial" w:hAnsi="Arial" w:cs="Arial"/>
              </w:rPr>
              <w:t>0.5</w:t>
            </w:r>
          </w:p>
        </w:tc>
        <w:tc>
          <w:tcPr>
            <w:tcW w:w="1027" w:type="dxa"/>
          </w:tcPr>
          <w:p w14:paraId="681AFC85" w14:textId="77777777" w:rsidR="00DA0A9A" w:rsidRPr="0032556C" w:rsidRDefault="00DA0A9A" w:rsidP="00F90369">
            <w:pPr>
              <w:rPr>
                <w:rFonts w:ascii="Arial" w:hAnsi="Arial" w:cs="Arial"/>
              </w:rPr>
            </w:pPr>
            <w:r w:rsidRPr="0032556C">
              <w:rPr>
                <w:rFonts w:ascii="Arial" w:hAnsi="Arial" w:cs="Arial"/>
              </w:rPr>
              <w:t>Life-time</w:t>
            </w:r>
          </w:p>
        </w:tc>
        <w:tc>
          <w:tcPr>
            <w:tcW w:w="1950" w:type="dxa"/>
          </w:tcPr>
          <w:p w14:paraId="6E56702D" w14:textId="77777777" w:rsidR="00DA0A9A" w:rsidRPr="0032556C" w:rsidRDefault="00DA0A9A" w:rsidP="00F90369">
            <w:pPr>
              <w:rPr>
                <w:rFonts w:ascii="Arial" w:hAnsi="Arial" w:cs="Arial"/>
              </w:rPr>
            </w:pPr>
            <w:r w:rsidRPr="0032556C">
              <w:rPr>
                <w:rFonts w:ascii="Arial" w:hAnsi="Arial" w:cs="Arial"/>
              </w:rPr>
              <w:t>Neurobehavioral</w:t>
            </w:r>
          </w:p>
        </w:tc>
        <w:tc>
          <w:tcPr>
            <w:tcW w:w="2977" w:type="dxa"/>
          </w:tcPr>
          <w:p w14:paraId="051A63D7" w14:textId="77777777" w:rsidR="00DA0A9A" w:rsidRPr="0032556C" w:rsidRDefault="00DA0A9A" w:rsidP="00F90369">
            <w:pPr>
              <w:rPr>
                <w:rFonts w:ascii="Arial" w:hAnsi="Arial" w:cs="Arial"/>
              </w:rPr>
            </w:pPr>
            <w:r w:rsidRPr="0032556C">
              <w:rPr>
                <w:rFonts w:ascii="Arial" w:hAnsi="Arial" w:cs="Arial"/>
              </w:rPr>
              <w:t>Weeks et al. 1960</w:t>
            </w:r>
          </w:p>
        </w:tc>
      </w:tr>
      <w:tr w:rsidR="00DA0A9A" w:rsidRPr="00D14F64" w14:paraId="4C89E410" w14:textId="77777777" w:rsidTr="00F90369">
        <w:tc>
          <w:tcPr>
            <w:tcW w:w="2410" w:type="dxa"/>
          </w:tcPr>
          <w:p w14:paraId="7E114C36" w14:textId="77777777" w:rsidR="00DA0A9A" w:rsidRPr="0032556C" w:rsidRDefault="00DA0A9A" w:rsidP="00F90369">
            <w:pPr>
              <w:rPr>
                <w:rFonts w:ascii="Arial" w:hAnsi="Arial" w:cs="Arial"/>
              </w:rPr>
            </w:pPr>
            <w:r w:rsidRPr="0032556C">
              <w:rPr>
                <w:rFonts w:ascii="Arial" w:hAnsi="Arial" w:cs="Arial"/>
              </w:rPr>
              <w:t>DNEL (REACH dossier)</w:t>
            </w:r>
          </w:p>
        </w:tc>
        <w:tc>
          <w:tcPr>
            <w:tcW w:w="992" w:type="dxa"/>
          </w:tcPr>
          <w:p w14:paraId="78A5BF5B" w14:textId="77777777" w:rsidR="00DA0A9A" w:rsidRPr="0032556C" w:rsidRDefault="00DA0A9A" w:rsidP="00F90369">
            <w:pPr>
              <w:rPr>
                <w:rFonts w:ascii="Arial" w:hAnsi="Arial" w:cs="Arial"/>
              </w:rPr>
            </w:pPr>
            <w:r w:rsidRPr="0032556C">
              <w:rPr>
                <w:rFonts w:ascii="Arial" w:hAnsi="Arial" w:cs="Arial"/>
              </w:rPr>
              <w:t>2</w:t>
            </w:r>
          </w:p>
        </w:tc>
        <w:tc>
          <w:tcPr>
            <w:tcW w:w="1027" w:type="dxa"/>
          </w:tcPr>
          <w:p w14:paraId="09AAFD20" w14:textId="77777777" w:rsidR="00DA0A9A" w:rsidRPr="0032556C" w:rsidRDefault="00DA0A9A" w:rsidP="00F90369">
            <w:pPr>
              <w:rPr>
                <w:rFonts w:ascii="Arial" w:hAnsi="Arial" w:cs="Arial"/>
              </w:rPr>
            </w:pPr>
            <w:r w:rsidRPr="0032556C">
              <w:rPr>
                <w:rFonts w:ascii="Arial" w:hAnsi="Arial" w:cs="Arial"/>
              </w:rPr>
              <w:t>Life-time</w:t>
            </w:r>
          </w:p>
        </w:tc>
        <w:tc>
          <w:tcPr>
            <w:tcW w:w="1950" w:type="dxa"/>
          </w:tcPr>
          <w:p w14:paraId="7FBD59DC" w14:textId="77777777" w:rsidR="00DA0A9A" w:rsidRPr="0032556C" w:rsidRDefault="00DA0A9A" w:rsidP="00F90369">
            <w:pPr>
              <w:rPr>
                <w:rFonts w:ascii="Arial" w:hAnsi="Arial" w:cs="Arial"/>
              </w:rPr>
            </w:pPr>
            <w:r w:rsidRPr="0032556C">
              <w:rPr>
                <w:rFonts w:ascii="Arial" w:hAnsi="Arial" w:cs="Arial"/>
              </w:rPr>
              <w:t>Irritation</w:t>
            </w:r>
          </w:p>
        </w:tc>
        <w:tc>
          <w:tcPr>
            <w:tcW w:w="2977" w:type="dxa"/>
          </w:tcPr>
          <w:p w14:paraId="1E2D57B1" w14:textId="77777777" w:rsidR="00DA0A9A" w:rsidRPr="0032556C" w:rsidRDefault="00DA0A9A" w:rsidP="00F90369">
            <w:pPr>
              <w:rPr>
                <w:rFonts w:ascii="Arial" w:hAnsi="Arial" w:cs="Arial"/>
              </w:rPr>
            </w:pPr>
            <w:r w:rsidRPr="0032556C">
              <w:rPr>
                <w:rFonts w:ascii="Arial" w:hAnsi="Arial" w:cs="Arial"/>
              </w:rPr>
              <w:t>Proprietary Study 2010</w:t>
            </w:r>
          </w:p>
        </w:tc>
      </w:tr>
    </w:tbl>
    <w:p w14:paraId="60FF0D95" w14:textId="77777777" w:rsidR="0032556C" w:rsidRDefault="0032556C" w:rsidP="002005FC">
      <w:pPr>
        <w:pStyle w:val="Heading3"/>
        <w:numPr>
          <w:ilvl w:val="0"/>
          <w:numId w:val="0"/>
        </w:numPr>
        <w:rPr>
          <w:rFonts w:ascii="Arial" w:hAnsi="Arial" w:cs="Arial"/>
          <w:szCs w:val="24"/>
        </w:rPr>
      </w:pPr>
    </w:p>
    <w:p w14:paraId="33B8E9D1" w14:textId="77777777" w:rsidR="00DA0A9A" w:rsidRDefault="00DA0A9A" w:rsidP="002005FC">
      <w:pPr>
        <w:pStyle w:val="Heading3"/>
        <w:numPr>
          <w:ilvl w:val="0"/>
          <w:numId w:val="0"/>
        </w:numPr>
        <w:rPr>
          <w:rFonts w:ascii="Arial" w:hAnsi="Arial" w:cs="Arial"/>
          <w:szCs w:val="24"/>
        </w:rPr>
      </w:pPr>
      <w:r w:rsidRPr="00D14F64">
        <w:rPr>
          <w:rFonts w:ascii="Arial" w:hAnsi="Arial" w:cs="Arial"/>
          <w:szCs w:val="24"/>
        </w:rPr>
        <w:t>Recommendations</w:t>
      </w:r>
    </w:p>
    <w:p w14:paraId="57EEC4DA" w14:textId="77777777" w:rsidR="0032556C" w:rsidRPr="0032556C" w:rsidRDefault="0032556C" w:rsidP="0032556C"/>
    <w:p w14:paraId="7E02B56F" w14:textId="77777777" w:rsidR="00DA0A9A" w:rsidRPr="0032556C" w:rsidRDefault="00DA0A9A" w:rsidP="002005FC">
      <w:pPr>
        <w:pStyle w:val="Heading4"/>
        <w:numPr>
          <w:ilvl w:val="0"/>
          <w:numId w:val="0"/>
        </w:numPr>
        <w:rPr>
          <w:rFonts w:ascii="Arial" w:hAnsi="Arial" w:cs="Arial"/>
          <w:b/>
          <w:i w:val="0"/>
          <w:color w:val="auto"/>
        </w:rPr>
      </w:pPr>
      <w:r w:rsidRPr="0032556C">
        <w:rPr>
          <w:rFonts w:ascii="Arial" w:hAnsi="Arial" w:cs="Arial"/>
          <w:b/>
          <w:i w:val="0"/>
          <w:color w:val="auto"/>
        </w:rPr>
        <w:t>Short-term EAL</w:t>
      </w:r>
    </w:p>
    <w:p w14:paraId="48F76626" w14:textId="77777777" w:rsidR="00DA0A9A" w:rsidRPr="0032556C" w:rsidRDefault="00DA0A9A" w:rsidP="0032556C">
      <w:pPr>
        <w:jc w:val="both"/>
        <w:rPr>
          <w:rFonts w:ascii="Arial" w:hAnsi="Arial" w:cs="Arial"/>
        </w:rPr>
      </w:pPr>
      <w:r w:rsidRPr="0032556C">
        <w:rPr>
          <w:rFonts w:ascii="Arial" w:hAnsi="Arial" w:cs="Arial"/>
        </w:rPr>
        <w:t>The critical health effect from short-term inhalation exposure to MEA vapour is considered to be localised respiratory irritation.  The pivotal study for the derivation of a short-term EAL is the sub-acute duration rodent study submitted as evidence in support of an application under REACH (HSE 2016).  In this study, Wistar rats were exposed to a respirable aerosol at 10 mg/m</w:t>
      </w:r>
      <w:r w:rsidRPr="0032556C">
        <w:rPr>
          <w:rFonts w:ascii="Arial" w:hAnsi="Arial" w:cs="Arial"/>
          <w:vertAlign w:val="superscript"/>
        </w:rPr>
        <w:t>3</w:t>
      </w:r>
      <w:r w:rsidRPr="0032556C">
        <w:rPr>
          <w:rFonts w:ascii="Arial" w:hAnsi="Arial" w:cs="Arial"/>
        </w:rPr>
        <w:t>, 50 mg/m</w:t>
      </w:r>
      <w:r w:rsidRPr="0032556C">
        <w:rPr>
          <w:rFonts w:ascii="Arial" w:hAnsi="Arial" w:cs="Arial"/>
          <w:vertAlign w:val="superscript"/>
        </w:rPr>
        <w:t>3</w:t>
      </w:r>
      <w:r w:rsidRPr="0032556C">
        <w:rPr>
          <w:rFonts w:ascii="Arial" w:hAnsi="Arial" w:cs="Arial"/>
        </w:rPr>
        <w:t>, or 150 mg/m</w:t>
      </w:r>
      <w:r w:rsidRPr="0032556C">
        <w:rPr>
          <w:rFonts w:ascii="Arial" w:hAnsi="Arial" w:cs="Arial"/>
          <w:vertAlign w:val="superscript"/>
        </w:rPr>
        <w:t>3</w:t>
      </w:r>
      <w:r w:rsidRPr="0032556C">
        <w:rPr>
          <w:rFonts w:ascii="Arial" w:hAnsi="Arial" w:cs="Arial"/>
        </w:rPr>
        <w:t xml:space="preserve"> for 6-hours per day, 5 days per week, for 4 weeks. The POD is considered to be the NOAEC of 10 mg/m</w:t>
      </w:r>
      <w:r w:rsidRPr="0032556C">
        <w:rPr>
          <w:rFonts w:ascii="Arial" w:hAnsi="Arial" w:cs="Arial"/>
          <w:vertAlign w:val="superscript"/>
        </w:rPr>
        <w:t>3</w:t>
      </w:r>
      <w:r w:rsidRPr="0032556C">
        <w:rPr>
          <w:rFonts w:ascii="Arial" w:hAnsi="Arial" w:cs="Arial"/>
        </w:rPr>
        <w:t>, which was identified for localised irritation of the respiratory tract (HSE 2016).  No correction for continuous exposure is applied to the POD because irritation is considered a concentration-dependent effect.  The short-term EAL of 0.4 mg/m</w:t>
      </w:r>
      <w:r w:rsidRPr="0032556C">
        <w:rPr>
          <w:rFonts w:ascii="Arial" w:hAnsi="Arial" w:cs="Arial"/>
          <w:vertAlign w:val="superscript"/>
        </w:rPr>
        <w:t>3</w:t>
      </w:r>
      <w:r w:rsidRPr="0032556C">
        <w:rPr>
          <w:rFonts w:ascii="Arial" w:hAnsi="Arial" w:cs="Arial"/>
        </w:rPr>
        <w:t xml:space="preserve"> is obtained by dividing the POD from a relevant sub-acute animal study by a UF of 25 (a factor of 2.5 for interspecies variation and a factor of 10 for intra-species variation).  This is consistent with the approach to the derivation of an acute DNEL for respiratory irritation under REACH.</w:t>
      </w:r>
    </w:p>
    <w:p w14:paraId="56169F56" w14:textId="77777777" w:rsidR="0032556C" w:rsidRPr="00D14F64" w:rsidRDefault="0032556C" w:rsidP="00DA0A9A"/>
    <w:p w14:paraId="3CEB96C9" w14:textId="77777777" w:rsidR="00DA0A9A" w:rsidRPr="0032556C" w:rsidRDefault="00DA0A9A" w:rsidP="002005FC">
      <w:pPr>
        <w:pStyle w:val="Heading4"/>
        <w:numPr>
          <w:ilvl w:val="0"/>
          <w:numId w:val="0"/>
        </w:numPr>
        <w:rPr>
          <w:rFonts w:ascii="Arial" w:hAnsi="Arial" w:cs="Arial"/>
          <w:b/>
          <w:i w:val="0"/>
          <w:color w:val="auto"/>
        </w:rPr>
      </w:pPr>
      <w:r w:rsidRPr="0032556C">
        <w:rPr>
          <w:rFonts w:ascii="Arial" w:hAnsi="Arial" w:cs="Arial"/>
          <w:b/>
          <w:i w:val="0"/>
          <w:color w:val="auto"/>
        </w:rPr>
        <w:t>Long-term EAL</w:t>
      </w:r>
    </w:p>
    <w:p w14:paraId="3504701E" w14:textId="77777777" w:rsidR="00DA0A9A" w:rsidRPr="0032556C" w:rsidRDefault="00DA0A9A" w:rsidP="0032556C">
      <w:pPr>
        <w:jc w:val="both"/>
        <w:rPr>
          <w:rFonts w:ascii="Arial" w:hAnsi="Arial" w:cs="Arial"/>
        </w:rPr>
      </w:pPr>
      <w:r w:rsidRPr="0032556C">
        <w:rPr>
          <w:rFonts w:ascii="Arial" w:hAnsi="Arial" w:cs="Arial"/>
        </w:rPr>
        <w:t>The critical health effects from long-term inhalation exposure are considered to be respiratory irritation and neurobehavioral toxicity.  In accordance with the guidance for the derivation of EALs, the DNEL proposed by HSE (2016) would be recommended as the long-term EAL because it was proposed by a UK authoritative body.  However, it is derived from the OEL proposed by SCOEL (1996).  Most notably, HSE (2016) corrected for continuous exposure from the OEL (8 hours to 24 hours) despite the observation that the underlying study by Weeks et al. (1960), on which the OEL was based, used a regime of continuous and not intermittent exposure.  The high UF adopted by TCEQ (2015) in the derivation of the chronic AMCV is considered a little over-cautious.  Therefore the pivotal study for the derivation of a long-term EAL is considered to be the same sub-acute rodent study used for the short-term EAL.  The POD is considered to be the NOAEC of 10 mg/m</w:t>
      </w:r>
      <w:r w:rsidRPr="0032556C">
        <w:rPr>
          <w:rFonts w:ascii="Arial" w:hAnsi="Arial" w:cs="Arial"/>
          <w:vertAlign w:val="superscript"/>
        </w:rPr>
        <w:t>3</w:t>
      </w:r>
      <w:r w:rsidRPr="0032556C">
        <w:rPr>
          <w:rFonts w:ascii="Arial" w:hAnsi="Arial" w:cs="Arial"/>
        </w:rPr>
        <w:t>, which was identified for localised irritation of the respiratory tract (HSE 2016).  The long-term EAL of 0.1 mg/m</w:t>
      </w:r>
      <w:r w:rsidRPr="0032556C">
        <w:rPr>
          <w:rFonts w:ascii="Arial" w:hAnsi="Arial" w:cs="Arial"/>
          <w:vertAlign w:val="superscript"/>
        </w:rPr>
        <w:t>3</w:t>
      </w:r>
      <w:r w:rsidRPr="0032556C">
        <w:rPr>
          <w:rFonts w:ascii="Arial" w:hAnsi="Arial" w:cs="Arial"/>
        </w:rPr>
        <w:t xml:space="preserve"> is obtained by dividing the POD by a UF of 100 (a factor of 10 for interspecies variation and a factor of 10 for intra-species variation).  No factor for sub-acute to chronic duration is required because irritation is considered a concentration-based effect.</w:t>
      </w:r>
    </w:p>
    <w:p w14:paraId="064DF33D" w14:textId="77777777" w:rsidR="00DA0A9A" w:rsidRPr="00D14F64" w:rsidRDefault="00DA0A9A" w:rsidP="002005FC">
      <w:pPr>
        <w:pStyle w:val="Heading3"/>
        <w:numPr>
          <w:ilvl w:val="0"/>
          <w:numId w:val="0"/>
        </w:numPr>
        <w:rPr>
          <w:rFonts w:ascii="Arial" w:hAnsi="Arial" w:cs="Arial"/>
          <w:szCs w:val="24"/>
        </w:rPr>
      </w:pPr>
      <w:r w:rsidRPr="00D14F64">
        <w:rPr>
          <w:rFonts w:ascii="Arial" w:hAnsi="Arial" w:cs="Arial"/>
          <w:szCs w:val="24"/>
        </w:rPr>
        <w:t>Abbreviations and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6845"/>
      </w:tblGrid>
      <w:tr w:rsidR="00DA0A9A" w:rsidRPr="00D14F64" w14:paraId="49C0253F" w14:textId="77777777" w:rsidTr="00F90369">
        <w:tc>
          <w:tcPr>
            <w:tcW w:w="1555" w:type="dxa"/>
            <w:tcMar>
              <w:top w:w="57" w:type="dxa"/>
              <w:bottom w:w="57" w:type="dxa"/>
            </w:tcMar>
          </w:tcPr>
          <w:p w14:paraId="77791172" w14:textId="77777777" w:rsidR="00DA0A9A" w:rsidRPr="0032556C" w:rsidRDefault="00DA0A9A" w:rsidP="00F90369">
            <w:pPr>
              <w:rPr>
                <w:rFonts w:ascii="Arial" w:hAnsi="Arial" w:cs="Arial"/>
              </w:rPr>
            </w:pPr>
            <w:r w:rsidRPr="0032556C">
              <w:rPr>
                <w:rFonts w:ascii="Arial" w:hAnsi="Arial" w:cs="Arial"/>
              </w:rPr>
              <w:t>AMCV</w:t>
            </w:r>
          </w:p>
        </w:tc>
        <w:tc>
          <w:tcPr>
            <w:tcW w:w="7795" w:type="dxa"/>
            <w:tcMar>
              <w:top w:w="57" w:type="dxa"/>
              <w:bottom w:w="57" w:type="dxa"/>
            </w:tcMar>
          </w:tcPr>
          <w:p w14:paraId="7A9F3BA5" w14:textId="77777777" w:rsidR="00DA0A9A" w:rsidRPr="0032556C" w:rsidRDefault="00DA0A9A" w:rsidP="00F90369">
            <w:pPr>
              <w:rPr>
                <w:rFonts w:ascii="Arial" w:hAnsi="Arial" w:cs="Arial"/>
              </w:rPr>
            </w:pPr>
            <w:r w:rsidRPr="0032556C">
              <w:rPr>
                <w:rFonts w:ascii="Arial" w:hAnsi="Arial" w:cs="Arial"/>
              </w:rPr>
              <w:t>Air Monitoring Comparison Values are established in the State of Texas to evaluate the potential effects as a result of exposure to chemicals in air.  They are not considered ambient air standards.  Exceedances do not necessarily indicate a problem, but triggers a more in-depth review.</w:t>
            </w:r>
          </w:p>
        </w:tc>
      </w:tr>
      <w:tr w:rsidR="00DA0A9A" w:rsidRPr="00D14F64" w14:paraId="4F5810D2" w14:textId="77777777" w:rsidTr="00F90369">
        <w:tc>
          <w:tcPr>
            <w:tcW w:w="1555" w:type="dxa"/>
            <w:tcMar>
              <w:top w:w="57" w:type="dxa"/>
              <w:bottom w:w="57" w:type="dxa"/>
            </w:tcMar>
          </w:tcPr>
          <w:p w14:paraId="6B61C8E9" w14:textId="77777777" w:rsidR="00DA0A9A" w:rsidRPr="0032556C" w:rsidRDefault="00DA0A9A" w:rsidP="00F90369">
            <w:pPr>
              <w:rPr>
                <w:rFonts w:ascii="Arial" w:hAnsi="Arial" w:cs="Arial"/>
              </w:rPr>
            </w:pPr>
            <w:r w:rsidRPr="0032556C">
              <w:rPr>
                <w:rFonts w:ascii="Arial" w:hAnsi="Arial" w:cs="Arial"/>
              </w:rPr>
              <w:t>DNEL</w:t>
            </w:r>
          </w:p>
        </w:tc>
        <w:tc>
          <w:tcPr>
            <w:tcW w:w="7795" w:type="dxa"/>
            <w:tcMar>
              <w:top w:w="57" w:type="dxa"/>
              <w:bottom w:w="57" w:type="dxa"/>
            </w:tcMar>
          </w:tcPr>
          <w:p w14:paraId="2165897C" w14:textId="77777777" w:rsidR="00DA0A9A" w:rsidRPr="0032556C" w:rsidRDefault="00DA0A9A" w:rsidP="00F90369">
            <w:pPr>
              <w:rPr>
                <w:rFonts w:ascii="Arial" w:hAnsi="Arial" w:cs="Arial"/>
              </w:rPr>
            </w:pPr>
            <w:r w:rsidRPr="0032556C">
              <w:rPr>
                <w:rFonts w:ascii="Arial" w:hAnsi="Arial" w:cs="Arial"/>
              </w:rPr>
              <w:t xml:space="preserve">Derived No-Effect Level is defined as the </w:t>
            </w:r>
            <w:r w:rsidRPr="0032556C">
              <w:rPr>
                <w:rFonts w:ascii="Arial" w:hAnsi="Arial" w:cs="Arial"/>
                <w:lang w:val="en"/>
              </w:rPr>
              <w:t>level of exposure to a substance above which humans should not be exposed.  DNEL apply to health effects with a threshold.</w:t>
            </w:r>
          </w:p>
        </w:tc>
      </w:tr>
      <w:tr w:rsidR="00DA0A9A" w:rsidRPr="00D14F64" w14:paraId="2C05F824" w14:textId="77777777" w:rsidTr="00F90369">
        <w:tc>
          <w:tcPr>
            <w:tcW w:w="1555" w:type="dxa"/>
            <w:tcMar>
              <w:top w:w="57" w:type="dxa"/>
              <w:bottom w:w="57" w:type="dxa"/>
            </w:tcMar>
          </w:tcPr>
          <w:p w14:paraId="008A19AA" w14:textId="77777777" w:rsidR="00DA0A9A" w:rsidRPr="0032556C" w:rsidRDefault="00DA0A9A" w:rsidP="00F90369">
            <w:pPr>
              <w:rPr>
                <w:rFonts w:ascii="Arial" w:hAnsi="Arial" w:cs="Arial"/>
              </w:rPr>
            </w:pPr>
            <w:r w:rsidRPr="0032556C">
              <w:rPr>
                <w:rFonts w:ascii="Arial" w:hAnsi="Arial" w:cs="Arial"/>
              </w:rPr>
              <w:t>EAL</w:t>
            </w:r>
          </w:p>
        </w:tc>
        <w:tc>
          <w:tcPr>
            <w:tcW w:w="7795" w:type="dxa"/>
            <w:tcMar>
              <w:top w:w="57" w:type="dxa"/>
              <w:bottom w:w="57" w:type="dxa"/>
            </w:tcMar>
          </w:tcPr>
          <w:p w14:paraId="4D074C46" w14:textId="77777777" w:rsidR="00DA0A9A" w:rsidRPr="0032556C" w:rsidRDefault="00DA0A9A" w:rsidP="00F90369">
            <w:pPr>
              <w:rPr>
                <w:rFonts w:ascii="Arial" w:hAnsi="Arial" w:cs="Arial"/>
              </w:rPr>
            </w:pPr>
            <w:r w:rsidRPr="0032556C">
              <w:rPr>
                <w:rFonts w:ascii="Arial" w:hAnsi="Arial" w:cs="Arial"/>
              </w:rPr>
              <w:t>Environmental Assessment Level</w:t>
            </w:r>
          </w:p>
        </w:tc>
      </w:tr>
      <w:tr w:rsidR="00DA0A9A" w:rsidRPr="00D14F64" w14:paraId="54AD8A79" w14:textId="77777777" w:rsidTr="00F90369">
        <w:tc>
          <w:tcPr>
            <w:tcW w:w="1555" w:type="dxa"/>
            <w:tcMar>
              <w:top w:w="57" w:type="dxa"/>
              <w:bottom w:w="57" w:type="dxa"/>
            </w:tcMar>
          </w:tcPr>
          <w:p w14:paraId="7C0D52CB" w14:textId="77777777" w:rsidR="00DA0A9A" w:rsidRPr="0032556C" w:rsidRDefault="00DA0A9A" w:rsidP="00F90369">
            <w:pPr>
              <w:rPr>
                <w:rFonts w:ascii="Arial" w:hAnsi="Arial" w:cs="Arial"/>
              </w:rPr>
            </w:pPr>
            <w:r w:rsidRPr="0032556C">
              <w:rPr>
                <w:rFonts w:ascii="Arial" w:hAnsi="Arial" w:cs="Arial"/>
              </w:rPr>
              <w:t>ECHA</w:t>
            </w:r>
          </w:p>
        </w:tc>
        <w:tc>
          <w:tcPr>
            <w:tcW w:w="7795" w:type="dxa"/>
            <w:tcMar>
              <w:top w:w="57" w:type="dxa"/>
              <w:bottom w:w="57" w:type="dxa"/>
            </w:tcMar>
          </w:tcPr>
          <w:p w14:paraId="262E2E28" w14:textId="77777777" w:rsidR="00DA0A9A" w:rsidRPr="0032556C" w:rsidRDefault="00DA0A9A" w:rsidP="00F90369">
            <w:pPr>
              <w:rPr>
                <w:rFonts w:ascii="Arial" w:hAnsi="Arial" w:cs="Arial"/>
              </w:rPr>
            </w:pPr>
            <w:r w:rsidRPr="0032556C">
              <w:rPr>
                <w:rFonts w:ascii="Arial" w:hAnsi="Arial" w:cs="Arial"/>
              </w:rPr>
              <w:t>European Chemicals Agency</w:t>
            </w:r>
          </w:p>
        </w:tc>
      </w:tr>
      <w:tr w:rsidR="00DA0A9A" w:rsidRPr="00D14F64" w14:paraId="3597F0EA" w14:textId="77777777" w:rsidTr="00F90369">
        <w:tc>
          <w:tcPr>
            <w:tcW w:w="1555" w:type="dxa"/>
            <w:tcMar>
              <w:top w:w="57" w:type="dxa"/>
              <w:bottom w:w="57" w:type="dxa"/>
            </w:tcMar>
          </w:tcPr>
          <w:p w14:paraId="20A62AE9" w14:textId="77777777" w:rsidR="00DA0A9A" w:rsidRPr="0032556C" w:rsidRDefault="00DA0A9A" w:rsidP="00F90369">
            <w:pPr>
              <w:rPr>
                <w:rFonts w:ascii="Arial" w:hAnsi="Arial" w:cs="Arial"/>
              </w:rPr>
            </w:pPr>
            <w:r w:rsidRPr="0032556C">
              <w:rPr>
                <w:rFonts w:ascii="Arial" w:hAnsi="Arial" w:cs="Arial"/>
              </w:rPr>
              <w:t>HBGV</w:t>
            </w:r>
          </w:p>
        </w:tc>
        <w:tc>
          <w:tcPr>
            <w:tcW w:w="7795" w:type="dxa"/>
            <w:tcMar>
              <w:top w:w="57" w:type="dxa"/>
              <w:bottom w:w="57" w:type="dxa"/>
            </w:tcMar>
          </w:tcPr>
          <w:p w14:paraId="21C8F627" w14:textId="77777777" w:rsidR="00DA0A9A" w:rsidRPr="0032556C" w:rsidRDefault="00DA0A9A" w:rsidP="00F90369">
            <w:pPr>
              <w:rPr>
                <w:rFonts w:ascii="Arial" w:hAnsi="Arial" w:cs="Arial"/>
              </w:rPr>
            </w:pPr>
            <w:r w:rsidRPr="0032556C">
              <w:rPr>
                <w:rFonts w:ascii="Arial" w:hAnsi="Arial" w:cs="Arial"/>
              </w:rPr>
              <w:t>Health-Based Guidance Value</w:t>
            </w:r>
          </w:p>
        </w:tc>
      </w:tr>
      <w:tr w:rsidR="00DA0A9A" w:rsidRPr="00D14F64" w14:paraId="1F97177E" w14:textId="77777777" w:rsidTr="00F90369">
        <w:tc>
          <w:tcPr>
            <w:tcW w:w="1555" w:type="dxa"/>
            <w:tcMar>
              <w:top w:w="57" w:type="dxa"/>
              <w:bottom w:w="57" w:type="dxa"/>
            </w:tcMar>
          </w:tcPr>
          <w:p w14:paraId="21020412" w14:textId="77777777" w:rsidR="00DA0A9A" w:rsidRPr="0032556C" w:rsidRDefault="00DA0A9A" w:rsidP="00F90369">
            <w:pPr>
              <w:rPr>
                <w:rFonts w:ascii="Arial" w:hAnsi="Arial" w:cs="Arial"/>
              </w:rPr>
            </w:pPr>
            <w:r w:rsidRPr="0032556C">
              <w:rPr>
                <w:rFonts w:ascii="Arial" w:hAnsi="Arial" w:cs="Arial"/>
              </w:rPr>
              <w:t>HSE</w:t>
            </w:r>
          </w:p>
        </w:tc>
        <w:tc>
          <w:tcPr>
            <w:tcW w:w="7795" w:type="dxa"/>
            <w:tcMar>
              <w:top w:w="57" w:type="dxa"/>
              <w:bottom w:w="57" w:type="dxa"/>
            </w:tcMar>
          </w:tcPr>
          <w:p w14:paraId="6562EFD1" w14:textId="77777777" w:rsidR="00DA0A9A" w:rsidRPr="0032556C" w:rsidRDefault="00DA0A9A" w:rsidP="00F90369">
            <w:pPr>
              <w:rPr>
                <w:rFonts w:ascii="Arial" w:hAnsi="Arial" w:cs="Arial"/>
              </w:rPr>
            </w:pPr>
            <w:r w:rsidRPr="0032556C">
              <w:rPr>
                <w:rFonts w:ascii="Arial" w:hAnsi="Arial" w:cs="Arial"/>
              </w:rPr>
              <w:t>Health and Safety Executive</w:t>
            </w:r>
          </w:p>
        </w:tc>
      </w:tr>
      <w:tr w:rsidR="00DA0A9A" w:rsidRPr="00D14F64" w14:paraId="5714B858" w14:textId="77777777" w:rsidTr="00F90369">
        <w:tc>
          <w:tcPr>
            <w:tcW w:w="1555" w:type="dxa"/>
            <w:tcMar>
              <w:top w:w="57" w:type="dxa"/>
              <w:bottom w:w="57" w:type="dxa"/>
            </w:tcMar>
          </w:tcPr>
          <w:p w14:paraId="026D0C34" w14:textId="77777777" w:rsidR="00DA0A9A" w:rsidRPr="0032556C" w:rsidRDefault="00DA0A9A" w:rsidP="00F90369">
            <w:pPr>
              <w:rPr>
                <w:rFonts w:ascii="Arial" w:hAnsi="Arial" w:cs="Arial"/>
              </w:rPr>
            </w:pPr>
            <w:r w:rsidRPr="0032556C">
              <w:rPr>
                <w:rFonts w:ascii="Arial" w:hAnsi="Arial" w:cs="Arial"/>
              </w:rPr>
              <w:t>LOAEC</w:t>
            </w:r>
          </w:p>
        </w:tc>
        <w:tc>
          <w:tcPr>
            <w:tcW w:w="7795" w:type="dxa"/>
            <w:tcMar>
              <w:top w:w="57" w:type="dxa"/>
              <w:bottom w:w="57" w:type="dxa"/>
            </w:tcMar>
          </w:tcPr>
          <w:p w14:paraId="2C79C8AF" w14:textId="77777777" w:rsidR="00DA0A9A" w:rsidRPr="0032556C" w:rsidRDefault="00DA0A9A" w:rsidP="00F90369">
            <w:pPr>
              <w:rPr>
                <w:rFonts w:ascii="Arial" w:hAnsi="Arial" w:cs="Arial"/>
              </w:rPr>
            </w:pPr>
            <w:r w:rsidRPr="0032556C">
              <w:rPr>
                <w:rFonts w:ascii="Arial" w:hAnsi="Arial" w:cs="Arial"/>
              </w:rPr>
              <w:t>Lowest Observable Adverse Effect Concentration</w:t>
            </w:r>
          </w:p>
        </w:tc>
      </w:tr>
      <w:tr w:rsidR="00DA0A9A" w:rsidRPr="00D14F64" w14:paraId="6395D8CA" w14:textId="77777777" w:rsidTr="00F90369">
        <w:tc>
          <w:tcPr>
            <w:tcW w:w="1555" w:type="dxa"/>
            <w:tcMar>
              <w:top w:w="57" w:type="dxa"/>
              <w:bottom w:w="57" w:type="dxa"/>
            </w:tcMar>
          </w:tcPr>
          <w:p w14:paraId="50F0DF7C" w14:textId="77777777" w:rsidR="00DA0A9A" w:rsidRPr="0032556C" w:rsidRDefault="00DA0A9A" w:rsidP="00F90369">
            <w:pPr>
              <w:rPr>
                <w:rFonts w:ascii="Arial" w:hAnsi="Arial" w:cs="Arial"/>
              </w:rPr>
            </w:pPr>
            <w:r w:rsidRPr="0032556C">
              <w:rPr>
                <w:rFonts w:ascii="Arial" w:hAnsi="Arial" w:cs="Arial"/>
              </w:rPr>
              <w:t>NOAEC</w:t>
            </w:r>
          </w:p>
        </w:tc>
        <w:tc>
          <w:tcPr>
            <w:tcW w:w="7795" w:type="dxa"/>
            <w:tcMar>
              <w:top w:w="57" w:type="dxa"/>
              <w:bottom w:w="57" w:type="dxa"/>
            </w:tcMar>
          </w:tcPr>
          <w:p w14:paraId="43BA77E1" w14:textId="77777777" w:rsidR="00DA0A9A" w:rsidRPr="0032556C" w:rsidRDefault="00DA0A9A" w:rsidP="00F90369">
            <w:pPr>
              <w:rPr>
                <w:rFonts w:ascii="Arial" w:hAnsi="Arial" w:cs="Arial"/>
              </w:rPr>
            </w:pPr>
            <w:r w:rsidRPr="0032556C">
              <w:rPr>
                <w:rFonts w:ascii="Arial" w:hAnsi="Arial" w:cs="Arial"/>
              </w:rPr>
              <w:t>No Observed Adverse Effect Concentration</w:t>
            </w:r>
          </w:p>
        </w:tc>
      </w:tr>
      <w:tr w:rsidR="00DA0A9A" w:rsidRPr="00D14F64" w14:paraId="7780EB8A" w14:textId="77777777" w:rsidTr="00F90369">
        <w:tc>
          <w:tcPr>
            <w:tcW w:w="1555" w:type="dxa"/>
            <w:tcMar>
              <w:top w:w="57" w:type="dxa"/>
              <w:bottom w:w="57" w:type="dxa"/>
            </w:tcMar>
          </w:tcPr>
          <w:p w14:paraId="06AAA65C" w14:textId="77777777" w:rsidR="00DA0A9A" w:rsidRPr="0032556C" w:rsidRDefault="00DA0A9A" w:rsidP="00F90369">
            <w:pPr>
              <w:rPr>
                <w:rFonts w:ascii="Arial" w:hAnsi="Arial" w:cs="Arial"/>
              </w:rPr>
            </w:pPr>
            <w:r w:rsidRPr="0032556C">
              <w:rPr>
                <w:rFonts w:ascii="Arial" w:hAnsi="Arial" w:cs="Arial"/>
              </w:rPr>
              <w:t>OEL</w:t>
            </w:r>
          </w:p>
        </w:tc>
        <w:tc>
          <w:tcPr>
            <w:tcW w:w="7795" w:type="dxa"/>
            <w:tcMar>
              <w:top w:w="57" w:type="dxa"/>
              <w:bottom w:w="57" w:type="dxa"/>
            </w:tcMar>
          </w:tcPr>
          <w:p w14:paraId="5BBCDD41" w14:textId="77777777" w:rsidR="00DA0A9A" w:rsidRPr="0032556C" w:rsidRDefault="00DA0A9A" w:rsidP="00F90369">
            <w:pPr>
              <w:rPr>
                <w:rFonts w:ascii="Arial" w:hAnsi="Arial" w:cs="Arial"/>
              </w:rPr>
            </w:pPr>
            <w:r w:rsidRPr="0032556C">
              <w:rPr>
                <w:rFonts w:ascii="Arial" w:hAnsi="Arial" w:cs="Arial"/>
              </w:rPr>
              <w:t xml:space="preserve">Occupational Exposure Limit are broadly defined as a measurable </w:t>
            </w:r>
            <w:r w:rsidRPr="0032556C">
              <w:rPr>
                <w:rFonts w:ascii="Arial" w:hAnsi="Arial" w:cs="Arial"/>
                <w:color w:val="000000"/>
              </w:rPr>
              <w:t>concentration of a substance in air that represents a point of reference for the development of workplace strategies to protect workers from health risks associated with inhalation of chemical substances.</w:t>
            </w:r>
          </w:p>
        </w:tc>
      </w:tr>
      <w:tr w:rsidR="00DA0A9A" w:rsidRPr="00D14F64" w14:paraId="32CC5B9E" w14:textId="77777777" w:rsidTr="00F90369">
        <w:tc>
          <w:tcPr>
            <w:tcW w:w="1555" w:type="dxa"/>
            <w:tcMar>
              <w:top w:w="57" w:type="dxa"/>
              <w:bottom w:w="57" w:type="dxa"/>
            </w:tcMar>
          </w:tcPr>
          <w:p w14:paraId="27D900AD" w14:textId="77777777" w:rsidR="00DA0A9A" w:rsidRPr="0032556C" w:rsidRDefault="00DA0A9A" w:rsidP="00F90369">
            <w:pPr>
              <w:rPr>
                <w:rFonts w:ascii="Arial" w:hAnsi="Arial" w:cs="Arial"/>
              </w:rPr>
            </w:pPr>
            <w:r w:rsidRPr="0032556C">
              <w:rPr>
                <w:rFonts w:ascii="Arial" w:hAnsi="Arial" w:cs="Arial"/>
              </w:rPr>
              <w:t>POD</w:t>
            </w:r>
          </w:p>
        </w:tc>
        <w:tc>
          <w:tcPr>
            <w:tcW w:w="7795" w:type="dxa"/>
            <w:tcMar>
              <w:top w:w="57" w:type="dxa"/>
              <w:bottom w:w="57" w:type="dxa"/>
            </w:tcMar>
          </w:tcPr>
          <w:p w14:paraId="4AFBA3EB" w14:textId="77777777" w:rsidR="00DA0A9A" w:rsidRPr="0032556C" w:rsidRDefault="00DA0A9A" w:rsidP="00F90369">
            <w:pPr>
              <w:rPr>
                <w:rFonts w:ascii="Arial" w:hAnsi="Arial" w:cs="Arial"/>
              </w:rPr>
            </w:pPr>
            <w:r w:rsidRPr="0032556C">
              <w:rPr>
                <w:rFonts w:ascii="Arial" w:hAnsi="Arial" w:cs="Arial"/>
              </w:rPr>
              <w:t>Point of Departure</w:t>
            </w:r>
          </w:p>
        </w:tc>
      </w:tr>
      <w:tr w:rsidR="00DA0A9A" w:rsidRPr="00D14F64" w14:paraId="4F4BF92C" w14:textId="77777777" w:rsidTr="00F90369">
        <w:tc>
          <w:tcPr>
            <w:tcW w:w="1555" w:type="dxa"/>
            <w:tcMar>
              <w:top w:w="57" w:type="dxa"/>
              <w:bottom w:w="57" w:type="dxa"/>
            </w:tcMar>
          </w:tcPr>
          <w:p w14:paraId="64E38FCB" w14:textId="77777777" w:rsidR="00DA0A9A" w:rsidRPr="0032556C" w:rsidRDefault="00DA0A9A" w:rsidP="00F90369">
            <w:pPr>
              <w:rPr>
                <w:rFonts w:ascii="Arial" w:hAnsi="Arial" w:cs="Arial"/>
              </w:rPr>
            </w:pPr>
            <w:r w:rsidRPr="0032556C">
              <w:rPr>
                <w:rFonts w:ascii="Arial" w:hAnsi="Arial" w:cs="Arial"/>
              </w:rPr>
              <w:t>REACH</w:t>
            </w:r>
          </w:p>
        </w:tc>
        <w:tc>
          <w:tcPr>
            <w:tcW w:w="7795" w:type="dxa"/>
            <w:tcMar>
              <w:top w:w="57" w:type="dxa"/>
              <w:bottom w:w="57" w:type="dxa"/>
            </w:tcMar>
          </w:tcPr>
          <w:p w14:paraId="09103EF5" w14:textId="77777777" w:rsidR="00DA0A9A" w:rsidRPr="0032556C" w:rsidRDefault="00DA0A9A" w:rsidP="00F90369">
            <w:pPr>
              <w:rPr>
                <w:rFonts w:ascii="Arial" w:hAnsi="Arial" w:cs="Arial"/>
              </w:rPr>
            </w:pPr>
            <w:r w:rsidRPr="0032556C">
              <w:rPr>
                <w:rFonts w:ascii="Arial" w:hAnsi="Arial" w:cs="Arial"/>
              </w:rPr>
              <w:t>Registration, Evaluation, Authorisation and Restriction of Chemicals is a European Union regulation that addresses the production and use of chemical substances and their potential impact on human health and the environment.</w:t>
            </w:r>
          </w:p>
        </w:tc>
      </w:tr>
      <w:tr w:rsidR="00DA0A9A" w:rsidRPr="00D14F64" w14:paraId="2E7E5D86" w14:textId="77777777" w:rsidTr="00F90369">
        <w:tc>
          <w:tcPr>
            <w:tcW w:w="1555" w:type="dxa"/>
            <w:tcMar>
              <w:top w:w="57" w:type="dxa"/>
              <w:bottom w:w="57" w:type="dxa"/>
            </w:tcMar>
          </w:tcPr>
          <w:p w14:paraId="30A2E15B" w14:textId="77777777" w:rsidR="00DA0A9A" w:rsidRPr="0032556C" w:rsidRDefault="00DA0A9A" w:rsidP="00F90369">
            <w:pPr>
              <w:rPr>
                <w:rFonts w:ascii="Arial" w:hAnsi="Arial" w:cs="Arial"/>
              </w:rPr>
            </w:pPr>
            <w:r w:rsidRPr="0032556C">
              <w:rPr>
                <w:rFonts w:ascii="Arial" w:hAnsi="Arial" w:cs="Arial"/>
              </w:rPr>
              <w:t>STEL</w:t>
            </w:r>
          </w:p>
        </w:tc>
        <w:tc>
          <w:tcPr>
            <w:tcW w:w="7795" w:type="dxa"/>
            <w:tcMar>
              <w:top w:w="57" w:type="dxa"/>
              <w:bottom w:w="57" w:type="dxa"/>
            </w:tcMar>
          </w:tcPr>
          <w:p w14:paraId="73AC27C3" w14:textId="77777777" w:rsidR="00DA0A9A" w:rsidRPr="0032556C" w:rsidRDefault="00DA0A9A" w:rsidP="00F90369">
            <w:pPr>
              <w:rPr>
                <w:rFonts w:ascii="Arial" w:hAnsi="Arial" w:cs="Arial"/>
              </w:rPr>
            </w:pPr>
            <w:r w:rsidRPr="0032556C">
              <w:rPr>
                <w:rFonts w:ascii="Arial" w:hAnsi="Arial" w:cs="Arial"/>
              </w:rPr>
              <w:t>Short-term Exposure Limit (usually 15 minutes) for use in the workplace</w:t>
            </w:r>
          </w:p>
        </w:tc>
      </w:tr>
      <w:tr w:rsidR="00DA0A9A" w:rsidRPr="00D14F64" w14:paraId="56EF862C" w14:textId="77777777" w:rsidTr="00F90369">
        <w:tc>
          <w:tcPr>
            <w:tcW w:w="1555" w:type="dxa"/>
            <w:tcMar>
              <w:top w:w="57" w:type="dxa"/>
              <w:bottom w:w="57" w:type="dxa"/>
            </w:tcMar>
          </w:tcPr>
          <w:p w14:paraId="40D6B6EB" w14:textId="77777777" w:rsidR="00DA0A9A" w:rsidRPr="0032556C" w:rsidRDefault="00DA0A9A" w:rsidP="00F90369">
            <w:pPr>
              <w:rPr>
                <w:rFonts w:ascii="Arial" w:hAnsi="Arial" w:cs="Arial"/>
              </w:rPr>
            </w:pPr>
            <w:r w:rsidRPr="0032556C">
              <w:rPr>
                <w:rFonts w:ascii="Arial" w:hAnsi="Arial" w:cs="Arial"/>
              </w:rPr>
              <w:t>UF</w:t>
            </w:r>
          </w:p>
        </w:tc>
        <w:tc>
          <w:tcPr>
            <w:tcW w:w="7795" w:type="dxa"/>
            <w:tcMar>
              <w:top w:w="57" w:type="dxa"/>
              <w:bottom w:w="57" w:type="dxa"/>
            </w:tcMar>
          </w:tcPr>
          <w:p w14:paraId="08343C07" w14:textId="77777777" w:rsidR="00DA0A9A" w:rsidRPr="0032556C" w:rsidRDefault="00DA0A9A" w:rsidP="00F90369">
            <w:pPr>
              <w:rPr>
                <w:rFonts w:ascii="Arial" w:hAnsi="Arial" w:cs="Arial"/>
              </w:rPr>
            </w:pPr>
            <w:r w:rsidRPr="0032556C">
              <w:rPr>
                <w:rFonts w:ascii="Arial" w:hAnsi="Arial" w:cs="Arial"/>
              </w:rPr>
              <w:t>Uncertainty Factor</w:t>
            </w:r>
          </w:p>
        </w:tc>
      </w:tr>
    </w:tbl>
    <w:p w14:paraId="3DFB3793" w14:textId="77777777" w:rsidR="00DA0A9A" w:rsidRPr="002005FC" w:rsidRDefault="00DA0A9A" w:rsidP="002005FC">
      <w:pPr>
        <w:pStyle w:val="Heading3"/>
        <w:numPr>
          <w:ilvl w:val="0"/>
          <w:numId w:val="0"/>
        </w:numPr>
        <w:rPr>
          <w:rFonts w:ascii="Arial" w:eastAsiaTheme="minorHAnsi" w:hAnsi="Arial" w:cs="Arial"/>
          <w:szCs w:val="24"/>
        </w:rPr>
      </w:pPr>
    </w:p>
    <w:p w14:paraId="698FEA53" w14:textId="77777777" w:rsidR="0032556C" w:rsidRDefault="0032556C" w:rsidP="002005FC">
      <w:pPr>
        <w:pStyle w:val="Heading3"/>
        <w:numPr>
          <w:ilvl w:val="0"/>
          <w:numId w:val="0"/>
        </w:numPr>
        <w:rPr>
          <w:rFonts w:ascii="Arial" w:hAnsi="Arial" w:cs="Arial"/>
          <w:szCs w:val="24"/>
        </w:rPr>
      </w:pPr>
    </w:p>
    <w:p w14:paraId="511D6FE2" w14:textId="77777777" w:rsidR="00DA0A9A" w:rsidRPr="00D14F64" w:rsidRDefault="00DA0A9A" w:rsidP="002005FC">
      <w:pPr>
        <w:pStyle w:val="Heading3"/>
        <w:numPr>
          <w:ilvl w:val="0"/>
          <w:numId w:val="0"/>
        </w:numPr>
        <w:rPr>
          <w:rFonts w:ascii="Arial" w:hAnsi="Arial" w:cs="Arial"/>
          <w:szCs w:val="24"/>
        </w:rPr>
      </w:pPr>
      <w:r w:rsidRPr="00D14F64">
        <w:rPr>
          <w:rFonts w:ascii="Arial" w:hAnsi="Arial" w:cs="Arial"/>
          <w:szCs w:val="24"/>
        </w:rPr>
        <w:t>References</w:t>
      </w:r>
    </w:p>
    <w:p w14:paraId="715A02FF" w14:textId="77777777" w:rsidR="00DA0A9A" w:rsidRPr="004B7452" w:rsidRDefault="0032556C" w:rsidP="00DA0A9A">
      <w:pPr>
        <w:rPr>
          <w:rStyle w:val="Hyperlink"/>
          <w:rFonts w:ascii="Arial" w:hAnsi="Arial" w:cs="Arial"/>
          <w:color w:val="auto"/>
          <w:u w:val="none"/>
          <w:lang w:val="en"/>
        </w:rPr>
      </w:pPr>
      <w:r w:rsidRPr="0032556C">
        <w:rPr>
          <w:rStyle w:val="Hyperlink"/>
          <w:rFonts w:ascii="Arial" w:hAnsi="Arial" w:cs="Arial"/>
          <w:color w:val="auto"/>
          <w:u w:val="none"/>
        </w:rPr>
        <w:t xml:space="preserve">CNESST, 2019.  Agents causing occupational asthma with key references.  </w:t>
      </w:r>
      <w:r w:rsidRPr="0032556C">
        <w:rPr>
          <w:rStyle w:val="Hyperlink"/>
          <w:rFonts w:ascii="Arial" w:hAnsi="Arial" w:cs="Arial"/>
          <w:color w:val="auto"/>
          <w:u w:val="none"/>
          <w:lang w:val="en"/>
        </w:rPr>
        <w:t>COMMISSION DES NORMES, DE L'ÉQUITÉ, DE LA SANTÉ ET DE LA SÉCURITÉ DU TRAVAIL, QUÉBEC, CANADA.</w:t>
      </w:r>
    </w:p>
    <w:p w14:paraId="2531DEEF" w14:textId="77777777" w:rsidR="0032556C" w:rsidRPr="0032556C" w:rsidRDefault="0032556C" w:rsidP="00DA0A9A">
      <w:pPr>
        <w:rPr>
          <w:rFonts w:ascii="Arial" w:hAnsi="Arial" w:cs="Arial"/>
        </w:rPr>
      </w:pPr>
    </w:p>
    <w:p w14:paraId="054238B1"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GELFAND H., 1963.  Respiratory allergy due to chemical compounds encountered in the rubber, lacquer, shellac, and beauty culture industries. J. ALLERGY, 34 (4), 374 – 381.</w:t>
      </w:r>
    </w:p>
    <w:p w14:paraId="588584D0" w14:textId="77777777" w:rsidR="0032556C" w:rsidRPr="0032556C" w:rsidRDefault="0032556C" w:rsidP="00DA0A9A">
      <w:pPr>
        <w:rPr>
          <w:rFonts w:ascii="Arial" w:hAnsi="Arial" w:cs="Arial"/>
          <w:lang w:val="en"/>
        </w:rPr>
      </w:pPr>
    </w:p>
    <w:p w14:paraId="15450757"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HSE. 2001.  Asthmagen? Critical assessments of the evidence for agents implicated in occupational asthma.  Health and Safety Executive.</w:t>
      </w:r>
    </w:p>
    <w:p w14:paraId="14375E0A" w14:textId="77777777" w:rsidR="0032556C" w:rsidRPr="0032556C" w:rsidRDefault="0032556C" w:rsidP="00DA0A9A">
      <w:pPr>
        <w:rPr>
          <w:rFonts w:ascii="Arial" w:hAnsi="Arial" w:cs="Arial"/>
        </w:rPr>
      </w:pPr>
    </w:p>
    <w:p w14:paraId="2B1F5969"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HSE, 2016.  Substance Evaluation Report for 2-aminoethanol, Version 2.  Health and Safety Executive.</w:t>
      </w:r>
    </w:p>
    <w:p w14:paraId="6CB5D853" w14:textId="77777777" w:rsidR="0032556C" w:rsidRPr="0032556C" w:rsidRDefault="0032556C" w:rsidP="00DA0A9A">
      <w:pPr>
        <w:rPr>
          <w:rFonts w:ascii="Arial" w:hAnsi="Arial" w:cs="Arial"/>
        </w:rPr>
      </w:pPr>
    </w:p>
    <w:p w14:paraId="1738D76C"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KAMIJO Y., HAYASHI I., IDE A., YOSHIMURA K., SOMA K., MAJIMA M., 2009. Effects of inhaled monoethanolamine on bronchoconstriction. J. APPL. TOXICOL., 29 (1), 15 – 19.</w:t>
      </w:r>
    </w:p>
    <w:p w14:paraId="7AAD1A08" w14:textId="77777777" w:rsidR="0032556C" w:rsidRPr="0032556C" w:rsidRDefault="0032556C" w:rsidP="00DA0A9A">
      <w:pPr>
        <w:rPr>
          <w:rFonts w:ascii="Arial" w:hAnsi="Arial" w:cs="Arial"/>
        </w:rPr>
      </w:pPr>
    </w:p>
    <w:p w14:paraId="5DCC8FE7"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KLAIN G.J., REIFENRATH W.G., BLACK K.E., 1985.  Distribution and metabolism of topically applied ethanolamine. FUNDAM. APPL. TOXICOL., 5, 127 – 133.</w:t>
      </w:r>
    </w:p>
    <w:p w14:paraId="0BB97972" w14:textId="77777777" w:rsidR="0032556C" w:rsidRPr="0032556C" w:rsidRDefault="0032556C" w:rsidP="00DA0A9A">
      <w:pPr>
        <w:rPr>
          <w:rFonts w:ascii="Arial" w:hAnsi="Arial" w:cs="Arial"/>
        </w:rPr>
      </w:pPr>
    </w:p>
    <w:p w14:paraId="6574CCCC" w14:textId="77777777" w:rsidR="00DA0A9A" w:rsidRPr="00AF6CA3" w:rsidRDefault="0032556C" w:rsidP="00DA0A9A">
      <w:pPr>
        <w:rPr>
          <w:rStyle w:val="Hyperlink"/>
          <w:rFonts w:ascii="Arial" w:hAnsi="Arial" w:cs="Arial"/>
          <w:color w:val="auto"/>
          <w:u w:val="none"/>
        </w:rPr>
      </w:pPr>
      <w:r w:rsidRPr="00AF6CA3">
        <w:rPr>
          <w:rStyle w:val="Hyperlink"/>
          <w:rFonts w:ascii="Arial" w:hAnsi="Arial" w:cs="Arial"/>
          <w:color w:val="auto"/>
          <w:u w:val="none"/>
        </w:rPr>
        <w:t>MÄKELÄ R., KAUPPI P., SUURONEN K., TUPPURAINEN M., HANNU T., 2011. Occupational asthma in professional cleaning work: a clinical study. OCCUPATIONAL MEDICINE, 61 (2), 121 – 126.</w:t>
      </w:r>
    </w:p>
    <w:p w14:paraId="4CE1ABC3" w14:textId="77777777" w:rsidR="0032556C" w:rsidRPr="0032556C" w:rsidRDefault="0032556C" w:rsidP="00DA0A9A">
      <w:pPr>
        <w:rPr>
          <w:rFonts w:ascii="Arial" w:hAnsi="Arial" w:cs="Arial"/>
        </w:rPr>
      </w:pPr>
    </w:p>
    <w:p w14:paraId="08874923" w14:textId="77777777" w:rsidR="00DA0A9A" w:rsidRPr="0032556C" w:rsidRDefault="0032556C" w:rsidP="00DA0A9A">
      <w:pPr>
        <w:rPr>
          <w:rFonts w:ascii="Arial" w:hAnsi="Arial" w:cs="Arial"/>
        </w:rPr>
      </w:pPr>
      <w:r w:rsidRPr="00AF6CA3">
        <w:rPr>
          <w:rStyle w:val="Hyperlink"/>
          <w:rFonts w:ascii="Arial" w:hAnsi="Arial" w:cs="Arial"/>
          <w:color w:val="auto"/>
          <w:u w:val="none"/>
        </w:rPr>
        <w:t>MANKES R.F., 1986. Studies on the embryopathic effects of ethanolamine in Long-Evans rats: preferential embryopathy in pups contiguous with male siblings in utero. TERATOGEN</w:t>
      </w:r>
      <w:r>
        <w:rPr>
          <w:rStyle w:val="Hyperlink"/>
          <w:rFonts w:ascii="Arial" w:hAnsi="Arial" w:cs="Arial"/>
          <w:color w:val="auto"/>
          <w:u w:val="none"/>
        </w:rPr>
        <w:t>E</w:t>
      </w:r>
      <w:r w:rsidRPr="0032556C">
        <w:rPr>
          <w:rStyle w:val="Hyperlink"/>
          <w:rFonts w:ascii="Arial" w:hAnsi="Arial" w:cs="Arial"/>
          <w:color w:val="auto"/>
          <w:u w:val="none"/>
        </w:rPr>
        <w:t>SIS, CARCINOGENESIS AND MUTAGENESIS, 6 (5), 403 – 417.</w:t>
      </w:r>
      <w:r w:rsidR="00DA0A9A" w:rsidRPr="0032556C">
        <w:rPr>
          <w:rFonts w:ascii="Arial" w:hAnsi="Arial" w:cs="Arial"/>
        </w:rPr>
        <w:t xml:space="preserve"> </w:t>
      </w:r>
    </w:p>
    <w:p w14:paraId="490D6967" w14:textId="77777777" w:rsidR="00DA0A9A" w:rsidRPr="0032556C" w:rsidRDefault="00DA0A9A" w:rsidP="00DA0A9A">
      <w:pPr>
        <w:rPr>
          <w:rFonts w:ascii="Arial" w:hAnsi="Arial" w:cs="Arial"/>
        </w:rPr>
      </w:pPr>
      <w:r w:rsidRPr="004B7452">
        <w:rPr>
          <w:rFonts w:ascii="Arial" w:hAnsi="Arial" w:cs="Arial"/>
        </w:rPr>
        <w:t>SCOEL, 1996. Recommendation from the Scientific Committee on Occupational Exposure Limits for Ethanolamine. SCOEL/SUM/24.</w:t>
      </w:r>
    </w:p>
    <w:p w14:paraId="22917C45" w14:textId="77777777" w:rsidR="0032556C" w:rsidRPr="00AF6CA3" w:rsidRDefault="0032556C" w:rsidP="00DA0A9A">
      <w:pPr>
        <w:rPr>
          <w:rStyle w:val="Hyperlink"/>
          <w:rFonts w:ascii="Arial" w:hAnsi="Arial" w:cs="Arial"/>
          <w:color w:val="auto"/>
          <w:u w:val="none"/>
        </w:rPr>
      </w:pPr>
    </w:p>
    <w:p w14:paraId="42593377" w14:textId="77777777" w:rsidR="00DA0A9A" w:rsidRPr="0032556C" w:rsidRDefault="0032556C" w:rsidP="00DA0A9A">
      <w:pPr>
        <w:rPr>
          <w:rFonts w:ascii="Arial" w:hAnsi="Arial" w:cs="Arial"/>
        </w:rPr>
      </w:pPr>
      <w:r w:rsidRPr="00AF6CA3">
        <w:rPr>
          <w:rStyle w:val="Hyperlink"/>
          <w:rFonts w:ascii="Arial" w:hAnsi="Arial" w:cs="Arial"/>
          <w:color w:val="auto"/>
          <w:u w:val="none"/>
        </w:rPr>
        <w:t>TAYLOR R.J., RICHARDSON K.E., 1967.  Ethanolamine metabolism in the rat. EXPERIMENTAL BIOLOGY AND MEDICINE, 124 (1), 247 – 252.</w:t>
      </w:r>
    </w:p>
    <w:p w14:paraId="7318323F" w14:textId="77777777" w:rsidR="00DA0A9A" w:rsidRPr="0032556C" w:rsidRDefault="0032556C" w:rsidP="00DA0A9A">
      <w:pPr>
        <w:autoSpaceDE w:val="0"/>
        <w:autoSpaceDN w:val="0"/>
        <w:adjustRightInd w:val="0"/>
        <w:rPr>
          <w:rFonts w:ascii="Arial" w:hAnsi="Arial" w:cs="Arial"/>
        </w:rPr>
      </w:pPr>
      <w:r w:rsidRPr="00AF6CA3">
        <w:rPr>
          <w:rStyle w:val="Hyperlink"/>
          <w:rFonts w:ascii="Arial" w:hAnsi="Arial" w:cs="Arial"/>
          <w:color w:val="auto"/>
          <w:u w:val="none"/>
        </w:rPr>
        <w:t>TCEQ. 2015. Monoethanolamine, CAS No. 141-43-5. Development Support Document.  Texas Commission on Environmental Quality.</w:t>
      </w:r>
    </w:p>
    <w:p w14:paraId="024C88D0" w14:textId="77777777" w:rsidR="00DA0A9A" w:rsidRPr="0032556C" w:rsidRDefault="00DA0A9A" w:rsidP="00DA0A9A">
      <w:pPr>
        <w:autoSpaceDE w:val="0"/>
        <w:autoSpaceDN w:val="0"/>
        <w:adjustRightInd w:val="0"/>
        <w:rPr>
          <w:rFonts w:ascii="Arial" w:hAnsi="Arial" w:cs="Arial"/>
        </w:rPr>
      </w:pPr>
    </w:p>
    <w:p w14:paraId="4D2932A8" w14:textId="77777777" w:rsidR="00DA0A9A" w:rsidRPr="00AF6CA3" w:rsidRDefault="0032556C" w:rsidP="00DA0A9A">
      <w:pPr>
        <w:autoSpaceDE w:val="0"/>
        <w:autoSpaceDN w:val="0"/>
        <w:adjustRightInd w:val="0"/>
        <w:rPr>
          <w:rStyle w:val="Hyperlink"/>
          <w:rFonts w:ascii="Arial" w:hAnsi="Arial" w:cs="Arial"/>
          <w:color w:val="auto"/>
          <w:u w:val="none"/>
        </w:rPr>
      </w:pPr>
      <w:r w:rsidRPr="00AF6CA3">
        <w:rPr>
          <w:rStyle w:val="Hyperlink"/>
          <w:rFonts w:ascii="Arial" w:hAnsi="Arial" w:cs="Arial"/>
          <w:color w:val="auto"/>
          <w:u w:val="none"/>
        </w:rPr>
        <w:t>WEEKS M.H., DOWNING T.O., MUSSELMAN N.P., CARSON T.R., GROFF W.A., 1960. The effect of continuous exposure of animals to ethanolamine vapour. AMERICAN INDUSTRIAL HYGIENE ASSOCIATION JOURNAL, 21 (5), 374 – 381.</w:t>
      </w:r>
    </w:p>
    <w:p w14:paraId="40893F7C" w14:textId="77777777" w:rsidR="00DA0A9A" w:rsidRPr="0032556C" w:rsidRDefault="00DA0A9A" w:rsidP="00DA0A9A">
      <w:pPr>
        <w:autoSpaceDE w:val="0"/>
        <w:autoSpaceDN w:val="0"/>
        <w:adjustRightInd w:val="0"/>
        <w:rPr>
          <w:rStyle w:val="Hyperlink"/>
          <w:rFonts w:ascii="Arial" w:hAnsi="Arial" w:cs="Arial"/>
          <w:color w:val="auto"/>
        </w:rPr>
      </w:pPr>
    </w:p>
    <w:p w14:paraId="6C554A77" w14:textId="77777777" w:rsidR="00DA0A9A" w:rsidRPr="0032556C" w:rsidRDefault="00DA0A9A" w:rsidP="00DA0A9A">
      <w:pPr>
        <w:autoSpaceDE w:val="0"/>
        <w:autoSpaceDN w:val="0"/>
        <w:adjustRightInd w:val="0"/>
        <w:rPr>
          <w:rStyle w:val="Hyperlink"/>
          <w:color w:val="auto"/>
        </w:rPr>
      </w:pPr>
    </w:p>
    <w:p w14:paraId="1F16AFF1" w14:textId="77777777" w:rsidR="00DA0A9A" w:rsidRDefault="00DA0A9A" w:rsidP="00E65F5D">
      <w:pPr>
        <w:rPr>
          <w:rFonts w:ascii="Arial" w:hAnsi="Arial" w:cs="Arial"/>
          <w:b/>
          <w:szCs w:val="22"/>
        </w:rPr>
      </w:pP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0782D" w14:textId="77777777" w:rsidR="00590543" w:rsidRDefault="00590543" w:rsidP="00DA0A9A">
      <w:r>
        <w:separator/>
      </w:r>
    </w:p>
  </w:endnote>
  <w:endnote w:type="continuationSeparator" w:id="0">
    <w:p w14:paraId="0E85C4E7" w14:textId="77777777" w:rsidR="00590543" w:rsidRDefault="00590543" w:rsidP="00D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CAE40" w14:textId="77777777" w:rsidR="00590543" w:rsidRDefault="00590543" w:rsidP="00DA0A9A">
      <w:r>
        <w:separator/>
      </w:r>
    </w:p>
  </w:footnote>
  <w:footnote w:type="continuationSeparator" w:id="0">
    <w:p w14:paraId="72B83BA4" w14:textId="77777777" w:rsidR="00590543" w:rsidRDefault="00590543" w:rsidP="00DA0A9A">
      <w:r>
        <w:continuationSeparator/>
      </w:r>
    </w:p>
  </w:footnote>
  <w:footnote w:id="1">
    <w:p w14:paraId="31CB1E74" w14:textId="77777777" w:rsidR="00F90369" w:rsidRPr="00A02DE6" w:rsidRDefault="00F90369" w:rsidP="00DA0A9A">
      <w:pPr>
        <w:pStyle w:val="FootnoteText"/>
        <w:rPr>
          <w:sz w:val="16"/>
          <w:szCs w:val="16"/>
        </w:rPr>
      </w:pPr>
      <w:r w:rsidRPr="00A02DE6">
        <w:rPr>
          <w:rStyle w:val="FootnoteReference"/>
          <w:sz w:val="16"/>
          <w:szCs w:val="16"/>
        </w:rPr>
        <w:footnoteRef/>
      </w:r>
      <w:r>
        <w:rPr>
          <w:sz w:val="16"/>
          <w:szCs w:val="16"/>
        </w:rPr>
        <w:t>:</w:t>
      </w:r>
      <w:r w:rsidRPr="00A02DE6">
        <w:rPr>
          <w:sz w:val="16"/>
          <w:szCs w:val="16"/>
        </w:rPr>
        <w:t xml:space="preserve"> </w:t>
      </w:r>
      <w:hyperlink r:id="rId1" w:history="1">
        <w:r w:rsidRPr="00A02DE6">
          <w:rPr>
            <w:rStyle w:val="Hyperlink"/>
            <w:sz w:val="16"/>
            <w:szCs w:val="16"/>
          </w:rPr>
          <w:t>https://echa.europa.eu/registration-dossier/-/registered-dossier/15808/7/1</w:t>
        </w:r>
      </w:hyperlink>
      <w:r w:rsidRPr="00A02DE6">
        <w:rPr>
          <w:sz w:val="16"/>
          <w:szCs w:val="16"/>
        </w:rPr>
        <w:t xml:space="preserve">  </w:t>
      </w:r>
    </w:p>
  </w:footnote>
  <w:footnote w:id="2">
    <w:p w14:paraId="585C1218" w14:textId="77777777" w:rsidR="00F90369" w:rsidRPr="00A02DE6" w:rsidRDefault="00F90369" w:rsidP="00DA0A9A">
      <w:pPr>
        <w:pStyle w:val="FootnoteText"/>
        <w:rPr>
          <w:sz w:val="16"/>
          <w:szCs w:val="16"/>
        </w:rPr>
      </w:pPr>
      <w:r w:rsidRPr="00A02DE6">
        <w:rPr>
          <w:rStyle w:val="FootnoteReference"/>
          <w:sz w:val="16"/>
          <w:szCs w:val="16"/>
        </w:rPr>
        <w:footnoteRef/>
      </w:r>
      <w:r>
        <w:rPr>
          <w:sz w:val="16"/>
          <w:szCs w:val="16"/>
        </w:rPr>
        <w:t>:</w:t>
      </w:r>
      <w:r w:rsidRPr="00A02DE6">
        <w:rPr>
          <w:sz w:val="16"/>
          <w:szCs w:val="16"/>
        </w:rPr>
        <w:t xml:space="preserve"> </w:t>
      </w:r>
      <w:hyperlink r:id="rId2" w:history="1">
        <w:r w:rsidRPr="00A02DE6">
          <w:rPr>
            <w:rStyle w:val="Hyperlink"/>
            <w:sz w:val="16"/>
            <w:szCs w:val="16"/>
          </w:rPr>
          <w:t>https://echa.europa.eu/registration-dossier/-/registered-dossier/15808/7/1</w:t>
        </w:r>
      </w:hyperlink>
      <w:r w:rsidRPr="00A02DE6">
        <w:rPr>
          <w:sz w:val="16"/>
          <w:szCs w:val="16"/>
        </w:rPr>
        <w:t xml:space="preserve">  </w:t>
      </w:r>
    </w:p>
  </w:footnote>
  <w:footnote w:id="3">
    <w:p w14:paraId="5F2F0745" w14:textId="77777777" w:rsidR="00F90369" w:rsidRPr="00A02DE6" w:rsidRDefault="00F90369" w:rsidP="00DA0A9A">
      <w:pPr>
        <w:pStyle w:val="FootnoteText"/>
        <w:rPr>
          <w:sz w:val="16"/>
          <w:szCs w:val="16"/>
        </w:rPr>
      </w:pPr>
      <w:r w:rsidRPr="00A02DE6">
        <w:rPr>
          <w:rStyle w:val="FootnoteReference"/>
          <w:sz w:val="16"/>
          <w:szCs w:val="16"/>
        </w:rPr>
        <w:footnoteRef/>
      </w:r>
      <w:r>
        <w:rPr>
          <w:sz w:val="16"/>
          <w:szCs w:val="16"/>
        </w:rPr>
        <w:t>:</w:t>
      </w:r>
      <w:r w:rsidRPr="00A02DE6">
        <w:rPr>
          <w:sz w:val="16"/>
          <w:szCs w:val="16"/>
        </w:rPr>
        <w:t xml:space="preserve"> 1 ppm = 2.54 mg/m</w:t>
      </w:r>
      <w:r w:rsidRPr="00A02DE6">
        <w:rPr>
          <w:sz w:val="16"/>
          <w:szCs w:val="16"/>
          <w:vertAlign w:val="superscript"/>
        </w:rPr>
        <w:t>3</w:t>
      </w:r>
      <w:r w:rsidRPr="00A02DE6">
        <w:rPr>
          <w:sz w:val="16"/>
          <w:szCs w:val="16"/>
        </w:rPr>
        <w:t xml:space="preserve"> (SCOEL 1996).</w:t>
      </w:r>
    </w:p>
  </w:footnote>
  <w:footnote w:id="4">
    <w:p w14:paraId="2A36D921" w14:textId="77777777" w:rsidR="00F90369" w:rsidRPr="00A02DE6" w:rsidRDefault="00F90369" w:rsidP="00DA0A9A">
      <w:pPr>
        <w:pStyle w:val="FootnoteText"/>
        <w:rPr>
          <w:sz w:val="16"/>
          <w:szCs w:val="16"/>
        </w:rPr>
      </w:pPr>
      <w:r w:rsidRPr="00A02DE6">
        <w:rPr>
          <w:rStyle w:val="FootnoteReference"/>
          <w:sz w:val="16"/>
          <w:szCs w:val="16"/>
        </w:rPr>
        <w:footnoteRef/>
      </w:r>
      <w:r>
        <w:rPr>
          <w:sz w:val="16"/>
          <w:szCs w:val="16"/>
        </w:rPr>
        <w:t>:</w:t>
      </w:r>
      <w:r w:rsidRPr="00A02DE6">
        <w:rPr>
          <w:sz w:val="16"/>
          <w:szCs w:val="16"/>
        </w:rPr>
        <w:t xml:space="preserve"> </w:t>
      </w:r>
      <w:hyperlink r:id="rId3" w:history="1">
        <w:r w:rsidRPr="00A02DE6">
          <w:rPr>
            <w:rStyle w:val="Hyperlink"/>
            <w:sz w:val="16"/>
            <w:szCs w:val="16"/>
          </w:rPr>
          <w:t>https://echa.europa.eu/registration-dossier/-/registered-dossier/15808/7/1</w:t>
        </w:r>
      </w:hyperlink>
      <w:r w:rsidRPr="00A02D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4"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3"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20"/>
  </w:num>
  <w:num w:numId="3">
    <w:abstractNumId w:val="3"/>
  </w:num>
  <w:num w:numId="4">
    <w:abstractNumId w:val="24"/>
  </w:num>
  <w:num w:numId="5">
    <w:abstractNumId w:val="7"/>
  </w:num>
  <w:num w:numId="6">
    <w:abstractNumId w:val="21"/>
  </w:num>
  <w:num w:numId="7">
    <w:abstractNumId w:val="14"/>
  </w:num>
  <w:num w:numId="8">
    <w:abstractNumId w:val="13"/>
  </w:num>
  <w:num w:numId="9">
    <w:abstractNumId w:val="22"/>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
  </w:num>
  <w:num w:numId="13">
    <w:abstractNumId w:val="4"/>
  </w:num>
  <w:num w:numId="14">
    <w:abstractNumId w:val="16"/>
  </w:num>
  <w:num w:numId="15">
    <w:abstractNumId w:val="5"/>
  </w:num>
  <w:num w:numId="16">
    <w:abstractNumId w:val="11"/>
  </w:num>
  <w:num w:numId="17">
    <w:abstractNumId w:val="26"/>
  </w:num>
  <w:num w:numId="18">
    <w:abstractNumId w:val="8"/>
  </w:num>
  <w:num w:numId="19">
    <w:abstractNumId w:val="0"/>
  </w:num>
  <w:num w:numId="20">
    <w:abstractNumId w:val="10"/>
  </w:num>
  <w:num w:numId="21">
    <w:abstractNumId w:val="25"/>
  </w:num>
  <w:num w:numId="22">
    <w:abstractNumId w:val="23"/>
  </w:num>
  <w:num w:numId="23">
    <w:abstractNumId w:val="9"/>
  </w:num>
  <w:num w:numId="24">
    <w:abstractNumId w:val="18"/>
  </w:num>
  <w:num w:numId="25">
    <w:abstractNumId w:val="1"/>
  </w:num>
  <w:num w:numId="26">
    <w:abstractNumId w:val="15"/>
  </w:num>
  <w:num w:numId="27">
    <w:abstractNumId w:val="20"/>
    <w:lvlOverride w:ilvl="0"/>
    <w:lvlOverride w:ilvl="1">
      <w:startOverride w:val="4"/>
    </w:lvlOverride>
  </w:num>
  <w:num w:numId="28">
    <w:abstractNumId w:val="12"/>
  </w:num>
  <w:num w:numId="2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6FE"/>
    <w:rsid w:val="00044F35"/>
    <w:rsid w:val="00050B8F"/>
    <w:rsid w:val="00050E06"/>
    <w:rsid w:val="00065A58"/>
    <w:rsid w:val="000878DD"/>
    <w:rsid w:val="00094C8A"/>
    <w:rsid w:val="00097CC0"/>
    <w:rsid w:val="000A352F"/>
    <w:rsid w:val="000A3B0D"/>
    <w:rsid w:val="000B5C91"/>
    <w:rsid w:val="000C5321"/>
    <w:rsid w:val="000C73B0"/>
    <w:rsid w:val="000D1CA8"/>
    <w:rsid w:val="000D2F4D"/>
    <w:rsid w:val="000E2DE0"/>
    <w:rsid w:val="000E6B62"/>
    <w:rsid w:val="00103932"/>
    <w:rsid w:val="00110822"/>
    <w:rsid w:val="00122B02"/>
    <w:rsid w:val="00137C20"/>
    <w:rsid w:val="00137E82"/>
    <w:rsid w:val="00180764"/>
    <w:rsid w:val="001839AA"/>
    <w:rsid w:val="00192FBE"/>
    <w:rsid w:val="001948DB"/>
    <w:rsid w:val="001A3679"/>
    <w:rsid w:val="001A553D"/>
    <w:rsid w:val="001C31F6"/>
    <w:rsid w:val="001E2E5C"/>
    <w:rsid w:val="001F2201"/>
    <w:rsid w:val="001F22CB"/>
    <w:rsid w:val="002005FC"/>
    <w:rsid w:val="002170E6"/>
    <w:rsid w:val="00222854"/>
    <w:rsid w:val="00222DA0"/>
    <w:rsid w:val="00230768"/>
    <w:rsid w:val="002309C9"/>
    <w:rsid w:val="002343F5"/>
    <w:rsid w:val="0023711F"/>
    <w:rsid w:val="00242637"/>
    <w:rsid w:val="002527BE"/>
    <w:rsid w:val="00261379"/>
    <w:rsid w:val="00264B69"/>
    <w:rsid w:val="002877CB"/>
    <w:rsid w:val="00296D92"/>
    <w:rsid w:val="002A69DB"/>
    <w:rsid w:val="002B4CC9"/>
    <w:rsid w:val="002D4250"/>
    <w:rsid w:val="002E5FCC"/>
    <w:rsid w:val="002F4C87"/>
    <w:rsid w:val="002F5AC6"/>
    <w:rsid w:val="002F7873"/>
    <w:rsid w:val="00300B3D"/>
    <w:rsid w:val="003014F2"/>
    <w:rsid w:val="0032556C"/>
    <w:rsid w:val="003318A9"/>
    <w:rsid w:val="00334A8C"/>
    <w:rsid w:val="0034416E"/>
    <w:rsid w:val="0034663F"/>
    <w:rsid w:val="00375CE2"/>
    <w:rsid w:val="0038340B"/>
    <w:rsid w:val="00395856"/>
    <w:rsid w:val="003A6912"/>
    <w:rsid w:val="003B2D83"/>
    <w:rsid w:val="003B578A"/>
    <w:rsid w:val="003B7515"/>
    <w:rsid w:val="003C1C3E"/>
    <w:rsid w:val="003C74EF"/>
    <w:rsid w:val="00411E0E"/>
    <w:rsid w:val="004168AD"/>
    <w:rsid w:val="00426B85"/>
    <w:rsid w:val="00443776"/>
    <w:rsid w:val="0044471C"/>
    <w:rsid w:val="0045484A"/>
    <w:rsid w:val="00467724"/>
    <w:rsid w:val="00491B79"/>
    <w:rsid w:val="00494DB0"/>
    <w:rsid w:val="004979D1"/>
    <w:rsid w:val="004B7452"/>
    <w:rsid w:val="004C13AC"/>
    <w:rsid w:val="004C7FC4"/>
    <w:rsid w:val="004F2DDC"/>
    <w:rsid w:val="004F51A0"/>
    <w:rsid w:val="004F5E11"/>
    <w:rsid w:val="00502E9B"/>
    <w:rsid w:val="005141BA"/>
    <w:rsid w:val="00522F03"/>
    <w:rsid w:val="005250C5"/>
    <w:rsid w:val="00536906"/>
    <w:rsid w:val="00544F4A"/>
    <w:rsid w:val="005628EA"/>
    <w:rsid w:val="00567108"/>
    <w:rsid w:val="005700D8"/>
    <w:rsid w:val="00575D5D"/>
    <w:rsid w:val="00582130"/>
    <w:rsid w:val="00590543"/>
    <w:rsid w:val="00590BE4"/>
    <w:rsid w:val="005A4B57"/>
    <w:rsid w:val="005D63B0"/>
    <w:rsid w:val="005F4C38"/>
    <w:rsid w:val="005F5BD2"/>
    <w:rsid w:val="0061427E"/>
    <w:rsid w:val="006201E0"/>
    <w:rsid w:val="006244A0"/>
    <w:rsid w:val="006277E6"/>
    <w:rsid w:val="00634961"/>
    <w:rsid w:val="006378A0"/>
    <w:rsid w:val="00646663"/>
    <w:rsid w:val="006515A9"/>
    <w:rsid w:val="00664FF6"/>
    <w:rsid w:val="006739AF"/>
    <w:rsid w:val="00680D18"/>
    <w:rsid w:val="006A3118"/>
    <w:rsid w:val="006B2A00"/>
    <w:rsid w:val="006C3EEF"/>
    <w:rsid w:val="006C4938"/>
    <w:rsid w:val="006D38D0"/>
    <w:rsid w:val="006D6FE0"/>
    <w:rsid w:val="006E4951"/>
    <w:rsid w:val="00702558"/>
    <w:rsid w:val="00702E7E"/>
    <w:rsid w:val="00710211"/>
    <w:rsid w:val="00710F4A"/>
    <w:rsid w:val="00725725"/>
    <w:rsid w:val="00734DA1"/>
    <w:rsid w:val="0074406A"/>
    <w:rsid w:val="00750582"/>
    <w:rsid w:val="00751216"/>
    <w:rsid w:val="0076219C"/>
    <w:rsid w:val="007652CF"/>
    <w:rsid w:val="00766C82"/>
    <w:rsid w:val="0077327A"/>
    <w:rsid w:val="00775063"/>
    <w:rsid w:val="00777EF1"/>
    <w:rsid w:val="00785E51"/>
    <w:rsid w:val="007931F6"/>
    <w:rsid w:val="007C058A"/>
    <w:rsid w:val="007C5BBB"/>
    <w:rsid w:val="007D26AD"/>
    <w:rsid w:val="007D26D8"/>
    <w:rsid w:val="007E3780"/>
    <w:rsid w:val="007E6FB2"/>
    <w:rsid w:val="00801D1C"/>
    <w:rsid w:val="00810644"/>
    <w:rsid w:val="008113C3"/>
    <w:rsid w:val="00814EDD"/>
    <w:rsid w:val="008206E2"/>
    <w:rsid w:val="00825B21"/>
    <w:rsid w:val="00837491"/>
    <w:rsid w:val="00841632"/>
    <w:rsid w:val="008811D3"/>
    <w:rsid w:val="00895C87"/>
    <w:rsid w:val="008C4BA6"/>
    <w:rsid w:val="008D7A7D"/>
    <w:rsid w:val="0092036F"/>
    <w:rsid w:val="00921556"/>
    <w:rsid w:val="0093252F"/>
    <w:rsid w:val="00932EA0"/>
    <w:rsid w:val="0093723A"/>
    <w:rsid w:val="00941D4B"/>
    <w:rsid w:val="0095254E"/>
    <w:rsid w:val="00967E16"/>
    <w:rsid w:val="009715FD"/>
    <w:rsid w:val="0098516F"/>
    <w:rsid w:val="00996F23"/>
    <w:rsid w:val="009A2B10"/>
    <w:rsid w:val="009B4EC1"/>
    <w:rsid w:val="009C0CF9"/>
    <w:rsid w:val="009C2291"/>
    <w:rsid w:val="009E0923"/>
    <w:rsid w:val="009E79DE"/>
    <w:rsid w:val="009E7B02"/>
    <w:rsid w:val="009F257C"/>
    <w:rsid w:val="009F5493"/>
    <w:rsid w:val="00A00056"/>
    <w:rsid w:val="00A323E2"/>
    <w:rsid w:val="00A5269C"/>
    <w:rsid w:val="00A53D8C"/>
    <w:rsid w:val="00A61C4E"/>
    <w:rsid w:val="00A6391B"/>
    <w:rsid w:val="00A67558"/>
    <w:rsid w:val="00A73AF8"/>
    <w:rsid w:val="00A946D1"/>
    <w:rsid w:val="00AA18E7"/>
    <w:rsid w:val="00AB3714"/>
    <w:rsid w:val="00AB6556"/>
    <w:rsid w:val="00AC670A"/>
    <w:rsid w:val="00AD6F35"/>
    <w:rsid w:val="00AD730C"/>
    <w:rsid w:val="00AE2331"/>
    <w:rsid w:val="00AF4714"/>
    <w:rsid w:val="00AF6CA3"/>
    <w:rsid w:val="00B11E3A"/>
    <w:rsid w:val="00B131B6"/>
    <w:rsid w:val="00B151D0"/>
    <w:rsid w:val="00B30644"/>
    <w:rsid w:val="00B326B6"/>
    <w:rsid w:val="00B411CA"/>
    <w:rsid w:val="00B46DFC"/>
    <w:rsid w:val="00B507DB"/>
    <w:rsid w:val="00B52604"/>
    <w:rsid w:val="00B54C10"/>
    <w:rsid w:val="00B66B70"/>
    <w:rsid w:val="00B86D78"/>
    <w:rsid w:val="00B94CDD"/>
    <w:rsid w:val="00BA73FA"/>
    <w:rsid w:val="00BC26AA"/>
    <w:rsid w:val="00BC2742"/>
    <w:rsid w:val="00BD54A7"/>
    <w:rsid w:val="00BD6C1E"/>
    <w:rsid w:val="00BD6C51"/>
    <w:rsid w:val="00BE3CF5"/>
    <w:rsid w:val="00BF2021"/>
    <w:rsid w:val="00BF3654"/>
    <w:rsid w:val="00C11EBA"/>
    <w:rsid w:val="00C24614"/>
    <w:rsid w:val="00C2768F"/>
    <w:rsid w:val="00C33F87"/>
    <w:rsid w:val="00C401D9"/>
    <w:rsid w:val="00C40F42"/>
    <w:rsid w:val="00C56BE7"/>
    <w:rsid w:val="00C64B1D"/>
    <w:rsid w:val="00C82830"/>
    <w:rsid w:val="00C87218"/>
    <w:rsid w:val="00C87B46"/>
    <w:rsid w:val="00CA7693"/>
    <w:rsid w:val="00CB1946"/>
    <w:rsid w:val="00CE58EF"/>
    <w:rsid w:val="00CE79BB"/>
    <w:rsid w:val="00CF7FF3"/>
    <w:rsid w:val="00D2044C"/>
    <w:rsid w:val="00D333F1"/>
    <w:rsid w:val="00D557F7"/>
    <w:rsid w:val="00D75420"/>
    <w:rsid w:val="00D768C4"/>
    <w:rsid w:val="00D777EF"/>
    <w:rsid w:val="00D85F07"/>
    <w:rsid w:val="00D92EC1"/>
    <w:rsid w:val="00DA0A9A"/>
    <w:rsid w:val="00DB1132"/>
    <w:rsid w:val="00DB50BC"/>
    <w:rsid w:val="00DC6C71"/>
    <w:rsid w:val="00DC7AB9"/>
    <w:rsid w:val="00DE4041"/>
    <w:rsid w:val="00E00656"/>
    <w:rsid w:val="00E06F31"/>
    <w:rsid w:val="00E21861"/>
    <w:rsid w:val="00E57E06"/>
    <w:rsid w:val="00E60F04"/>
    <w:rsid w:val="00E62EE7"/>
    <w:rsid w:val="00E65F5D"/>
    <w:rsid w:val="00E71837"/>
    <w:rsid w:val="00E828AF"/>
    <w:rsid w:val="00E84EE9"/>
    <w:rsid w:val="00EA220E"/>
    <w:rsid w:val="00EA6FE1"/>
    <w:rsid w:val="00EB7546"/>
    <w:rsid w:val="00ED68F5"/>
    <w:rsid w:val="00EE4C72"/>
    <w:rsid w:val="00EF1705"/>
    <w:rsid w:val="00F1537C"/>
    <w:rsid w:val="00F175BF"/>
    <w:rsid w:val="00F35228"/>
    <w:rsid w:val="00F521B5"/>
    <w:rsid w:val="00F60126"/>
    <w:rsid w:val="00F603F8"/>
    <w:rsid w:val="00F7147C"/>
    <w:rsid w:val="00F75124"/>
    <w:rsid w:val="00F7576D"/>
    <w:rsid w:val="00F77C98"/>
    <w:rsid w:val="00F90369"/>
    <w:rsid w:val="00F91D05"/>
    <w:rsid w:val="00F91F7C"/>
    <w:rsid w:val="00FA1F8B"/>
    <w:rsid w:val="00FB55C7"/>
    <w:rsid w:val="00FC1C3E"/>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73538"/>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hyperlink" Target="https://consult.environment-agency.gov.uk/environment-and-business/new-air-environmental-assessment-leve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consultations/derivation-of-new-environmental-assessment-levels-to-air" TargetMode="External"/><Relationship Id="rId2" Type="http://schemas.openxmlformats.org/officeDocument/2006/relationships/numbering" Target="numbering.xml"/><Relationship Id="rId16" Type="http://schemas.openxmlformats.org/officeDocument/2006/relationships/hyperlink" Target="https://www.gov.uk/guidance/air-emissions-risk-assessment-for-your-environmental-per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ian.martin@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registration-dossier/-/registered-dossier/15808/7/1" TargetMode="External"/><Relationship Id="rId2" Type="http://schemas.openxmlformats.org/officeDocument/2006/relationships/hyperlink" Target="https://echa.europa.eu/registration-dossier/-/registered-dossier/15808/7/1" TargetMode="External"/><Relationship Id="rId1" Type="http://schemas.openxmlformats.org/officeDocument/2006/relationships/hyperlink" Target="https://echa.europa.eu/registration-dossier/-/registered-dossier/1580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27A50-C225-4C58-A3DC-D68BD2E5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8088</Words>
  <Characters>46763</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54742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Pennycook, Alison</cp:lastModifiedBy>
  <cp:revision>2</cp:revision>
  <cp:lastPrinted>2016-03-18T08:32:00Z</cp:lastPrinted>
  <dcterms:created xsi:type="dcterms:W3CDTF">2021-07-02T08:28:00Z</dcterms:created>
  <dcterms:modified xsi:type="dcterms:W3CDTF">2021-07-02T08:28:00Z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