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auto"/>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165AA0AA" w:rsidR="00FC6860" w:rsidRPr="00000F47" w:rsidRDefault="00366646" w:rsidP="00C71C4F">
          <w:pPr>
            <w:pStyle w:val="Heading1"/>
            <w:rPr>
              <w:rStyle w:val="chrSubTitle"/>
              <w:color w:val="auto"/>
            </w:rPr>
          </w:pPr>
          <w:r w:rsidRPr="00000F47">
            <w:rPr>
              <w:rStyle w:val="chrSubTitle"/>
              <w:color w:val="auto"/>
            </w:rPr>
            <w:t>Grand Union Trains Track Access Application – Gravity Model Demand Forecast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2-08T00:00:00Z">
          <w:dateFormat w:val="dd MMMM yyyy"/>
          <w:lid w:val="en-GB"/>
          <w:storeMappedDataAs w:val="dateTime"/>
          <w:calendar w:val="gregorian"/>
        </w:date>
      </w:sdtPr>
      <w:sdtEndPr/>
      <w:sdtContent>
        <w:p w14:paraId="38D7D855" w14:textId="64895B91" w:rsidR="00FC6860" w:rsidRDefault="00366646" w:rsidP="00C71C4F">
          <w:pPr>
            <w:pStyle w:val="Date"/>
          </w:pPr>
          <w:r>
            <w:rPr>
              <w:bCs/>
            </w:rPr>
            <w:t>08 February 2023</w:t>
          </w:r>
        </w:p>
      </w:sdtContent>
    </w:sdt>
    <w:p w14:paraId="512B2E87" w14:textId="77777777" w:rsidR="003E5612" w:rsidRDefault="003E5612" w:rsidP="003E5612"/>
    <w:p w14:paraId="0B23CADF" w14:textId="327E1AA7" w:rsidR="003E5612" w:rsidRPr="00000F47" w:rsidRDefault="003E5612" w:rsidP="003E5612">
      <w:pPr>
        <w:pStyle w:val="NormalBulletround"/>
        <w:rPr>
          <w:b/>
          <w:bCs/>
        </w:rPr>
      </w:pPr>
      <w:r w:rsidRPr="00000F47">
        <w:rPr>
          <w:b/>
          <w:bCs/>
        </w:rPr>
        <w:t xml:space="preserve">CPV Code: </w:t>
      </w:r>
      <w:r w:rsidR="00000F47" w:rsidRPr="00000F47">
        <w:rPr>
          <w:b/>
          <w:bCs/>
        </w:rPr>
        <w:t>79410000</w:t>
      </w:r>
    </w:p>
    <w:p w14:paraId="772A8C9F" w14:textId="25EA9A19" w:rsidR="003E5612" w:rsidRPr="00000F47" w:rsidRDefault="003E5612" w:rsidP="003E5612">
      <w:pPr>
        <w:pStyle w:val="NormalBulletround"/>
        <w:rPr>
          <w:b/>
          <w:bCs/>
        </w:rPr>
      </w:pPr>
      <w:r w:rsidRPr="00000F47">
        <w:rPr>
          <w:b/>
          <w:bCs/>
        </w:rPr>
        <w:t xml:space="preserve">Supplementary Code: </w:t>
      </w:r>
      <w:r w:rsidR="00000F47" w:rsidRPr="00000F47">
        <w:rPr>
          <w:b/>
          <w:bCs/>
        </w:rPr>
        <w:t>71311200</w:t>
      </w:r>
    </w:p>
    <w:p w14:paraId="645E9675" w14:textId="557349CD" w:rsidR="00FC6860" w:rsidRPr="00000F47" w:rsidRDefault="003E5612" w:rsidP="00CC4D7A">
      <w:pPr>
        <w:pStyle w:val="NormalBulletround"/>
      </w:pPr>
      <w:r w:rsidRPr="00000F47">
        <w:rPr>
          <w:b/>
          <w:bCs/>
        </w:rPr>
        <w:t xml:space="preserve">Tender Reference: </w:t>
      </w:r>
      <w:r w:rsidR="00000F47" w:rsidRPr="00000F47">
        <w:rPr>
          <w:b/>
          <w:bCs/>
        </w:rPr>
        <w:t>ORR/CT/22-69</w:t>
      </w:r>
    </w:p>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2A2BD7A5" w14:textId="51A8AE85" w:rsidR="00000F47" w:rsidRDefault="00FC6860">
      <w:pPr>
        <w:pStyle w:val="TOC1"/>
        <w:rPr>
          <w:rFonts w:asciiTheme="minorHAnsi" w:eastAsiaTheme="minorEastAsia" w:hAnsiTheme="minorHAnsi"/>
          <w:b w:val="0"/>
          <w:bCs w:val="0"/>
          <w:color w:val="auto"/>
          <w:sz w:val="22"/>
          <w:lang w:val="en-US"/>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26656083" w:history="1">
        <w:r w:rsidR="00000F47" w:rsidRPr="00546806">
          <w:rPr>
            <w:rStyle w:val="Hyperlink"/>
          </w:rPr>
          <w:t>Purpose of the document</w:t>
        </w:r>
        <w:r w:rsidR="00000F47">
          <w:rPr>
            <w:webHidden/>
          </w:rPr>
          <w:tab/>
        </w:r>
        <w:r w:rsidR="00000F47">
          <w:rPr>
            <w:webHidden/>
          </w:rPr>
          <w:fldChar w:fldCharType="begin"/>
        </w:r>
        <w:r w:rsidR="00000F47">
          <w:rPr>
            <w:webHidden/>
          </w:rPr>
          <w:instrText xml:space="preserve"> PAGEREF _Toc126656083 \h </w:instrText>
        </w:r>
        <w:r w:rsidR="00000F47">
          <w:rPr>
            <w:webHidden/>
          </w:rPr>
        </w:r>
        <w:r w:rsidR="00000F47">
          <w:rPr>
            <w:webHidden/>
          </w:rPr>
          <w:fldChar w:fldCharType="separate"/>
        </w:r>
        <w:r w:rsidR="00000F47">
          <w:rPr>
            <w:webHidden/>
          </w:rPr>
          <w:t>3</w:t>
        </w:r>
        <w:r w:rsidR="00000F47">
          <w:rPr>
            <w:webHidden/>
          </w:rPr>
          <w:fldChar w:fldCharType="end"/>
        </w:r>
      </w:hyperlink>
    </w:p>
    <w:p w14:paraId="6EFC9B72" w14:textId="69987BDC" w:rsidR="00000F47" w:rsidRDefault="00C03258">
      <w:pPr>
        <w:pStyle w:val="TOC1"/>
        <w:rPr>
          <w:rFonts w:asciiTheme="minorHAnsi" w:eastAsiaTheme="minorEastAsia" w:hAnsiTheme="minorHAnsi"/>
          <w:b w:val="0"/>
          <w:bCs w:val="0"/>
          <w:color w:val="auto"/>
          <w:sz w:val="22"/>
          <w:lang w:val="en-US"/>
        </w:rPr>
      </w:pPr>
      <w:hyperlink w:anchor="_Toc126656084" w:history="1">
        <w:r w:rsidR="00000F47" w:rsidRPr="00546806">
          <w:rPr>
            <w:rStyle w:val="Hyperlink"/>
          </w:rPr>
          <w:t>1.</w:t>
        </w:r>
        <w:r w:rsidR="00000F47">
          <w:rPr>
            <w:rFonts w:asciiTheme="minorHAnsi" w:eastAsiaTheme="minorEastAsia" w:hAnsiTheme="minorHAnsi"/>
            <w:b w:val="0"/>
            <w:bCs w:val="0"/>
            <w:color w:val="auto"/>
            <w:sz w:val="22"/>
            <w:lang w:val="en-US"/>
          </w:rPr>
          <w:tab/>
        </w:r>
        <w:r w:rsidR="00000F47" w:rsidRPr="00546806">
          <w:rPr>
            <w:rStyle w:val="Hyperlink"/>
          </w:rPr>
          <w:t>Introduction to the Office of Rail and Road</w:t>
        </w:r>
        <w:r w:rsidR="00000F47">
          <w:rPr>
            <w:webHidden/>
          </w:rPr>
          <w:tab/>
        </w:r>
        <w:r w:rsidR="00000F47">
          <w:rPr>
            <w:webHidden/>
          </w:rPr>
          <w:fldChar w:fldCharType="begin"/>
        </w:r>
        <w:r w:rsidR="00000F47">
          <w:rPr>
            <w:webHidden/>
          </w:rPr>
          <w:instrText xml:space="preserve"> PAGEREF _Toc126656084 \h </w:instrText>
        </w:r>
        <w:r w:rsidR="00000F47">
          <w:rPr>
            <w:webHidden/>
          </w:rPr>
        </w:r>
        <w:r w:rsidR="00000F47">
          <w:rPr>
            <w:webHidden/>
          </w:rPr>
          <w:fldChar w:fldCharType="separate"/>
        </w:r>
        <w:r w:rsidR="00000F47">
          <w:rPr>
            <w:webHidden/>
          </w:rPr>
          <w:t>4</w:t>
        </w:r>
        <w:r w:rsidR="00000F47">
          <w:rPr>
            <w:webHidden/>
          </w:rPr>
          <w:fldChar w:fldCharType="end"/>
        </w:r>
      </w:hyperlink>
    </w:p>
    <w:p w14:paraId="6BE461B1" w14:textId="747DBFD4" w:rsidR="00000F47" w:rsidRDefault="00C03258">
      <w:pPr>
        <w:pStyle w:val="TOC2"/>
        <w:tabs>
          <w:tab w:val="right" w:pos="9628"/>
        </w:tabs>
        <w:rPr>
          <w:rFonts w:asciiTheme="minorHAnsi" w:eastAsiaTheme="minorEastAsia" w:hAnsiTheme="minorHAnsi"/>
          <w:noProof/>
          <w:sz w:val="22"/>
          <w:lang w:val="en-US"/>
        </w:rPr>
      </w:pPr>
      <w:hyperlink w:anchor="_Toc126656085" w:history="1">
        <w:r w:rsidR="00000F47" w:rsidRPr="00546806">
          <w:rPr>
            <w:rStyle w:val="Hyperlink"/>
            <w:noProof/>
          </w:rPr>
          <w:t>Our strategic objectives</w:t>
        </w:r>
        <w:r w:rsidR="00000F47">
          <w:rPr>
            <w:noProof/>
            <w:webHidden/>
          </w:rPr>
          <w:tab/>
        </w:r>
        <w:r w:rsidR="00000F47">
          <w:rPr>
            <w:noProof/>
            <w:webHidden/>
          </w:rPr>
          <w:fldChar w:fldCharType="begin"/>
        </w:r>
        <w:r w:rsidR="00000F47">
          <w:rPr>
            <w:noProof/>
            <w:webHidden/>
          </w:rPr>
          <w:instrText xml:space="preserve"> PAGEREF _Toc126656085 \h </w:instrText>
        </w:r>
        <w:r w:rsidR="00000F47">
          <w:rPr>
            <w:noProof/>
            <w:webHidden/>
          </w:rPr>
        </w:r>
        <w:r w:rsidR="00000F47">
          <w:rPr>
            <w:noProof/>
            <w:webHidden/>
          </w:rPr>
          <w:fldChar w:fldCharType="separate"/>
        </w:r>
        <w:r w:rsidR="00000F47">
          <w:rPr>
            <w:noProof/>
            <w:webHidden/>
          </w:rPr>
          <w:t>4</w:t>
        </w:r>
        <w:r w:rsidR="00000F47">
          <w:rPr>
            <w:noProof/>
            <w:webHidden/>
          </w:rPr>
          <w:fldChar w:fldCharType="end"/>
        </w:r>
      </w:hyperlink>
    </w:p>
    <w:p w14:paraId="3384B81D" w14:textId="691639C1" w:rsidR="00000F47" w:rsidRDefault="00C03258">
      <w:pPr>
        <w:pStyle w:val="TOC2"/>
        <w:tabs>
          <w:tab w:val="right" w:pos="9628"/>
        </w:tabs>
        <w:rPr>
          <w:rFonts w:asciiTheme="minorHAnsi" w:eastAsiaTheme="minorEastAsia" w:hAnsiTheme="minorHAnsi"/>
          <w:noProof/>
          <w:sz w:val="22"/>
          <w:lang w:val="en-US"/>
        </w:rPr>
      </w:pPr>
      <w:hyperlink w:anchor="_Toc126656086" w:history="1">
        <w:r w:rsidR="00000F47" w:rsidRPr="00546806">
          <w:rPr>
            <w:rStyle w:val="Hyperlink"/>
            <w:noProof/>
          </w:rPr>
          <w:t>Supplying ORR</w:t>
        </w:r>
        <w:r w:rsidR="00000F47">
          <w:rPr>
            <w:noProof/>
            <w:webHidden/>
          </w:rPr>
          <w:tab/>
        </w:r>
        <w:r w:rsidR="00000F47">
          <w:rPr>
            <w:noProof/>
            <w:webHidden/>
          </w:rPr>
          <w:fldChar w:fldCharType="begin"/>
        </w:r>
        <w:r w:rsidR="00000F47">
          <w:rPr>
            <w:noProof/>
            <w:webHidden/>
          </w:rPr>
          <w:instrText xml:space="preserve"> PAGEREF _Toc126656086 \h </w:instrText>
        </w:r>
        <w:r w:rsidR="00000F47">
          <w:rPr>
            <w:noProof/>
            <w:webHidden/>
          </w:rPr>
        </w:r>
        <w:r w:rsidR="00000F47">
          <w:rPr>
            <w:noProof/>
            <w:webHidden/>
          </w:rPr>
          <w:fldChar w:fldCharType="separate"/>
        </w:r>
        <w:r w:rsidR="00000F47">
          <w:rPr>
            <w:noProof/>
            <w:webHidden/>
          </w:rPr>
          <w:t>4</w:t>
        </w:r>
        <w:r w:rsidR="00000F47">
          <w:rPr>
            <w:noProof/>
            <w:webHidden/>
          </w:rPr>
          <w:fldChar w:fldCharType="end"/>
        </w:r>
      </w:hyperlink>
    </w:p>
    <w:p w14:paraId="05981145" w14:textId="27643F15" w:rsidR="00000F47" w:rsidRDefault="00C03258">
      <w:pPr>
        <w:pStyle w:val="TOC1"/>
        <w:rPr>
          <w:rFonts w:asciiTheme="minorHAnsi" w:eastAsiaTheme="minorEastAsia" w:hAnsiTheme="minorHAnsi"/>
          <w:b w:val="0"/>
          <w:bCs w:val="0"/>
          <w:color w:val="auto"/>
          <w:sz w:val="22"/>
          <w:lang w:val="en-US"/>
        </w:rPr>
      </w:pPr>
      <w:hyperlink w:anchor="_Toc126656087" w:history="1">
        <w:r w:rsidR="00000F47" w:rsidRPr="00546806">
          <w:rPr>
            <w:rStyle w:val="Hyperlink"/>
          </w:rPr>
          <w:t>Small and Medium Enterprises</w:t>
        </w:r>
        <w:r w:rsidR="00000F47">
          <w:rPr>
            <w:webHidden/>
          </w:rPr>
          <w:tab/>
        </w:r>
        <w:r w:rsidR="00000F47">
          <w:rPr>
            <w:webHidden/>
          </w:rPr>
          <w:fldChar w:fldCharType="begin"/>
        </w:r>
        <w:r w:rsidR="00000F47">
          <w:rPr>
            <w:webHidden/>
          </w:rPr>
          <w:instrText xml:space="preserve"> PAGEREF _Toc126656087 \h </w:instrText>
        </w:r>
        <w:r w:rsidR="00000F47">
          <w:rPr>
            <w:webHidden/>
          </w:rPr>
        </w:r>
        <w:r w:rsidR="00000F47">
          <w:rPr>
            <w:webHidden/>
          </w:rPr>
          <w:fldChar w:fldCharType="separate"/>
        </w:r>
        <w:r w:rsidR="00000F47">
          <w:rPr>
            <w:webHidden/>
          </w:rPr>
          <w:t>6</w:t>
        </w:r>
        <w:r w:rsidR="00000F47">
          <w:rPr>
            <w:webHidden/>
          </w:rPr>
          <w:fldChar w:fldCharType="end"/>
        </w:r>
      </w:hyperlink>
    </w:p>
    <w:p w14:paraId="35DB4AA6" w14:textId="0846272B" w:rsidR="00000F47" w:rsidRDefault="00C03258">
      <w:pPr>
        <w:pStyle w:val="TOC1"/>
        <w:rPr>
          <w:rFonts w:asciiTheme="minorHAnsi" w:eastAsiaTheme="minorEastAsia" w:hAnsiTheme="minorHAnsi"/>
          <w:b w:val="0"/>
          <w:bCs w:val="0"/>
          <w:color w:val="auto"/>
          <w:sz w:val="22"/>
          <w:lang w:val="en-US"/>
        </w:rPr>
      </w:pPr>
      <w:hyperlink w:anchor="_Toc126656088" w:history="1">
        <w:r w:rsidR="00000F47" w:rsidRPr="00546806">
          <w:rPr>
            <w:rStyle w:val="Hyperlink"/>
          </w:rPr>
          <w:t>2.</w:t>
        </w:r>
        <w:r w:rsidR="00000F47">
          <w:rPr>
            <w:rFonts w:asciiTheme="minorHAnsi" w:eastAsiaTheme="minorEastAsia" w:hAnsiTheme="minorHAnsi"/>
            <w:b w:val="0"/>
            <w:bCs w:val="0"/>
            <w:color w:val="auto"/>
            <w:sz w:val="22"/>
            <w:lang w:val="en-US"/>
          </w:rPr>
          <w:tab/>
        </w:r>
        <w:r w:rsidR="00000F47" w:rsidRPr="00546806">
          <w:rPr>
            <w:rStyle w:val="Hyperlink"/>
          </w:rPr>
          <w:t>Statement of Requirement</w:t>
        </w:r>
        <w:r w:rsidR="00000F47">
          <w:rPr>
            <w:webHidden/>
          </w:rPr>
          <w:tab/>
        </w:r>
        <w:r w:rsidR="00000F47">
          <w:rPr>
            <w:webHidden/>
          </w:rPr>
          <w:fldChar w:fldCharType="begin"/>
        </w:r>
        <w:r w:rsidR="00000F47">
          <w:rPr>
            <w:webHidden/>
          </w:rPr>
          <w:instrText xml:space="preserve"> PAGEREF _Toc126656088 \h </w:instrText>
        </w:r>
        <w:r w:rsidR="00000F47">
          <w:rPr>
            <w:webHidden/>
          </w:rPr>
        </w:r>
        <w:r w:rsidR="00000F47">
          <w:rPr>
            <w:webHidden/>
          </w:rPr>
          <w:fldChar w:fldCharType="separate"/>
        </w:r>
        <w:r w:rsidR="00000F47">
          <w:rPr>
            <w:webHidden/>
          </w:rPr>
          <w:t>7</w:t>
        </w:r>
        <w:r w:rsidR="00000F47">
          <w:rPr>
            <w:webHidden/>
          </w:rPr>
          <w:fldChar w:fldCharType="end"/>
        </w:r>
      </w:hyperlink>
    </w:p>
    <w:p w14:paraId="38CBA031" w14:textId="3A9952DA" w:rsidR="00000F47" w:rsidRDefault="00C03258">
      <w:pPr>
        <w:pStyle w:val="TOC2"/>
        <w:tabs>
          <w:tab w:val="right" w:pos="9628"/>
        </w:tabs>
        <w:rPr>
          <w:rFonts w:asciiTheme="minorHAnsi" w:eastAsiaTheme="minorEastAsia" w:hAnsiTheme="minorHAnsi"/>
          <w:noProof/>
          <w:sz w:val="22"/>
          <w:lang w:val="en-US"/>
        </w:rPr>
      </w:pPr>
      <w:hyperlink w:anchor="_Toc126656089" w:history="1">
        <w:r w:rsidR="00000F47" w:rsidRPr="00546806">
          <w:rPr>
            <w:rStyle w:val="Hyperlink"/>
            <w:noProof/>
          </w:rPr>
          <w:t>2.1 Background of the project</w:t>
        </w:r>
        <w:r w:rsidR="00000F47">
          <w:rPr>
            <w:noProof/>
            <w:webHidden/>
          </w:rPr>
          <w:tab/>
        </w:r>
        <w:r w:rsidR="00000F47">
          <w:rPr>
            <w:noProof/>
            <w:webHidden/>
          </w:rPr>
          <w:fldChar w:fldCharType="begin"/>
        </w:r>
        <w:r w:rsidR="00000F47">
          <w:rPr>
            <w:noProof/>
            <w:webHidden/>
          </w:rPr>
          <w:instrText xml:space="preserve"> PAGEREF _Toc126656089 \h </w:instrText>
        </w:r>
        <w:r w:rsidR="00000F47">
          <w:rPr>
            <w:noProof/>
            <w:webHidden/>
          </w:rPr>
        </w:r>
        <w:r w:rsidR="00000F47">
          <w:rPr>
            <w:noProof/>
            <w:webHidden/>
          </w:rPr>
          <w:fldChar w:fldCharType="separate"/>
        </w:r>
        <w:r w:rsidR="00000F47">
          <w:rPr>
            <w:noProof/>
            <w:webHidden/>
          </w:rPr>
          <w:t>7</w:t>
        </w:r>
        <w:r w:rsidR="00000F47">
          <w:rPr>
            <w:noProof/>
            <w:webHidden/>
          </w:rPr>
          <w:fldChar w:fldCharType="end"/>
        </w:r>
      </w:hyperlink>
    </w:p>
    <w:p w14:paraId="76CD4220" w14:textId="04627D9E" w:rsidR="00000F47" w:rsidRDefault="00C03258">
      <w:pPr>
        <w:pStyle w:val="TOC2"/>
        <w:tabs>
          <w:tab w:val="right" w:pos="9628"/>
        </w:tabs>
        <w:rPr>
          <w:rFonts w:asciiTheme="minorHAnsi" w:eastAsiaTheme="minorEastAsia" w:hAnsiTheme="minorHAnsi"/>
          <w:noProof/>
          <w:sz w:val="22"/>
          <w:lang w:val="en-US"/>
        </w:rPr>
      </w:pPr>
      <w:hyperlink w:anchor="_Toc126656090" w:history="1">
        <w:r w:rsidR="00000F47" w:rsidRPr="00546806">
          <w:rPr>
            <w:rStyle w:val="Hyperlink"/>
            <w:noProof/>
          </w:rPr>
          <w:t>2.2 Project Objectives and Scope</w:t>
        </w:r>
        <w:r w:rsidR="00000F47">
          <w:rPr>
            <w:noProof/>
            <w:webHidden/>
          </w:rPr>
          <w:tab/>
        </w:r>
        <w:r w:rsidR="00000F47">
          <w:rPr>
            <w:noProof/>
            <w:webHidden/>
          </w:rPr>
          <w:fldChar w:fldCharType="begin"/>
        </w:r>
        <w:r w:rsidR="00000F47">
          <w:rPr>
            <w:noProof/>
            <w:webHidden/>
          </w:rPr>
          <w:instrText xml:space="preserve"> PAGEREF _Toc126656090 \h </w:instrText>
        </w:r>
        <w:r w:rsidR="00000F47">
          <w:rPr>
            <w:noProof/>
            <w:webHidden/>
          </w:rPr>
        </w:r>
        <w:r w:rsidR="00000F47">
          <w:rPr>
            <w:noProof/>
            <w:webHidden/>
          </w:rPr>
          <w:fldChar w:fldCharType="separate"/>
        </w:r>
        <w:r w:rsidR="00000F47">
          <w:rPr>
            <w:noProof/>
            <w:webHidden/>
          </w:rPr>
          <w:t>8</w:t>
        </w:r>
        <w:r w:rsidR="00000F47">
          <w:rPr>
            <w:noProof/>
            <w:webHidden/>
          </w:rPr>
          <w:fldChar w:fldCharType="end"/>
        </w:r>
      </w:hyperlink>
    </w:p>
    <w:p w14:paraId="3B6ECD05" w14:textId="681C850E" w:rsidR="00000F47" w:rsidRDefault="00C03258">
      <w:pPr>
        <w:pStyle w:val="TOC2"/>
        <w:tabs>
          <w:tab w:val="right" w:pos="9628"/>
        </w:tabs>
        <w:rPr>
          <w:rFonts w:asciiTheme="minorHAnsi" w:eastAsiaTheme="minorEastAsia" w:hAnsiTheme="minorHAnsi"/>
          <w:noProof/>
          <w:sz w:val="22"/>
          <w:lang w:val="en-US"/>
        </w:rPr>
      </w:pPr>
      <w:hyperlink w:anchor="_Toc126656091" w:history="1">
        <w:r w:rsidR="00000F47" w:rsidRPr="00546806">
          <w:rPr>
            <w:rStyle w:val="Hyperlink"/>
            <w:noProof/>
          </w:rPr>
          <w:t>2.3 Project Outputs, Deliverables and Contract Management</w:t>
        </w:r>
        <w:r w:rsidR="00000F47">
          <w:rPr>
            <w:noProof/>
            <w:webHidden/>
          </w:rPr>
          <w:tab/>
        </w:r>
        <w:r w:rsidR="00000F47">
          <w:rPr>
            <w:noProof/>
            <w:webHidden/>
          </w:rPr>
          <w:fldChar w:fldCharType="begin"/>
        </w:r>
        <w:r w:rsidR="00000F47">
          <w:rPr>
            <w:noProof/>
            <w:webHidden/>
          </w:rPr>
          <w:instrText xml:space="preserve"> PAGEREF _Toc126656091 \h </w:instrText>
        </w:r>
        <w:r w:rsidR="00000F47">
          <w:rPr>
            <w:noProof/>
            <w:webHidden/>
          </w:rPr>
        </w:r>
        <w:r w:rsidR="00000F47">
          <w:rPr>
            <w:noProof/>
            <w:webHidden/>
          </w:rPr>
          <w:fldChar w:fldCharType="separate"/>
        </w:r>
        <w:r w:rsidR="00000F47">
          <w:rPr>
            <w:noProof/>
            <w:webHidden/>
          </w:rPr>
          <w:t>9</w:t>
        </w:r>
        <w:r w:rsidR="00000F47">
          <w:rPr>
            <w:noProof/>
            <w:webHidden/>
          </w:rPr>
          <w:fldChar w:fldCharType="end"/>
        </w:r>
      </w:hyperlink>
    </w:p>
    <w:p w14:paraId="24BC1B59" w14:textId="39AFC27B" w:rsidR="00000F47" w:rsidRDefault="00C03258">
      <w:pPr>
        <w:pStyle w:val="TOC2"/>
        <w:tabs>
          <w:tab w:val="right" w:pos="9628"/>
        </w:tabs>
        <w:rPr>
          <w:rFonts w:asciiTheme="minorHAnsi" w:eastAsiaTheme="minorEastAsia" w:hAnsiTheme="minorHAnsi"/>
          <w:noProof/>
          <w:sz w:val="22"/>
          <w:lang w:val="en-US"/>
        </w:rPr>
      </w:pPr>
      <w:hyperlink w:anchor="_Toc126656092" w:history="1">
        <w:r w:rsidR="00000F47" w:rsidRPr="00546806">
          <w:rPr>
            <w:rStyle w:val="Hyperlink"/>
            <w:noProof/>
          </w:rPr>
          <w:t>2.4 Project Timescales</w:t>
        </w:r>
        <w:r w:rsidR="00000F47">
          <w:rPr>
            <w:noProof/>
            <w:webHidden/>
          </w:rPr>
          <w:tab/>
        </w:r>
        <w:r w:rsidR="00000F47">
          <w:rPr>
            <w:noProof/>
            <w:webHidden/>
          </w:rPr>
          <w:fldChar w:fldCharType="begin"/>
        </w:r>
        <w:r w:rsidR="00000F47">
          <w:rPr>
            <w:noProof/>
            <w:webHidden/>
          </w:rPr>
          <w:instrText xml:space="preserve"> PAGEREF _Toc126656092 \h </w:instrText>
        </w:r>
        <w:r w:rsidR="00000F47">
          <w:rPr>
            <w:noProof/>
            <w:webHidden/>
          </w:rPr>
        </w:r>
        <w:r w:rsidR="00000F47">
          <w:rPr>
            <w:noProof/>
            <w:webHidden/>
          </w:rPr>
          <w:fldChar w:fldCharType="separate"/>
        </w:r>
        <w:r w:rsidR="00000F47">
          <w:rPr>
            <w:noProof/>
            <w:webHidden/>
          </w:rPr>
          <w:t>10</w:t>
        </w:r>
        <w:r w:rsidR="00000F47">
          <w:rPr>
            <w:noProof/>
            <w:webHidden/>
          </w:rPr>
          <w:fldChar w:fldCharType="end"/>
        </w:r>
      </w:hyperlink>
    </w:p>
    <w:p w14:paraId="5F71F9B3" w14:textId="6A0A0E9A" w:rsidR="00000F47" w:rsidRDefault="00C03258">
      <w:pPr>
        <w:pStyle w:val="TOC2"/>
        <w:tabs>
          <w:tab w:val="right" w:pos="9628"/>
        </w:tabs>
        <w:rPr>
          <w:rFonts w:asciiTheme="minorHAnsi" w:eastAsiaTheme="minorEastAsia" w:hAnsiTheme="minorHAnsi"/>
          <w:noProof/>
          <w:sz w:val="22"/>
          <w:lang w:val="en-US"/>
        </w:rPr>
      </w:pPr>
      <w:hyperlink w:anchor="_Toc126656093" w:history="1">
        <w:r w:rsidR="00000F47" w:rsidRPr="00546806">
          <w:rPr>
            <w:rStyle w:val="Hyperlink"/>
            <w:noProof/>
          </w:rPr>
          <w:t>2.5 Budget and Payment Schedule</w:t>
        </w:r>
        <w:r w:rsidR="00000F47">
          <w:rPr>
            <w:noProof/>
            <w:webHidden/>
          </w:rPr>
          <w:tab/>
        </w:r>
        <w:r w:rsidR="00000F47">
          <w:rPr>
            <w:noProof/>
            <w:webHidden/>
          </w:rPr>
          <w:fldChar w:fldCharType="begin"/>
        </w:r>
        <w:r w:rsidR="00000F47">
          <w:rPr>
            <w:noProof/>
            <w:webHidden/>
          </w:rPr>
          <w:instrText xml:space="preserve"> PAGEREF _Toc126656093 \h </w:instrText>
        </w:r>
        <w:r w:rsidR="00000F47">
          <w:rPr>
            <w:noProof/>
            <w:webHidden/>
          </w:rPr>
        </w:r>
        <w:r w:rsidR="00000F47">
          <w:rPr>
            <w:noProof/>
            <w:webHidden/>
          </w:rPr>
          <w:fldChar w:fldCharType="separate"/>
        </w:r>
        <w:r w:rsidR="00000F47">
          <w:rPr>
            <w:noProof/>
            <w:webHidden/>
          </w:rPr>
          <w:t>10</w:t>
        </w:r>
        <w:r w:rsidR="00000F47">
          <w:rPr>
            <w:noProof/>
            <w:webHidden/>
          </w:rPr>
          <w:fldChar w:fldCharType="end"/>
        </w:r>
      </w:hyperlink>
    </w:p>
    <w:p w14:paraId="32853619" w14:textId="08072850" w:rsidR="00000F47" w:rsidRDefault="00C03258">
      <w:pPr>
        <w:pStyle w:val="TOC2"/>
        <w:tabs>
          <w:tab w:val="right" w:pos="9628"/>
        </w:tabs>
        <w:rPr>
          <w:rFonts w:asciiTheme="minorHAnsi" w:eastAsiaTheme="minorEastAsia" w:hAnsiTheme="minorHAnsi"/>
          <w:noProof/>
          <w:sz w:val="22"/>
          <w:lang w:val="en-US"/>
        </w:rPr>
      </w:pPr>
      <w:hyperlink w:anchor="_Toc126656094" w:history="1">
        <w:r w:rsidR="00000F47" w:rsidRPr="00546806">
          <w:rPr>
            <w:rStyle w:val="Hyperlink"/>
            <w:noProof/>
          </w:rPr>
          <w:t>2.6 Further project related information for bidders</w:t>
        </w:r>
        <w:r w:rsidR="00000F47">
          <w:rPr>
            <w:noProof/>
            <w:webHidden/>
          </w:rPr>
          <w:tab/>
        </w:r>
        <w:r w:rsidR="00000F47">
          <w:rPr>
            <w:noProof/>
            <w:webHidden/>
          </w:rPr>
          <w:fldChar w:fldCharType="begin"/>
        </w:r>
        <w:r w:rsidR="00000F47">
          <w:rPr>
            <w:noProof/>
            <w:webHidden/>
          </w:rPr>
          <w:instrText xml:space="preserve"> PAGEREF _Toc126656094 \h </w:instrText>
        </w:r>
        <w:r w:rsidR="00000F47">
          <w:rPr>
            <w:noProof/>
            <w:webHidden/>
          </w:rPr>
        </w:r>
        <w:r w:rsidR="00000F47">
          <w:rPr>
            <w:noProof/>
            <w:webHidden/>
          </w:rPr>
          <w:fldChar w:fldCharType="separate"/>
        </w:r>
        <w:r w:rsidR="00000F47">
          <w:rPr>
            <w:noProof/>
            <w:webHidden/>
          </w:rPr>
          <w:t>10</w:t>
        </w:r>
        <w:r w:rsidR="00000F47">
          <w:rPr>
            <w:noProof/>
            <w:webHidden/>
          </w:rPr>
          <w:fldChar w:fldCharType="end"/>
        </w:r>
      </w:hyperlink>
    </w:p>
    <w:p w14:paraId="3B793067" w14:textId="654C5A39" w:rsidR="00000F47" w:rsidRDefault="00C03258">
      <w:pPr>
        <w:pStyle w:val="TOC1"/>
        <w:rPr>
          <w:rFonts w:asciiTheme="minorHAnsi" w:eastAsiaTheme="minorEastAsia" w:hAnsiTheme="minorHAnsi"/>
          <w:b w:val="0"/>
          <w:bCs w:val="0"/>
          <w:color w:val="auto"/>
          <w:sz w:val="22"/>
          <w:lang w:val="en-US"/>
        </w:rPr>
      </w:pPr>
      <w:hyperlink w:anchor="_Toc126656095" w:history="1">
        <w:r w:rsidR="00000F47" w:rsidRPr="00546806">
          <w:rPr>
            <w:rStyle w:val="Hyperlink"/>
          </w:rPr>
          <w:t>3.</w:t>
        </w:r>
        <w:r w:rsidR="00000F47">
          <w:rPr>
            <w:rFonts w:asciiTheme="minorHAnsi" w:eastAsiaTheme="minorEastAsia" w:hAnsiTheme="minorHAnsi"/>
            <w:b w:val="0"/>
            <w:bCs w:val="0"/>
            <w:color w:val="auto"/>
            <w:sz w:val="22"/>
            <w:lang w:val="en-US"/>
          </w:rPr>
          <w:tab/>
        </w:r>
        <w:r w:rsidR="00000F47" w:rsidRPr="00546806">
          <w:rPr>
            <w:rStyle w:val="Hyperlink"/>
          </w:rPr>
          <w:t>Tender Response and Evaluation Criteria</w:t>
        </w:r>
        <w:r w:rsidR="00000F47">
          <w:rPr>
            <w:webHidden/>
          </w:rPr>
          <w:tab/>
        </w:r>
        <w:r w:rsidR="00000F47">
          <w:rPr>
            <w:webHidden/>
          </w:rPr>
          <w:fldChar w:fldCharType="begin"/>
        </w:r>
        <w:r w:rsidR="00000F47">
          <w:rPr>
            <w:webHidden/>
          </w:rPr>
          <w:instrText xml:space="preserve"> PAGEREF _Toc126656095 \h </w:instrText>
        </w:r>
        <w:r w:rsidR="00000F47">
          <w:rPr>
            <w:webHidden/>
          </w:rPr>
        </w:r>
        <w:r w:rsidR="00000F47">
          <w:rPr>
            <w:webHidden/>
          </w:rPr>
          <w:fldChar w:fldCharType="separate"/>
        </w:r>
        <w:r w:rsidR="00000F47">
          <w:rPr>
            <w:webHidden/>
          </w:rPr>
          <w:t>12</w:t>
        </w:r>
        <w:r w:rsidR="00000F47">
          <w:rPr>
            <w:webHidden/>
          </w:rPr>
          <w:fldChar w:fldCharType="end"/>
        </w:r>
      </w:hyperlink>
    </w:p>
    <w:p w14:paraId="3342B8A9" w14:textId="644AEAC0" w:rsidR="00000F47" w:rsidRDefault="00C03258">
      <w:pPr>
        <w:pStyle w:val="TOC2"/>
        <w:tabs>
          <w:tab w:val="right" w:pos="9628"/>
        </w:tabs>
        <w:rPr>
          <w:rFonts w:asciiTheme="minorHAnsi" w:eastAsiaTheme="minorEastAsia" w:hAnsiTheme="minorHAnsi"/>
          <w:noProof/>
          <w:sz w:val="22"/>
          <w:lang w:val="en-US"/>
        </w:rPr>
      </w:pPr>
      <w:hyperlink w:anchor="_Toc126656096" w:history="1">
        <w:r w:rsidR="00000F47" w:rsidRPr="00546806">
          <w:rPr>
            <w:rStyle w:val="Hyperlink"/>
            <w:noProof/>
          </w:rPr>
          <w:t>3.1 The Tender Response</w:t>
        </w:r>
        <w:r w:rsidR="00000F47">
          <w:rPr>
            <w:noProof/>
            <w:webHidden/>
          </w:rPr>
          <w:tab/>
        </w:r>
        <w:r w:rsidR="00000F47">
          <w:rPr>
            <w:noProof/>
            <w:webHidden/>
          </w:rPr>
          <w:fldChar w:fldCharType="begin"/>
        </w:r>
        <w:r w:rsidR="00000F47">
          <w:rPr>
            <w:noProof/>
            <w:webHidden/>
          </w:rPr>
          <w:instrText xml:space="preserve"> PAGEREF _Toc126656096 \h </w:instrText>
        </w:r>
        <w:r w:rsidR="00000F47">
          <w:rPr>
            <w:noProof/>
            <w:webHidden/>
          </w:rPr>
        </w:r>
        <w:r w:rsidR="00000F47">
          <w:rPr>
            <w:noProof/>
            <w:webHidden/>
          </w:rPr>
          <w:fldChar w:fldCharType="separate"/>
        </w:r>
        <w:r w:rsidR="00000F47">
          <w:rPr>
            <w:noProof/>
            <w:webHidden/>
          </w:rPr>
          <w:t>12</w:t>
        </w:r>
        <w:r w:rsidR="00000F47">
          <w:rPr>
            <w:noProof/>
            <w:webHidden/>
          </w:rPr>
          <w:fldChar w:fldCharType="end"/>
        </w:r>
      </w:hyperlink>
    </w:p>
    <w:p w14:paraId="21B2EBAF" w14:textId="2F855027" w:rsidR="00000F47" w:rsidRDefault="00C03258">
      <w:pPr>
        <w:pStyle w:val="TOC2"/>
        <w:tabs>
          <w:tab w:val="right" w:pos="9628"/>
        </w:tabs>
        <w:rPr>
          <w:rFonts w:asciiTheme="minorHAnsi" w:eastAsiaTheme="minorEastAsia" w:hAnsiTheme="minorHAnsi"/>
          <w:noProof/>
          <w:sz w:val="22"/>
          <w:lang w:val="en-US"/>
        </w:rPr>
      </w:pPr>
      <w:hyperlink w:anchor="_Toc126656097" w:history="1">
        <w:r w:rsidR="00000F47" w:rsidRPr="00546806">
          <w:rPr>
            <w:rStyle w:val="Hyperlink"/>
            <w:noProof/>
          </w:rPr>
          <w:t>3.2 Evaluation Criteria</w:t>
        </w:r>
        <w:r w:rsidR="00000F47">
          <w:rPr>
            <w:noProof/>
            <w:webHidden/>
          </w:rPr>
          <w:tab/>
        </w:r>
        <w:r w:rsidR="00000F47">
          <w:rPr>
            <w:noProof/>
            <w:webHidden/>
          </w:rPr>
          <w:fldChar w:fldCharType="begin"/>
        </w:r>
        <w:r w:rsidR="00000F47">
          <w:rPr>
            <w:noProof/>
            <w:webHidden/>
          </w:rPr>
          <w:instrText xml:space="preserve"> PAGEREF _Toc126656097 \h </w:instrText>
        </w:r>
        <w:r w:rsidR="00000F47">
          <w:rPr>
            <w:noProof/>
            <w:webHidden/>
          </w:rPr>
        </w:r>
        <w:r w:rsidR="00000F47">
          <w:rPr>
            <w:noProof/>
            <w:webHidden/>
          </w:rPr>
          <w:fldChar w:fldCharType="separate"/>
        </w:r>
        <w:r w:rsidR="00000F47">
          <w:rPr>
            <w:noProof/>
            <w:webHidden/>
          </w:rPr>
          <w:t>13</w:t>
        </w:r>
        <w:r w:rsidR="00000F47">
          <w:rPr>
            <w:noProof/>
            <w:webHidden/>
          </w:rPr>
          <w:fldChar w:fldCharType="end"/>
        </w:r>
      </w:hyperlink>
    </w:p>
    <w:p w14:paraId="68086C91" w14:textId="1B2648FE" w:rsidR="00000F47" w:rsidRDefault="00C03258">
      <w:pPr>
        <w:pStyle w:val="TOC1"/>
        <w:rPr>
          <w:rFonts w:asciiTheme="minorHAnsi" w:eastAsiaTheme="minorEastAsia" w:hAnsiTheme="minorHAnsi"/>
          <w:b w:val="0"/>
          <w:bCs w:val="0"/>
          <w:color w:val="auto"/>
          <w:sz w:val="22"/>
          <w:lang w:val="en-US"/>
        </w:rPr>
      </w:pPr>
      <w:hyperlink w:anchor="_Toc126656098" w:history="1">
        <w:r w:rsidR="00000F47" w:rsidRPr="00546806">
          <w:rPr>
            <w:rStyle w:val="Hyperlink"/>
          </w:rPr>
          <w:t>4.</w:t>
        </w:r>
        <w:r w:rsidR="00000F47">
          <w:rPr>
            <w:rFonts w:asciiTheme="minorHAnsi" w:eastAsiaTheme="minorEastAsia" w:hAnsiTheme="minorHAnsi"/>
            <w:b w:val="0"/>
            <w:bCs w:val="0"/>
            <w:color w:val="auto"/>
            <w:sz w:val="22"/>
            <w:lang w:val="en-US"/>
          </w:rPr>
          <w:tab/>
        </w:r>
        <w:r w:rsidR="00000F47" w:rsidRPr="00546806">
          <w:rPr>
            <w:rStyle w:val="Hyperlink"/>
          </w:rPr>
          <w:t>Procurement Procedures</w:t>
        </w:r>
        <w:r w:rsidR="00000F47">
          <w:rPr>
            <w:webHidden/>
          </w:rPr>
          <w:tab/>
        </w:r>
        <w:r w:rsidR="00000F47">
          <w:rPr>
            <w:webHidden/>
          </w:rPr>
          <w:fldChar w:fldCharType="begin"/>
        </w:r>
        <w:r w:rsidR="00000F47">
          <w:rPr>
            <w:webHidden/>
          </w:rPr>
          <w:instrText xml:space="preserve"> PAGEREF _Toc126656098 \h </w:instrText>
        </w:r>
        <w:r w:rsidR="00000F47">
          <w:rPr>
            <w:webHidden/>
          </w:rPr>
        </w:r>
        <w:r w:rsidR="00000F47">
          <w:rPr>
            <w:webHidden/>
          </w:rPr>
          <w:fldChar w:fldCharType="separate"/>
        </w:r>
        <w:r w:rsidR="00000F47">
          <w:rPr>
            <w:webHidden/>
          </w:rPr>
          <w:t>18</w:t>
        </w:r>
        <w:r w:rsidR="00000F47">
          <w:rPr>
            <w:webHidden/>
          </w:rPr>
          <w:fldChar w:fldCharType="end"/>
        </w:r>
      </w:hyperlink>
    </w:p>
    <w:p w14:paraId="2639E845" w14:textId="42C5BA53" w:rsidR="00000F47" w:rsidRDefault="00C03258">
      <w:pPr>
        <w:pStyle w:val="TOC2"/>
        <w:tabs>
          <w:tab w:val="right" w:pos="9628"/>
        </w:tabs>
        <w:rPr>
          <w:rFonts w:asciiTheme="minorHAnsi" w:eastAsiaTheme="minorEastAsia" w:hAnsiTheme="minorHAnsi"/>
          <w:noProof/>
          <w:sz w:val="22"/>
          <w:lang w:val="en-US"/>
        </w:rPr>
      </w:pPr>
      <w:hyperlink w:anchor="_Toc126656099" w:history="1">
        <w:r w:rsidR="00000F47" w:rsidRPr="00546806">
          <w:rPr>
            <w:rStyle w:val="Hyperlink"/>
            <w:noProof/>
          </w:rPr>
          <w:t>Tendering Timetable</w:t>
        </w:r>
        <w:r w:rsidR="00000F47">
          <w:rPr>
            <w:noProof/>
            <w:webHidden/>
          </w:rPr>
          <w:tab/>
        </w:r>
        <w:r w:rsidR="00000F47">
          <w:rPr>
            <w:noProof/>
            <w:webHidden/>
          </w:rPr>
          <w:fldChar w:fldCharType="begin"/>
        </w:r>
        <w:r w:rsidR="00000F47">
          <w:rPr>
            <w:noProof/>
            <w:webHidden/>
          </w:rPr>
          <w:instrText xml:space="preserve"> PAGEREF _Toc126656099 \h </w:instrText>
        </w:r>
        <w:r w:rsidR="00000F47">
          <w:rPr>
            <w:noProof/>
            <w:webHidden/>
          </w:rPr>
        </w:r>
        <w:r w:rsidR="00000F47">
          <w:rPr>
            <w:noProof/>
            <w:webHidden/>
          </w:rPr>
          <w:fldChar w:fldCharType="separate"/>
        </w:r>
        <w:r w:rsidR="00000F47">
          <w:rPr>
            <w:noProof/>
            <w:webHidden/>
          </w:rPr>
          <w:t>18</w:t>
        </w:r>
        <w:r w:rsidR="00000F47">
          <w:rPr>
            <w:noProof/>
            <w:webHidden/>
          </w:rPr>
          <w:fldChar w:fldCharType="end"/>
        </w:r>
      </w:hyperlink>
    </w:p>
    <w:p w14:paraId="169060A2" w14:textId="2D77FAB2" w:rsidR="00000F47" w:rsidRDefault="00C03258">
      <w:pPr>
        <w:pStyle w:val="TOC2"/>
        <w:tabs>
          <w:tab w:val="right" w:pos="9628"/>
        </w:tabs>
        <w:rPr>
          <w:rFonts w:asciiTheme="minorHAnsi" w:eastAsiaTheme="minorEastAsia" w:hAnsiTheme="minorHAnsi"/>
          <w:noProof/>
          <w:sz w:val="22"/>
          <w:lang w:val="en-US"/>
        </w:rPr>
      </w:pPr>
      <w:hyperlink w:anchor="_Toc126656100" w:history="1">
        <w:r w:rsidR="00000F47" w:rsidRPr="00546806">
          <w:rPr>
            <w:rStyle w:val="Hyperlink"/>
            <w:noProof/>
          </w:rPr>
          <w:t>Tendering Instructions and Guidance</w:t>
        </w:r>
        <w:r w:rsidR="00000F47">
          <w:rPr>
            <w:noProof/>
            <w:webHidden/>
          </w:rPr>
          <w:tab/>
        </w:r>
        <w:r w:rsidR="00000F47">
          <w:rPr>
            <w:noProof/>
            <w:webHidden/>
          </w:rPr>
          <w:fldChar w:fldCharType="begin"/>
        </w:r>
        <w:r w:rsidR="00000F47">
          <w:rPr>
            <w:noProof/>
            <w:webHidden/>
          </w:rPr>
          <w:instrText xml:space="preserve"> PAGEREF _Toc126656100 \h </w:instrText>
        </w:r>
        <w:r w:rsidR="00000F47">
          <w:rPr>
            <w:noProof/>
            <w:webHidden/>
          </w:rPr>
        </w:r>
        <w:r w:rsidR="00000F47">
          <w:rPr>
            <w:noProof/>
            <w:webHidden/>
          </w:rPr>
          <w:fldChar w:fldCharType="separate"/>
        </w:r>
        <w:r w:rsidR="00000F47">
          <w:rPr>
            <w:noProof/>
            <w:webHidden/>
          </w:rPr>
          <w:t>18</w:t>
        </w:r>
        <w:r w:rsidR="00000F47">
          <w:rPr>
            <w:noProof/>
            <w:webHidden/>
          </w:rPr>
          <w:fldChar w:fldCharType="end"/>
        </w:r>
      </w:hyperlink>
    </w:p>
    <w:p w14:paraId="6B48D324" w14:textId="3BD7D7DB"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26656083"/>
      <w:r>
        <w:lastRenderedPageBreak/>
        <w:t>Purpose of the document</w:t>
      </w:r>
      <w:bookmarkEnd w:id="4"/>
    </w:p>
    <w:p w14:paraId="5CB061E3" w14:textId="33571B5C" w:rsidR="00A02455" w:rsidRDefault="00A02455" w:rsidP="00A02455">
      <w:r>
        <w:t xml:space="preserve">The purpose of this document is to invite proposals for </w:t>
      </w:r>
      <w:sdt>
        <w:sdtPr>
          <w:alias w:val="Subject"/>
          <w:tag w:val=""/>
          <w:id w:val="-759362743"/>
          <w:placeholder>
            <w:docPart w:val="756EB2A4C69C48289CED6345E0E06B4F"/>
          </w:placeholder>
          <w:dataBinding w:prefixMappings="xmlns:ns0='http://purl.org/dc/elements/1.1/' xmlns:ns1='http://schemas.openxmlformats.org/package/2006/metadata/core-properties' " w:xpath="/ns1:coreProperties[1]/ns0:subject[1]" w:storeItemID="{6C3C8BC8-F283-45AE-878A-BAB7291924A1}"/>
          <w:text/>
        </w:sdtPr>
        <w:sdtEndPr/>
        <w:sdtContent>
          <w:r w:rsidR="00366646">
            <w:t>Grand Union Trains Track Access Application – Gravity Model Demand Forecast</w:t>
          </w:r>
        </w:sdtContent>
      </w:sdt>
      <w:r w:rsidR="00366646">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2665608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2665608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2665608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2665608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26656088"/>
      <w:r>
        <w:lastRenderedPageBreak/>
        <w:t>Statement of Requirement</w:t>
      </w:r>
      <w:bookmarkEnd w:id="9"/>
    </w:p>
    <w:p w14:paraId="0C918979" w14:textId="4CE3B4F2" w:rsidR="00F20E70" w:rsidRDefault="00F20E70" w:rsidP="00F20E70">
      <w:pPr>
        <w:pStyle w:val="Heading3"/>
      </w:pPr>
      <w:bookmarkStart w:id="10" w:name="_Toc126656089"/>
      <w:r>
        <w:t>2.1 Background of the project</w:t>
      </w:r>
      <w:bookmarkEnd w:id="10"/>
    </w:p>
    <w:p w14:paraId="6E7737DE" w14:textId="77777777" w:rsidR="003464A7" w:rsidRPr="00BE2E37" w:rsidRDefault="003464A7" w:rsidP="003464A7">
      <w:pPr>
        <w:rPr>
          <w:rFonts w:cs="Arial"/>
          <w:b/>
          <w:bCs/>
          <w:szCs w:val="24"/>
        </w:rPr>
      </w:pPr>
      <w:r w:rsidRPr="00BE2E37">
        <w:rPr>
          <w:rFonts w:cs="Arial"/>
          <w:b/>
          <w:bCs/>
          <w:szCs w:val="24"/>
        </w:rPr>
        <w:t>ORR’s statutory duties with respect to track access</w:t>
      </w:r>
    </w:p>
    <w:p w14:paraId="6EA73968" w14:textId="77777777" w:rsidR="003464A7" w:rsidRPr="00B910B1" w:rsidRDefault="003464A7" w:rsidP="003464A7">
      <w:pPr>
        <w:rPr>
          <w:rFonts w:cs="Arial"/>
          <w:szCs w:val="24"/>
        </w:rPr>
      </w:pPr>
      <w:r w:rsidRPr="00B910B1">
        <w:rPr>
          <w:rFonts w:cs="Arial"/>
          <w:szCs w:val="24"/>
        </w:rPr>
        <w:t xml:space="preserve">The Office of Rail Regulation (ORR) is responsible for overseeing the fair and efficient allocation of the capacity of the railway network and other railway facilities through our approval of access contracts. ORR has an important role in acting as impartial referee, independent of the Government, in addressing competing claims for access to the network. We can also determine the terms on which a train operator can use the network, where we must act in the public interest, taking account of considerations that may be of little or no concern to individual train operators and Network Rail. </w:t>
      </w:r>
    </w:p>
    <w:p w14:paraId="64283534" w14:textId="77777777" w:rsidR="003759FB" w:rsidRPr="00FC51D3" w:rsidRDefault="003464A7" w:rsidP="003759FB">
      <w:pPr>
        <w:rPr>
          <w:rFonts w:cs="Arial"/>
          <w:i/>
          <w:sz w:val="22"/>
        </w:rPr>
      </w:pPr>
      <w:r w:rsidRPr="00B910B1">
        <w:rPr>
          <w:rFonts w:cs="Arial"/>
          <w:szCs w:val="24"/>
        </w:rPr>
        <w:t xml:space="preserve">In considering track access applications, we must ensure that our decisions are consistent with our statutory duties. Section 4 of the Railways Act 1993 (the Act) sets out </w:t>
      </w:r>
      <w:proofErr w:type="gramStart"/>
      <w:r w:rsidRPr="00B910B1">
        <w:rPr>
          <w:rFonts w:cs="Arial"/>
          <w:szCs w:val="24"/>
        </w:rPr>
        <w:t>a number of</w:t>
      </w:r>
      <w:proofErr w:type="gramEnd"/>
      <w:r w:rsidRPr="00B910B1">
        <w:rPr>
          <w:rFonts w:cs="Arial"/>
          <w:szCs w:val="24"/>
        </w:rPr>
        <w:t xml:space="preserve"> considerations and objectives to which we must have regard when exercising our functions under the Act. In some cases, the different duties will not all point towards the same </w:t>
      </w:r>
      <w:r w:rsidR="003759FB" w:rsidRPr="00FC51D3">
        <w:rPr>
          <w:rFonts w:cs="Arial"/>
          <w:i/>
          <w:sz w:val="22"/>
        </w:rPr>
        <w:t xml:space="preserve">ORR’s Criteria and Procedures for approving track access </w:t>
      </w:r>
    </w:p>
    <w:p w14:paraId="758DF157" w14:textId="4D1A9D68" w:rsidR="003759FB" w:rsidRDefault="003759FB" w:rsidP="00C61F22">
      <w:pPr>
        <w:rPr>
          <w:rFonts w:cs="Arial"/>
          <w:szCs w:val="24"/>
        </w:rPr>
      </w:pPr>
      <w:r w:rsidRPr="00C61F22">
        <w:rPr>
          <w:rFonts w:cs="Arial"/>
          <w:szCs w:val="24"/>
        </w:rPr>
        <w:t xml:space="preserve">ORR has published criteria and procedures that we would expect to follow when dealing with applications for the approval of track access contracts. The criteria and procedures document describes how we intend to deal with track access applications </w:t>
      </w:r>
      <w:proofErr w:type="gramStart"/>
      <w:r w:rsidRPr="00C61F22">
        <w:rPr>
          <w:rFonts w:cs="Arial"/>
          <w:szCs w:val="24"/>
        </w:rPr>
        <w:t>so as to</w:t>
      </w:r>
      <w:proofErr w:type="gramEnd"/>
      <w:r w:rsidRPr="00C61F22">
        <w:rPr>
          <w:rFonts w:cs="Arial"/>
          <w:szCs w:val="24"/>
        </w:rPr>
        <w:t xml:space="preserve"> discharge our Section 4 duties and are followed by our staff when dealing with track access applications. The document sets out in detail how, for example, we will assess whether there is sufficient capacity to accommodate the rights sought, the performance effects on other operators’ services and the net benefits to passengers</w:t>
      </w:r>
      <w:r w:rsidRPr="00C61F22">
        <w:rPr>
          <w:szCs w:val="24"/>
        </w:rPr>
        <w:footnoteReference w:id="1"/>
      </w:r>
      <w:r w:rsidRPr="00C61F22">
        <w:rPr>
          <w:rFonts w:cs="Arial"/>
          <w:szCs w:val="24"/>
        </w:rPr>
        <w:t>.</w:t>
      </w:r>
    </w:p>
    <w:p w14:paraId="4BBB6979" w14:textId="77777777" w:rsidR="000E46BD" w:rsidRPr="003759FB" w:rsidRDefault="000E46BD" w:rsidP="000E46BD">
      <w:pPr>
        <w:rPr>
          <w:rFonts w:cs="Arial"/>
          <w:b/>
          <w:bCs/>
          <w:szCs w:val="24"/>
        </w:rPr>
      </w:pPr>
      <w:r w:rsidRPr="003759FB">
        <w:rPr>
          <w:rFonts w:cs="Arial"/>
          <w:b/>
          <w:bCs/>
          <w:szCs w:val="24"/>
        </w:rPr>
        <w:t xml:space="preserve">Grand Union Trains Track Access Application </w:t>
      </w:r>
    </w:p>
    <w:p w14:paraId="6FCA2AE9" w14:textId="6F63A810" w:rsidR="000E46BD" w:rsidRDefault="000E46BD" w:rsidP="000E46BD">
      <w:pPr>
        <w:rPr>
          <w:rFonts w:cs="Arial"/>
          <w:szCs w:val="24"/>
        </w:rPr>
      </w:pPr>
      <w:r>
        <w:rPr>
          <w:rFonts w:cs="Arial"/>
          <w:szCs w:val="24"/>
        </w:rPr>
        <w:t>Grand Union Trains has submitted a</w:t>
      </w:r>
      <w:r w:rsidR="00BE2E37">
        <w:rPr>
          <w:rFonts w:cs="Arial"/>
          <w:szCs w:val="24"/>
        </w:rPr>
        <w:t xml:space="preserve">n open access operator </w:t>
      </w:r>
      <w:r>
        <w:rPr>
          <w:rFonts w:cs="Arial"/>
          <w:szCs w:val="24"/>
        </w:rPr>
        <w:t>track access application to operate four trains per day in each direction between London Euston and Stirling, starting 2025.</w:t>
      </w:r>
      <w:r w:rsidR="00A83DA9">
        <w:rPr>
          <w:rFonts w:cs="Arial"/>
          <w:szCs w:val="24"/>
        </w:rPr>
        <w:t xml:space="preserve"> ORR is considering this application</w:t>
      </w:r>
      <w:r w:rsidR="003724F0">
        <w:rPr>
          <w:rFonts w:cs="Arial"/>
          <w:szCs w:val="24"/>
        </w:rPr>
        <w:t xml:space="preserve"> and as part of our approval process open access operators need to pass the ‘not primarily abstractive’ (NPA) test.</w:t>
      </w:r>
    </w:p>
    <w:p w14:paraId="1DCFE04E" w14:textId="77777777" w:rsidR="00A83DA9" w:rsidRDefault="00A83DA9" w:rsidP="00136C70">
      <w:pPr>
        <w:rPr>
          <w:rFonts w:cs="Arial"/>
          <w:b/>
          <w:bCs/>
          <w:szCs w:val="24"/>
        </w:rPr>
      </w:pPr>
    </w:p>
    <w:p w14:paraId="36D37395" w14:textId="572ABE35" w:rsidR="000E46BD" w:rsidRPr="000E46BD" w:rsidRDefault="000E46BD" w:rsidP="00136C70">
      <w:pPr>
        <w:rPr>
          <w:rFonts w:cs="Arial"/>
          <w:b/>
          <w:bCs/>
          <w:szCs w:val="24"/>
        </w:rPr>
      </w:pPr>
      <w:r w:rsidRPr="000E46BD">
        <w:rPr>
          <w:rFonts w:cs="Arial"/>
          <w:b/>
          <w:bCs/>
          <w:szCs w:val="24"/>
        </w:rPr>
        <w:lastRenderedPageBreak/>
        <w:t xml:space="preserve">The NPA test </w:t>
      </w:r>
    </w:p>
    <w:p w14:paraId="02E6193A" w14:textId="7206B002" w:rsidR="00136C70" w:rsidRPr="00136C70" w:rsidRDefault="00136C70" w:rsidP="00136C70">
      <w:pPr>
        <w:rPr>
          <w:rFonts w:cs="Arial"/>
          <w:szCs w:val="24"/>
        </w:rPr>
      </w:pPr>
      <w:r w:rsidRPr="00136C70">
        <w:rPr>
          <w:rFonts w:cs="Arial"/>
          <w:szCs w:val="24"/>
        </w:rPr>
        <w:t xml:space="preserve">Under our current track access policy ORR only approves track access rights to open access operators who pass our NPA test. The test sets a minimum threshold for the ratio between the additional fare-box revenue generated by new services and revenue abstracted from existing franchised operators. The threshold is currently set at 0.3 (equivalent to 30p of new revenue for every £1 abstracted). </w:t>
      </w:r>
    </w:p>
    <w:p w14:paraId="483B84B5" w14:textId="3610D1E7" w:rsidR="004E10FB" w:rsidRPr="00F74670" w:rsidRDefault="00C61F22" w:rsidP="00C61F22">
      <w:pPr>
        <w:rPr>
          <w:rFonts w:cs="Arial"/>
          <w:b/>
          <w:bCs/>
          <w:szCs w:val="24"/>
        </w:rPr>
      </w:pPr>
      <w:r w:rsidRPr="00F74670">
        <w:rPr>
          <w:rFonts w:cs="Arial"/>
          <w:b/>
          <w:bCs/>
          <w:szCs w:val="24"/>
        </w:rPr>
        <w:t xml:space="preserve">NPA </w:t>
      </w:r>
      <w:r w:rsidR="00A83DA9">
        <w:rPr>
          <w:rFonts w:cs="Arial"/>
          <w:b/>
          <w:bCs/>
          <w:szCs w:val="24"/>
        </w:rPr>
        <w:t>test</w:t>
      </w:r>
      <w:r w:rsidRPr="00F74670">
        <w:rPr>
          <w:rFonts w:cs="Arial"/>
          <w:b/>
          <w:bCs/>
          <w:szCs w:val="24"/>
        </w:rPr>
        <w:t xml:space="preserve"> and </w:t>
      </w:r>
      <w:r w:rsidR="00A83DA9">
        <w:rPr>
          <w:rFonts w:cs="Arial"/>
          <w:b/>
          <w:bCs/>
          <w:szCs w:val="24"/>
        </w:rPr>
        <w:t>d</w:t>
      </w:r>
      <w:r w:rsidRPr="00F74670">
        <w:rPr>
          <w:rFonts w:cs="Arial"/>
          <w:b/>
          <w:bCs/>
          <w:szCs w:val="24"/>
        </w:rPr>
        <w:t>emand forecasting</w:t>
      </w:r>
    </w:p>
    <w:p w14:paraId="709B487F" w14:textId="260A2EB3" w:rsidR="009F6C26" w:rsidRDefault="000E46BD" w:rsidP="003464A7">
      <w:pPr>
        <w:rPr>
          <w:rFonts w:cs="Arial"/>
          <w:szCs w:val="24"/>
        </w:rPr>
      </w:pPr>
      <w:r>
        <w:rPr>
          <w:rFonts w:cs="Arial"/>
          <w:szCs w:val="24"/>
        </w:rPr>
        <w:t xml:space="preserve">To conduct the </w:t>
      </w:r>
      <w:r w:rsidR="00A42E04">
        <w:rPr>
          <w:rFonts w:cs="Arial"/>
          <w:szCs w:val="24"/>
        </w:rPr>
        <w:t>N</w:t>
      </w:r>
      <w:r w:rsidR="00136C70">
        <w:rPr>
          <w:rFonts w:cs="Arial"/>
          <w:szCs w:val="24"/>
        </w:rPr>
        <w:t>PA test</w:t>
      </w:r>
      <w:r w:rsidR="009F6C26">
        <w:rPr>
          <w:rFonts w:cs="Arial"/>
          <w:szCs w:val="24"/>
        </w:rPr>
        <w:t xml:space="preserve"> </w:t>
      </w:r>
      <w:r>
        <w:rPr>
          <w:rFonts w:cs="Arial"/>
          <w:szCs w:val="24"/>
        </w:rPr>
        <w:t xml:space="preserve">the </w:t>
      </w:r>
      <w:r w:rsidR="00AA77E1">
        <w:rPr>
          <w:rFonts w:cs="Arial"/>
          <w:szCs w:val="24"/>
        </w:rPr>
        <w:t>ORR undertake</w:t>
      </w:r>
      <w:r>
        <w:rPr>
          <w:rFonts w:cs="Arial"/>
          <w:szCs w:val="24"/>
        </w:rPr>
        <w:t>s</w:t>
      </w:r>
      <w:r w:rsidR="00AA77E1">
        <w:rPr>
          <w:rFonts w:cs="Arial"/>
          <w:szCs w:val="24"/>
        </w:rPr>
        <w:t xml:space="preserve"> </w:t>
      </w:r>
      <w:r w:rsidR="009F6C26">
        <w:rPr>
          <w:rFonts w:cs="Arial"/>
          <w:szCs w:val="24"/>
        </w:rPr>
        <w:t xml:space="preserve">a demand and revenue forecast </w:t>
      </w:r>
      <w:r w:rsidR="00F74670">
        <w:rPr>
          <w:rFonts w:cs="Arial"/>
          <w:szCs w:val="24"/>
        </w:rPr>
        <w:t xml:space="preserve">of </w:t>
      </w:r>
      <w:r w:rsidR="009F6C26">
        <w:rPr>
          <w:rFonts w:cs="Arial"/>
          <w:szCs w:val="24"/>
        </w:rPr>
        <w:t>the new services</w:t>
      </w:r>
      <w:r w:rsidR="00AA77E1">
        <w:rPr>
          <w:rFonts w:cs="Arial"/>
          <w:szCs w:val="24"/>
        </w:rPr>
        <w:t xml:space="preserve">. </w:t>
      </w:r>
      <w:r w:rsidR="002E610E">
        <w:rPr>
          <w:rFonts w:cs="Arial"/>
          <w:szCs w:val="24"/>
        </w:rPr>
        <w:t xml:space="preserve">Our forecast </w:t>
      </w:r>
      <w:r w:rsidR="00AA77E1">
        <w:rPr>
          <w:rFonts w:cs="Arial"/>
          <w:szCs w:val="24"/>
        </w:rPr>
        <w:t xml:space="preserve">methodology </w:t>
      </w:r>
      <w:r w:rsidR="002E610E">
        <w:rPr>
          <w:rFonts w:cs="Arial"/>
          <w:szCs w:val="24"/>
        </w:rPr>
        <w:t xml:space="preserve">follows PDFH guidance and principally uses MOIRA Software </w:t>
      </w:r>
      <w:r w:rsidR="00AA77E1">
        <w:rPr>
          <w:rFonts w:cs="Arial"/>
          <w:szCs w:val="24"/>
        </w:rPr>
        <w:t xml:space="preserve">plus relevant </w:t>
      </w:r>
      <w:r w:rsidR="002E610E">
        <w:rPr>
          <w:rFonts w:cs="Arial"/>
          <w:szCs w:val="24"/>
        </w:rPr>
        <w:t>spreadsheet overlays to forecast, for example, the impact of fares competition</w:t>
      </w:r>
      <w:r w:rsidR="00AA77E1">
        <w:rPr>
          <w:rFonts w:cs="Arial"/>
          <w:szCs w:val="24"/>
        </w:rPr>
        <w:t xml:space="preserve"> between</w:t>
      </w:r>
      <w:r w:rsidR="002E610E">
        <w:rPr>
          <w:rFonts w:cs="Arial"/>
          <w:szCs w:val="24"/>
        </w:rPr>
        <w:t xml:space="preserve"> </w:t>
      </w:r>
      <w:r w:rsidR="00AA77E1">
        <w:rPr>
          <w:rFonts w:cs="Arial"/>
          <w:szCs w:val="24"/>
        </w:rPr>
        <w:t xml:space="preserve">the </w:t>
      </w:r>
      <w:r w:rsidR="002E610E">
        <w:rPr>
          <w:rFonts w:cs="Arial"/>
          <w:szCs w:val="24"/>
        </w:rPr>
        <w:t>new open access operator and incumbent</w:t>
      </w:r>
      <w:r w:rsidR="00AA77E1">
        <w:rPr>
          <w:rFonts w:cs="Arial"/>
          <w:szCs w:val="24"/>
        </w:rPr>
        <w:t xml:space="preserve"> operators.</w:t>
      </w:r>
      <w:r w:rsidR="002E610E">
        <w:rPr>
          <w:rFonts w:cs="Arial"/>
          <w:szCs w:val="24"/>
        </w:rPr>
        <w:t xml:space="preserve">  </w:t>
      </w:r>
    </w:p>
    <w:p w14:paraId="45F259BB" w14:textId="37789793" w:rsidR="00C61F22" w:rsidRDefault="00AA77E1" w:rsidP="004853AD">
      <w:pPr>
        <w:rPr>
          <w:rFonts w:cs="Arial"/>
          <w:szCs w:val="24"/>
        </w:rPr>
      </w:pPr>
      <w:r>
        <w:rPr>
          <w:rFonts w:cs="Arial"/>
          <w:szCs w:val="24"/>
        </w:rPr>
        <w:t xml:space="preserve">The PDFH demand </w:t>
      </w:r>
      <w:r w:rsidR="004853AD">
        <w:rPr>
          <w:rFonts w:cs="Arial"/>
          <w:szCs w:val="24"/>
        </w:rPr>
        <w:t>forecasting</w:t>
      </w:r>
      <w:r>
        <w:rPr>
          <w:rFonts w:cs="Arial"/>
          <w:szCs w:val="24"/>
        </w:rPr>
        <w:t xml:space="preserve"> </w:t>
      </w:r>
      <w:r w:rsidR="004853AD">
        <w:rPr>
          <w:rFonts w:cs="Arial"/>
          <w:szCs w:val="24"/>
        </w:rPr>
        <w:t>methodology</w:t>
      </w:r>
      <w:r>
        <w:rPr>
          <w:rFonts w:cs="Arial"/>
          <w:szCs w:val="24"/>
        </w:rPr>
        <w:t xml:space="preserve"> follows an incremental </w:t>
      </w:r>
      <w:r w:rsidR="004853AD">
        <w:rPr>
          <w:rFonts w:cs="Arial"/>
          <w:szCs w:val="24"/>
        </w:rPr>
        <w:t xml:space="preserve">approach, based on recommended PDFH elasticities.  </w:t>
      </w:r>
      <w:r w:rsidR="002E610E">
        <w:rPr>
          <w:rFonts w:cs="Arial"/>
          <w:szCs w:val="24"/>
        </w:rPr>
        <w:t xml:space="preserve">A potential shortcoming of </w:t>
      </w:r>
      <w:r w:rsidR="004853AD">
        <w:rPr>
          <w:rFonts w:cs="Arial"/>
          <w:szCs w:val="24"/>
        </w:rPr>
        <w:t>this incremental approach</w:t>
      </w:r>
      <w:r w:rsidR="002E610E">
        <w:rPr>
          <w:rFonts w:cs="Arial"/>
          <w:szCs w:val="24"/>
        </w:rPr>
        <w:t xml:space="preserve"> </w:t>
      </w:r>
      <w:r w:rsidR="004853AD">
        <w:rPr>
          <w:rFonts w:cs="Arial"/>
          <w:szCs w:val="24"/>
        </w:rPr>
        <w:t xml:space="preserve">is </w:t>
      </w:r>
      <w:r w:rsidR="002E610E">
        <w:rPr>
          <w:rFonts w:cs="Arial"/>
          <w:szCs w:val="24"/>
        </w:rPr>
        <w:t>to underestimate the demand impact of large changes in journey time</w:t>
      </w:r>
      <w:r w:rsidR="004853AD">
        <w:rPr>
          <w:rFonts w:cs="Arial"/>
          <w:szCs w:val="24"/>
        </w:rPr>
        <w:t>.</w:t>
      </w:r>
      <w:r w:rsidR="002E610E">
        <w:rPr>
          <w:rFonts w:cs="Arial"/>
          <w:szCs w:val="24"/>
        </w:rPr>
        <w:t xml:space="preserve">  </w:t>
      </w:r>
      <w:r w:rsidR="00F74670">
        <w:rPr>
          <w:rFonts w:cs="Arial"/>
          <w:szCs w:val="24"/>
        </w:rPr>
        <w:t>Large journey time</w:t>
      </w:r>
      <w:r w:rsidR="00A83DA9">
        <w:rPr>
          <w:rFonts w:cs="Arial"/>
          <w:szCs w:val="24"/>
        </w:rPr>
        <w:t xml:space="preserve"> changes </w:t>
      </w:r>
      <w:r w:rsidR="001932D5">
        <w:rPr>
          <w:rFonts w:cs="Arial"/>
          <w:szCs w:val="24"/>
        </w:rPr>
        <w:t>are</w:t>
      </w:r>
      <w:r w:rsidR="00F74670">
        <w:rPr>
          <w:rFonts w:cs="Arial"/>
          <w:szCs w:val="24"/>
        </w:rPr>
        <w:t xml:space="preserve"> a feature of open access operators who </w:t>
      </w:r>
      <w:r w:rsidR="002E610E">
        <w:rPr>
          <w:rFonts w:cs="Arial"/>
          <w:szCs w:val="24"/>
        </w:rPr>
        <w:t>typically offer</w:t>
      </w:r>
      <w:r w:rsidR="00F74670">
        <w:rPr>
          <w:rFonts w:cs="Arial"/>
          <w:szCs w:val="24"/>
        </w:rPr>
        <w:t xml:space="preserve"> </w:t>
      </w:r>
      <w:r w:rsidR="004853AD">
        <w:rPr>
          <w:rFonts w:cs="Arial"/>
          <w:szCs w:val="24"/>
        </w:rPr>
        <w:t xml:space="preserve">new </w:t>
      </w:r>
      <w:r w:rsidR="002E610E">
        <w:rPr>
          <w:rFonts w:cs="Arial"/>
          <w:szCs w:val="24"/>
        </w:rPr>
        <w:t xml:space="preserve">services, </w:t>
      </w:r>
      <w:r w:rsidR="002E610E" w:rsidRPr="00AF2F7B">
        <w:rPr>
          <w:rFonts w:cs="Arial"/>
          <w:szCs w:val="24"/>
        </w:rPr>
        <w:t>particularly direct journeys to and from London</w:t>
      </w:r>
      <w:r w:rsidR="00F74670" w:rsidRPr="00AF2F7B">
        <w:rPr>
          <w:rFonts w:cs="Arial"/>
          <w:szCs w:val="24"/>
        </w:rPr>
        <w:t>,</w:t>
      </w:r>
      <w:r w:rsidR="002E610E" w:rsidRPr="00AF2F7B">
        <w:rPr>
          <w:rFonts w:cs="Arial"/>
          <w:szCs w:val="24"/>
        </w:rPr>
        <w:t xml:space="preserve"> on routes where there are</w:t>
      </w:r>
      <w:r w:rsidR="00A83DA9">
        <w:rPr>
          <w:rFonts w:cs="Arial"/>
          <w:szCs w:val="24"/>
        </w:rPr>
        <w:t xml:space="preserve"> currently</w:t>
      </w:r>
      <w:r w:rsidR="002E610E" w:rsidRPr="00AF2F7B">
        <w:rPr>
          <w:rFonts w:cs="Arial"/>
          <w:szCs w:val="24"/>
        </w:rPr>
        <w:t xml:space="preserve"> no direct or very low levels of </w:t>
      </w:r>
      <w:r w:rsidR="004853AD" w:rsidRPr="00AF2F7B">
        <w:rPr>
          <w:rFonts w:cs="Arial"/>
          <w:szCs w:val="24"/>
        </w:rPr>
        <w:t xml:space="preserve">direct </w:t>
      </w:r>
      <w:r w:rsidR="002E610E" w:rsidRPr="00AF2F7B">
        <w:rPr>
          <w:rFonts w:cs="Arial"/>
          <w:szCs w:val="24"/>
        </w:rPr>
        <w:t>services.</w:t>
      </w:r>
      <w:r w:rsidR="00AF2F7B" w:rsidRPr="00AF2F7B">
        <w:rPr>
          <w:rFonts w:cs="Arial"/>
          <w:szCs w:val="24"/>
        </w:rPr>
        <w:t xml:space="preserve"> </w:t>
      </w:r>
      <w:r w:rsidR="009F39CE" w:rsidRPr="00AF2F7B">
        <w:rPr>
          <w:rFonts w:cs="Arial"/>
          <w:szCs w:val="24"/>
        </w:rPr>
        <w:t>PDFH 6.0 identifies large journey times changes as</w:t>
      </w:r>
      <w:r w:rsidR="00AF2F7B" w:rsidRPr="00AF2F7B">
        <w:rPr>
          <w:rFonts w:cs="Arial"/>
          <w:szCs w:val="24"/>
        </w:rPr>
        <w:t xml:space="preserve"> </w:t>
      </w:r>
      <w:r w:rsidR="00192D4C">
        <w:rPr>
          <w:rFonts w:cs="Arial"/>
          <w:szCs w:val="24"/>
        </w:rPr>
        <w:t xml:space="preserve">journey time </w:t>
      </w:r>
      <w:r w:rsidR="00AF2F7B" w:rsidRPr="00AF2F7B">
        <w:rPr>
          <w:rFonts w:cs="Arial"/>
          <w:szCs w:val="24"/>
        </w:rPr>
        <w:t xml:space="preserve">changes of </w:t>
      </w:r>
      <w:r w:rsidR="009F39CE" w:rsidRPr="00AF2F7B">
        <w:rPr>
          <w:rFonts w:cs="Arial"/>
          <w:szCs w:val="24"/>
        </w:rPr>
        <w:t>more than circa 30%</w:t>
      </w:r>
      <w:r w:rsidR="00AF2F7B">
        <w:rPr>
          <w:rFonts w:cs="Arial"/>
          <w:szCs w:val="24"/>
        </w:rPr>
        <w:t>.</w:t>
      </w:r>
      <w:r w:rsidR="00C61F22" w:rsidRPr="00AF2F7B">
        <w:rPr>
          <w:rFonts w:cs="Arial"/>
          <w:szCs w:val="24"/>
        </w:rPr>
        <w:t xml:space="preserve"> </w:t>
      </w:r>
    </w:p>
    <w:p w14:paraId="4E04C3AC" w14:textId="06336644" w:rsidR="002A7C39" w:rsidRDefault="002A7C39" w:rsidP="002A7C39">
      <w:pPr>
        <w:rPr>
          <w:rFonts w:cs="Arial"/>
          <w:szCs w:val="24"/>
        </w:rPr>
      </w:pPr>
      <w:r>
        <w:rPr>
          <w:rFonts w:cs="Arial"/>
          <w:szCs w:val="24"/>
        </w:rPr>
        <w:t>PDFH recommends the use of trip rate / trip end models, such as a gravity model</w:t>
      </w:r>
      <w:r w:rsidR="001932D5">
        <w:rPr>
          <w:rFonts w:cs="Arial"/>
          <w:szCs w:val="24"/>
        </w:rPr>
        <w:t xml:space="preserve"> as one way to forecast the additional demand due to large journey time changes. A gravity model</w:t>
      </w:r>
      <w:r>
        <w:rPr>
          <w:rFonts w:cs="Arial"/>
          <w:szCs w:val="24"/>
        </w:rPr>
        <w:t xml:space="preserve"> uses socioeconomic factors, such as population and employment of a location to forecast the propensity to </w:t>
      </w:r>
      <w:r w:rsidR="00EB4AA9">
        <w:rPr>
          <w:rFonts w:cs="Arial"/>
          <w:szCs w:val="24"/>
        </w:rPr>
        <w:t>travel.</w:t>
      </w:r>
      <w:r>
        <w:rPr>
          <w:rFonts w:cs="Arial"/>
          <w:szCs w:val="24"/>
        </w:rPr>
        <w:t xml:space="preserve"> ORR has adopted this approach for previous open access track application such as Grand Central’s recent application to operate services between London and Carmarthen</w:t>
      </w:r>
      <w:r w:rsidR="007F4F8E">
        <w:rPr>
          <w:rStyle w:val="FootnoteReference"/>
          <w:rFonts w:cs="Arial"/>
          <w:szCs w:val="24"/>
        </w:rPr>
        <w:footnoteReference w:id="2"/>
      </w:r>
      <w:r w:rsidR="007F4F8E">
        <w:rPr>
          <w:rFonts w:cs="Arial"/>
          <w:szCs w:val="24"/>
        </w:rPr>
        <w:t xml:space="preserve"> (2022)</w:t>
      </w:r>
      <w:r>
        <w:rPr>
          <w:rFonts w:cs="Arial"/>
          <w:szCs w:val="24"/>
        </w:rPr>
        <w:t xml:space="preserve"> </w:t>
      </w:r>
      <w:r w:rsidR="007F4F8E">
        <w:rPr>
          <w:rFonts w:cs="Arial"/>
          <w:szCs w:val="24"/>
        </w:rPr>
        <w:t xml:space="preserve">and for the East Coast Mainline multiple </w:t>
      </w:r>
      <w:r w:rsidR="00192D4C">
        <w:rPr>
          <w:rFonts w:cs="Arial"/>
          <w:szCs w:val="24"/>
        </w:rPr>
        <w:t xml:space="preserve">track access applications </w:t>
      </w:r>
      <w:r w:rsidR="007F4F8E">
        <w:rPr>
          <w:rFonts w:cs="Arial"/>
          <w:szCs w:val="24"/>
        </w:rPr>
        <w:t>decision in 2016</w:t>
      </w:r>
      <w:r w:rsidR="007F4F8E">
        <w:rPr>
          <w:rStyle w:val="FootnoteReference"/>
          <w:rFonts w:cs="Arial"/>
          <w:szCs w:val="24"/>
        </w:rPr>
        <w:footnoteReference w:id="3"/>
      </w:r>
      <w:r w:rsidR="007F4F8E">
        <w:rPr>
          <w:rFonts w:cs="Arial"/>
          <w:szCs w:val="24"/>
        </w:rPr>
        <w:t>.</w:t>
      </w:r>
      <w:r>
        <w:rPr>
          <w:rFonts w:cs="Arial"/>
          <w:szCs w:val="24"/>
        </w:rPr>
        <w:t xml:space="preserve"> </w:t>
      </w:r>
    </w:p>
    <w:p w14:paraId="74919ACA" w14:textId="178F61FF" w:rsidR="00F20E70" w:rsidRDefault="00F20E70" w:rsidP="00F20E70">
      <w:pPr>
        <w:pStyle w:val="Heading3"/>
      </w:pPr>
      <w:bookmarkStart w:id="11" w:name="_Toc126656090"/>
      <w:r>
        <w:t>2.2 Project Objectives and Scope</w:t>
      </w:r>
      <w:bookmarkEnd w:id="11"/>
    </w:p>
    <w:p w14:paraId="579BC1BF" w14:textId="53E25866" w:rsidR="0001682A" w:rsidRDefault="005705D8" w:rsidP="00765A79">
      <w:pPr>
        <w:pStyle w:val="NormalBulletround"/>
      </w:pPr>
      <w:r>
        <w:t xml:space="preserve">The </w:t>
      </w:r>
      <w:r w:rsidR="0001682A">
        <w:t xml:space="preserve">aim of this project is </w:t>
      </w:r>
      <w:r w:rsidR="00EC7369">
        <w:t xml:space="preserve">the development and application of a gravity model to </w:t>
      </w:r>
      <w:r w:rsidR="0001682A">
        <w:t>forecast the demand and revenue impact o</w:t>
      </w:r>
      <w:r w:rsidR="00EC7369">
        <w:t>n</w:t>
      </w:r>
      <w:r w:rsidR="0001682A">
        <w:t xml:space="preserve"> flows that deliver large journey time changes </w:t>
      </w:r>
      <w:proofErr w:type="gramStart"/>
      <w:r w:rsidR="0001682A">
        <w:t>as a result of</w:t>
      </w:r>
      <w:proofErr w:type="gramEnd"/>
      <w:r w:rsidR="0001682A">
        <w:t xml:space="preserve"> GUT</w:t>
      </w:r>
      <w:r w:rsidR="00EC7369">
        <w:t>’s</w:t>
      </w:r>
      <w:r w:rsidR="0001682A">
        <w:t xml:space="preserve"> </w:t>
      </w:r>
      <w:r w:rsidR="00EC7369">
        <w:t xml:space="preserve">proposed </w:t>
      </w:r>
      <w:r w:rsidR="0001682A">
        <w:t>new services. The gravity model</w:t>
      </w:r>
      <w:r w:rsidR="00EC7369">
        <w:t xml:space="preserve"> outputs are </w:t>
      </w:r>
      <w:r w:rsidR="0001682A">
        <w:t xml:space="preserve">for use as part of ORR’s demand and revenue forecasting suite for </w:t>
      </w:r>
      <w:r w:rsidR="00EC7369">
        <w:lastRenderedPageBreak/>
        <w:t xml:space="preserve">forecasting the total demand and revenue impacts of GUT’s </w:t>
      </w:r>
      <w:r w:rsidR="0001682A">
        <w:t xml:space="preserve">new </w:t>
      </w:r>
      <w:r w:rsidR="004E10FB">
        <w:t>services</w:t>
      </w:r>
      <w:r w:rsidR="0001682A">
        <w:t>.</w:t>
      </w:r>
      <w:r w:rsidR="00EC7369">
        <w:t xml:space="preserve"> Also, to deliver a gravity model template for future analysis by ORR.</w:t>
      </w:r>
    </w:p>
    <w:p w14:paraId="39FB98A5" w14:textId="102A2575" w:rsidR="00894E7A" w:rsidRPr="00894E7A" w:rsidRDefault="0001682A" w:rsidP="00894E7A">
      <w:pPr>
        <w:pStyle w:val="NormalBulletround"/>
      </w:pPr>
      <w:r w:rsidRPr="00894E7A">
        <w:t>We expect consultants to submit a methodology for undertaking the gravity mode</w:t>
      </w:r>
      <w:r w:rsidR="009E3727">
        <w:t>l</w:t>
      </w:r>
      <w:r w:rsidRPr="00894E7A">
        <w:t xml:space="preserve"> analysis</w:t>
      </w:r>
      <w:r w:rsidR="00894E7A">
        <w:t>.</w:t>
      </w:r>
      <w:r w:rsidRPr="00894E7A">
        <w:t xml:space="preserve"> While we are open to proposals, we expect this</w:t>
      </w:r>
      <w:r w:rsidR="001738A9">
        <w:t xml:space="preserve"> to </w:t>
      </w:r>
      <w:r w:rsidRPr="00894E7A">
        <w:t>include, but not limited to</w:t>
      </w:r>
      <w:r w:rsidR="001738A9">
        <w:t>:</w:t>
      </w:r>
      <w:r w:rsidRPr="00894E7A">
        <w:t xml:space="preserve"> </w:t>
      </w:r>
    </w:p>
    <w:p w14:paraId="371563F8" w14:textId="73CF336B" w:rsidR="00894E7A" w:rsidRPr="00894E7A" w:rsidRDefault="00BA601C" w:rsidP="00894E7A">
      <w:pPr>
        <w:pStyle w:val="NormalBullet-"/>
      </w:pPr>
      <w:r>
        <w:t>Choice of</w:t>
      </w:r>
      <w:r w:rsidR="0001682A" w:rsidRPr="00894E7A">
        <w:t xml:space="preserve"> appropriate social economic factors, how </w:t>
      </w:r>
      <w:r w:rsidR="004A6DED">
        <w:t xml:space="preserve">these are </w:t>
      </w:r>
      <w:r w:rsidR="0001682A" w:rsidRPr="00894E7A">
        <w:t xml:space="preserve">measured and the level of geographical disaggregation </w:t>
      </w:r>
      <w:r w:rsidR="00B15DDE" w:rsidRPr="00894E7A">
        <w:t>e.g.,</w:t>
      </w:r>
      <w:r w:rsidR="00B15DDE">
        <w:t xml:space="preserve"> to</w:t>
      </w:r>
      <w:r w:rsidR="0001682A" w:rsidRPr="00894E7A">
        <w:t xml:space="preserve"> </w:t>
      </w:r>
      <w:r w:rsidR="004A6DED">
        <w:t xml:space="preserve">Lower Super Output Areas, </w:t>
      </w:r>
      <w:r w:rsidR="00894E7A" w:rsidRPr="00894E7A">
        <w:t>(</w:t>
      </w:r>
      <w:r w:rsidR="0001682A" w:rsidRPr="00894E7A">
        <w:t xml:space="preserve">although </w:t>
      </w:r>
      <w:r w:rsidR="00894E7A" w:rsidRPr="00894E7A">
        <w:t>generally we</w:t>
      </w:r>
      <w:r w:rsidR="0001682A" w:rsidRPr="00894E7A">
        <w:t xml:space="preserve"> would </w:t>
      </w:r>
      <w:r w:rsidR="00B15DDE" w:rsidRPr="00894E7A">
        <w:t>expect</w:t>
      </w:r>
      <w:r w:rsidR="0001682A" w:rsidRPr="00894E7A">
        <w:t xml:space="preserve"> this to be</w:t>
      </w:r>
      <w:r w:rsidR="00EE553C">
        <w:t xml:space="preserve"> the</w:t>
      </w:r>
      <w:r w:rsidR="0001682A" w:rsidRPr="00894E7A">
        <w:t xml:space="preserve"> closest</w:t>
      </w:r>
      <w:r w:rsidR="00EE553C">
        <w:t xml:space="preserve"> level that matches a </w:t>
      </w:r>
      <w:r w:rsidR="0001682A" w:rsidRPr="00894E7A">
        <w:t>catchment area</w:t>
      </w:r>
      <w:r w:rsidR="004A6DED">
        <w:t>)</w:t>
      </w:r>
      <w:r w:rsidR="0001682A" w:rsidRPr="00894E7A">
        <w:t>.</w:t>
      </w:r>
    </w:p>
    <w:p w14:paraId="2ADDBEAA" w14:textId="6F894537" w:rsidR="00B15DDE" w:rsidRDefault="0001682A" w:rsidP="00894E7A">
      <w:pPr>
        <w:pStyle w:val="NormalBullet-"/>
      </w:pPr>
      <w:r w:rsidRPr="00894E7A">
        <w:t xml:space="preserve">Identification </w:t>
      </w:r>
      <w:r w:rsidR="00B15DDE">
        <w:t xml:space="preserve">and sifting </w:t>
      </w:r>
      <w:r w:rsidRPr="00894E7A">
        <w:t xml:space="preserve">of sample stations </w:t>
      </w:r>
      <w:r w:rsidR="00B15DDE">
        <w:t>for estimating model paraments. We would expect these to be predominately on the WCML route and representative of those stations to which the gravity model will be applied</w:t>
      </w:r>
      <w:r w:rsidR="00CB1E2A">
        <w:t>.</w:t>
      </w:r>
      <w:r w:rsidR="00B15DDE">
        <w:t xml:space="preserve"> </w:t>
      </w:r>
    </w:p>
    <w:p w14:paraId="2BA6FFE7" w14:textId="77777777" w:rsidR="00B15DDE" w:rsidRDefault="00B15DDE" w:rsidP="00B15DDE">
      <w:pPr>
        <w:pStyle w:val="NormalBullet-"/>
      </w:pPr>
      <w:r w:rsidRPr="00894E7A">
        <w:t>Discussion of appropriate functional form for estimating model parameters and model calibration</w:t>
      </w:r>
      <w:r>
        <w:t>.</w:t>
      </w:r>
    </w:p>
    <w:p w14:paraId="505BECBC" w14:textId="00313EDA" w:rsidR="00894E7A" w:rsidRPr="00894E7A" w:rsidRDefault="00B15DDE" w:rsidP="00894E7A">
      <w:pPr>
        <w:pStyle w:val="NormalBullet-"/>
      </w:pPr>
      <w:r>
        <w:t>De</w:t>
      </w:r>
      <w:r w:rsidR="0001682A" w:rsidRPr="00894E7A">
        <w:t xml:space="preserve">rivation of </w:t>
      </w:r>
      <w:r>
        <w:t xml:space="preserve">station </w:t>
      </w:r>
      <w:r w:rsidR="0001682A" w:rsidRPr="00894E7A">
        <w:t>catchment areas, most probably related to drive times and existing service levels at stations</w:t>
      </w:r>
      <w:r w:rsidR="00CB1E2A">
        <w:t>.</w:t>
      </w:r>
    </w:p>
    <w:p w14:paraId="669455F3" w14:textId="186A761F" w:rsidR="0001682A" w:rsidRDefault="0001682A" w:rsidP="00894E7A">
      <w:pPr>
        <w:pStyle w:val="NormalBullet-"/>
      </w:pPr>
      <w:r>
        <w:t xml:space="preserve">We also expect the analysis to include details of how to account </w:t>
      </w:r>
      <w:r w:rsidR="00C303FB">
        <w:t>for</w:t>
      </w:r>
      <w:r>
        <w:t xml:space="preserve"> potential </w:t>
      </w:r>
      <w:r w:rsidR="00BE2E37">
        <w:t xml:space="preserve">revenue </w:t>
      </w:r>
      <w:r>
        <w:t>abstract</w:t>
      </w:r>
      <w:r w:rsidR="00A46632">
        <w:t xml:space="preserve">ion </w:t>
      </w:r>
      <w:r w:rsidR="00BE2E37">
        <w:t xml:space="preserve">due to </w:t>
      </w:r>
      <w:proofErr w:type="gramStart"/>
      <w:r>
        <w:t>passengers</w:t>
      </w:r>
      <w:proofErr w:type="gramEnd"/>
      <w:r>
        <w:t xml:space="preserve"> rail heading from existing stations to use the new direct services from stations</w:t>
      </w:r>
      <w:r w:rsidR="00C303FB">
        <w:t xml:space="preserve"> now</w:t>
      </w:r>
      <w:r>
        <w:t xml:space="preserve"> </w:t>
      </w:r>
      <w:r w:rsidR="00894E7A">
        <w:t>s</w:t>
      </w:r>
      <w:r w:rsidR="004A6DED">
        <w:t>erved</w:t>
      </w:r>
      <w:r w:rsidR="00BE2E37">
        <w:t xml:space="preserve"> by</w:t>
      </w:r>
      <w:r w:rsidR="004A6DED">
        <w:t xml:space="preserve"> </w:t>
      </w:r>
      <w:r>
        <w:t>GUT.</w:t>
      </w:r>
    </w:p>
    <w:p w14:paraId="1C64A670" w14:textId="4C65907B" w:rsidR="00894E7A" w:rsidRDefault="00894E7A" w:rsidP="00894E7A">
      <w:pPr>
        <w:pStyle w:val="NormalBullet-"/>
      </w:pPr>
      <w:r>
        <w:t>Sensitivity analysis around the magnitude of large journey time changes</w:t>
      </w:r>
      <w:r w:rsidR="004A6DED">
        <w:t>.</w:t>
      </w:r>
      <w:r>
        <w:t xml:space="preserve"> </w:t>
      </w:r>
    </w:p>
    <w:p w14:paraId="69A75C90" w14:textId="4E7D31A8" w:rsidR="003F3CB0" w:rsidRDefault="003F3CB0" w:rsidP="003F3CB0">
      <w:pPr>
        <w:pStyle w:val="Heading3"/>
      </w:pPr>
      <w:bookmarkStart w:id="12" w:name="_Toc126656091"/>
      <w:r w:rsidRPr="003F3CB0">
        <w:t>2.3 Project Outputs, Deliverables and Contract Management</w:t>
      </w:r>
      <w:bookmarkEnd w:id="12"/>
    </w:p>
    <w:p w14:paraId="480D8983" w14:textId="54C4CB28" w:rsidR="00DB02EF" w:rsidRDefault="00DB02EF" w:rsidP="00DB02EF">
      <w:pPr>
        <w:pStyle w:val="Heading4"/>
      </w:pPr>
      <w:r>
        <w:t>Outputs and Deliverables</w:t>
      </w:r>
    </w:p>
    <w:p w14:paraId="241CB483" w14:textId="48B034A7" w:rsidR="00EB479E" w:rsidRDefault="00EB479E" w:rsidP="00EB479E">
      <w:pPr>
        <w:spacing w:after="0"/>
        <w:rPr>
          <w:szCs w:val="24"/>
        </w:rPr>
      </w:pPr>
      <w:r w:rsidRPr="00D64B61">
        <w:rPr>
          <w:szCs w:val="24"/>
        </w:rPr>
        <w:t xml:space="preserve">The supplier </w:t>
      </w:r>
      <w:r>
        <w:rPr>
          <w:szCs w:val="24"/>
        </w:rPr>
        <w:t>must</w:t>
      </w:r>
      <w:r w:rsidRPr="00D64B61">
        <w:rPr>
          <w:szCs w:val="24"/>
        </w:rPr>
        <w:t xml:space="preserve"> prepare a project plan and present it with the proposal. If a contract is awarded to the supplier, the plan </w:t>
      </w:r>
      <w:r>
        <w:rPr>
          <w:szCs w:val="24"/>
        </w:rPr>
        <w:t>must</w:t>
      </w:r>
      <w:r w:rsidRPr="00D64B61">
        <w:rPr>
          <w:szCs w:val="24"/>
        </w:rPr>
        <w:t xml:space="preserve"> be kept </w:t>
      </w:r>
      <w:proofErr w:type="gramStart"/>
      <w:r w:rsidRPr="00D64B61">
        <w:rPr>
          <w:szCs w:val="24"/>
        </w:rPr>
        <w:t>up-to-date</w:t>
      </w:r>
      <w:proofErr w:type="gramEnd"/>
      <w:r w:rsidRPr="00D64B61">
        <w:rPr>
          <w:szCs w:val="24"/>
        </w:rPr>
        <w:t xml:space="preserve">. </w:t>
      </w:r>
    </w:p>
    <w:p w14:paraId="2AE0C602" w14:textId="77777777" w:rsidR="00366646" w:rsidRPr="00D64B61" w:rsidRDefault="00366646" w:rsidP="00EB479E">
      <w:pPr>
        <w:spacing w:after="0"/>
        <w:rPr>
          <w:rFonts w:cs="Arial"/>
          <w:b/>
          <w:szCs w:val="24"/>
          <w:u w:val="single"/>
        </w:rPr>
      </w:pPr>
    </w:p>
    <w:p w14:paraId="3BC15F86" w14:textId="7935DA01" w:rsidR="00EB479E" w:rsidRDefault="00EB479E" w:rsidP="00EB479E">
      <w:r>
        <w:t>The consultant is to deliver:</w:t>
      </w:r>
    </w:p>
    <w:p w14:paraId="382CED64" w14:textId="34661AE0" w:rsidR="00BE2E37" w:rsidRDefault="00BE2E37" w:rsidP="00843FD3">
      <w:pPr>
        <w:pStyle w:val="NormalBulletround"/>
      </w:pPr>
      <w:r>
        <w:t xml:space="preserve">Engagement with GUTs to understand details of </w:t>
      </w:r>
      <w:r w:rsidR="007838A4">
        <w:t>its service offer.</w:t>
      </w:r>
    </w:p>
    <w:p w14:paraId="6DC249A9" w14:textId="5F106D89" w:rsidR="00843FD3" w:rsidRDefault="000B3DD8" w:rsidP="00843FD3">
      <w:pPr>
        <w:pStyle w:val="NormalBulletround"/>
      </w:pPr>
      <w:r>
        <w:t>D</w:t>
      </w:r>
      <w:r w:rsidR="00843FD3">
        <w:t>evelop</w:t>
      </w:r>
      <w:r>
        <w:t xml:space="preserve">ment and application of a </w:t>
      </w:r>
      <w:r w:rsidR="00843FD3">
        <w:t xml:space="preserve">gravity model </w:t>
      </w:r>
      <w:r>
        <w:t xml:space="preserve">to forecast </w:t>
      </w:r>
      <w:r w:rsidR="004E0FC1">
        <w:t xml:space="preserve">trip rates/uplift factors </w:t>
      </w:r>
      <w:r w:rsidR="001738A9">
        <w:t xml:space="preserve">to estimate </w:t>
      </w:r>
      <w:r>
        <w:t>the demand impact</w:t>
      </w:r>
      <w:r w:rsidR="004E0FC1">
        <w:t xml:space="preserve"> on GUT’s </w:t>
      </w:r>
      <w:r w:rsidR="00E86876">
        <w:t xml:space="preserve">flows with journey time </w:t>
      </w:r>
      <w:r w:rsidR="00E86876">
        <w:lastRenderedPageBreak/>
        <w:t>changes of 30%+</w:t>
      </w:r>
      <w:r w:rsidR="00BF5C12">
        <w:t xml:space="preserve">. The trip rates / uplift factors should be </w:t>
      </w:r>
      <w:r w:rsidR="007838A4">
        <w:t xml:space="preserve">readily </w:t>
      </w:r>
      <w:r w:rsidR="00BF5C12">
        <w:t>applicable to base MOIRA service level change</w:t>
      </w:r>
      <w:r w:rsidR="00F90E7C">
        <w:t xml:space="preserve"> (GJT)</w:t>
      </w:r>
      <w:r w:rsidR="00BF5C12">
        <w:t xml:space="preserve"> forecast</w:t>
      </w:r>
      <w:r w:rsidR="004D0762">
        <w:t xml:space="preserve"> on a </w:t>
      </w:r>
      <w:proofErr w:type="gramStart"/>
      <w:r w:rsidR="004D0762">
        <w:t>flow by flow</w:t>
      </w:r>
      <w:proofErr w:type="gramEnd"/>
      <w:r w:rsidR="004D0762">
        <w:t xml:space="preserve"> basis.</w:t>
      </w:r>
    </w:p>
    <w:p w14:paraId="366067BA" w14:textId="2A2B5F0E" w:rsidR="00E86876" w:rsidRDefault="00E86876" w:rsidP="00E86876">
      <w:pPr>
        <w:pStyle w:val="NormalBulletround"/>
      </w:pPr>
      <w:r>
        <w:t>A sensitivity test based on applying the gravity model to flows with a 20%+ change in GJT</w:t>
      </w:r>
      <w:r w:rsidR="007838A4">
        <w:t>.</w:t>
      </w:r>
      <w:r>
        <w:t xml:space="preserve"> </w:t>
      </w:r>
    </w:p>
    <w:p w14:paraId="39E3F929" w14:textId="329010EA" w:rsidR="00843FD3" w:rsidRDefault="007838A4" w:rsidP="00843FD3">
      <w:pPr>
        <w:pStyle w:val="NormalBulletround"/>
      </w:pPr>
      <w:r>
        <w:t>A c</w:t>
      </w:r>
      <w:r w:rsidR="00843FD3">
        <w:t>ompleted gravity model analysis and forecast</w:t>
      </w:r>
      <w:r w:rsidR="00EF3A0F">
        <w:t xml:space="preserve"> and draft report</w:t>
      </w:r>
      <w:r>
        <w:t>.</w:t>
      </w:r>
    </w:p>
    <w:p w14:paraId="79DA5C47" w14:textId="61A132EB" w:rsidR="00843FD3" w:rsidRDefault="00F90E7C" w:rsidP="00843FD3">
      <w:pPr>
        <w:pStyle w:val="NormalBulletround"/>
      </w:pPr>
      <w:r>
        <w:t>A</w:t>
      </w:r>
      <w:r w:rsidR="00843FD3">
        <w:t xml:space="preserve"> gravity model template suitable </w:t>
      </w:r>
      <w:r w:rsidR="00F44214">
        <w:t xml:space="preserve">for </w:t>
      </w:r>
      <w:r w:rsidR="00843FD3">
        <w:t>future use by</w:t>
      </w:r>
      <w:r w:rsidR="004E0FC1">
        <w:t xml:space="preserve"> </w:t>
      </w:r>
      <w:r w:rsidR="00843FD3">
        <w:t xml:space="preserve">ORR </w:t>
      </w:r>
    </w:p>
    <w:p w14:paraId="49130D73" w14:textId="6590D43A" w:rsidR="00843FD3" w:rsidRDefault="007838A4" w:rsidP="00843FD3">
      <w:pPr>
        <w:pStyle w:val="NormalBulletround"/>
      </w:pPr>
      <w:r>
        <w:t xml:space="preserve">A </w:t>
      </w:r>
      <w:r w:rsidR="00843FD3">
        <w:t>detailed</w:t>
      </w:r>
      <w:r w:rsidR="00F8198E">
        <w:t xml:space="preserve"> Final</w:t>
      </w:r>
      <w:r w:rsidR="00843FD3">
        <w:t xml:space="preserve"> written report of the analysis undertaken and results</w:t>
      </w:r>
      <w:r>
        <w:t>.</w:t>
      </w:r>
    </w:p>
    <w:p w14:paraId="7AF7BFC7" w14:textId="0C157186" w:rsidR="00843FD3" w:rsidRPr="00EF3A0F" w:rsidRDefault="00843FD3" w:rsidP="00EF3A0F">
      <w:pPr>
        <w:spacing w:after="0"/>
        <w:rPr>
          <w:szCs w:val="24"/>
        </w:rPr>
      </w:pPr>
      <w:r w:rsidRPr="00EF3A0F">
        <w:rPr>
          <w:szCs w:val="24"/>
        </w:rPr>
        <w:t xml:space="preserve">The gravity model supplied to ORR should include all supporting spreadsheets </w:t>
      </w:r>
      <w:r w:rsidR="00B96842">
        <w:rPr>
          <w:szCs w:val="24"/>
        </w:rPr>
        <w:t xml:space="preserve">or other relevant file types containing all </w:t>
      </w:r>
      <w:r w:rsidRPr="00EF3A0F">
        <w:rPr>
          <w:szCs w:val="24"/>
        </w:rPr>
        <w:t>input and output data</w:t>
      </w:r>
      <w:r w:rsidR="00B96842">
        <w:rPr>
          <w:szCs w:val="24"/>
        </w:rPr>
        <w:t xml:space="preserve"> used for the gravity model development and results</w:t>
      </w:r>
      <w:r w:rsidRPr="00EF3A0F">
        <w:rPr>
          <w:szCs w:val="24"/>
        </w:rPr>
        <w:t>. Spreadsheets should include all formulas used and avoid hard coding as far as possible</w:t>
      </w:r>
      <w:r w:rsidR="00B778CA">
        <w:rPr>
          <w:szCs w:val="24"/>
        </w:rPr>
        <w:t>.</w:t>
      </w:r>
      <w:r w:rsidRPr="00EF3A0F">
        <w:rPr>
          <w:szCs w:val="24"/>
        </w:rPr>
        <w:t xml:space="preserve"> </w:t>
      </w:r>
    </w:p>
    <w:p w14:paraId="7BA3D249" w14:textId="77777777" w:rsidR="00F44214" w:rsidRDefault="00F44214" w:rsidP="00EF3A0F">
      <w:pPr>
        <w:spacing w:after="0"/>
        <w:rPr>
          <w:szCs w:val="24"/>
        </w:rPr>
      </w:pPr>
    </w:p>
    <w:p w14:paraId="652A4FA6" w14:textId="036C6D29" w:rsidR="00E86876" w:rsidRDefault="00B96842" w:rsidP="00EF3A0F">
      <w:pPr>
        <w:spacing w:after="0"/>
        <w:rPr>
          <w:szCs w:val="24"/>
        </w:rPr>
      </w:pPr>
      <w:r>
        <w:rPr>
          <w:szCs w:val="24"/>
        </w:rPr>
        <w:t xml:space="preserve">The Stata </w:t>
      </w:r>
      <w:r w:rsidRPr="00EF3A0F">
        <w:rPr>
          <w:szCs w:val="24"/>
        </w:rPr>
        <w:t>statistical package</w:t>
      </w:r>
      <w:r>
        <w:rPr>
          <w:szCs w:val="24"/>
        </w:rPr>
        <w:t xml:space="preserve"> should be used to estimate the g</w:t>
      </w:r>
      <w:r w:rsidR="00E86876" w:rsidRPr="00EF3A0F">
        <w:rPr>
          <w:szCs w:val="24"/>
        </w:rPr>
        <w:t>ravity model parameter</w:t>
      </w:r>
      <w:r>
        <w:rPr>
          <w:szCs w:val="24"/>
        </w:rPr>
        <w:t>s</w:t>
      </w:r>
      <w:r w:rsidR="0053025A">
        <w:rPr>
          <w:szCs w:val="24"/>
        </w:rPr>
        <w:t>.</w:t>
      </w:r>
      <w:r w:rsidR="00E86876" w:rsidRPr="00EF3A0F">
        <w:rPr>
          <w:szCs w:val="24"/>
        </w:rPr>
        <w:t xml:space="preserve">  And all STATA code</w:t>
      </w:r>
      <w:r>
        <w:rPr>
          <w:szCs w:val="24"/>
        </w:rPr>
        <w:t xml:space="preserve"> </w:t>
      </w:r>
      <w:r w:rsidR="00F90E7C">
        <w:rPr>
          <w:szCs w:val="24"/>
        </w:rPr>
        <w:t>used for</w:t>
      </w:r>
      <w:r w:rsidR="000F5452">
        <w:rPr>
          <w:szCs w:val="24"/>
        </w:rPr>
        <w:t xml:space="preserve"> the model estimation </w:t>
      </w:r>
      <w:r w:rsidR="00E86876" w:rsidRPr="00EF3A0F">
        <w:rPr>
          <w:szCs w:val="24"/>
        </w:rPr>
        <w:t>and STATA based input /outp</w:t>
      </w:r>
      <w:r>
        <w:rPr>
          <w:szCs w:val="24"/>
        </w:rPr>
        <w:t>u</w:t>
      </w:r>
      <w:r w:rsidR="00E86876" w:rsidRPr="00EF3A0F">
        <w:rPr>
          <w:szCs w:val="24"/>
        </w:rPr>
        <w:t xml:space="preserve">t data supplied to ORR. </w:t>
      </w:r>
      <w:r w:rsidR="00F90E7C">
        <w:rPr>
          <w:szCs w:val="24"/>
        </w:rPr>
        <w:t>(However, we will consider other statical packages if the data can be readily converted for use in STATA).</w:t>
      </w:r>
    </w:p>
    <w:p w14:paraId="317E3B7A" w14:textId="52BC7ECD" w:rsidR="00F44214" w:rsidRDefault="00F44214" w:rsidP="00EF3A0F">
      <w:pPr>
        <w:spacing w:after="0"/>
        <w:rPr>
          <w:szCs w:val="24"/>
        </w:rPr>
      </w:pPr>
    </w:p>
    <w:p w14:paraId="30DFB785" w14:textId="439A37DA" w:rsidR="00DB02EF" w:rsidRDefault="00DB02EF" w:rsidP="00DB02EF">
      <w:pPr>
        <w:pStyle w:val="Heading4"/>
      </w:pPr>
      <w:r>
        <w:t>Contract Management Requirements</w:t>
      </w:r>
    </w:p>
    <w:p w14:paraId="48479B29" w14:textId="77777777" w:rsidR="0048258B" w:rsidRPr="00D64B61" w:rsidRDefault="0048258B" w:rsidP="0048258B">
      <w:pPr>
        <w:autoSpaceDE w:val="0"/>
        <w:autoSpaceDN w:val="0"/>
        <w:adjustRightInd w:val="0"/>
        <w:spacing w:after="0"/>
        <w:rPr>
          <w:rFonts w:cs="Arial"/>
          <w:color w:val="000000"/>
          <w:szCs w:val="24"/>
          <w:lang w:eastAsia="en-GB"/>
        </w:rPr>
      </w:pPr>
    </w:p>
    <w:p w14:paraId="7E1858BF" w14:textId="77777777" w:rsidR="0048258B" w:rsidRPr="00D64B61" w:rsidRDefault="0048258B" w:rsidP="0048258B">
      <w:pPr>
        <w:autoSpaceDE w:val="0"/>
        <w:autoSpaceDN w:val="0"/>
        <w:adjustRightInd w:val="0"/>
        <w:spacing w:after="0"/>
        <w:rPr>
          <w:rFonts w:cs="Arial"/>
          <w:color w:val="000000"/>
          <w:szCs w:val="24"/>
          <w:lang w:eastAsia="en-GB"/>
        </w:rPr>
      </w:pPr>
      <w:r w:rsidRPr="00D64B61">
        <w:rPr>
          <w:rFonts w:cs="Arial"/>
          <w:color w:val="000000"/>
          <w:szCs w:val="24"/>
          <w:lang w:eastAsia="en-GB"/>
        </w:rPr>
        <w:t>Key resources and points of contact will be established through the project start-up meeting.</w:t>
      </w:r>
    </w:p>
    <w:p w14:paraId="071183F6" w14:textId="77777777" w:rsidR="0048258B" w:rsidRPr="00D64B61" w:rsidRDefault="0048258B" w:rsidP="0048258B">
      <w:pPr>
        <w:autoSpaceDE w:val="0"/>
        <w:autoSpaceDN w:val="0"/>
        <w:adjustRightInd w:val="0"/>
        <w:spacing w:after="0"/>
        <w:rPr>
          <w:rFonts w:cs="Arial"/>
          <w:color w:val="000000"/>
          <w:szCs w:val="24"/>
          <w:lang w:eastAsia="en-GB"/>
        </w:rPr>
      </w:pPr>
    </w:p>
    <w:p w14:paraId="46002F7C" w14:textId="77777777" w:rsidR="0048258B" w:rsidRPr="00D64B61" w:rsidRDefault="0048258B" w:rsidP="0048258B">
      <w:pPr>
        <w:autoSpaceDE w:val="0"/>
        <w:autoSpaceDN w:val="0"/>
        <w:adjustRightInd w:val="0"/>
        <w:spacing w:after="0"/>
        <w:rPr>
          <w:rFonts w:cs="Arial"/>
          <w:color w:val="000000"/>
          <w:szCs w:val="24"/>
          <w:lang w:eastAsia="en-GB"/>
        </w:rPr>
      </w:pPr>
      <w:r w:rsidRPr="00D64B61">
        <w:rPr>
          <w:rFonts w:cs="Arial"/>
          <w:color w:val="000000"/>
          <w:szCs w:val="24"/>
          <w:lang w:eastAsia="en-GB"/>
        </w:rPr>
        <w:t>The contract will be managed through fortnightly meetings covering progress against the project plan / key milestones, risks / issues / mitigations, emerging findings.</w:t>
      </w:r>
    </w:p>
    <w:p w14:paraId="29764259" w14:textId="77777777" w:rsidR="0048258B" w:rsidRDefault="0048258B" w:rsidP="008475B8">
      <w:pPr>
        <w:rPr>
          <w:b/>
          <w:bCs/>
          <w:color w:val="B1173B"/>
        </w:rPr>
      </w:pPr>
    </w:p>
    <w:p w14:paraId="75F8969E" w14:textId="18013AB0" w:rsidR="00D6160E" w:rsidRDefault="00AF7AF9" w:rsidP="00AF7AF9">
      <w:pPr>
        <w:pStyle w:val="Heading3"/>
      </w:pPr>
      <w:bookmarkStart w:id="13" w:name="_Toc126656092"/>
      <w:r>
        <w:t>2.4 Project Timescales</w:t>
      </w:r>
      <w:bookmarkEnd w:id="13"/>
    </w:p>
    <w:p w14:paraId="232D4288" w14:textId="77777777" w:rsidR="00AF7AF9" w:rsidRDefault="00AF7AF9" w:rsidP="00AF7AF9">
      <w:r>
        <w:t>The provisional project timetable is as follows:</w:t>
      </w:r>
    </w:p>
    <w:p w14:paraId="1A5E1720" w14:textId="16B5DE37" w:rsidR="00AF7AF9" w:rsidRDefault="0048258B" w:rsidP="00AF7AF9">
      <w:pPr>
        <w:pStyle w:val="NormalBulletround"/>
      </w:pPr>
      <w:r>
        <w:t>Start-up</w:t>
      </w:r>
      <w:r w:rsidR="00AF7AF9">
        <w:t xml:space="preserve"> meeting </w:t>
      </w:r>
      <w:r w:rsidR="00366646">
        <w:t>03</w:t>
      </w:r>
      <w:r>
        <w:t>/</w:t>
      </w:r>
      <w:r w:rsidR="00366646">
        <w:t>0</w:t>
      </w:r>
      <w:r>
        <w:t>3/23</w:t>
      </w:r>
    </w:p>
    <w:p w14:paraId="17C87B3F" w14:textId="4898DC08" w:rsidR="0048258B" w:rsidRDefault="0048258B" w:rsidP="00AF7AF9">
      <w:pPr>
        <w:pStyle w:val="NormalBulletround"/>
      </w:pPr>
      <w:r>
        <w:t xml:space="preserve">Meeting with Applicants w/c </w:t>
      </w:r>
      <w:r w:rsidR="00366646">
        <w:t>0</w:t>
      </w:r>
      <w:r>
        <w:t>6/</w:t>
      </w:r>
      <w:r w:rsidR="00366646">
        <w:t>0</w:t>
      </w:r>
      <w:r>
        <w:t>3/22</w:t>
      </w:r>
    </w:p>
    <w:p w14:paraId="1CB48C52" w14:textId="2B3DEC89" w:rsidR="00AF7AF9" w:rsidRDefault="00BD636D" w:rsidP="00AF7AF9">
      <w:pPr>
        <w:pStyle w:val="NormalBulletround"/>
      </w:pPr>
      <w:r>
        <w:t xml:space="preserve">Gravity model results and </w:t>
      </w:r>
      <w:r w:rsidR="00AF7AF9">
        <w:t xml:space="preserve">Draft </w:t>
      </w:r>
      <w:r>
        <w:t>R</w:t>
      </w:r>
      <w:r w:rsidR="00AF7AF9">
        <w:t xml:space="preserve">eport by </w:t>
      </w:r>
      <w:r w:rsidR="00700734">
        <w:t>2</w:t>
      </w:r>
      <w:r w:rsidR="004339AF">
        <w:t>9</w:t>
      </w:r>
      <w:r w:rsidR="00700734">
        <w:t>/</w:t>
      </w:r>
      <w:r w:rsidR="00366646">
        <w:t>0</w:t>
      </w:r>
      <w:r w:rsidR="00700734">
        <w:t xml:space="preserve">3/23 </w:t>
      </w:r>
    </w:p>
    <w:p w14:paraId="5577EDCB" w14:textId="24CD71AA" w:rsidR="00AF7AF9" w:rsidRDefault="00AF7AF9" w:rsidP="00AF7AF9">
      <w:pPr>
        <w:pStyle w:val="NormalBulletround"/>
      </w:pPr>
      <w:r>
        <w:t xml:space="preserve">Final report by the </w:t>
      </w:r>
      <w:r w:rsidR="00366646">
        <w:t>0</w:t>
      </w:r>
      <w:r w:rsidR="00700734">
        <w:t>5/</w:t>
      </w:r>
      <w:r w:rsidR="00366646">
        <w:t>0</w:t>
      </w:r>
      <w:r w:rsidR="00700734">
        <w:t xml:space="preserve">4/23 </w:t>
      </w:r>
    </w:p>
    <w:p w14:paraId="76E3EE61" w14:textId="420F91D1" w:rsidR="00AF7AF9" w:rsidRDefault="00AF7AF9" w:rsidP="00AF7AF9">
      <w:pPr>
        <w:pStyle w:val="Heading3"/>
      </w:pPr>
      <w:bookmarkStart w:id="14" w:name="_Toc126656093"/>
      <w:r w:rsidRPr="00AF7AF9">
        <w:lastRenderedPageBreak/>
        <w:t>2.5 Budget and Payment Schedule</w:t>
      </w:r>
      <w:bookmarkEnd w:id="14"/>
    </w:p>
    <w:p w14:paraId="7D86A410" w14:textId="6F4A27B5" w:rsidR="00D401C8" w:rsidRDefault="00D401C8" w:rsidP="00D401C8">
      <w:r>
        <w:t>The maximum budget for this piece of work is £</w:t>
      </w:r>
      <w:r w:rsidR="005705D8">
        <w:t>30,0000</w:t>
      </w:r>
      <w:r>
        <w:t xml:space="preserve"> (</w:t>
      </w:r>
      <w:r w:rsidR="00E46ECE">
        <w:t xml:space="preserve">inc. of expenses, </w:t>
      </w:r>
      <w:r>
        <w:t>exc. of VAT).</w:t>
      </w:r>
    </w:p>
    <w:p w14:paraId="3150F3F2" w14:textId="77777777" w:rsidR="00D401C8" w:rsidRPr="00366646" w:rsidRDefault="00D401C8" w:rsidP="00D401C8">
      <w:pPr>
        <w:pStyle w:val="Heading4"/>
        <w:rPr>
          <w:color w:val="auto"/>
        </w:rPr>
      </w:pPr>
      <w:r w:rsidRPr="00366646">
        <w:rPr>
          <w:color w:val="auto"/>
        </w:rPr>
        <w:t>Payment Options</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5" w:name="_Toc12665609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lastRenderedPageBreak/>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26656095"/>
      <w:r>
        <w:lastRenderedPageBreak/>
        <w:t>Tender Response and Evaluation Criteria</w:t>
      </w:r>
      <w:bookmarkEnd w:id="16"/>
    </w:p>
    <w:p w14:paraId="6C9F4B20" w14:textId="5CFF035D" w:rsidR="001768F1" w:rsidRDefault="001768F1" w:rsidP="001768F1">
      <w:pPr>
        <w:pStyle w:val="Heading3"/>
      </w:pPr>
      <w:bookmarkStart w:id="17" w:name="_Toc126656096"/>
      <w:r>
        <w:t>3.1 The Tender Response</w:t>
      </w:r>
      <w:bookmarkEnd w:id="17"/>
    </w:p>
    <w:p w14:paraId="33A2C61B" w14:textId="62AD7A0A" w:rsidR="001768F1" w:rsidRDefault="001768F1" w:rsidP="001768F1">
      <w:r>
        <w:t xml:space="preserve">The proposals for this project should include an outline of how bidders will meet the requirement outlined in section (ii) “Statement of Requirement”. The following information should be </w:t>
      </w:r>
      <w:proofErr w:type="gramStart"/>
      <w:r>
        <w:t>included</w:t>
      </w:r>
      <w:proofErr w:type="gramEnd"/>
      <w:r>
        <w:t xml:space="preserve">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28867C71" w:rsidR="001768F1" w:rsidRDefault="001768F1" w:rsidP="001E7C87">
      <w:pPr>
        <w:pStyle w:val="NormalBullet-"/>
      </w:pPr>
      <w:r>
        <w:t xml:space="preserve">Provide an explanation of the proposed </w:t>
      </w:r>
      <w:r w:rsidR="00A51359">
        <w:t>approach and</w:t>
      </w:r>
      <w:r>
        <w:t xml:space="preserve">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w:t>
      </w:r>
      <w:proofErr w:type="gramStart"/>
      <w:r>
        <w:t>project</w:t>
      </w:r>
      <w:proofErr w:type="gramEnd"/>
      <w:r>
        <w:t xml:space="preserve">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 xml:space="preserve">An understanding of the risks, and explain how they would be mitigated to ensure </w:t>
      </w:r>
      <w:proofErr w:type="gramStart"/>
      <w:r>
        <w:t>delivery</w:t>
      </w:r>
      <w:proofErr w:type="gramEnd"/>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 xml:space="preserve">Proposed delivery </w:t>
      </w:r>
      <w:proofErr w:type="gramStart"/>
      <w:r w:rsidRPr="001E7C87">
        <w:rPr>
          <w:b/>
          <w:bCs/>
        </w:rPr>
        <w:t>team</w:t>
      </w:r>
      <w:proofErr w:type="gramEnd"/>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w:t>
      </w:r>
      <w:proofErr w:type="gramStart"/>
      <w:r>
        <w:t>e.g.</w:t>
      </w:r>
      <w:proofErr w:type="gramEnd"/>
      <w:r>
        <w:t xml:space="preserve"> right to work in the UK)</w:t>
      </w:r>
    </w:p>
    <w:p w14:paraId="5F3C04C1" w14:textId="1B3120CF" w:rsidR="001768F1" w:rsidRDefault="001768F1" w:rsidP="001E7C87">
      <w:pPr>
        <w:pStyle w:val="NormalBullet-"/>
      </w:pPr>
      <w:r>
        <w:t xml:space="preserve">Some relevant examples of previous work that bidders have carried </w:t>
      </w:r>
      <w:proofErr w:type="gramStart"/>
      <w:r>
        <w:t>out</w:t>
      </w:r>
      <w:proofErr w:type="gramEnd"/>
      <w:r>
        <w:t xml:space="preserve"> </w:t>
      </w:r>
    </w:p>
    <w:p w14:paraId="1C8F4186" w14:textId="6CC05A44" w:rsidR="001768F1" w:rsidRPr="001E7C87" w:rsidRDefault="001768F1" w:rsidP="00D07E76">
      <w:pPr>
        <w:pStyle w:val="NormalBulletalpha"/>
        <w:rPr>
          <w:b/>
          <w:bCs/>
        </w:rPr>
      </w:pPr>
      <w:r w:rsidRPr="001E7C87">
        <w:rPr>
          <w:b/>
          <w:bCs/>
        </w:rPr>
        <w:lastRenderedPageBreak/>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26656097"/>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 xml:space="preserve">Tender submitted in accordance with the conditions and instructions for </w:t>
      </w:r>
      <w:proofErr w:type="gramStart"/>
      <w:r>
        <w:t>tendering</w:t>
      </w:r>
      <w:proofErr w:type="gramEnd"/>
    </w:p>
    <w:p w14:paraId="41557F9E" w14:textId="76516727" w:rsidR="005C29ED" w:rsidRDefault="005C29ED" w:rsidP="005C29ED">
      <w:pPr>
        <w:pStyle w:val="NormalBulletround"/>
      </w:pPr>
      <w:r>
        <w:t xml:space="preserve">Tender submitted by the closing date and </w:t>
      </w:r>
      <w:proofErr w:type="gramStart"/>
      <w:r>
        <w:t>time</w:t>
      </w:r>
      <w:proofErr w:type="gramEnd"/>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04CBFDC0" w:rsidR="005C29ED" w:rsidRDefault="005C29ED" w:rsidP="00D61976">
      <w:pPr>
        <w:pStyle w:val="Heading4"/>
      </w:pPr>
      <w:r>
        <w:t xml:space="preserve">Methodology </w:t>
      </w:r>
      <w:r w:rsidRPr="00374BAE">
        <w:rPr>
          <w:color w:val="B1173B"/>
        </w:rPr>
        <w:t>(</w:t>
      </w:r>
      <w:r w:rsidR="00EB479E">
        <w:rPr>
          <w:color w:val="B1173B"/>
        </w:rPr>
        <w:t>25</w:t>
      </w:r>
      <w:r w:rsidRPr="00374BAE">
        <w:rPr>
          <w:color w:val="B1173B"/>
        </w:rPr>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lastRenderedPageBreak/>
        <w:t xml:space="preserve">Explain how your organisation will work in partnership with ORR’s project manager to ensure that the requirement is </w:t>
      </w:r>
      <w:proofErr w:type="gramStart"/>
      <w:r>
        <w:t>met</w:t>
      </w:r>
      <w:proofErr w:type="gramEnd"/>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w:t>
      </w:r>
      <w:proofErr w:type="gramStart"/>
      <w:r>
        <w:t>base</w:t>
      </w:r>
      <w:proofErr w:type="gramEnd"/>
    </w:p>
    <w:p w14:paraId="09DB644F" w14:textId="62EC8444" w:rsidR="005C29ED" w:rsidRDefault="005C29ED" w:rsidP="00350594">
      <w:pPr>
        <w:pStyle w:val="Heading4"/>
      </w:pPr>
      <w:r>
        <w:t xml:space="preserve">Delivery </w:t>
      </w:r>
      <w:r w:rsidRPr="00374BAE">
        <w:rPr>
          <w:color w:val="B1173B"/>
        </w:rPr>
        <w:t>(</w:t>
      </w:r>
      <w:r w:rsidR="00EB479E">
        <w:rPr>
          <w:color w:val="B1173B"/>
        </w:rPr>
        <w:t>20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3BC39744" w:rsidR="005C29ED" w:rsidRPr="00374BAE" w:rsidRDefault="005C29ED" w:rsidP="00350594">
      <w:pPr>
        <w:pStyle w:val="Heading4"/>
        <w:rPr>
          <w:color w:val="B1173B"/>
        </w:rPr>
      </w:pPr>
      <w:r>
        <w:t xml:space="preserve">Experience </w:t>
      </w:r>
      <w:r w:rsidRPr="00374BAE">
        <w:rPr>
          <w:color w:val="B1173B"/>
        </w:rPr>
        <w:t>(</w:t>
      </w:r>
      <w:r w:rsidR="00EB479E">
        <w:rPr>
          <w:color w:val="B1173B"/>
        </w:rPr>
        <w:t>30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74C75236" w:rsidR="005C29ED" w:rsidRDefault="005C29ED" w:rsidP="00350594">
      <w:pPr>
        <w:pStyle w:val="Heading4"/>
      </w:pPr>
      <w:r>
        <w:t xml:space="preserve">Cost / Value for money </w:t>
      </w:r>
      <w:r w:rsidRPr="00374BAE">
        <w:rPr>
          <w:color w:val="B1173B"/>
        </w:rPr>
        <w:t>(</w:t>
      </w:r>
      <w:r w:rsidR="00EB479E">
        <w:rPr>
          <w:color w:val="B1173B"/>
        </w:rPr>
        <w:t>25</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w:t>
            </w:r>
            <w:r w:rsidRPr="00757472">
              <w:rPr>
                <w:rFonts w:eastAsia="Calibri" w:cs="Arial"/>
                <w:sz w:val="22"/>
                <w:shd w:val="clear" w:color="auto" w:fill="FFFFFF"/>
                <w:lang w:val="en-US"/>
              </w:rPr>
              <w:lastRenderedPageBreak/>
              <w:t xml:space="preserve">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Excellent response fully addressing the requirement and providing significant additional evidence of how the criterion has been met and how value would be </w:t>
            </w:r>
            <w:proofErr w:type="gramStart"/>
            <w:r w:rsidRPr="00437772">
              <w:rPr>
                <w:rFonts w:eastAsia="Calibri" w:cs="Arial"/>
                <w:sz w:val="22"/>
                <w:lang w:val="en-US" w:eastAsia="en-GB"/>
              </w:rPr>
              <w:t>added</w:t>
            </w:r>
            <w:proofErr w:type="gramEnd"/>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2665609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2665609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A51359">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A51359">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46F63F8B" w:rsidR="00400432" w:rsidRPr="00400432" w:rsidRDefault="00366646" w:rsidP="00400432">
            <w:pPr>
              <w:pStyle w:val="TblText"/>
            </w:pPr>
            <w:r>
              <w:t>08</w:t>
            </w:r>
            <w:r w:rsidR="00A51359">
              <w:t xml:space="preserve"> February 2023</w:t>
            </w:r>
          </w:p>
        </w:tc>
      </w:tr>
      <w:tr w:rsidR="00400432" w:rsidRPr="00400432" w14:paraId="42283B80" w14:textId="77777777" w:rsidTr="00A51359">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24727B18" w:rsidR="00400432" w:rsidRPr="00400432" w:rsidRDefault="00A51359" w:rsidP="00366646">
            <w:pPr>
              <w:pStyle w:val="TblText"/>
              <w:tabs>
                <w:tab w:val="left" w:pos="2266"/>
              </w:tabs>
            </w:pPr>
            <w:r>
              <w:t>2</w:t>
            </w:r>
            <w:r w:rsidR="00366646">
              <w:t>0</w:t>
            </w:r>
            <w:r>
              <w:t xml:space="preserve"> February 2023</w:t>
            </w:r>
            <w:r w:rsidR="00366646">
              <w:t xml:space="preserve"> 17:00hrs</w:t>
            </w:r>
          </w:p>
        </w:tc>
      </w:tr>
      <w:tr w:rsidR="00A51359" w:rsidRPr="00400432" w14:paraId="66301268" w14:textId="77777777" w:rsidTr="00A51359">
        <w:tc>
          <w:tcPr>
            <w:tcW w:w="5569" w:type="dxa"/>
            <w:tcBorders>
              <w:bottom w:val="single" w:sz="12" w:space="0" w:color="FFFFFF"/>
            </w:tcBorders>
            <w:shd w:val="solid" w:color="FFFFFF" w:fill="FFFFFF"/>
          </w:tcPr>
          <w:p w14:paraId="1C7F8594" w14:textId="77777777" w:rsidR="00A51359" w:rsidRPr="00400432" w:rsidRDefault="00A51359" w:rsidP="00A51359">
            <w:pPr>
              <w:pStyle w:val="TblText"/>
            </w:pPr>
            <w:r w:rsidRPr="00400432">
              <w:t>Deadline for submission of proposals</w:t>
            </w:r>
          </w:p>
        </w:tc>
        <w:tc>
          <w:tcPr>
            <w:tcW w:w="4069" w:type="dxa"/>
            <w:tcBorders>
              <w:bottom w:val="single" w:sz="12" w:space="0" w:color="FFFFFF"/>
            </w:tcBorders>
            <w:shd w:val="solid" w:color="FFFFFF" w:fill="FFFFFF"/>
          </w:tcPr>
          <w:p w14:paraId="63343DB4" w14:textId="6E55CF80" w:rsidR="00A51359" w:rsidRPr="00400432" w:rsidRDefault="00A51359" w:rsidP="00366646">
            <w:pPr>
              <w:pStyle w:val="TblText"/>
              <w:tabs>
                <w:tab w:val="left" w:pos="2597"/>
              </w:tabs>
            </w:pPr>
            <w:r>
              <w:t>2</w:t>
            </w:r>
            <w:r w:rsidR="00366646">
              <w:t>3</w:t>
            </w:r>
            <w:r>
              <w:t xml:space="preserve"> February 2023</w:t>
            </w:r>
            <w:r w:rsidR="00366646">
              <w:t xml:space="preserve"> 12:00hrs</w:t>
            </w:r>
          </w:p>
        </w:tc>
      </w:tr>
      <w:tr w:rsidR="00400432" w:rsidRPr="00400432" w14:paraId="4B08FCC5" w14:textId="77777777" w:rsidTr="00A51359">
        <w:tc>
          <w:tcPr>
            <w:tcW w:w="5569" w:type="dxa"/>
            <w:tcBorders>
              <w:bottom w:val="single" w:sz="12" w:space="0" w:color="FFFFFF"/>
            </w:tcBorders>
            <w:shd w:val="solid" w:color="E4E7F5" w:themeColor="text2" w:themeTint="19" w:fill="E4E7F5" w:themeFill="text2" w:themeFillTint="19"/>
          </w:tcPr>
          <w:p w14:paraId="5D3F0ED3" w14:textId="77777777" w:rsidR="00400432" w:rsidRPr="00400432" w:rsidRDefault="00400432" w:rsidP="00400432">
            <w:pPr>
              <w:pStyle w:val="TblText"/>
            </w:pPr>
            <w:r w:rsidRPr="00400432">
              <w:t>Shortlisted suppliers notified</w:t>
            </w:r>
          </w:p>
        </w:tc>
        <w:tc>
          <w:tcPr>
            <w:tcW w:w="4069" w:type="dxa"/>
            <w:tcBorders>
              <w:bottom w:val="single" w:sz="12" w:space="0" w:color="FFFFFF"/>
            </w:tcBorders>
            <w:shd w:val="solid" w:color="E4E7F5" w:themeColor="text2" w:themeTint="19" w:fill="E4E7F5" w:themeFill="text2" w:themeFillTint="19"/>
          </w:tcPr>
          <w:p w14:paraId="572895D5" w14:textId="52EF5701" w:rsidR="00400432" w:rsidRPr="00400432" w:rsidRDefault="00A51359" w:rsidP="00400432">
            <w:pPr>
              <w:pStyle w:val="TblText"/>
            </w:pPr>
            <w:r>
              <w:t xml:space="preserve">27 February 2023 </w:t>
            </w:r>
          </w:p>
        </w:tc>
      </w:tr>
      <w:tr w:rsidR="00400432" w:rsidRPr="00400432" w14:paraId="0217C7BB" w14:textId="77777777" w:rsidTr="00A51359">
        <w:tc>
          <w:tcPr>
            <w:tcW w:w="5569" w:type="dxa"/>
            <w:tcBorders>
              <w:bottom w:val="single" w:sz="12" w:space="0" w:color="FFFFFF"/>
            </w:tcBorders>
            <w:shd w:val="solid" w:color="FFFFFF" w:fill="FFFFFF"/>
          </w:tcPr>
          <w:p w14:paraId="32D5FD17" w14:textId="77777777" w:rsidR="00400432" w:rsidRPr="00400432" w:rsidRDefault="00400432" w:rsidP="00400432">
            <w:pPr>
              <w:pStyle w:val="TblText"/>
            </w:pPr>
            <w:r w:rsidRPr="00400432">
              <w:t>Interviews and presentations*</w:t>
            </w:r>
          </w:p>
        </w:tc>
        <w:tc>
          <w:tcPr>
            <w:tcW w:w="4069" w:type="dxa"/>
            <w:tcBorders>
              <w:bottom w:val="single" w:sz="12" w:space="0" w:color="FFFFFF"/>
            </w:tcBorders>
            <w:shd w:val="solid" w:color="FFFFFF" w:fill="FFFFFF"/>
          </w:tcPr>
          <w:p w14:paraId="565B27EE" w14:textId="4C8A4B40" w:rsidR="00400432" w:rsidRPr="00400432" w:rsidRDefault="00A51359" w:rsidP="00400432">
            <w:pPr>
              <w:pStyle w:val="TblText"/>
            </w:pPr>
            <w:r>
              <w:t>28 February 2023</w:t>
            </w:r>
            <w:r w:rsidR="00366646">
              <w:t xml:space="preserve"> if required</w:t>
            </w:r>
          </w:p>
        </w:tc>
      </w:tr>
      <w:tr w:rsidR="00400432" w:rsidRPr="00400432" w14:paraId="2D3D0936" w14:textId="77777777" w:rsidTr="00A51359">
        <w:tc>
          <w:tcPr>
            <w:tcW w:w="5569"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solid" w:color="E4E7F5" w:themeColor="text2" w:themeTint="19" w:fill="E4E7F5" w:themeFill="text2" w:themeFillTint="19"/>
          </w:tcPr>
          <w:p w14:paraId="2FF6E1B1" w14:textId="6FF08D96" w:rsidR="00400432" w:rsidRPr="00400432" w:rsidRDefault="00366646" w:rsidP="00400432">
            <w:pPr>
              <w:pStyle w:val="TblText"/>
            </w:pPr>
            <w:r>
              <w:t>0</w:t>
            </w:r>
            <w:r w:rsidR="00A51359">
              <w:t>1 March 2023</w:t>
            </w:r>
          </w:p>
        </w:tc>
      </w:tr>
      <w:tr w:rsidR="00400432" w:rsidRPr="00400432" w14:paraId="3E83975E" w14:textId="77777777" w:rsidTr="00A51359">
        <w:tc>
          <w:tcPr>
            <w:tcW w:w="5569" w:type="dxa"/>
            <w:shd w:val="solid" w:color="FFFFFF" w:fill="FFFFFF"/>
          </w:tcPr>
          <w:p w14:paraId="19972227" w14:textId="77777777" w:rsidR="00400432" w:rsidRPr="00400432" w:rsidRDefault="00400432" w:rsidP="00400432">
            <w:pPr>
              <w:pStyle w:val="TblText"/>
            </w:pPr>
            <w:r w:rsidRPr="00400432">
              <w:t>Project Inception Meeting</w:t>
            </w:r>
          </w:p>
        </w:tc>
        <w:tc>
          <w:tcPr>
            <w:tcW w:w="4069" w:type="dxa"/>
            <w:shd w:val="solid" w:color="FFFFFF" w:fill="FFFFFF"/>
          </w:tcPr>
          <w:p w14:paraId="5605FB39" w14:textId="7A74A861" w:rsidR="00400432" w:rsidRPr="00400432" w:rsidRDefault="00366646" w:rsidP="00400432">
            <w:pPr>
              <w:pStyle w:val="TblText"/>
            </w:pPr>
            <w:r>
              <w:t>0</w:t>
            </w:r>
            <w:r w:rsidR="00A51359">
              <w:t>3 March 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w:t>
      </w:r>
      <w:proofErr w:type="gramStart"/>
      <w:r w:rsidRPr="00400432">
        <w:t>date</w:t>
      </w:r>
      <w:proofErr w:type="gramEnd"/>
      <w:r w:rsidRPr="00400432">
        <w:t xml:space="preserve"> </w:t>
      </w:r>
    </w:p>
    <w:p w14:paraId="3DFADB3D" w14:textId="77777777" w:rsidR="00433557" w:rsidRDefault="00433557" w:rsidP="000A0438">
      <w:pPr>
        <w:pStyle w:val="Heading3"/>
      </w:pPr>
      <w:bookmarkStart w:id="21" w:name="_Toc12665610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w:t>
      </w:r>
      <w:proofErr w:type="gramStart"/>
      <w:r>
        <w:t>supplier</w:t>
      </w:r>
      <w:proofErr w:type="gramEnd"/>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 xml:space="preserve">References provided as part of the tender may be approached during the tender </w:t>
      </w:r>
      <w:proofErr w:type="gramStart"/>
      <w:r>
        <w:t>stage</w:t>
      </w:r>
      <w:proofErr w:type="gramEnd"/>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1"/>
          <w:headerReference w:type="default" r:id="rId22"/>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4"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5"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6" w:history="1">
        <w:r w:rsidR="008F0B87" w:rsidRPr="00C9621C">
          <w:rPr>
            <w:rStyle w:val="Hyperlink"/>
          </w:rPr>
          <w:t>procurementteam@orr.gov.uk</w:t>
        </w:r>
      </w:hyperlink>
      <w:r w:rsidR="008F0B87">
        <w:t xml:space="preserve"> </w:t>
      </w:r>
    </w:p>
    <w:sectPr w:rsidR="00D25F7E" w:rsidRPr="00D25F7E" w:rsidSect="00D25F7E">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65E2" w14:textId="77777777" w:rsidR="009E6643" w:rsidRDefault="009E6643" w:rsidP="00555585">
      <w:pPr>
        <w:spacing w:after="0" w:line="240" w:lineRule="auto"/>
      </w:pPr>
      <w:r>
        <w:separator/>
      </w:r>
    </w:p>
  </w:endnote>
  <w:endnote w:type="continuationSeparator" w:id="0">
    <w:p w14:paraId="3600C5A7" w14:textId="77777777" w:rsidR="009E6643" w:rsidRDefault="009E6643"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8717" w14:textId="77777777" w:rsidR="009E6643" w:rsidRDefault="009E6643" w:rsidP="00555585">
      <w:pPr>
        <w:spacing w:after="0" w:line="240" w:lineRule="auto"/>
      </w:pPr>
      <w:r>
        <w:separator/>
      </w:r>
    </w:p>
  </w:footnote>
  <w:footnote w:type="continuationSeparator" w:id="0">
    <w:p w14:paraId="665AB0E5" w14:textId="77777777" w:rsidR="009E6643" w:rsidRDefault="009E6643" w:rsidP="00555585">
      <w:pPr>
        <w:spacing w:after="0" w:line="240" w:lineRule="auto"/>
      </w:pPr>
      <w:r>
        <w:continuationSeparator/>
      </w:r>
    </w:p>
  </w:footnote>
  <w:footnote w:id="1">
    <w:p w14:paraId="19C53F8E" w14:textId="77777777" w:rsidR="003759FB" w:rsidRPr="00093679" w:rsidRDefault="003759FB" w:rsidP="003759FB">
      <w:pPr>
        <w:pStyle w:val="FootnoteText"/>
      </w:pPr>
      <w:r>
        <w:rPr>
          <w:rStyle w:val="FootnoteReference"/>
        </w:rPr>
        <w:footnoteRef/>
      </w:r>
      <w:r>
        <w:t xml:space="preserve"> </w:t>
      </w:r>
      <w:r>
        <w:tab/>
      </w:r>
      <w:r>
        <w:rPr>
          <w:rFonts w:cs="Arial"/>
        </w:rPr>
        <w:t>Criteria and procedures for the approval of track access contracts. Office of Rail Regulation, December 2011</w:t>
      </w:r>
      <w:r w:rsidRPr="00F303B5">
        <w:rPr>
          <w:rFonts w:cs="Arial"/>
        </w:rPr>
        <w:t>.</w:t>
      </w:r>
      <w:r>
        <w:rPr>
          <w:rFonts w:cs="Arial"/>
        </w:rPr>
        <w:t xml:space="preserve"> </w:t>
      </w:r>
      <w:r w:rsidRPr="00624353">
        <w:rPr>
          <w:rFonts w:cs="Arial"/>
        </w:rPr>
        <w:t>http://orr.gov.uk/what-and-how-we-regulate/track-access/criteria-and-procedures-for-the-approval-of-track-access-contracts</w:t>
      </w:r>
      <w:r>
        <w:rPr>
          <w:rFonts w:cs="Arial"/>
        </w:rPr>
        <w:t xml:space="preserve">;; see in particular paragraph 4.22 onwards on </w:t>
      </w:r>
      <w:r w:rsidRPr="00F303B5">
        <w:rPr>
          <w:rFonts w:cs="Arial"/>
        </w:rPr>
        <w:t>capacity choices, criteria and competition</w:t>
      </w:r>
      <w:r>
        <w:rPr>
          <w:rFonts w:cs="Arial"/>
        </w:rPr>
        <w:t>, including c</w:t>
      </w:r>
      <w:r w:rsidRPr="00893F0B">
        <w:rPr>
          <w:rFonts w:cs="Arial"/>
        </w:rPr>
        <w:t>onsideration of alternative access rights</w:t>
      </w:r>
      <w:r w:rsidRPr="00F303B5">
        <w:rPr>
          <w:rFonts w:cs="Arial"/>
        </w:rPr>
        <w:t>.</w:t>
      </w:r>
      <w:r>
        <w:rPr>
          <w:rFonts w:cs="Arial"/>
        </w:rPr>
        <w:t xml:space="preserve"> </w:t>
      </w:r>
    </w:p>
  </w:footnote>
  <w:footnote w:id="2">
    <w:p w14:paraId="3318919D" w14:textId="323FE52F" w:rsidR="007F4F8E" w:rsidRDefault="007F4F8E">
      <w:pPr>
        <w:pStyle w:val="FootnoteText"/>
      </w:pPr>
      <w:r>
        <w:rPr>
          <w:rStyle w:val="FootnoteReference"/>
        </w:rPr>
        <w:footnoteRef/>
      </w:r>
      <w:r>
        <w:t xml:space="preserve"> Grand Union Trains track access </w:t>
      </w:r>
      <w:hyperlink r:id="rId1" w:tooltip="Application for a new track access contract for services between London Paddington and Carmarthen – Decision letter dated 1 December 2022" w:history="1">
        <w:r>
          <w:rPr>
            <w:rStyle w:val="Hyperlink"/>
            <w:rFonts w:cs="Arial"/>
            <w:color w:val="037D84"/>
            <w:spacing w:val="5"/>
            <w:shd w:val="clear" w:color="auto" w:fill="FFFFFF"/>
          </w:rPr>
          <w:t>decision</w:t>
        </w:r>
      </w:hyperlink>
      <w:r>
        <w:t>, December 2022.</w:t>
      </w:r>
    </w:p>
  </w:footnote>
  <w:footnote w:id="3">
    <w:p w14:paraId="624C1135" w14:textId="21E548DF" w:rsidR="007F4F8E" w:rsidRDefault="007F4F8E">
      <w:pPr>
        <w:pStyle w:val="FootnoteText"/>
      </w:pPr>
      <w:r>
        <w:rPr>
          <w:rStyle w:val="FootnoteReference"/>
        </w:rPr>
        <w:footnoteRef/>
      </w:r>
      <w:r>
        <w:t xml:space="preserve"> </w:t>
      </w:r>
      <w:hyperlink r:id="rId2" w:tgtFrame="_blank" w:tooltip="Opens in a new tab" w:history="1">
        <w:r>
          <w:rPr>
            <w:rStyle w:val="Hyperlink"/>
            <w:rFonts w:cs="Arial"/>
            <w:color w:val="037D84"/>
            <w:spacing w:val="5"/>
            <w:shd w:val="clear" w:color="auto" w:fill="FFFFFF"/>
          </w:rPr>
          <w:t>ECML decision letter</w:t>
        </w:r>
      </w:hyperlink>
      <w:r>
        <w:t>, May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0D232DEC"/>
    <w:multiLevelType w:val="hybridMultilevel"/>
    <w:tmpl w:val="36EA330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21336443"/>
    <w:multiLevelType w:val="multilevel"/>
    <w:tmpl w:val="FEF47FD2"/>
    <w:numStyleLink w:val="ORRSummary"/>
  </w:abstractNum>
  <w:abstractNum w:abstractNumId="10" w15:restartNumberingAfterBreak="0">
    <w:nsid w:val="28296852"/>
    <w:multiLevelType w:val="multilevel"/>
    <w:tmpl w:val="D79C245A"/>
    <w:numStyleLink w:val="ORRNormalList"/>
  </w:abstractNum>
  <w:abstractNum w:abstractNumId="11" w15:restartNumberingAfterBreak="0">
    <w:nsid w:val="39A76BCC"/>
    <w:multiLevelType w:val="multilevel"/>
    <w:tmpl w:val="D79C245A"/>
    <w:numStyleLink w:val="ORRNormalList"/>
  </w:abstractNum>
  <w:abstractNum w:abstractNumId="12"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8" w15:restartNumberingAfterBreak="0">
    <w:nsid w:val="68BD5682"/>
    <w:multiLevelType w:val="multilevel"/>
    <w:tmpl w:val="EAD453D0"/>
    <w:numStyleLink w:val="NumbListHighlight"/>
  </w:abstractNum>
  <w:abstractNum w:abstractNumId="1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15:restartNumberingAfterBreak="0">
    <w:nsid w:val="774C62AB"/>
    <w:multiLevelType w:val="multilevel"/>
    <w:tmpl w:val="6B204466"/>
    <w:numStyleLink w:val="ORRAnnex"/>
  </w:abstractNum>
  <w:abstractNum w:abstractNumId="22" w15:restartNumberingAfterBreak="0">
    <w:nsid w:val="7DDA5CB4"/>
    <w:multiLevelType w:val="multilevel"/>
    <w:tmpl w:val="6B204466"/>
    <w:numStyleLink w:val="ORRAnnex"/>
  </w:abstractNum>
  <w:num w:numId="1" w16cid:durableId="1233007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0"/>
  </w:num>
  <w:num w:numId="3" w16cid:durableId="615990203">
    <w:abstractNumId w:val="7"/>
  </w:num>
  <w:num w:numId="4" w16cid:durableId="1539008159">
    <w:abstractNumId w:val="16"/>
  </w:num>
  <w:num w:numId="5" w16cid:durableId="1334801291">
    <w:abstractNumId w:val="8"/>
  </w:num>
  <w:num w:numId="6" w16cid:durableId="116142554">
    <w:abstractNumId w:val="11"/>
  </w:num>
  <w:num w:numId="7" w16cid:durableId="1708795862">
    <w:abstractNumId w:val="9"/>
  </w:num>
  <w:num w:numId="8" w16cid:durableId="1432780497">
    <w:abstractNumId w:val="5"/>
  </w:num>
  <w:num w:numId="9" w16cid:durableId="35012236">
    <w:abstractNumId w:val="4"/>
  </w:num>
  <w:num w:numId="10" w16cid:durableId="711077664">
    <w:abstractNumId w:val="0"/>
  </w:num>
  <w:num w:numId="11" w16cid:durableId="1604993918">
    <w:abstractNumId w:val="18"/>
  </w:num>
  <w:num w:numId="12" w16cid:durableId="435447028">
    <w:abstractNumId w:val="17"/>
  </w:num>
  <w:num w:numId="13" w16cid:durableId="2048019962">
    <w:abstractNumId w:val="21"/>
  </w:num>
  <w:num w:numId="14" w16cid:durableId="2025738407">
    <w:abstractNumId w:val="18"/>
  </w:num>
  <w:num w:numId="15" w16cid:durableId="150879135">
    <w:abstractNumId w:val="18"/>
  </w:num>
  <w:num w:numId="16" w16cid:durableId="891042484">
    <w:abstractNumId w:val="18"/>
  </w:num>
  <w:num w:numId="17" w16cid:durableId="727414043">
    <w:abstractNumId w:val="17"/>
  </w:num>
  <w:num w:numId="18" w16cid:durableId="1027833524">
    <w:abstractNumId w:val="1"/>
  </w:num>
  <w:num w:numId="19" w16cid:durableId="50661355">
    <w:abstractNumId w:val="6"/>
  </w:num>
  <w:num w:numId="20" w16cid:durableId="1446195555">
    <w:abstractNumId w:val="4"/>
  </w:num>
  <w:num w:numId="21" w16cid:durableId="558327301">
    <w:abstractNumId w:val="22"/>
  </w:num>
  <w:num w:numId="22" w16cid:durableId="463500638">
    <w:abstractNumId w:val="14"/>
  </w:num>
  <w:num w:numId="23" w16cid:durableId="1527019102">
    <w:abstractNumId w:val="2"/>
  </w:num>
  <w:num w:numId="24" w16cid:durableId="199210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0"/>
  </w:num>
  <w:num w:numId="26" w16cid:durableId="1830293373">
    <w:abstractNumId w:val="19"/>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5"/>
  </w:num>
  <w:num w:numId="33" w16cid:durableId="1464347986">
    <w:abstractNumId w:val="13"/>
  </w:num>
  <w:num w:numId="34" w16cid:durableId="1756051635">
    <w:abstractNumId w:val="6"/>
  </w:num>
  <w:num w:numId="35" w16cid:durableId="1514296793">
    <w:abstractNumId w:val="6"/>
  </w:num>
  <w:num w:numId="36" w16cid:durableId="1378891718">
    <w:abstractNumId w:val="6"/>
  </w:num>
  <w:num w:numId="37" w16cid:durableId="492064149">
    <w:abstractNumId w:val="6"/>
  </w:num>
  <w:num w:numId="38" w16cid:durableId="18245898">
    <w:abstractNumId w:val="3"/>
  </w:num>
  <w:num w:numId="39" w16cid:durableId="201799765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Date" w:val="2 July 2020"/>
    <w:docVar w:name="CurrentTemplateName" w:val="Long Report.dotm"/>
    <w:docVar w:name="CurrentTemplateVersion" w:val="2.00"/>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0F47"/>
    <w:rsid w:val="000016D5"/>
    <w:rsid w:val="00002819"/>
    <w:rsid w:val="000032A5"/>
    <w:rsid w:val="000046D4"/>
    <w:rsid w:val="0001682A"/>
    <w:rsid w:val="0002210B"/>
    <w:rsid w:val="0003350C"/>
    <w:rsid w:val="00036DEB"/>
    <w:rsid w:val="00037BD2"/>
    <w:rsid w:val="00042B65"/>
    <w:rsid w:val="00043DA2"/>
    <w:rsid w:val="0004428A"/>
    <w:rsid w:val="0005181F"/>
    <w:rsid w:val="00066737"/>
    <w:rsid w:val="000735F1"/>
    <w:rsid w:val="00076B67"/>
    <w:rsid w:val="00076E0C"/>
    <w:rsid w:val="000833AF"/>
    <w:rsid w:val="00084783"/>
    <w:rsid w:val="00084972"/>
    <w:rsid w:val="0008514C"/>
    <w:rsid w:val="000876CB"/>
    <w:rsid w:val="0009126F"/>
    <w:rsid w:val="0009203F"/>
    <w:rsid w:val="000A0438"/>
    <w:rsid w:val="000A6DE7"/>
    <w:rsid w:val="000B0266"/>
    <w:rsid w:val="000B261F"/>
    <w:rsid w:val="000B309A"/>
    <w:rsid w:val="000B3DD8"/>
    <w:rsid w:val="000B6176"/>
    <w:rsid w:val="000C7B66"/>
    <w:rsid w:val="000D2970"/>
    <w:rsid w:val="000E135E"/>
    <w:rsid w:val="000E46BD"/>
    <w:rsid w:val="000E5AB1"/>
    <w:rsid w:val="000E5E49"/>
    <w:rsid w:val="000F4554"/>
    <w:rsid w:val="000F5452"/>
    <w:rsid w:val="000F5529"/>
    <w:rsid w:val="000F70BB"/>
    <w:rsid w:val="000F7BB6"/>
    <w:rsid w:val="001012B6"/>
    <w:rsid w:val="00102F62"/>
    <w:rsid w:val="00113B8F"/>
    <w:rsid w:val="00116F7C"/>
    <w:rsid w:val="00120892"/>
    <w:rsid w:val="0012193D"/>
    <w:rsid w:val="00124D1D"/>
    <w:rsid w:val="00136C70"/>
    <w:rsid w:val="00137015"/>
    <w:rsid w:val="00141746"/>
    <w:rsid w:val="00151379"/>
    <w:rsid w:val="001526A6"/>
    <w:rsid w:val="00155088"/>
    <w:rsid w:val="0015625B"/>
    <w:rsid w:val="00156D5F"/>
    <w:rsid w:val="00160B26"/>
    <w:rsid w:val="00162B03"/>
    <w:rsid w:val="001659DD"/>
    <w:rsid w:val="001738A9"/>
    <w:rsid w:val="00175A76"/>
    <w:rsid w:val="001768F1"/>
    <w:rsid w:val="00180E47"/>
    <w:rsid w:val="001858EB"/>
    <w:rsid w:val="00192D4C"/>
    <w:rsid w:val="001932D5"/>
    <w:rsid w:val="00194E09"/>
    <w:rsid w:val="00195C79"/>
    <w:rsid w:val="001A00F0"/>
    <w:rsid w:val="001A1058"/>
    <w:rsid w:val="001A7976"/>
    <w:rsid w:val="001B3FD8"/>
    <w:rsid w:val="001B54A7"/>
    <w:rsid w:val="001B551F"/>
    <w:rsid w:val="001B5A48"/>
    <w:rsid w:val="001B62CD"/>
    <w:rsid w:val="001B71F8"/>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4163"/>
    <w:rsid w:val="002459ED"/>
    <w:rsid w:val="0025242F"/>
    <w:rsid w:val="00257BE5"/>
    <w:rsid w:val="00272200"/>
    <w:rsid w:val="00276C64"/>
    <w:rsid w:val="0028433A"/>
    <w:rsid w:val="00286CF2"/>
    <w:rsid w:val="0028735A"/>
    <w:rsid w:val="0029283C"/>
    <w:rsid w:val="00293D38"/>
    <w:rsid w:val="00297104"/>
    <w:rsid w:val="002A1C16"/>
    <w:rsid w:val="002A7C39"/>
    <w:rsid w:val="002B7995"/>
    <w:rsid w:val="002C5A50"/>
    <w:rsid w:val="002C6E70"/>
    <w:rsid w:val="002D0E5B"/>
    <w:rsid w:val="002D3643"/>
    <w:rsid w:val="002D46DA"/>
    <w:rsid w:val="002D4E1B"/>
    <w:rsid w:val="002E2DAD"/>
    <w:rsid w:val="002E610E"/>
    <w:rsid w:val="002E7122"/>
    <w:rsid w:val="002F111F"/>
    <w:rsid w:val="002F2791"/>
    <w:rsid w:val="002F5466"/>
    <w:rsid w:val="002F56B7"/>
    <w:rsid w:val="0030237B"/>
    <w:rsid w:val="00302504"/>
    <w:rsid w:val="003027B1"/>
    <w:rsid w:val="00311FD5"/>
    <w:rsid w:val="003247A4"/>
    <w:rsid w:val="00331FC2"/>
    <w:rsid w:val="003366E7"/>
    <w:rsid w:val="00342472"/>
    <w:rsid w:val="0034288F"/>
    <w:rsid w:val="00343838"/>
    <w:rsid w:val="003464A7"/>
    <w:rsid w:val="00347F87"/>
    <w:rsid w:val="00350594"/>
    <w:rsid w:val="003543C0"/>
    <w:rsid w:val="0035753E"/>
    <w:rsid w:val="0036504A"/>
    <w:rsid w:val="00366646"/>
    <w:rsid w:val="00372316"/>
    <w:rsid w:val="003724F0"/>
    <w:rsid w:val="00372ABD"/>
    <w:rsid w:val="00374BAE"/>
    <w:rsid w:val="003759FB"/>
    <w:rsid w:val="003764B8"/>
    <w:rsid w:val="003813C5"/>
    <w:rsid w:val="00383D71"/>
    <w:rsid w:val="00384699"/>
    <w:rsid w:val="00385387"/>
    <w:rsid w:val="00385F6B"/>
    <w:rsid w:val="00386AF7"/>
    <w:rsid w:val="00386E0A"/>
    <w:rsid w:val="003A509E"/>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56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9AF"/>
    <w:rsid w:val="00433D4D"/>
    <w:rsid w:val="004372B6"/>
    <w:rsid w:val="0043752D"/>
    <w:rsid w:val="00437772"/>
    <w:rsid w:val="004462A6"/>
    <w:rsid w:val="00446747"/>
    <w:rsid w:val="00451C67"/>
    <w:rsid w:val="00452F29"/>
    <w:rsid w:val="00454D76"/>
    <w:rsid w:val="00457556"/>
    <w:rsid w:val="00465E6B"/>
    <w:rsid w:val="00472A7C"/>
    <w:rsid w:val="00476327"/>
    <w:rsid w:val="0048258B"/>
    <w:rsid w:val="0048300B"/>
    <w:rsid w:val="004853AD"/>
    <w:rsid w:val="0048774B"/>
    <w:rsid w:val="00490915"/>
    <w:rsid w:val="00494943"/>
    <w:rsid w:val="00495203"/>
    <w:rsid w:val="004964CA"/>
    <w:rsid w:val="004A0056"/>
    <w:rsid w:val="004A0C10"/>
    <w:rsid w:val="004A24AB"/>
    <w:rsid w:val="004A6DED"/>
    <w:rsid w:val="004A743E"/>
    <w:rsid w:val="004B2D5D"/>
    <w:rsid w:val="004B336F"/>
    <w:rsid w:val="004C0FAF"/>
    <w:rsid w:val="004C1FDD"/>
    <w:rsid w:val="004C318E"/>
    <w:rsid w:val="004D0762"/>
    <w:rsid w:val="004D1C50"/>
    <w:rsid w:val="004D5D65"/>
    <w:rsid w:val="004D6C75"/>
    <w:rsid w:val="004E0FC1"/>
    <w:rsid w:val="004E10FB"/>
    <w:rsid w:val="004E57B7"/>
    <w:rsid w:val="004E5ACC"/>
    <w:rsid w:val="004E60C0"/>
    <w:rsid w:val="004F2AE4"/>
    <w:rsid w:val="004F6111"/>
    <w:rsid w:val="005165AD"/>
    <w:rsid w:val="00526956"/>
    <w:rsid w:val="0053025A"/>
    <w:rsid w:val="00532B91"/>
    <w:rsid w:val="00534962"/>
    <w:rsid w:val="00536EB2"/>
    <w:rsid w:val="00544099"/>
    <w:rsid w:val="00546AF7"/>
    <w:rsid w:val="00555585"/>
    <w:rsid w:val="005612F3"/>
    <w:rsid w:val="005635FA"/>
    <w:rsid w:val="005705D8"/>
    <w:rsid w:val="00574B16"/>
    <w:rsid w:val="00580A77"/>
    <w:rsid w:val="00585981"/>
    <w:rsid w:val="00585CEE"/>
    <w:rsid w:val="00591161"/>
    <w:rsid w:val="00596F73"/>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E436D"/>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701F0"/>
    <w:rsid w:val="00675FA2"/>
    <w:rsid w:val="00680F51"/>
    <w:rsid w:val="00683A4B"/>
    <w:rsid w:val="00683F80"/>
    <w:rsid w:val="00691342"/>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700734"/>
    <w:rsid w:val="00703BE0"/>
    <w:rsid w:val="00705CF5"/>
    <w:rsid w:val="007062A6"/>
    <w:rsid w:val="00713B94"/>
    <w:rsid w:val="00716CEC"/>
    <w:rsid w:val="00717537"/>
    <w:rsid w:val="007200CC"/>
    <w:rsid w:val="00721926"/>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38A4"/>
    <w:rsid w:val="00785937"/>
    <w:rsid w:val="00790401"/>
    <w:rsid w:val="00790AD2"/>
    <w:rsid w:val="0079264A"/>
    <w:rsid w:val="007956A0"/>
    <w:rsid w:val="00796755"/>
    <w:rsid w:val="00796E71"/>
    <w:rsid w:val="007979A7"/>
    <w:rsid w:val="00797F75"/>
    <w:rsid w:val="007A1F12"/>
    <w:rsid w:val="007A2720"/>
    <w:rsid w:val="007B1555"/>
    <w:rsid w:val="007C43C1"/>
    <w:rsid w:val="007D5014"/>
    <w:rsid w:val="007E2744"/>
    <w:rsid w:val="007E4EC4"/>
    <w:rsid w:val="007E6E4B"/>
    <w:rsid w:val="007F3F24"/>
    <w:rsid w:val="007F4B75"/>
    <w:rsid w:val="007F4F8E"/>
    <w:rsid w:val="007F6498"/>
    <w:rsid w:val="007F6B18"/>
    <w:rsid w:val="00806042"/>
    <w:rsid w:val="008122F2"/>
    <w:rsid w:val="008145A2"/>
    <w:rsid w:val="0081555F"/>
    <w:rsid w:val="0081639D"/>
    <w:rsid w:val="008174A6"/>
    <w:rsid w:val="00826F5D"/>
    <w:rsid w:val="008277B1"/>
    <w:rsid w:val="00831EE0"/>
    <w:rsid w:val="008358B4"/>
    <w:rsid w:val="0083798F"/>
    <w:rsid w:val="00841B8C"/>
    <w:rsid w:val="008422F2"/>
    <w:rsid w:val="00843FD3"/>
    <w:rsid w:val="00845EDF"/>
    <w:rsid w:val="008474AB"/>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69"/>
    <w:rsid w:val="00892CA9"/>
    <w:rsid w:val="00894644"/>
    <w:rsid w:val="008946A7"/>
    <w:rsid w:val="00894D7D"/>
    <w:rsid w:val="00894E7A"/>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1CB"/>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51F9"/>
    <w:rsid w:val="009375BF"/>
    <w:rsid w:val="0094130E"/>
    <w:rsid w:val="00951EAF"/>
    <w:rsid w:val="009617D1"/>
    <w:rsid w:val="00963E0B"/>
    <w:rsid w:val="009646F5"/>
    <w:rsid w:val="00973BC6"/>
    <w:rsid w:val="009757DA"/>
    <w:rsid w:val="009814C5"/>
    <w:rsid w:val="00981E60"/>
    <w:rsid w:val="009822CC"/>
    <w:rsid w:val="00982820"/>
    <w:rsid w:val="009852F9"/>
    <w:rsid w:val="0099269F"/>
    <w:rsid w:val="00992B05"/>
    <w:rsid w:val="00994102"/>
    <w:rsid w:val="009942BE"/>
    <w:rsid w:val="009A5DA3"/>
    <w:rsid w:val="009B04F7"/>
    <w:rsid w:val="009B5565"/>
    <w:rsid w:val="009B693F"/>
    <w:rsid w:val="009C024C"/>
    <w:rsid w:val="009C3E78"/>
    <w:rsid w:val="009C7888"/>
    <w:rsid w:val="009D4BF5"/>
    <w:rsid w:val="009E13FE"/>
    <w:rsid w:val="009E34CC"/>
    <w:rsid w:val="009E3727"/>
    <w:rsid w:val="009E476E"/>
    <w:rsid w:val="009E6643"/>
    <w:rsid w:val="009F2FCB"/>
    <w:rsid w:val="009F39CE"/>
    <w:rsid w:val="009F4755"/>
    <w:rsid w:val="009F5929"/>
    <w:rsid w:val="009F642E"/>
    <w:rsid w:val="009F6C26"/>
    <w:rsid w:val="00A00A07"/>
    <w:rsid w:val="00A02455"/>
    <w:rsid w:val="00A03E79"/>
    <w:rsid w:val="00A107B3"/>
    <w:rsid w:val="00A12B6D"/>
    <w:rsid w:val="00A14898"/>
    <w:rsid w:val="00A17292"/>
    <w:rsid w:val="00A27332"/>
    <w:rsid w:val="00A310F3"/>
    <w:rsid w:val="00A32644"/>
    <w:rsid w:val="00A3724D"/>
    <w:rsid w:val="00A37A9B"/>
    <w:rsid w:val="00A4008F"/>
    <w:rsid w:val="00A40453"/>
    <w:rsid w:val="00A42E04"/>
    <w:rsid w:val="00A42FBD"/>
    <w:rsid w:val="00A46632"/>
    <w:rsid w:val="00A5113C"/>
    <w:rsid w:val="00A51359"/>
    <w:rsid w:val="00A525B9"/>
    <w:rsid w:val="00A575FC"/>
    <w:rsid w:val="00A66AC8"/>
    <w:rsid w:val="00A67863"/>
    <w:rsid w:val="00A70557"/>
    <w:rsid w:val="00A739EA"/>
    <w:rsid w:val="00A73FDA"/>
    <w:rsid w:val="00A77317"/>
    <w:rsid w:val="00A83DA9"/>
    <w:rsid w:val="00A87E15"/>
    <w:rsid w:val="00A90826"/>
    <w:rsid w:val="00A93476"/>
    <w:rsid w:val="00A95FB0"/>
    <w:rsid w:val="00AA77E1"/>
    <w:rsid w:val="00AB3000"/>
    <w:rsid w:val="00AB6599"/>
    <w:rsid w:val="00AC3F17"/>
    <w:rsid w:val="00AD5F67"/>
    <w:rsid w:val="00AE1221"/>
    <w:rsid w:val="00AF205E"/>
    <w:rsid w:val="00AF2F7B"/>
    <w:rsid w:val="00AF41B0"/>
    <w:rsid w:val="00AF5A70"/>
    <w:rsid w:val="00AF7AF9"/>
    <w:rsid w:val="00B017A5"/>
    <w:rsid w:val="00B04D1F"/>
    <w:rsid w:val="00B0622B"/>
    <w:rsid w:val="00B111AB"/>
    <w:rsid w:val="00B15DDE"/>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778CA"/>
    <w:rsid w:val="00B80C9B"/>
    <w:rsid w:val="00B81AB7"/>
    <w:rsid w:val="00B8365D"/>
    <w:rsid w:val="00B906DF"/>
    <w:rsid w:val="00B91F92"/>
    <w:rsid w:val="00B946A3"/>
    <w:rsid w:val="00B96842"/>
    <w:rsid w:val="00BA010D"/>
    <w:rsid w:val="00BA3E54"/>
    <w:rsid w:val="00BA601C"/>
    <w:rsid w:val="00BA75AF"/>
    <w:rsid w:val="00BD1EDB"/>
    <w:rsid w:val="00BD636D"/>
    <w:rsid w:val="00BE1FE1"/>
    <w:rsid w:val="00BE2981"/>
    <w:rsid w:val="00BE2E37"/>
    <w:rsid w:val="00BF056F"/>
    <w:rsid w:val="00BF2BC5"/>
    <w:rsid w:val="00BF321E"/>
    <w:rsid w:val="00BF3BAC"/>
    <w:rsid w:val="00BF50D6"/>
    <w:rsid w:val="00BF5C12"/>
    <w:rsid w:val="00C00032"/>
    <w:rsid w:val="00C03258"/>
    <w:rsid w:val="00C129B9"/>
    <w:rsid w:val="00C12DE6"/>
    <w:rsid w:val="00C15B7B"/>
    <w:rsid w:val="00C23E57"/>
    <w:rsid w:val="00C260C9"/>
    <w:rsid w:val="00C26E3E"/>
    <w:rsid w:val="00C303FB"/>
    <w:rsid w:val="00C32699"/>
    <w:rsid w:val="00C35494"/>
    <w:rsid w:val="00C42B54"/>
    <w:rsid w:val="00C43F22"/>
    <w:rsid w:val="00C4471E"/>
    <w:rsid w:val="00C44B4E"/>
    <w:rsid w:val="00C50737"/>
    <w:rsid w:val="00C50F62"/>
    <w:rsid w:val="00C54CD1"/>
    <w:rsid w:val="00C57A84"/>
    <w:rsid w:val="00C6176E"/>
    <w:rsid w:val="00C61F00"/>
    <w:rsid w:val="00C61F22"/>
    <w:rsid w:val="00C6719E"/>
    <w:rsid w:val="00C7169D"/>
    <w:rsid w:val="00C76E4E"/>
    <w:rsid w:val="00C8418E"/>
    <w:rsid w:val="00C84CC1"/>
    <w:rsid w:val="00C91699"/>
    <w:rsid w:val="00C97CC2"/>
    <w:rsid w:val="00C97F2B"/>
    <w:rsid w:val="00CA080B"/>
    <w:rsid w:val="00CA25B2"/>
    <w:rsid w:val="00CA2A88"/>
    <w:rsid w:val="00CB1E2A"/>
    <w:rsid w:val="00CB359C"/>
    <w:rsid w:val="00CC0085"/>
    <w:rsid w:val="00CC21C9"/>
    <w:rsid w:val="00CC51FF"/>
    <w:rsid w:val="00CD62FF"/>
    <w:rsid w:val="00CE2434"/>
    <w:rsid w:val="00CE4C99"/>
    <w:rsid w:val="00CE5EE2"/>
    <w:rsid w:val="00CE7358"/>
    <w:rsid w:val="00D00048"/>
    <w:rsid w:val="00D0044E"/>
    <w:rsid w:val="00D07E76"/>
    <w:rsid w:val="00D10D3A"/>
    <w:rsid w:val="00D14EB5"/>
    <w:rsid w:val="00D2010B"/>
    <w:rsid w:val="00D20E23"/>
    <w:rsid w:val="00D21C2C"/>
    <w:rsid w:val="00D2517B"/>
    <w:rsid w:val="00D25F7E"/>
    <w:rsid w:val="00D27573"/>
    <w:rsid w:val="00D3030F"/>
    <w:rsid w:val="00D3273A"/>
    <w:rsid w:val="00D401C8"/>
    <w:rsid w:val="00D40E27"/>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57D"/>
    <w:rsid w:val="00D8563F"/>
    <w:rsid w:val="00D92143"/>
    <w:rsid w:val="00D95AE0"/>
    <w:rsid w:val="00D973E5"/>
    <w:rsid w:val="00D97BF7"/>
    <w:rsid w:val="00D97E69"/>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50CC"/>
    <w:rsid w:val="00E46ECE"/>
    <w:rsid w:val="00E507FC"/>
    <w:rsid w:val="00E54EEF"/>
    <w:rsid w:val="00E5669C"/>
    <w:rsid w:val="00E61A8D"/>
    <w:rsid w:val="00E63058"/>
    <w:rsid w:val="00E638CC"/>
    <w:rsid w:val="00E73450"/>
    <w:rsid w:val="00E73568"/>
    <w:rsid w:val="00E8348A"/>
    <w:rsid w:val="00E86876"/>
    <w:rsid w:val="00E871F3"/>
    <w:rsid w:val="00E90359"/>
    <w:rsid w:val="00E90510"/>
    <w:rsid w:val="00E94F29"/>
    <w:rsid w:val="00E95226"/>
    <w:rsid w:val="00E955B8"/>
    <w:rsid w:val="00E96219"/>
    <w:rsid w:val="00EA449D"/>
    <w:rsid w:val="00EA6405"/>
    <w:rsid w:val="00EB0DC4"/>
    <w:rsid w:val="00EB0EDA"/>
    <w:rsid w:val="00EB479E"/>
    <w:rsid w:val="00EB4AA9"/>
    <w:rsid w:val="00EB4D22"/>
    <w:rsid w:val="00EB64CF"/>
    <w:rsid w:val="00EB6E48"/>
    <w:rsid w:val="00EB72F2"/>
    <w:rsid w:val="00EC2A84"/>
    <w:rsid w:val="00EC3758"/>
    <w:rsid w:val="00EC4B09"/>
    <w:rsid w:val="00EC5142"/>
    <w:rsid w:val="00EC6B13"/>
    <w:rsid w:val="00EC7369"/>
    <w:rsid w:val="00ED0A15"/>
    <w:rsid w:val="00ED3BA5"/>
    <w:rsid w:val="00ED6FD1"/>
    <w:rsid w:val="00EE0513"/>
    <w:rsid w:val="00EE278D"/>
    <w:rsid w:val="00EE553C"/>
    <w:rsid w:val="00EE5809"/>
    <w:rsid w:val="00EE5FED"/>
    <w:rsid w:val="00EF09B1"/>
    <w:rsid w:val="00EF33AC"/>
    <w:rsid w:val="00EF3A0F"/>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4D5F"/>
    <w:rsid w:val="00F3535F"/>
    <w:rsid w:val="00F35764"/>
    <w:rsid w:val="00F373D0"/>
    <w:rsid w:val="00F44214"/>
    <w:rsid w:val="00F4453E"/>
    <w:rsid w:val="00F521D3"/>
    <w:rsid w:val="00F52217"/>
    <w:rsid w:val="00F658B2"/>
    <w:rsid w:val="00F670B0"/>
    <w:rsid w:val="00F679B4"/>
    <w:rsid w:val="00F74670"/>
    <w:rsid w:val="00F76054"/>
    <w:rsid w:val="00F76E31"/>
    <w:rsid w:val="00F77726"/>
    <w:rsid w:val="00F77DF3"/>
    <w:rsid w:val="00F8198E"/>
    <w:rsid w:val="00F83493"/>
    <w:rsid w:val="00F85D04"/>
    <w:rsid w:val="00F860CE"/>
    <w:rsid w:val="00F90A82"/>
    <w:rsid w:val="00F90E7C"/>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69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semiHidden/>
    <w:rsid w:val="00534962"/>
    <w:rPr>
      <w:rFonts w:ascii="Arial" w:hAnsi="Arial"/>
      <w:sz w:val="20"/>
      <w:szCs w:val="20"/>
    </w:rPr>
  </w:style>
  <w:style w:type="character" w:styleId="FootnoteReference">
    <w:name w:val="footnote reference"/>
    <w:basedOn w:val="DefaultParagraphFont"/>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procurementteam@orr.gov.uk" TargetMode="Externa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contracts-fin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edia/23638"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orr.gov.uk/sites/default/files/om/2016-05-12-ecml-decision-letter.pdf" TargetMode="External"/><Relationship Id="rId1" Type="http://schemas.openxmlformats.org/officeDocument/2006/relationships/hyperlink" Target="https://www.orr.gov.uk/sites/default/files/2022-12/2022-12-01-grand-union-london-carmarthen-s17-decision-lett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
      <w:docPartPr>
        <w:name w:val="756EB2A4C69C48289CED6345E0E06B4F"/>
        <w:category>
          <w:name w:val="General"/>
          <w:gallery w:val="placeholder"/>
        </w:category>
        <w:types>
          <w:type w:val="bbPlcHdr"/>
        </w:types>
        <w:behaviors>
          <w:behavior w:val="content"/>
        </w:behaviors>
        <w:guid w:val="{E41C3FD0-BD73-41E0-B5F2-1704EBFB34E6}"/>
      </w:docPartPr>
      <w:docPartBody>
        <w:p w:rsidR="005D4958" w:rsidRDefault="000B471C" w:rsidP="000B471C">
          <w:pPr>
            <w:pStyle w:val="756EB2A4C69C48289CED6345E0E06B4F"/>
          </w:pPr>
          <w:r w:rsidRPr="00F84A8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0B471C"/>
    <w:rsid w:val="001D34EA"/>
    <w:rsid w:val="00227A6D"/>
    <w:rsid w:val="004A3E1F"/>
    <w:rsid w:val="005D4958"/>
    <w:rsid w:val="00843948"/>
    <w:rsid w:val="009C0A3E"/>
    <w:rsid w:val="009E0644"/>
    <w:rsid w:val="00A257DF"/>
    <w:rsid w:val="00A72823"/>
    <w:rsid w:val="00F0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71C"/>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 w:type="paragraph" w:customStyle="1" w:styleId="756EB2A4C69C48289CED6345E0E06B4F">
    <w:name w:val="756EB2A4C69C48289CED6345E0E06B4F"/>
    <w:rsid w:val="000B4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24</Pages>
  <Words>4836</Words>
  <Characters>27569</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Office of Rail and Road</Company>
  <LinksUpToDate>false</LinksUpToDate>
  <CharactersWithSpaces>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Grand Union Trains Track Access Application – Gravity Model Demand Forecast</dc:subject>
  <dc:creator>Office of Rail and Road</dc:creator>
  <cp:keywords/>
  <dc:description/>
  <cp:lastModifiedBy>Dinkele, Harriet</cp:lastModifiedBy>
  <cp:revision>2</cp:revision>
  <cp:lastPrinted>2021-02-24T15:29:00Z</cp:lastPrinted>
  <dcterms:created xsi:type="dcterms:W3CDTF">2023-02-08T10:07:00Z</dcterms:created>
  <dcterms:modified xsi:type="dcterms:W3CDTF">2023-02-08T10:07:00Z</dcterms:modified>
</cp:coreProperties>
</file>