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8330B" w14:textId="77777777" w:rsidR="002C34D4" w:rsidRDefault="002C34D4" w:rsidP="002C34D4">
      <w:pPr>
        <w:pStyle w:val="Logos"/>
        <w:tabs>
          <w:tab w:val="right" w:pos="9498"/>
        </w:tabs>
      </w:pPr>
      <w:bookmarkStart w:id="0" w:name="_GoBack"/>
      <w:bookmarkEnd w:id="0"/>
      <w:r>
        <w:drawing>
          <wp:inline distT="0" distB="0" distL="0" distR="0" wp14:anchorId="651CA283" wp14:editId="169375F3">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C6B269B" w14:textId="77777777" w:rsidR="00A57128" w:rsidRPr="000966A3" w:rsidRDefault="00A57128" w:rsidP="000966A3">
      <w:pPr>
        <w:pStyle w:val="Heading1"/>
        <w:jc w:val="center"/>
        <w:rPr>
          <w:sz w:val="44"/>
          <w:szCs w:val="44"/>
        </w:rPr>
      </w:pPr>
      <w:r w:rsidRPr="00B818C3">
        <w:rPr>
          <w:sz w:val="44"/>
          <w:szCs w:val="44"/>
        </w:rPr>
        <w:t>Expression of interest</w:t>
      </w:r>
    </w:p>
    <w:p w14:paraId="75B4DAA7" w14:textId="77777777" w:rsidR="00A57128" w:rsidRPr="007E0083" w:rsidRDefault="00A57128" w:rsidP="00EE71A2">
      <w:pPr>
        <w:pStyle w:val="Heading1"/>
      </w:pPr>
      <w:r w:rsidRPr="007E0083">
        <w:t>Title:</w:t>
      </w:r>
      <w:r w:rsidR="00D636C9">
        <w:t xml:space="preserve"> </w:t>
      </w:r>
      <w:r w:rsidR="00F72CC7">
        <w:t>Exploring Flexible Working Practice in Schools</w:t>
      </w:r>
    </w:p>
    <w:p w14:paraId="36352A69" w14:textId="71782852" w:rsidR="00F72CC7" w:rsidRDefault="00A57128" w:rsidP="00A57128">
      <w:pPr>
        <w:rPr>
          <w:b/>
        </w:rPr>
      </w:pPr>
      <w:r w:rsidRPr="007E0083">
        <w:rPr>
          <w:b/>
        </w:rPr>
        <w:t xml:space="preserve">Project reference: </w:t>
      </w:r>
      <w:r w:rsidR="009906B4" w:rsidRPr="009906B4">
        <w:rPr>
          <w:b/>
        </w:rPr>
        <w:t>EOR/SBU</w:t>
      </w:r>
      <w:r w:rsidR="009906B4" w:rsidRPr="005E3330">
        <w:rPr>
          <w:b/>
        </w:rPr>
        <w:t>/</w:t>
      </w:r>
      <w:r w:rsidR="005E3330" w:rsidRPr="005E3330">
        <w:rPr>
          <w:rFonts w:cs="Arial"/>
          <w:b/>
        </w:rPr>
        <w:t>2018/012</w:t>
      </w:r>
    </w:p>
    <w:p w14:paraId="30A8CDCB" w14:textId="43342E05" w:rsidR="00A57128" w:rsidRPr="00231BD1" w:rsidRDefault="00A57128" w:rsidP="00A57128">
      <w:pPr>
        <w:rPr>
          <w:b/>
        </w:rPr>
      </w:pPr>
      <w:r w:rsidRPr="007E0083">
        <w:rPr>
          <w:b/>
        </w:rPr>
        <w:t xml:space="preserve">Deadline for expressions of </w:t>
      </w:r>
      <w:r w:rsidRPr="00231BD1">
        <w:rPr>
          <w:b/>
        </w:rPr>
        <w:t>interest:</w:t>
      </w:r>
      <w:r w:rsidR="00D60E86" w:rsidRPr="00231BD1">
        <w:rPr>
          <w:b/>
        </w:rPr>
        <w:t xml:space="preserve"> </w:t>
      </w:r>
      <w:r w:rsidR="007D18C8" w:rsidRPr="00231BD1">
        <w:rPr>
          <w:b/>
        </w:rPr>
        <w:t>4pm 4</w:t>
      </w:r>
      <w:r w:rsidR="007D18C8" w:rsidRPr="00231BD1">
        <w:rPr>
          <w:b/>
          <w:vertAlign w:val="superscript"/>
        </w:rPr>
        <w:t>th</w:t>
      </w:r>
      <w:r w:rsidR="007D18C8" w:rsidRPr="00231BD1">
        <w:rPr>
          <w:b/>
        </w:rPr>
        <w:t xml:space="preserve"> June </w:t>
      </w:r>
    </w:p>
    <w:p w14:paraId="56EBC1CE" w14:textId="7348E970" w:rsidR="00A57128" w:rsidRPr="00231BD1" w:rsidRDefault="00A57128" w:rsidP="001F2CE2">
      <w:pPr>
        <w:pStyle w:val="Heading2"/>
      </w:pPr>
      <w:r w:rsidRPr="00231BD1">
        <w:t>Summary</w:t>
      </w:r>
    </w:p>
    <w:p w14:paraId="2D76EC9B" w14:textId="0867116F" w:rsidR="00D60E86" w:rsidRPr="00231BD1" w:rsidRDefault="00A57128" w:rsidP="00A57128">
      <w:pPr>
        <w:rPr>
          <w:szCs w:val="22"/>
        </w:rPr>
      </w:pPr>
      <w:r w:rsidRPr="00231BD1">
        <w:rPr>
          <w:szCs w:val="22"/>
        </w:rPr>
        <w:t>Expressions of interest are sought</w:t>
      </w:r>
      <w:r w:rsidR="00993E2A" w:rsidRPr="00231BD1">
        <w:rPr>
          <w:szCs w:val="22"/>
        </w:rPr>
        <w:t xml:space="preserve"> to conduct </w:t>
      </w:r>
      <w:r w:rsidR="00AE41AA" w:rsidRPr="00231BD1">
        <w:rPr>
          <w:szCs w:val="22"/>
        </w:rPr>
        <w:t xml:space="preserve">a mixed methods project which will explore </w:t>
      </w:r>
      <w:r w:rsidR="005E3330" w:rsidRPr="00231BD1">
        <w:rPr>
          <w:szCs w:val="22"/>
        </w:rPr>
        <w:t>flexible working practice</w:t>
      </w:r>
      <w:r w:rsidR="00934081" w:rsidRPr="00231BD1">
        <w:rPr>
          <w:szCs w:val="22"/>
        </w:rPr>
        <w:t>s</w:t>
      </w:r>
      <w:r w:rsidR="005E3330" w:rsidRPr="00231BD1">
        <w:rPr>
          <w:szCs w:val="22"/>
        </w:rPr>
        <w:t xml:space="preserve"> in schools</w:t>
      </w:r>
      <w:r w:rsidR="00D60E86" w:rsidRPr="00231BD1">
        <w:rPr>
          <w:szCs w:val="22"/>
        </w:rPr>
        <w:t xml:space="preserve">. The project will </w:t>
      </w:r>
      <w:r w:rsidR="005E3330" w:rsidRPr="00231BD1">
        <w:rPr>
          <w:szCs w:val="22"/>
        </w:rPr>
        <w:t>assess the extent of existing flexible working practices in schools, as well as the attitudes and perceptions on these practices from individual teachers and senior leaders</w:t>
      </w:r>
      <w:r w:rsidR="00D60E86" w:rsidRPr="00231BD1">
        <w:rPr>
          <w:szCs w:val="22"/>
        </w:rPr>
        <w:t>.</w:t>
      </w:r>
      <w:r w:rsidR="005E3330" w:rsidRPr="00231BD1">
        <w:rPr>
          <w:szCs w:val="22"/>
        </w:rPr>
        <w:t xml:space="preserve"> The project will also involve working with a small number of schools to help them implement flexible working roles, and exploring the process of doing so.</w:t>
      </w:r>
    </w:p>
    <w:p w14:paraId="465FB7F2" w14:textId="4E13C5A4" w:rsidR="00D60E86" w:rsidRPr="00231BD1" w:rsidRDefault="00D60E86" w:rsidP="00A57128">
      <w:pPr>
        <w:rPr>
          <w:szCs w:val="22"/>
        </w:rPr>
      </w:pPr>
      <w:r w:rsidRPr="00231BD1">
        <w:rPr>
          <w:szCs w:val="22"/>
        </w:rPr>
        <w:t xml:space="preserve">The expression of interest was posted on </w:t>
      </w:r>
      <w:r w:rsidR="007D18C8" w:rsidRPr="00231BD1">
        <w:rPr>
          <w:szCs w:val="22"/>
        </w:rPr>
        <w:t>21</w:t>
      </w:r>
      <w:r w:rsidR="007D18C8" w:rsidRPr="00231BD1">
        <w:rPr>
          <w:szCs w:val="22"/>
          <w:vertAlign w:val="superscript"/>
        </w:rPr>
        <w:t>st</w:t>
      </w:r>
      <w:r w:rsidR="007D18C8" w:rsidRPr="00231BD1">
        <w:rPr>
          <w:szCs w:val="22"/>
        </w:rPr>
        <w:t xml:space="preserve"> May 2018.</w:t>
      </w:r>
    </w:p>
    <w:p w14:paraId="61209D3F" w14:textId="77777777" w:rsidR="00A57128" w:rsidRPr="00231BD1" w:rsidRDefault="00A57128" w:rsidP="001F2CE2">
      <w:pPr>
        <w:pStyle w:val="Heading2"/>
      </w:pPr>
      <w:r w:rsidRPr="00231BD1">
        <w:t>Background</w:t>
      </w:r>
    </w:p>
    <w:p w14:paraId="7953AC70" w14:textId="29FA8949" w:rsidR="00DC7E4C" w:rsidRPr="00231BD1" w:rsidRDefault="00DC7E4C" w:rsidP="006B2E85">
      <w:pPr>
        <w:rPr>
          <w:rFonts w:cs="Arial"/>
        </w:rPr>
      </w:pPr>
      <w:r w:rsidRPr="00231BD1">
        <w:rPr>
          <w:rFonts w:cs="Arial"/>
        </w:rPr>
        <w:t>The Department is committed to promoting flexible working within schools</w:t>
      </w:r>
      <w:r w:rsidR="006A7630" w:rsidRPr="00231BD1">
        <w:rPr>
          <w:rFonts w:cs="Arial"/>
        </w:rPr>
        <w:t xml:space="preserve">, </w:t>
      </w:r>
      <w:r w:rsidR="00C90892" w:rsidRPr="00231BD1">
        <w:rPr>
          <w:rFonts w:cs="Arial"/>
        </w:rPr>
        <w:t xml:space="preserve">with an aim </w:t>
      </w:r>
      <w:r w:rsidR="006A7630" w:rsidRPr="00231BD1">
        <w:rPr>
          <w:rFonts w:cs="Arial"/>
        </w:rPr>
        <w:t xml:space="preserve">to support </w:t>
      </w:r>
      <w:r w:rsidR="009636A9" w:rsidRPr="00231BD1">
        <w:rPr>
          <w:rFonts w:cs="Arial"/>
        </w:rPr>
        <w:t xml:space="preserve">equalities, high quality </w:t>
      </w:r>
      <w:r w:rsidR="006A7630" w:rsidRPr="00231BD1">
        <w:rPr>
          <w:rFonts w:cs="Arial"/>
        </w:rPr>
        <w:t>recruitment and retention, and to improve teacher wellbeing.</w:t>
      </w:r>
      <w:hyperlink r:id="rId14" w:history="1"/>
      <w:r w:rsidR="006A7630" w:rsidRPr="00231BD1">
        <w:rPr>
          <w:rFonts w:cs="Arial"/>
        </w:rPr>
        <w:t xml:space="preserve"> </w:t>
      </w:r>
      <w:hyperlink r:id="rId15" w:history="1">
        <w:r w:rsidR="006A7630" w:rsidRPr="00231BD1">
          <w:rPr>
            <w:rStyle w:val="Hyperlink"/>
            <w:rFonts w:cs="Arial"/>
            <w:sz w:val="22"/>
          </w:rPr>
          <w:t>Guidance</w:t>
        </w:r>
      </w:hyperlink>
      <w:r w:rsidR="006B2E85" w:rsidRPr="00231BD1">
        <w:rPr>
          <w:rFonts w:cs="Arial"/>
        </w:rPr>
        <w:t xml:space="preserve"> was published in February 2017 to support flexible working in schools, in addition to a </w:t>
      </w:r>
      <w:hyperlink r:id="rId16" w:history="1">
        <w:r w:rsidR="006B2E85" w:rsidRPr="00231BD1">
          <w:rPr>
            <w:rStyle w:val="Hyperlink"/>
            <w:rFonts w:cs="Arial"/>
            <w:sz w:val="22"/>
          </w:rPr>
          <w:t>policy paper</w:t>
        </w:r>
      </w:hyperlink>
      <w:r w:rsidR="006B2E85" w:rsidRPr="00231BD1">
        <w:rPr>
          <w:rFonts w:cs="Arial"/>
        </w:rPr>
        <w:t xml:space="preserve"> in October 2017 which outlines the definitions and benefits of flexible working in schools. As part of this policy paper, the Department has made a pledge to “</w:t>
      </w:r>
      <w:r w:rsidR="006B2E85" w:rsidRPr="00231BD1">
        <w:rPr>
          <w:rFonts w:cs="Arial"/>
          <w:lang w:val="en"/>
        </w:rPr>
        <w:t>carry out research looking at changing recruitment practices in schools, to inform our guidance about how schools can introduce flexible working”.</w:t>
      </w:r>
    </w:p>
    <w:p w14:paraId="176BB436" w14:textId="13BE01A0" w:rsidR="00305030" w:rsidRPr="00231BD1" w:rsidRDefault="00305030" w:rsidP="0057221C">
      <w:pPr>
        <w:rPr>
          <w:rFonts w:cs="Arial"/>
        </w:rPr>
      </w:pPr>
      <w:r w:rsidRPr="00231BD1">
        <w:rPr>
          <w:rFonts w:cs="Arial"/>
        </w:rPr>
        <w:t>The School Workforce Census</w:t>
      </w:r>
      <w:r w:rsidRPr="00231BD1">
        <w:rPr>
          <w:rStyle w:val="FootnoteReference"/>
          <w:rFonts w:cs="Arial"/>
        </w:rPr>
        <w:footnoteReference w:id="1"/>
      </w:r>
      <w:r w:rsidRPr="00231BD1">
        <w:rPr>
          <w:rFonts w:cs="Arial"/>
        </w:rPr>
        <w:t xml:space="preserve"> provides information on the numbers of teachers in state-funded schools working part-time. Surveys have also explored flexible working in schools to </w:t>
      </w:r>
      <w:r w:rsidR="00BF63C5" w:rsidRPr="00231BD1">
        <w:rPr>
          <w:rFonts w:cs="Arial"/>
        </w:rPr>
        <w:t>an extent</w:t>
      </w:r>
      <w:r w:rsidRPr="00231BD1">
        <w:rPr>
          <w:rFonts w:cs="Arial"/>
        </w:rPr>
        <w:t xml:space="preserve">, including </w:t>
      </w:r>
      <w:r w:rsidR="00BF63C5" w:rsidRPr="00231BD1">
        <w:rPr>
          <w:rFonts w:cs="Arial"/>
        </w:rPr>
        <w:t>perceptions of</w:t>
      </w:r>
      <w:r w:rsidRPr="00231BD1">
        <w:rPr>
          <w:rFonts w:cs="Arial"/>
        </w:rPr>
        <w:t xml:space="preserve"> barriers to flexible working within schools</w:t>
      </w:r>
      <w:r w:rsidRPr="00231BD1">
        <w:rPr>
          <w:rStyle w:val="FootnoteReference"/>
          <w:rFonts w:cs="Arial"/>
        </w:rPr>
        <w:footnoteReference w:id="2"/>
      </w:r>
      <w:r w:rsidRPr="00231BD1">
        <w:rPr>
          <w:rFonts w:cs="Arial"/>
        </w:rPr>
        <w:t>.</w:t>
      </w:r>
      <w:r w:rsidR="0057221C" w:rsidRPr="00231BD1">
        <w:rPr>
          <w:rFonts w:cs="Arial"/>
        </w:rPr>
        <w:t xml:space="preserve"> </w:t>
      </w:r>
      <w:r w:rsidR="00934081" w:rsidRPr="00231BD1">
        <w:rPr>
          <w:rFonts w:cs="Arial"/>
        </w:rPr>
        <w:t>However, t</w:t>
      </w:r>
      <w:r w:rsidR="0057221C" w:rsidRPr="00231BD1">
        <w:rPr>
          <w:rFonts w:cs="Arial"/>
        </w:rPr>
        <w:t xml:space="preserve">here is limited further research evidence on flexible working, particularly </w:t>
      </w:r>
      <w:r w:rsidR="00934081" w:rsidRPr="00231BD1">
        <w:rPr>
          <w:rFonts w:cs="Arial"/>
        </w:rPr>
        <w:t xml:space="preserve">in relation </w:t>
      </w:r>
      <w:r w:rsidR="0057221C" w:rsidRPr="00231BD1">
        <w:rPr>
          <w:rFonts w:cs="Arial"/>
        </w:rPr>
        <w:t>to schools specifically; much of the evidence relates to sectors outside of education, or is anecdotal in nature.</w:t>
      </w:r>
    </w:p>
    <w:p w14:paraId="6C1CCB89" w14:textId="4C9AC3FD" w:rsidR="00122A8C" w:rsidRPr="00231BD1" w:rsidRDefault="00DC7E4C" w:rsidP="006B2E85">
      <w:pPr>
        <w:rPr>
          <w:rFonts w:cs="Arial"/>
        </w:rPr>
      </w:pPr>
      <w:r w:rsidRPr="00231BD1">
        <w:rPr>
          <w:rFonts w:cs="Arial"/>
        </w:rPr>
        <w:lastRenderedPageBreak/>
        <w:t>Research is required to fill the evidence gaps and build on what is already known, to help support the Department’s commitment to support schools in offering flexible working</w:t>
      </w:r>
      <w:r w:rsidR="006B2E85" w:rsidRPr="00231BD1">
        <w:rPr>
          <w:rFonts w:cs="Arial"/>
        </w:rPr>
        <w:t xml:space="preserve">, including how the DfE can best </w:t>
      </w:r>
      <w:r w:rsidR="00BF63C5" w:rsidRPr="00231BD1">
        <w:rPr>
          <w:rFonts w:cs="Arial"/>
        </w:rPr>
        <w:t>support</w:t>
      </w:r>
      <w:r w:rsidR="006B2E85" w:rsidRPr="00231BD1">
        <w:rPr>
          <w:rFonts w:cs="Arial"/>
        </w:rPr>
        <w:t xml:space="preserve"> school and teacher needs.</w:t>
      </w:r>
    </w:p>
    <w:p w14:paraId="27B92568" w14:textId="7EB50B5E" w:rsidR="00A57128" w:rsidRPr="00231BD1" w:rsidRDefault="00B162FA" w:rsidP="001F2CE2">
      <w:pPr>
        <w:pStyle w:val="Heading2"/>
      </w:pPr>
      <w:r w:rsidRPr="00231BD1">
        <w:t>Research</w:t>
      </w:r>
      <w:r w:rsidR="00A57128" w:rsidRPr="00231BD1">
        <w:t xml:space="preserve"> aims</w:t>
      </w:r>
    </w:p>
    <w:p w14:paraId="7B3A1146" w14:textId="26C3B00D" w:rsidR="00305030" w:rsidRPr="00B25AC4" w:rsidRDefault="00305030" w:rsidP="00305030">
      <w:pPr>
        <w:pStyle w:val="BodyTextIndent"/>
        <w:tabs>
          <w:tab w:val="left" w:pos="6120"/>
        </w:tabs>
        <w:spacing w:line="276" w:lineRule="auto"/>
        <w:ind w:left="0"/>
        <w:rPr>
          <w:rFonts w:cs="Arial"/>
        </w:rPr>
      </w:pPr>
      <w:r w:rsidRPr="00231BD1">
        <w:rPr>
          <w:rFonts w:cs="Arial"/>
        </w:rPr>
        <w:t>The evaluation should seek to fill the evidence gap surrounding</w:t>
      </w:r>
      <w:r>
        <w:rPr>
          <w:rFonts w:cs="Arial"/>
        </w:rPr>
        <w:t xml:space="preserve"> flexible working in schools. </w:t>
      </w:r>
      <w:r w:rsidRPr="00B25AC4">
        <w:rPr>
          <w:rFonts w:cs="Arial"/>
        </w:rPr>
        <w:t>The overarching research questions are:</w:t>
      </w:r>
    </w:p>
    <w:p w14:paraId="7DB5B6FE" w14:textId="1941035D" w:rsidR="00305030" w:rsidRPr="00B23E6A" w:rsidRDefault="00305030" w:rsidP="00305030">
      <w:pPr>
        <w:pStyle w:val="BodyTextIndent"/>
        <w:keepNext/>
        <w:keepLines/>
        <w:numPr>
          <w:ilvl w:val="0"/>
          <w:numId w:val="25"/>
        </w:numPr>
        <w:suppressLineNumbers/>
        <w:tabs>
          <w:tab w:val="left" w:pos="6120"/>
        </w:tabs>
        <w:suppressAutoHyphens/>
        <w:spacing w:after="0" w:line="276" w:lineRule="auto"/>
        <w:rPr>
          <w:rFonts w:cs="Arial"/>
        </w:rPr>
      </w:pPr>
      <w:r w:rsidRPr="00B23E6A">
        <w:rPr>
          <w:rFonts w:cs="Arial"/>
        </w:rPr>
        <w:t>What is the existing evidence base for flexible working in schools? This should also consider flexible working more broadly in other comparable sectors</w:t>
      </w:r>
      <w:r w:rsidR="007D18C8">
        <w:rPr>
          <w:rFonts w:cs="Arial"/>
        </w:rPr>
        <w:t>, as well as internationally</w:t>
      </w:r>
      <w:r w:rsidRPr="00B23E6A">
        <w:rPr>
          <w:rFonts w:cs="Arial"/>
        </w:rPr>
        <w:t>.</w:t>
      </w:r>
    </w:p>
    <w:p w14:paraId="3F3A252F" w14:textId="73C08D57" w:rsidR="00305030" w:rsidRPr="00B23E6A" w:rsidRDefault="00305030" w:rsidP="00305030">
      <w:pPr>
        <w:pStyle w:val="BodyTextIndent"/>
        <w:keepNext/>
        <w:keepLines/>
        <w:numPr>
          <w:ilvl w:val="0"/>
          <w:numId w:val="25"/>
        </w:numPr>
        <w:suppressLineNumbers/>
        <w:tabs>
          <w:tab w:val="left" w:pos="6120"/>
        </w:tabs>
        <w:suppressAutoHyphens/>
        <w:spacing w:after="0" w:line="276" w:lineRule="auto"/>
        <w:rPr>
          <w:rFonts w:cs="Arial"/>
        </w:rPr>
      </w:pPr>
      <w:r w:rsidRPr="00B23E6A">
        <w:rPr>
          <w:rFonts w:cs="Arial"/>
        </w:rPr>
        <w:t xml:space="preserve">How widespread is flexible working among schools? </w:t>
      </w:r>
    </w:p>
    <w:p w14:paraId="34B1601B" w14:textId="12E5757F" w:rsidR="00305030" w:rsidRPr="00B23E6A" w:rsidRDefault="00305030" w:rsidP="00305030">
      <w:pPr>
        <w:pStyle w:val="BodyTextIndent"/>
        <w:keepNext/>
        <w:keepLines/>
        <w:numPr>
          <w:ilvl w:val="0"/>
          <w:numId w:val="25"/>
        </w:numPr>
        <w:suppressLineNumbers/>
        <w:tabs>
          <w:tab w:val="left" w:pos="6120"/>
        </w:tabs>
        <w:suppressAutoHyphens/>
        <w:spacing w:after="0" w:line="276" w:lineRule="auto"/>
        <w:rPr>
          <w:rFonts w:cs="Arial"/>
        </w:rPr>
      </w:pPr>
      <w:r w:rsidRPr="00B23E6A">
        <w:rPr>
          <w:rFonts w:cs="Arial"/>
        </w:rPr>
        <w:t xml:space="preserve">What are the perceived challenges, if any, to flexible working being offered in schools and among individual head/teachers? </w:t>
      </w:r>
    </w:p>
    <w:p w14:paraId="13C0B218" w14:textId="4EDFA3F7" w:rsidR="00305030" w:rsidRPr="00B23E6A" w:rsidRDefault="00305030" w:rsidP="00305030">
      <w:pPr>
        <w:pStyle w:val="BodyTextIndent"/>
        <w:keepNext/>
        <w:keepLines/>
        <w:numPr>
          <w:ilvl w:val="0"/>
          <w:numId w:val="25"/>
        </w:numPr>
        <w:suppressLineNumbers/>
        <w:tabs>
          <w:tab w:val="left" w:pos="6120"/>
        </w:tabs>
        <w:suppressAutoHyphens/>
        <w:spacing w:after="0" w:line="276" w:lineRule="auto"/>
        <w:rPr>
          <w:rFonts w:cs="Arial"/>
        </w:rPr>
      </w:pPr>
      <w:r w:rsidRPr="00B23E6A">
        <w:rPr>
          <w:rFonts w:cs="Arial"/>
        </w:rPr>
        <w:t xml:space="preserve">What does – and does not – work for schools and head/teachers in offering flexible working? </w:t>
      </w:r>
    </w:p>
    <w:p w14:paraId="627D04BB" w14:textId="2106FB0C" w:rsidR="00305030" w:rsidRPr="00B23E6A" w:rsidRDefault="00305030" w:rsidP="00305030">
      <w:pPr>
        <w:pStyle w:val="BodyTextIndent"/>
        <w:keepNext/>
        <w:keepLines/>
        <w:numPr>
          <w:ilvl w:val="0"/>
          <w:numId w:val="25"/>
        </w:numPr>
        <w:suppressLineNumbers/>
        <w:tabs>
          <w:tab w:val="left" w:pos="6120"/>
        </w:tabs>
        <w:suppressAutoHyphens/>
        <w:spacing w:after="0" w:line="276" w:lineRule="auto"/>
        <w:rPr>
          <w:rFonts w:cs="Arial"/>
        </w:rPr>
      </w:pPr>
      <w:r w:rsidRPr="00B23E6A">
        <w:rPr>
          <w:rFonts w:cs="Arial"/>
        </w:rPr>
        <w:t>How can schools effectively design</w:t>
      </w:r>
      <w:r w:rsidR="00B86C5D" w:rsidRPr="00B23E6A">
        <w:rPr>
          <w:rFonts w:cs="Arial"/>
        </w:rPr>
        <w:t>,</w:t>
      </w:r>
      <w:r w:rsidRPr="00B23E6A">
        <w:rPr>
          <w:rFonts w:cs="Arial"/>
        </w:rPr>
        <w:t xml:space="preserve"> implement </w:t>
      </w:r>
      <w:r w:rsidR="00B86C5D" w:rsidRPr="00B23E6A">
        <w:rPr>
          <w:rFonts w:cs="Arial"/>
        </w:rPr>
        <w:t xml:space="preserve">and embed </w:t>
      </w:r>
      <w:r w:rsidRPr="00B23E6A">
        <w:rPr>
          <w:rFonts w:cs="Arial"/>
        </w:rPr>
        <w:t xml:space="preserve">flexible working </w:t>
      </w:r>
      <w:r w:rsidR="00B86C5D" w:rsidRPr="00B23E6A">
        <w:rPr>
          <w:rFonts w:cs="Arial"/>
        </w:rPr>
        <w:t>in schools</w:t>
      </w:r>
      <w:r w:rsidRPr="00B23E6A">
        <w:rPr>
          <w:rFonts w:cs="Arial"/>
        </w:rPr>
        <w:t xml:space="preserve">? </w:t>
      </w:r>
      <w:r w:rsidR="007D18C8">
        <w:rPr>
          <w:rFonts w:cs="Arial"/>
        </w:rPr>
        <w:t>This should include consideration of timetabling.</w:t>
      </w:r>
    </w:p>
    <w:p w14:paraId="39706C18" w14:textId="77777777" w:rsidR="004A600B" w:rsidRPr="004A600B" w:rsidRDefault="004A600B" w:rsidP="001F2CE2">
      <w:pPr>
        <w:pStyle w:val="Heading2"/>
      </w:pPr>
      <w:r>
        <w:t>Methodology</w:t>
      </w:r>
    </w:p>
    <w:p w14:paraId="28EFB9F3" w14:textId="681ED347" w:rsidR="0025100D" w:rsidRPr="007067C3" w:rsidRDefault="0025100D" w:rsidP="0025100D">
      <w:r w:rsidRPr="0025100D">
        <w:t>The successful bidder will be responsible for designing and conducting</w:t>
      </w:r>
      <w:r>
        <w:t xml:space="preserve"> the</w:t>
      </w:r>
      <w:r w:rsidR="00816372">
        <w:t xml:space="preserve"> </w:t>
      </w:r>
      <w:r w:rsidR="008B3CD9">
        <w:t>research project</w:t>
      </w:r>
      <w:r>
        <w:t xml:space="preserve">. </w:t>
      </w:r>
      <w:r w:rsidRPr="007067C3">
        <w:t xml:space="preserve">We will, at the </w:t>
      </w:r>
      <w:r w:rsidR="00786759">
        <w:t xml:space="preserve">Invitation to Tender </w:t>
      </w:r>
      <w:r w:rsidRPr="007067C3">
        <w:t>stage, encourage bidders to suggest appropriate methodologies</w:t>
      </w:r>
      <w:r w:rsidR="008B3CD9">
        <w:t xml:space="preserve">. However, we expect the research to be mixed methods and </w:t>
      </w:r>
      <w:r w:rsidR="00A17B09">
        <w:t>to</w:t>
      </w:r>
      <w:r w:rsidR="008B3CD9">
        <w:t xml:space="preserve"> </w:t>
      </w:r>
      <w:r w:rsidR="00A17B09">
        <w:t>include</w:t>
      </w:r>
      <w:r w:rsidRPr="007067C3">
        <w:t>:</w:t>
      </w:r>
    </w:p>
    <w:p w14:paraId="1459D59A" w14:textId="3AB2AACC" w:rsidR="008B3CD9" w:rsidRDefault="008B3CD9" w:rsidP="008B3CD9">
      <w:pPr>
        <w:pStyle w:val="ListParagraph"/>
        <w:numPr>
          <w:ilvl w:val="0"/>
          <w:numId w:val="20"/>
        </w:numPr>
      </w:pPr>
      <w:r>
        <w:t>A literature review of the existing evidence.</w:t>
      </w:r>
    </w:p>
    <w:p w14:paraId="1531A547" w14:textId="389A9EAF" w:rsidR="008B3CD9" w:rsidRDefault="008B3CD9" w:rsidP="008B3CD9">
      <w:pPr>
        <w:pStyle w:val="ListParagraph"/>
        <w:numPr>
          <w:ilvl w:val="0"/>
          <w:numId w:val="20"/>
        </w:numPr>
      </w:pPr>
      <w:r>
        <w:t xml:space="preserve">Surveys with both </w:t>
      </w:r>
      <w:proofErr w:type="spellStart"/>
      <w:r>
        <w:t>headteachers</w:t>
      </w:r>
      <w:proofErr w:type="spellEnd"/>
      <w:r>
        <w:t xml:space="preserve"> and classroom teachers.</w:t>
      </w:r>
    </w:p>
    <w:p w14:paraId="40CBF4B1" w14:textId="38B6B859" w:rsidR="008B3CD9" w:rsidRDefault="008B3CD9" w:rsidP="008B3CD9">
      <w:pPr>
        <w:pStyle w:val="ListParagraph"/>
        <w:numPr>
          <w:ilvl w:val="0"/>
          <w:numId w:val="20"/>
        </w:numPr>
      </w:pPr>
      <w:r>
        <w:t xml:space="preserve">In-depth interviews with both </w:t>
      </w:r>
      <w:proofErr w:type="spellStart"/>
      <w:r>
        <w:t>headteachers</w:t>
      </w:r>
      <w:proofErr w:type="spellEnd"/>
      <w:r>
        <w:t xml:space="preserve"> and classroom teachers.</w:t>
      </w:r>
    </w:p>
    <w:p w14:paraId="05C947D5" w14:textId="4917A4C6" w:rsidR="008B3CD9" w:rsidRPr="0025100D" w:rsidRDefault="008B3CD9" w:rsidP="008B3CD9">
      <w:pPr>
        <w:pStyle w:val="ListParagraph"/>
        <w:numPr>
          <w:ilvl w:val="0"/>
          <w:numId w:val="20"/>
        </w:numPr>
      </w:pPr>
      <w:r>
        <w:t xml:space="preserve">A pilot study with a small number of schools, which will </w:t>
      </w:r>
      <w:r w:rsidR="00A17B09">
        <w:t>involve</w:t>
      </w:r>
      <w:r>
        <w:t xml:space="preserve"> helping them to design and implement flexible working practices within the schools.</w:t>
      </w:r>
    </w:p>
    <w:p w14:paraId="2B407353" w14:textId="77777777" w:rsidR="004A600B" w:rsidRPr="00231BD1" w:rsidRDefault="004A600B" w:rsidP="001F2CE2">
      <w:pPr>
        <w:pStyle w:val="Heading2"/>
      </w:pPr>
      <w:r w:rsidRPr="00231BD1">
        <w:t>Timing</w:t>
      </w:r>
    </w:p>
    <w:p w14:paraId="629501DB" w14:textId="55F43C9D" w:rsidR="007E0083" w:rsidRPr="00231BD1" w:rsidRDefault="007E0083" w:rsidP="007E0083">
      <w:pPr>
        <w:pStyle w:val="ListParagraph"/>
        <w:numPr>
          <w:ilvl w:val="0"/>
          <w:numId w:val="18"/>
        </w:numPr>
      </w:pPr>
      <w:r w:rsidRPr="00231BD1">
        <w:t xml:space="preserve">Deadline for EOIs – </w:t>
      </w:r>
      <w:r w:rsidR="00682DDD" w:rsidRPr="00231BD1">
        <w:t xml:space="preserve">4pm </w:t>
      </w:r>
      <w:r w:rsidR="007D18C8" w:rsidRPr="00231BD1">
        <w:t>4</w:t>
      </w:r>
      <w:r w:rsidR="007D18C8" w:rsidRPr="00231BD1">
        <w:rPr>
          <w:vertAlign w:val="superscript"/>
        </w:rPr>
        <w:t>th</w:t>
      </w:r>
      <w:r w:rsidR="007D18C8" w:rsidRPr="00231BD1">
        <w:t xml:space="preserve"> June.</w:t>
      </w:r>
    </w:p>
    <w:p w14:paraId="09750C13" w14:textId="533B23FB" w:rsidR="00C01CA1" w:rsidRPr="00231BD1" w:rsidRDefault="00C01CA1" w:rsidP="007E0083">
      <w:pPr>
        <w:pStyle w:val="ListParagraph"/>
        <w:numPr>
          <w:ilvl w:val="0"/>
          <w:numId w:val="18"/>
        </w:numPr>
      </w:pPr>
      <w:r w:rsidRPr="00231BD1">
        <w:t xml:space="preserve">Invitations to Tender Issued – </w:t>
      </w:r>
      <w:r w:rsidR="00FF241C" w:rsidRPr="00231BD1">
        <w:t xml:space="preserve">w/c </w:t>
      </w:r>
      <w:r w:rsidR="007D18C8" w:rsidRPr="00231BD1">
        <w:t>11</w:t>
      </w:r>
      <w:r w:rsidR="007D18C8" w:rsidRPr="00231BD1">
        <w:rPr>
          <w:vertAlign w:val="superscript"/>
        </w:rPr>
        <w:t>th</w:t>
      </w:r>
      <w:r w:rsidR="007D18C8" w:rsidRPr="00231BD1">
        <w:t xml:space="preserve"> June.</w:t>
      </w:r>
    </w:p>
    <w:p w14:paraId="6A5CDC63" w14:textId="13C10D49" w:rsidR="0005011B" w:rsidRPr="00231BD1" w:rsidRDefault="0005011B" w:rsidP="0005011B">
      <w:r w:rsidRPr="00231BD1">
        <w:t xml:space="preserve">The </w:t>
      </w:r>
      <w:r w:rsidR="00823CB8" w:rsidRPr="00231BD1">
        <w:t xml:space="preserve">evaluation is expected to </w:t>
      </w:r>
      <w:r w:rsidRPr="00231BD1">
        <w:t xml:space="preserve">run from </w:t>
      </w:r>
      <w:r w:rsidR="00231BD1" w:rsidRPr="00231BD1">
        <w:t>July</w:t>
      </w:r>
      <w:r w:rsidR="008B3CD9" w:rsidRPr="00231BD1">
        <w:t xml:space="preserve"> 2018 to </w:t>
      </w:r>
      <w:r w:rsidR="00C90892" w:rsidRPr="00231BD1">
        <w:t>December</w:t>
      </w:r>
      <w:r w:rsidR="008B3CD9" w:rsidRPr="00231BD1">
        <w:t xml:space="preserve"> 2019</w:t>
      </w:r>
      <w:r w:rsidRPr="00231BD1">
        <w:t>.</w:t>
      </w:r>
    </w:p>
    <w:p w14:paraId="077FB79B" w14:textId="77777777" w:rsidR="004A600B" w:rsidRPr="004A600B" w:rsidRDefault="004A600B" w:rsidP="007E0083">
      <w:pPr>
        <w:pStyle w:val="Heading2"/>
      </w:pPr>
      <w:r w:rsidRPr="004A600B">
        <w:t>Assessment criteria</w:t>
      </w:r>
    </w:p>
    <w:p w14:paraId="49B36F87" w14:textId="77777777" w:rsidR="00915C18" w:rsidRDefault="00794863" w:rsidP="00786759">
      <w:pPr>
        <w:pStyle w:val="Default"/>
        <w:rPr>
          <w:bCs/>
          <w:sz w:val="22"/>
          <w:szCs w:val="22"/>
        </w:rPr>
      </w:pPr>
      <w:r w:rsidRPr="00C13E31">
        <w:rPr>
          <w:bCs/>
          <w:sz w:val="22"/>
          <w:szCs w:val="22"/>
        </w:rPr>
        <w:t xml:space="preserve">Expressions of interest will be assessed against the following criteria: </w:t>
      </w:r>
    </w:p>
    <w:p w14:paraId="03CA6D0E" w14:textId="77777777" w:rsidR="00786759" w:rsidRPr="00786759" w:rsidRDefault="00786759" w:rsidP="00786759">
      <w:pPr>
        <w:pStyle w:val="Default"/>
        <w:rPr>
          <w:bCs/>
          <w:sz w:val="22"/>
          <w:szCs w:val="22"/>
        </w:rPr>
      </w:pPr>
    </w:p>
    <w:p w14:paraId="07C671DB" w14:textId="7CAF3167" w:rsidR="00A26B6F" w:rsidRPr="00A26B6F" w:rsidRDefault="00A26B6F" w:rsidP="00A26B6F">
      <w:pPr>
        <w:pStyle w:val="Default"/>
        <w:numPr>
          <w:ilvl w:val="0"/>
          <w:numId w:val="21"/>
        </w:numPr>
        <w:rPr>
          <w:bCs/>
          <w:sz w:val="22"/>
          <w:szCs w:val="22"/>
        </w:rPr>
      </w:pPr>
      <w:r w:rsidRPr="00A26B6F">
        <w:rPr>
          <w:bCs/>
          <w:sz w:val="22"/>
          <w:szCs w:val="22"/>
        </w:rPr>
        <w:t xml:space="preserve">Evidence of experience and technical ability in designing, conducting, analysing and reporting </w:t>
      </w:r>
      <w:r w:rsidR="00A17B09">
        <w:rPr>
          <w:bCs/>
          <w:sz w:val="22"/>
          <w:szCs w:val="22"/>
        </w:rPr>
        <w:t>mixed methods studies</w:t>
      </w:r>
      <w:r>
        <w:rPr>
          <w:bCs/>
          <w:sz w:val="22"/>
          <w:szCs w:val="22"/>
        </w:rPr>
        <w:t xml:space="preserve"> </w:t>
      </w:r>
      <w:r w:rsidRPr="00A26B6F">
        <w:rPr>
          <w:bCs/>
          <w:sz w:val="22"/>
          <w:szCs w:val="22"/>
        </w:rPr>
        <w:t xml:space="preserve">(including carrying out qualitative and quantitative research and analysis, </w:t>
      </w:r>
      <w:r w:rsidR="00A17B09">
        <w:rPr>
          <w:bCs/>
          <w:sz w:val="22"/>
          <w:szCs w:val="22"/>
        </w:rPr>
        <w:t xml:space="preserve">conducting case study/pilot projects, </w:t>
      </w:r>
      <w:r w:rsidRPr="00A26B6F">
        <w:rPr>
          <w:bCs/>
          <w:sz w:val="22"/>
          <w:szCs w:val="22"/>
        </w:rPr>
        <w:t>and communicating the results).</w:t>
      </w:r>
    </w:p>
    <w:p w14:paraId="630A81C6" w14:textId="77777777" w:rsidR="00A26B6F" w:rsidRDefault="00D636C9" w:rsidP="00A26B6F">
      <w:pPr>
        <w:pStyle w:val="Default"/>
        <w:numPr>
          <w:ilvl w:val="0"/>
          <w:numId w:val="21"/>
        </w:numPr>
        <w:rPr>
          <w:bCs/>
          <w:sz w:val="22"/>
          <w:szCs w:val="22"/>
        </w:rPr>
      </w:pPr>
      <w:r>
        <w:rPr>
          <w:bCs/>
          <w:sz w:val="22"/>
          <w:szCs w:val="22"/>
        </w:rPr>
        <w:t>Evidence of</w:t>
      </w:r>
      <w:r w:rsidR="00A26B6F" w:rsidRPr="00A26B6F">
        <w:rPr>
          <w:bCs/>
          <w:sz w:val="22"/>
          <w:szCs w:val="22"/>
        </w:rPr>
        <w:t xml:space="preserve"> organisational capacity and project management skills to deliver the project in the specifi</w:t>
      </w:r>
      <w:r w:rsidR="00786759">
        <w:rPr>
          <w:bCs/>
          <w:sz w:val="22"/>
          <w:szCs w:val="22"/>
        </w:rPr>
        <w:t>ed timescales.</w:t>
      </w:r>
    </w:p>
    <w:p w14:paraId="25217102" w14:textId="0D7C92AB" w:rsidR="00A26B6F" w:rsidRDefault="00A26B6F" w:rsidP="00786759">
      <w:pPr>
        <w:pStyle w:val="ListParagraph"/>
        <w:numPr>
          <w:ilvl w:val="0"/>
          <w:numId w:val="21"/>
        </w:numPr>
      </w:pPr>
      <w:r>
        <w:t>Evidence of success in engaging teachers</w:t>
      </w:r>
      <w:r w:rsidR="00786759">
        <w:t xml:space="preserve">, </w:t>
      </w:r>
      <w:proofErr w:type="spellStart"/>
      <w:r w:rsidR="00786759">
        <w:t>headteachers</w:t>
      </w:r>
      <w:proofErr w:type="spellEnd"/>
      <w:r w:rsidR="00786759">
        <w:t xml:space="preserve"> and schools </w:t>
      </w:r>
      <w:r>
        <w:t>in both qualitative and quantitative research,</w:t>
      </w:r>
      <w:r w:rsidR="00A17B09">
        <w:t xml:space="preserve"> and</w:t>
      </w:r>
      <w:r>
        <w:t xml:space="preserve"> achieving high respo</w:t>
      </w:r>
      <w:r w:rsidR="00B86C5D">
        <w:t>n</w:t>
      </w:r>
      <w:r>
        <w:t>se/engagement rates.</w:t>
      </w:r>
    </w:p>
    <w:p w14:paraId="0EF918AB" w14:textId="152DC6D0" w:rsidR="00A26B6F" w:rsidRDefault="00A26B6F" w:rsidP="00A26B6F">
      <w:pPr>
        <w:pStyle w:val="ListParagraph"/>
        <w:numPr>
          <w:ilvl w:val="0"/>
          <w:numId w:val="21"/>
        </w:numPr>
      </w:pPr>
      <w:r>
        <w:lastRenderedPageBreak/>
        <w:t>K</w:t>
      </w:r>
      <w:r w:rsidR="00786759">
        <w:t xml:space="preserve">nowledge of teacher supply, </w:t>
      </w:r>
      <w:r>
        <w:t>recruitment</w:t>
      </w:r>
      <w:r w:rsidR="00786759">
        <w:t xml:space="preserve"> and retention</w:t>
      </w:r>
      <w:r>
        <w:t xml:space="preserve"> issues</w:t>
      </w:r>
      <w:r w:rsidR="00A17B09">
        <w:t>, in</w:t>
      </w:r>
      <w:r w:rsidR="009305D5">
        <w:t xml:space="preserve"> addition to </w:t>
      </w:r>
      <w:r w:rsidR="00A17B09">
        <w:t>an understanding of flexible working practices</w:t>
      </w:r>
      <w:r w:rsidR="009305D5">
        <w:t>, including in related sectors</w:t>
      </w:r>
      <w:r w:rsidR="00A17B09">
        <w:t>.</w:t>
      </w:r>
    </w:p>
    <w:p w14:paraId="053421C8" w14:textId="287C01D6" w:rsidR="00A26B6F" w:rsidRPr="00A26B6F" w:rsidRDefault="00A26B6F" w:rsidP="00A26B6F">
      <w:pPr>
        <w:pStyle w:val="Default"/>
        <w:rPr>
          <w:bCs/>
          <w:sz w:val="22"/>
          <w:szCs w:val="22"/>
        </w:rPr>
      </w:pPr>
    </w:p>
    <w:p w14:paraId="3C0097F9" w14:textId="77777777" w:rsidR="00794863" w:rsidRDefault="00794863" w:rsidP="00794863">
      <w:pPr>
        <w:pStyle w:val="Default"/>
        <w:rPr>
          <w:bCs/>
          <w:sz w:val="22"/>
          <w:szCs w:val="22"/>
        </w:rPr>
      </w:pPr>
      <w:r>
        <w:rPr>
          <w:bCs/>
          <w:sz w:val="22"/>
          <w:szCs w:val="22"/>
        </w:rPr>
        <w:t>Scoring</w:t>
      </w:r>
    </w:p>
    <w:p w14:paraId="7DD30CA3" w14:textId="77777777" w:rsidR="00794863" w:rsidRDefault="00794863" w:rsidP="00794863">
      <w:pPr>
        <w:pStyle w:val="Default"/>
        <w:rPr>
          <w:bCs/>
          <w:sz w:val="22"/>
          <w:szCs w:val="22"/>
        </w:rPr>
      </w:pPr>
    </w:p>
    <w:p w14:paraId="2498B99C" w14:textId="77777777" w:rsidR="00794863" w:rsidRDefault="00794863" w:rsidP="00794863">
      <w:pPr>
        <w:pStyle w:val="Default"/>
        <w:numPr>
          <w:ilvl w:val="0"/>
          <w:numId w:val="22"/>
        </w:numPr>
        <w:rPr>
          <w:bCs/>
          <w:sz w:val="22"/>
          <w:szCs w:val="22"/>
        </w:rPr>
      </w:pPr>
      <w:r w:rsidRPr="00C13E31">
        <w:rPr>
          <w:bCs/>
          <w:sz w:val="22"/>
          <w:szCs w:val="22"/>
        </w:rPr>
        <w:t>No evidence/very poor</w:t>
      </w:r>
    </w:p>
    <w:p w14:paraId="12155AD5" w14:textId="77777777" w:rsidR="00794863" w:rsidRDefault="00794863" w:rsidP="00794863">
      <w:pPr>
        <w:pStyle w:val="Default"/>
        <w:numPr>
          <w:ilvl w:val="0"/>
          <w:numId w:val="22"/>
        </w:numPr>
        <w:rPr>
          <w:bCs/>
          <w:sz w:val="22"/>
          <w:szCs w:val="22"/>
        </w:rPr>
      </w:pPr>
      <w:r w:rsidRPr="00C13E31">
        <w:rPr>
          <w:bCs/>
          <w:sz w:val="22"/>
          <w:szCs w:val="22"/>
        </w:rPr>
        <w:t>Poor evidence</w:t>
      </w:r>
    </w:p>
    <w:p w14:paraId="584A69F4" w14:textId="77777777" w:rsidR="00794863" w:rsidRDefault="00794863" w:rsidP="00794863">
      <w:pPr>
        <w:pStyle w:val="Default"/>
        <w:numPr>
          <w:ilvl w:val="0"/>
          <w:numId w:val="22"/>
        </w:numPr>
        <w:rPr>
          <w:bCs/>
          <w:sz w:val="22"/>
          <w:szCs w:val="22"/>
        </w:rPr>
      </w:pPr>
      <w:r w:rsidRPr="00C13E31">
        <w:rPr>
          <w:bCs/>
          <w:sz w:val="22"/>
          <w:szCs w:val="22"/>
        </w:rPr>
        <w:t>Some evidence</w:t>
      </w:r>
    </w:p>
    <w:p w14:paraId="39CFA7E8" w14:textId="77777777" w:rsidR="00794863" w:rsidRDefault="00794863" w:rsidP="00794863">
      <w:pPr>
        <w:pStyle w:val="Default"/>
        <w:numPr>
          <w:ilvl w:val="0"/>
          <w:numId w:val="22"/>
        </w:numPr>
        <w:rPr>
          <w:bCs/>
          <w:sz w:val="22"/>
          <w:szCs w:val="22"/>
        </w:rPr>
      </w:pPr>
      <w:r w:rsidRPr="00C13E31">
        <w:rPr>
          <w:bCs/>
          <w:sz w:val="22"/>
          <w:szCs w:val="22"/>
        </w:rPr>
        <w:t>Good evidence</w:t>
      </w:r>
    </w:p>
    <w:p w14:paraId="6E694931" w14:textId="77777777" w:rsidR="00794863" w:rsidRPr="00C13E31" w:rsidRDefault="00794863" w:rsidP="00794863">
      <w:pPr>
        <w:pStyle w:val="Default"/>
        <w:numPr>
          <w:ilvl w:val="0"/>
          <w:numId w:val="22"/>
        </w:numPr>
        <w:rPr>
          <w:bCs/>
          <w:sz w:val="22"/>
          <w:szCs w:val="22"/>
        </w:rPr>
      </w:pPr>
      <w:r w:rsidRPr="00C13E31">
        <w:rPr>
          <w:bCs/>
          <w:sz w:val="22"/>
          <w:szCs w:val="22"/>
        </w:rPr>
        <w:t>Excellent evidence</w:t>
      </w:r>
    </w:p>
    <w:p w14:paraId="5829DBCE" w14:textId="77777777" w:rsidR="00794863" w:rsidRDefault="00794863" w:rsidP="00915C18"/>
    <w:p w14:paraId="58E2432E" w14:textId="77777777" w:rsidR="00794863" w:rsidRPr="00C13E31" w:rsidRDefault="00794863" w:rsidP="00794863">
      <w:pPr>
        <w:pStyle w:val="Default"/>
        <w:spacing w:before="240" w:after="100" w:afterAutospacing="1" w:line="288" w:lineRule="auto"/>
        <w:rPr>
          <w:sz w:val="22"/>
          <w:szCs w:val="22"/>
        </w:rPr>
      </w:pPr>
      <w:r w:rsidRPr="00C13E31">
        <w:rPr>
          <w:b/>
          <w:bCs/>
          <w:sz w:val="22"/>
          <w:szCs w:val="22"/>
        </w:rPr>
        <w:t xml:space="preserve">Each one of these criteria has equal weighting. </w:t>
      </w:r>
    </w:p>
    <w:p w14:paraId="7B381147" w14:textId="7D57B653" w:rsidR="00794863" w:rsidRPr="00915C18" w:rsidRDefault="00794863" w:rsidP="00786759">
      <w:pPr>
        <w:pStyle w:val="Default"/>
        <w:spacing w:before="240" w:after="100" w:afterAutospacing="1" w:line="288" w:lineRule="auto"/>
      </w:pPr>
      <w:r w:rsidRPr="00C13E31">
        <w:rPr>
          <w:sz w:val="22"/>
          <w:szCs w:val="22"/>
        </w:rPr>
        <w:t xml:space="preserve">Expressions of interests submitted must be no more than </w:t>
      </w:r>
      <w:r w:rsidRPr="009D715E">
        <w:rPr>
          <w:sz w:val="22"/>
          <w:szCs w:val="22"/>
        </w:rPr>
        <w:t>1,000 words</w:t>
      </w:r>
      <w:r w:rsidRPr="00C13E31">
        <w:rPr>
          <w:sz w:val="22"/>
          <w:szCs w:val="22"/>
        </w:rPr>
        <w:t xml:space="preserve"> – anyth</w:t>
      </w:r>
      <w:r>
        <w:rPr>
          <w:sz w:val="22"/>
          <w:szCs w:val="22"/>
        </w:rPr>
        <w:t>ing longer will be disregarded.</w:t>
      </w:r>
      <w:r w:rsidR="00C90892">
        <w:rPr>
          <w:sz w:val="22"/>
          <w:szCs w:val="22"/>
        </w:rPr>
        <w:t xml:space="preserve"> Please note that any references must be included within the above word count.</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3257D3AB"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0FBBB44" w14:textId="4B740325" w:rsidR="00915C18" w:rsidRDefault="00915C18" w:rsidP="00915C18">
            <w:pPr>
              <w:spacing w:before="160"/>
              <w:rPr>
                <w:b/>
                <w:bCs/>
                <w:sz w:val="28"/>
                <w:szCs w:val="20"/>
              </w:rPr>
            </w:pPr>
            <w:r w:rsidRPr="00915C18">
              <w:rPr>
                <w:b/>
                <w:bCs/>
                <w:sz w:val="28"/>
                <w:szCs w:val="20"/>
              </w:rPr>
              <w:t xml:space="preserve">Closing date for </w:t>
            </w:r>
            <w:r w:rsidRPr="00231BD1">
              <w:rPr>
                <w:b/>
                <w:bCs/>
                <w:sz w:val="28"/>
                <w:szCs w:val="20"/>
              </w:rPr>
              <w:t>EOIs:</w:t>
            </w:r>
            <w:r w:rsidR="00794863" w:rsidRPr="00231BD1">
              <w:rPr>
                <w:b/>
                <w:bCs/>
                <w:sz w:val="28"/>
                <w:szCs w:val="20"/>
              </w:rPr>
              <w:t xml:space="preserve"> </w:t>
            </w:r>
            <w:r w:rsidR="00682DDD" w:rsidRPr="00231BD1">
              <w:rPr>
                <w:b/>
                <w:bCs/>
                <w:sz w:val="28"/>
                <w:szCs w:val="20"/>
              </w:rPr>
              <w:t xml:space="preserve">4pm </w:t>
            </w:r>
            <w:r w:rsidR="007D18C8" w:rsidRPr="00231BD1">
              <w:rPr>
                <w:b/>
                <w:bCs/>
                <w:sz w:val="28"/>
                <w:szCs w:val="20"/>
              </w:rPr>
              <w:t>4</w:t>
            </w:r>
            <w:r w:rsidR="007D18C8" w:rsidRPr="00231BD1">
              <w:rPr>
                <w:b/>
                <w:bCs/>
                <w:sz w:val="28"/>
                <w:szCs w:val="20"/>
                <w:vertAlign w:val="superscript"/>
              </w:rPr>
              <w:t>th</w:t>
            </w:r>
            <w:r w:rsidR="007D18C8" w:rsidRPr="00231BD1">
              <w:rPr>
                <w:b/>
                <w:bCs/>
                <w:sz w:val="28"/>
                <w:szCs w:val="20"/>
              </w:rPr>
              <w:t xml:space="preserve"> June</w:t>
            </w:r>
            <w:r w:rsidR="005E3330" w:rsidRPr="00231BD1">
              <w:rPr>
                <w:b/>
                <w:bCs/>
                <w:sz w:val="28"/>
                <w:szCs w:val="20"/>
              </w:rPr>
              <w:t xml:space="preserve"> 2018</w:t>
            </w:r>
          </w:p>
          <w:p w14:paraId="444BFDE3" w14:textId="19CAF4AB" w:rsidR="00A85EBD" w:rsidRDefault="00915C18" w:rsidP="005E3330">
            <w:pPr>
              <w:rPr>
                <w:rFonts w:ascii="Calibri" w:hAnsi="Calibri"/>
              </w:rPr>
            </w:pPr>
            <w:r w:rsidRPr="00915C18">
              <w:rPr>
                <w:b/>
                <w:bCs/>
                <w:sz w:val="28"/>
                <w:szCs w:val="20"/>
              </w:rPr>
              <w:t>Send your EOI form to:</w:t>
            </w:r>
            <w:r w:rsidR="00794863">
              <w:rPr>
                <w:b/>
                <w:bCs/>
                <w:sz w:val="28"/>
                <w:szCs w:val="20"/>
              </w:rPr>
              <w:t xml:space="preserve"> </w:t>
            </w:r>
            <w:hyperlink r:id="rId17" w:history="1">
              <w:r w:rsidR="00B86C5D" w:rsidRPr="00B86C5D">
                <w:rPr>
                  <w:rStyle w:val="Hyperlink"/>
                  <w:b/>
                  <w:sz w:val="28"/>
                  <w:szCs w:val="28"/>
                </w:rPr>
                <w:t>Mary.ROBERTS@education.gov.uk</w:t>
              </w:r>
            </w:hyperlink>
            <w:r w:rsidR="005E3330">
              <w:t xml:space="preserve"> </w:t>
            </w:r>
            <w:r w:rsidR="005E3330">
              <w:rPr>
                <w:b/>
                <w:sz w:val="28"/>
                <w:szCs w:val="28"/>
              </w:rPr>
              <w:t xml:space="preserve">cc: </w:t>
            </w:r>
            <w:hyperlink r:id="rId18" w:history="1">
              <w:r w:rsidR="005E3330" w:rsidRPr="00DF63FF">
                <w:rPr>
                  <w:rStyle w:val="Hyperlink"/>
                  <w:b/>
                  <w:sz w:val="28"/>
                  <w:szCs w:val="28"/>
                </w:rPr>
                <w:t>Jobshare.MACKENZIE-PEACHEY@education.gov.uk</w:t>
              </w:r>
            </w:hyperlink>
            <w:r w:rsidR="005E3330">
              <w:rPr>
                <w:b/>
                <w:sz w:val="28"/>
                <w:szCs w:val="28"/>
              </w:rPr>
              <w:t xml:space="preserve"> </w:t>
            </w:r>
          </w:p>
        </w:tc>
      </w:tr>
    </w:tbl>
    <w:p w14:paraId="6E6017AB" w14:textId="77777777" w:rsidR="00794863" w:rsidRPr="003E05F9" w:rsidRDefault="00794863" w:rsidP="00794863">
      <w:pPr>
        <w:pStyle w:val="Heading2"/>
      </w:pPr>
      <w:r>
        <w:t>H</w:t>
      </w:r>
      <w:r w:rsidRPr="003E05F9">
        <w:t xml:space="preserve">ow to submit an </w:t>
      </w:r>
      <w:r w:rsidRPr="00094338">
        <w:t>e</w:t>
      </w:r>
      <w:r>
        <w:t>x</w:t>
      </w:r>
      <w:r w:rsidRPr="00094338">
        <w:t>pressions of interest</w:t>
      </w:r>
    </w:p>
    <w:p w14:paraId="7778DF13" w14:textId="77777777" w:rsidR="00794863" w:rsidRDefault="00794863" w:rsidP="00794863">
      <w:r>
        <w:t xml:space="preserve">You must submit an expression of interest (EOI) in order to be considered to be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7312C1BA" w14:textId="77777777" w:rsidR="005A0891" w:rsidRDefault="00794863" w:rsidP="00814CCF">
      <w:r>
        <w:t xml:space="preserve">All contracts are let on the basis of the </w:t>
      </w:r>
      <w:hyperlink r:id="rId19"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319EF714" w14:textId="77777777" w:rsidR="00786759" w:rsidRDefault="00786759" w:rsidP="00814CCF"/>
    <w:p w14:paraId="3A799382" w14:textId="3C93E08F" w:rsidR="005D3B59" w:rsidRPr="00531385" w:rsidRDefault="00C2496D" w:rsidP="005D3B59">
      <w:r w:rsidRPr="00995398">
        <w:t>©</w:t>
      </w:r>
      <w:r w:rsidR="005D3B59" w:rsidRPr="005D3B59">
        <w:t xml:space="preserve"> </w:t>
      </w:r>
      <w:r w:rsidR="00EE71A2">
        <w:t xml:space="preserve">Crown copyright </w:t>
      </w:r>
      <w:r w:rsidR="00794863" w:rsidRPr="00786759">
        <w:t>201</w:t>
      </w:r>
      <w:r w:rsidR="00B162FA">
        <w:t>8</w:t>
      </w:r>
    </w:p>
    <w:sectPr w:rsidR="005D3B59" w:rsidRPr="00531385" w:rsidSect="00622501">
      <w:footerReference w:type="default" r:id="rId20"/>
      <w:footerReference w:type="first" r:id="rId21"/>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2D1F2" w14:textId="77777777" w:rsidR="00C95A2D" w:rsidRDefault="00C95A2D" w:rsidP="002B6D93">
      <w:r>
        <w:separator/>
      </w:r>
    </w:p>
    <w:p w14:paraId="669CF9D1" w14:textId="77777777" w:rsidR="00C95A2D" w:rsidRDefault="00C95A2D"/>
  </w:endnote>
  <w:endnote w:type="continuationSeparator" w:id="0">
    <w:p w14:paraId="48E8001E" w14:textId="77777777" w:rsidR="00C95A2D" w:rsidRDefault="00C95A2D" w:rsidP="002B6D93">
      <w:r>
        <w:continuationSeparator/>
      </w:r>
    </w:p>
    <w:p w14:paraId="07596B8C" w14:textId="77777777" w:rsidR="00C95A2D" w:rsidRDefault="00C95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168B94D4" w14:textId="7F19F4FD" w:rsidR="009906B4" w:rsidRDefault="009906B4"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9A5505">
          <w:rPr>
            <w:noProof/>
          </w:rPr>
          <w:t>3</w:t>
        </w:r>
        <w:r>
          <w:rPr>
            <w:noProof/>
          </w:rPr>
          <w:fldChar w:fldCharType="end"/>
        </w:r>
      </w:p>
    </w:sdtContent>
  </w:sdt>
  <w:p w14:paraId="03D94231" w14:textId="77777777" w:rsidR="009906B4" w:rsidRDefault="009906B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7817F" w14:textId="330E2E2D" w:rsidR="009906B4" w:rsidRPr="006E6ADB" w:rsidRDefault="009906B4" w:rsidP="004A3626">
    <w:pPr>
      <w:tabs>
        <w:tab w:val="left" w:pos="7088"/>
      </w:tabs>
      <w:spacing w:before="240"/>
      <w:rPr>
        <w:szCs w:val="20"/>
      </w:rPr>
    </w:pPr>
    <w:r w:rsidRPr="006E6ADB">
      <w:rPr>
        <w:szCs w:val="20"/>
      </w:rPr>
      <w:tab/>
      <w:t xml:space="preserve">Published: </w:t>
    </w:r>
    <w:r w:rsidR="00AB7288">
      <w:rPr>
        <w:szCs w:val="20"/>
      </w:rPr>
      <w:t>March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0413D" w14:textId="77777777" w:rsidR="00C95A2D" w:rsidRDefault="00C95A2D" w:rsidP="002B6D93">
      <w:r>
        <w:separator/>
      </w:r>
    </w:p>
    <w:p w14:paraId="48F38306" w14:textId="77777777" w:rsidR="00C95A2D" w:rsidRDefault="00C95A2D"/>
  </w:footnote>
  <w:footnote w:type="continuationSeparator" w:id="0">
    <w:p w14:paraId="4383E2DD" w14:textId="77777777" w:rsidR="00C95A2D" w:rsidRDefault="00C95A2D" w:rsidP="002B6D93">
      <w:r>
        <w:continuationSeparator/>
      </w:r>
    </w:p>
    <w:p w14:paraId="35A301B7" w14:textId="77777777" w:rsidR="00C95A2D" w:rsidRDefault="00C95A2D"/>
  </w:footnote>
  <w:footnote w:id="1">
    <w:p w14:paraId="42FCEB39" w14:textId="0A395009" w:rsidR="00305030" w:rsidRDefault="00305030">
      <w:pPr>
        <w:pStyle w:val="FootnoteText"/>
      </w:pPr>
      <w:r>
        <w:rPr>
          <w:rStyle w:val="FootnoteReference"/>
        </w:rPr>
        <w:footnoteRef/>
      </w:r>
      <w:r>
        <w:t xml:space="preserve"> See here: </w:t>
      </w:r>
      <w:hyperlink r:id="rId1" w:history="1">
        <w:r w:rsidRPr="00DF63FF">
          <w:rPr>
            <w:rStyle w:val="Hyperlink"/>
            <w:sz w:val="20"/>
          </w:rPr>
          <w:t>https://www.gov.uk/government/statistics/school-workforce-in-england-november-2016</w:t>
        </w:r>
      </w:hyperlink>
      <w:r>
        <w:t xml:space="preserve"> </w:t>
      </w:r>
    </w:p>
  </w:footnote>
  <w:footnote w:id="2">
    <w:p w14:paraId="41517EBB" w14:textId="30986077" w:rsidR="00305030" w:rsidRDefault="00305030">
      <w:pPr>
        <w:pStyle w:val="FootnoteText"/>
      </w:pPr>
      <w:r>
        <w:rPr>
          <w:rStyle w:val="FootnoteReference"/>
        </w:rPr>
        <w:footnoteRef/>
      </w:r>
      <w:r>
        <w:t xml:space="preserve"> See, for example, the NFER Teacher Voice Omnibus Survey </w:t>
      </w:r>
      <w:r w:rsidR="0057221C">
        <w:t xml:space="preserve">published in January 2017: </w:t>
      </w:r>
      <w:hyperlink r:id="rId2" w:history="1">
        <w:r w:rsidR="0057221C" w:rsidRPr="00DF63FF">
          <w:rPr>
            <w:rStyle w:val="Hyperlink"/>
            <w:sz w:val="20"/>
          </w:rPr>
          <w:t>https://www.gov.uk/government/uploads/system/uploads/attachment_data/file/584503/Teacher_Voice_Summer_2016_Report_Final.pdf</w:t>
        </w:r>
      </w:hyperlink>
      <w:r w:rsidR="0057221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DCC597C"/>
    <w:multiLevelType w:val="hybridMultilevel"/>
    <w:tmpl w:val="678E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2671DF"/>
    <w:multiLevelType w:val="hybridMultilevel"/>
    <w:tmpl w:val="7728C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73082A"/>
    <w:multiLevelType w:val="hybridMultilevel"/>
    <w:tmpl w:val="961AD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4D9"/>
    <w:multiLevelType w:val="hybridMultilevel"/>
    <w:tmpl w:val="E9FAAE9C"/>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2C5CCB"/>
    <w:multiLevelType w:val="hybridMultilevel"/>
    <w:tmpl w:val="95D6DED0"/>
    <w:lvl w:ilvl="0" w:tplc="8F3450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39C456E"/>
    <w:multiLevelType w:val="hybridMultilevel"/>
    <w:tmpl w:val="829865A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0" w15:restartNumberingAfterBreak="0">
    <w:nsid w:val="65F2482E"/>
    <w:multiLevelType w:val="hybridMultilevel"/>
    <w:tmpl w:val="BB60F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9"/>
  </w:num>
  <w:num w:numId="4">
    <w:abstractNumId w:val="13"/>
  </w:num>
  <w:num w:numId="5">
    <w:abstractNumId w:val="7"/>
  </w:num>
  <w:num w:numId="6">
    <w:abstractNumId w:val="16"/>
  </w:num>
  <w:num w:numId="7">
    <w:abstractNumId w:val="3"/>
  </w:num>
  <w:num w:numId="8">
    <w:abstractNumId w:val="1"/>
  </w:num>
  <w:num w:numId="9">
    <w:abstractNumId w:val="0"/>
  </w:num>
  <w:num w:numId="10">
    <w:abstractNumId w:val="17"/>
  </w:num>
  <w:num w:numId="11">
    <w:abstractNumId w:val="16"/>
  </w:num>
  <w:num w:numId="12">
    <w:abstractNumId w:val="22"/>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2"/>
  </w:num>
  <w:num w:numId="18">
    <w:abstractNumId w:val="14"/>
  </w:num>
  <w:num w:numId="19">
    <w:abstractNumId w:val="9"/>
  </w:num>
  <w:num w:numId="20">
    <w:abstractNumId w:val="11"/>
  </w:num>
  <w:num w:numId="21">
    <w:abstractNumId w:val="8"/>
  </w:num>
  <w:num w:numId="22">
    <w:abstractNumId w:val="10"/>
  </w:num>
  <w:num w:numId="23">
    <w:abstractNumId w:val="15"/>
  </w:num>
  <w:num w:numId="24">
    <w:abstractNumId w:val="18"/>
  </w:num>
  <w:num w:numId="25">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36865">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011B"/>
    <w:rsid w:val="00057100"/>
    <w:rsid w:val="00065E86"/>
    <w:rsid w:val="00066B1C"/>
    <w:rsid w:val="000720CD"/>
    <w:rsid w:val="00083A73"/>
    <w:rsid w:val="00094338"/>
    <w:rsid w:val="000966A3"/>
    <w:rsid w:val="000A10F4"/>
    <w:rsid w:val="000B3DE0"/>
    <w:rsid w:val="000D1D30"/>
    <w:rsid w:val="000D4433"/>
    <w:rsid w:val="000E3350"/>
    <w:rsid w:val="000F73F3"/>
    <w:rsid w:val="00103E77"/>
    <w:rsid w:val="00104AF1"/>
    <w:rsid w:val="0011494F"/>
    <w:rsid w:val="00121C6C"/>
    <w:rsid w:val="00122A8C"/>
    <w:rsid w:val="001264D9"/>
    <w:rsid w:val="001272A9"/>
    <w:rsid w:val="00133075"/>
    <w:rsid w:val="00144F38"/>
    <w:rsid w:val="00145B3A"/>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1BD1"/>
    <w:rsid w:val="002332F8"/>
    <w:rsid w:val="00234F75"/>
    <w:rsid w:val="00240F4B"/>
    <w:rsid w:val="0025100D"/>
    <w:rsid w:val="002575C5"/>
    <w:rsid w:val="002639B5"/>
    <w:rsid w:val="0027231C"/>
    <w:rsid w:val="0027252F"/>
    <w:rsid w:val="002839B5"/>
    <w:rsid w:val="00287788"/>
    <w:rsid w:val="002A28F7"/>
    <w:rsid w:val="002A3153"/>
    <w:rsid w:val="002A5858"/>
    <w:rsid w:val="002B27B0"/>
    <w:rsid w:val="002B6D93"/>
    <w:rsid w:val="002C34D4"/>
    <w:rsid w:val="002C3AA4"/>
    <w:rsid w:val="002E463F"/>
    <w:rsid w:val="002E4E9A"/>
    <w:rsid w:val="002E508B"/>
    <w:rsid w:val="002E5F9F"/>
    <w:rsid w:val="002E7849"/>
    <w:rsid w:val="002F7128"/>
    <w:rsid w:val="00300F99"/>
    <w:rsid w:val="00305030"/>
    <w:rsid w:val="00342F8B"/>
    <w:rsid w:val="00361752"/>
    <w:rsid w:val="00374981"/>
    <w:rsid w:val="003810D8"/>
    <w:rsid w:val="003853A4"/>
    <w:rsid w:val="00395F32"/>
    <w:rsid w:val="0039725F"/>
    <w:rsid w:val="003A1CC2"/>
    <w:rsid w:val="003C60B5"/>
    <w:rsid w:val="003D1EFE"/>
    <w:rsid w:val="003D225D"/>
    <w:rsid w:val="003E1329"/>
    <w:rsid w:val="003E3ED2"/>
    <w:rsid w:val="00400E1D"/>
    <w:rsid w:val="00403D1C"/>
    <w:rsid w:val="004216FF"/>
    <w:rsid w:val="004242C5"/>
    <w:rsid w:val="004339FB"/>
    <w:rsid w:val="004509BE"/>
    <w:rsid w:val="00456560"/>
    <w:rsid w:val="00470223"/>
    <w:rsid w:val="004866AD"/>
    <w:rsid w:val="004A3626"/>
    <w:rsid w:val="004A3E98"/>
    <w:rsid w:val="004A600B"/>
    <w:rsid w:val="004B08AC"/>
    <w:rsid w:val="004B3F6D"/>
    <w:rsid w:val="004C5600"/>
    <w:rsid w:val="004D13A3"/>
    <w:rsid w:val="004D73C6"/>
    <w:rsid w:val="004E5405"/>
    <w:rsid w:val="004E6CD9"/>
    <w:rsid w:val="004F20E3"/>
    <w:rsid w:val="004F211A"/>
    <w:rsid w:val="004F3159"/>
    <w:rsid w:val="004F4AEF"/>
    <w:rsid w:val="00513EAF"/>
    <w:rsid w:val="005247AD"/>
    <w:rsid w:val="005360B7"/>
    <w:rsid w:val="00536E0B"/>
    <w:rsid w:val="0053755F"/>
    <w:rsid w:val="005535E5"/>
    <w:rsid w:val="00560451"/>
    <w:rsid w:val="00567923"/>
    <w:rsid w:val="0057221C"/>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B59"/>
    <w:rsid w:val="005E3024"/>
    <w:rsid w:val="005E3330"/>
    <w:rsid w:val="005F107C"/>
    <w:rsid w:val="0060425E"/>
    <w:rsid w:val="0060702F"/>
    <w:rsid w:val="006108B3"/>
    <w:rsid w:val="00622501"/>
    <w:rsid w:val="006237FB"/>
    <w:rsid w:val="0062451E"/>
    <w:rsid w:val="0063281A"/>
    <w:rsid w:val="00635D57"/>
    <w:rsid w:val="00636C6A"/>
    <w:rsid w:val="00640032"/>
    <w:rsid w:val="006418B2"/>
    <w:rsid w:val="00642404"/>
    <w:rsid w:val="00647EFA"/>
    <w:rsid w:val="00652973"/>
    <w:rsid w:val="00653AA1"/>
    <w:rsid w:val="006558CA"/>
    <w:rsid w:val="00657E79"/>
    <w:rsid w:val="006606F5"/>
    <w:rsid w:val="00670ADC"/>
    <w:rsid w:val="0067185E"/>
    <w:rsid w:val="00671D5B"/>
    <w:rsid w:val="006775FA"/>
    <w:rsid w:val="00682DDD"/>
    <w:rsid w:val="00684973"/>
    <w:rsid w:val="0068544D"/>
    <w:rsid w:val="00695D08"/>
    <w:rsid w:val="006A27AA"/>
    <w:rsid w:val="006A3602"/>
    <w:rsid w:val="006A7630"/>
    <w:rsid w:val="006B1F9F"/>
    <w:rsid w:val="006B2E85"/>
    <w:rsid w:val="006C382D"/>
    <w:rsid w:val="006D1162"/>
    <w:rsid w:val="006E6ADB"/>
    <w:rsid w:val="006E7F39"/>
    <w:rsid w:val="006F0BCF"/>
    <w:rsid w:val="006F1F96"/>
    <w:rsid w:val="00700B01"/>
    <w:rsid w:val="00702EBF"/>
    <w:rsid w:val="00703ADE"/>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86759"/>
    <w:rsid w:val="00794863"/>
    <w:rsid w:val="00794F29"/>
    <w:rsid w:val="007A2250"/>
    <w:rsid w:val="007A5759"/>
    <w:rsid w:val="007B3CFE"/>
    <w:rsid w:val="007C19E4"/>
    <w:rsid w:val="007C41A5"/>
    <w:rsid w:val="007C58BE"/>
    <w:rsid w:val="007D080B"/>
    <w:rsid w:val="007D18C8"/>
    <w:rsid w:val="007E0083"/>
    <w:rsid w:val="00814CCF"/>
    <w:rsid w:val="00816372"/>
    <w:rsid w:val="00816E77"/>
    <w:rsid w:val="00823CB8"/>
    <w:rsid w:val="00831263"/>
    <w:rsid w:val="00831DB7"/>
    <w:rsid w:val="00832EBF"/>
    <w:rsid w:val="008366CB"/>
    <w:rsid w:val="00837F3A"/>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A0"/>
    <w:rsid w:val="008B0DD1"/>
    <w:rsid w:val="008B3CD9"/>
    <w:rsid w:val="008B427B"/>
    <w:rsid w:val="008B6009"/>
    <w:rsid w:val="008C46DC"/>
    <w:rsid w:val="008D15AA"/>
    <w:rsid w:val="008D6968"/>
    <w:rsid w:val="008E3F07"/>
    <w:rsid w:val="008E5F36"/>
    <w:rsid w:val="008F2757"/>
    <w:rsid w:val="008F2E4F"/>
    <w:rsid w:val="008F7436"/>
    <w:rsid w:val="009055E4"/>
    <w:rsid w:val="00907DD2"/>
    <w:rsid w:val="00915C18"/>
    <w:rsid w:val="00917E9C"/>
    <w:rsid w:val="00926A3C"/>
    <w:rsid w:val="0093027C"/>
    <w:rsid w:val="009305D5"/>
    <w:rsid w:val="00934081"/>
    <w:rsid w:val="0094189B"/>
    <w:rsid w:val="00951C56"/>
    <w:rsid w:val="0095599F"/>
    <w:rsid w:val="00957C4D"/>
    <w:rsid w:val="009636A9"/>
    <w:rsid w:val="0096424B"/>
    <w:rsid w:val="009701C8"/>
    <w:rsid w:val="00972EFD"/>
    <w:rsid w:val="00986616"/>
    <w:rsid w:val="009906B4"/>
    <w:rsid w:val="00992764"/>
    <w:rsid w:val="00993E2A"/>
    <w:rsid w:val="00995398"/>
    <w:rsid w:val="009A01CA"/>
    <w:rsid w:val="009A5505"/>
    <w:rsid w:val="009B32FA"/>
    <w:rsid w:val="009C2C02"/>
    <w:rsid w:val="009C73CF"/>
    <w:rsid w:val="009E00AE"/>
    <w:rsid w:val="009E09D3"/>
    <w:rsid w:val="009E1235"/>
    <w:rsid w:val="009E6E74"/>
    <w:rsid w:val="009E7EE1"/>
    <w:rsid w:val="009E7F32"/>
    <w:rsid w:val="00A06A32"/>
    <w:rsid w:val="00A17B09"/>
    <w:rsid w:val="00A26B6F"/>
    <w:rsid w:val="00A30BA1"/>
    <w:rsid w:val="00A3251D"/>
    <w:rsid w:val="00A37DEE"/>
    <w:rsid w:val="00A433C3"/>
    <w:rsid w:val="00A43ECF"/>
    <w:rsid w:val="00A52244"/>
    <w:rsid w:val="00A54BB7"/>
    <w:rsid w:val="00A5643A"/>
    <w:rsid w:val="00A57128"/>
    <w:rsid w:val="00A5723C"/>
    <w:rsid w:val="00A707A4"/>
    <w:rsid w:val="00A7274B"/>
    <w:rsid w:val="00A73FB8"/>
    <w:rsid w:val="00A75086"/>
    <w:rsid w:val="00A763CB"/>
    <w:rsid w:val="00A801D1"/>
    <w:rsid w:val="00A81F69"/>
    <w:rsid w:val="00A85EBD"/>
    <w:rsid w:val="00AA3484"/>
    <w:rsid w:val="00AA6878"/>
    <w:rsid w:val="00AA7E7B"/>
    <w:rsid w:val="00AB6D0F"/>
    <w:rsid w:val="00AB7288"/>
    <w:rsid w:val="00AB7858"/>
    <w:rsid w:val="00AC61A6"/>
    <w:rsid w:val="00AD1BE5"/>
    <w:rsid w:val="00AD1DD2"/>
    <w:rsid w:val="00AD2062"/>
    <w:rsid w:val="00AD2F1D"/>
    <w:rsid w:val="00AE1E46"/>
    <w:rsid w:val="00AE41AA"/>
    <w:rsid w:val="00AE4296"/>
    <w:rsid w:val="00AF0989"/>
    <w:rsid w:val="00AF2191"/>
    <w:rsid w:val="00AF71E4"/>
    <w:rsid w:val="00AF785C"/>
    <w:rsid w:val="00B12F23"/>
    <w:rsid w:val="00B162FA"/>
    <w:rsid w:val="00B23E6A"/>
    <w:rsid w:val="00B336AF"/>
    <w:rsid w:val="00B3498C"/>
    <w:rsid w:val="00B43CAD"/>
    <w:rsid w:val="00B53333"/>
    <w:rsid w:val="00B55A49"/>
    <w:rsid w:val="00B64265"/>
    <w:rsid w:val="00B67F76"/>
    <w:rsid w:val="00B70EFF"/>
    <w:rsid w:val="00B7558C"/>
    <w:rsid w:val="00B818C3"/>
    <w:rsid w:val="00B86C5D"/>
    <w:rsid w:val="00B9194F"/>
    <w:rsid w:val="00BA003B"/>
    <w:rsid w:val="00BB05E2"/>
    <w:rsid w:val="00BD1111"/>
    <w:rsid w:val="00BD26B6"/>
    <w:rsid w:val="00BE01C6"/>
    <w:rsid w:val="00BE4DAC"/>
    <w:rsid w:val="00BF13F8"/>
    <w:rsid w:val="00BF63C5"/>
    <w:rsid w:val="00C01CA1"/>
    <w:rsid w:val="00C01CFF"/>
    <w:rsid w:val="00C026F2"/>
    <w:rsid w:val="00C02D89"/>
    <w:rsid w:val="00C15B78"/>
    <w:rsid w:val="00C1755F"/>
    <w:rsid w:val="00C2207B"/>
    <w:rsid w:val="00C22BA0"/>
    <w:rsid w:val="00C2496D"/>
    <w:rsid w:val="00C278D7"/>
    <w:rsid w:val="00C46129"/>
    <w:rsid w:val="00C4624B"/>
    <w:rsid w:val="00C529E8"/>
    <w:rsid w:val="00C5454B"/>
    <w:rsid w:val="00C6013F"/>
    <w:rsid w:val="00C71238"/>
    <w:rsid w:val="00C71561"/>
    <w:rsid w:val="00C76325"/>
    <w:rsid w:val="00C77236"/>
    <w:rsid w:val="00C8124F"/>
    <w:rsid w:val="00C81513"/>
    <w:rsid w:val="00C84637"/>
    <w:rsid w:val="00C90892"/>
    <w:rsid w:val="00C92AD3"/>
    <w:rsid w:val="00C95A2D"/>
    <w:rsid w:val="00CA1009"/>
    <w:rsid w:val="00CA1F32"/>
    <w:rsid w:val="00CA30B4"/>
    <w:rsid w:val="00CA610B"/>
    <w:rsid w:val="00CA72FC"/>
    <w:rsid w:val="00CB56F5"/>
    <w:rsid w:val="00CB6E04"/>
    <w:rsid w:val="00CC2512"/>
    <w:rsid w:val="00CC547F"/>
    <w:rsid w:val="00CC59AD"/>
    <w:rsid w:val="00CD5D21"/>
    <w:rsid w:val="00CE2652"/>
    <w:rsid w:val="00CE7906"/>
    <w:rsid w:val="00CF0E19"/>
    <w:rsid w:val="00D11353"/>
    <w:rsid w:val="00D27D9B"/>
    <w:rsid w:val="00D3696C"/>
    <w:rsid w:val="00D376DB"/>
    <w:rsid w:val="00D408A5"/>
    <w:rsid w:val="00D40DE9"/>
    <w:rsid w:val="00D41212"/>
    <w:rsid w:val="00D42B45"/>
    <w:rsid w:val="00D57EE0"/>
    <w:rsid w:val="00D60E86"/>
    <w:rsid w:val="00D636C9"/>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C7E4C"/>
    <w:rsid w:val="00DD3A4E"/>
    <w:rsid w:val="00DD51B7"/>
    <w:rsid w:val="00DD788A"/>
    <w:rsid w:val="00DE2205"/>
    <w:rsid w:val="00DE2A68"/>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232A"/>
    <w:rsid w:val="00EA4D1B"/>
    <w:rsid w:val="00EB1D11"/>
    <w:rsid w:val="00EC3DC1"/>
    <w:rsid w:val="00ED2F1C"/>
    <w:rsid w:val="00ED3D05"/>
    <w:rsid w:val="00EE64AE"/>
    <w:rsid w:val="00EE71A2"/>
    <w:rsid w:val="00F06445"/>
    <w:rsid w:val="00F07114"/>
    <w:rsid w:val="00F206A7"/>
    <w:rsid w:val="00F3105E"/>
    <w:rsid w:val="00F41591"/>
    <w:rsid w:val="00F41A63"/>
    <w:rsid w:val="00F45BEB"/>
    <w:rsid w:val="00F54523"/>
    <w:rsid w:val="00F54B50"/>
    <w:rsid w:val="00F72CC7"/>
    <w:rsid w:val="00F84544"/>
    <w:rsid w:val="00F85AA7"/>
    <w:rsid w:val="00F954FA"/>
    <w:rsid w:val="00F95B1F"/>
    <w:rsid w:val="00FA05B2"/>
    <w:rsid w:val="00FA68A7"/>
    <w:rsid w:val="00FC0C51"/>
    <w:rsid w:val="00FC2B3C"/>
    <w:rsid w:val="00FD1CD8"/>
    <w:rsid w:val="00FE1B88"/>
    <w:rsid w:val="00FF2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104f75,#260859,#004712,#8a2529,#c2a204,#e87d1e"/>
    </o:shapedefaults>
    <o:shapelayout v:ext="edit">
      <o:idmap v:ext="edit" data="1"/>
    </o:shapelayout>
  </w:shapeDefaults>
  <w:decimalSymbol w:val="."/>
  <w:listSeparator w:val=","/>
  <w14:docId w14:val="2A16584E"/>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semiHidden/>
    <w:unhideWhenUsed/>
    <w:rsid w:val="00144F38"/>
    <w:pPr>
      <w:spacing w:after="0" w:line="240" w:lineRule="auto"/>
    </w:pPr>
    <w:rPr>
      <w:sz w:val="20"/>
      <w:szCs w:val="20"/>
    </w:rPr>
  </w:style>
  <w:style w:type="character" w:customStyle="1" w:styleId="FootnoteTextChar">
    <w:name w:val="Footnote Text Char"/>
    <w:basedOn w:val="DefaultParagraphFont"/>
    <w:link w:val="FootnoteText"/>
    <w:semiHidden/>
    <w:rsid w:val="00144F38"/>
  </w:style>
  <w:style w:type="character" w:styleId="FootnoteReference">
    <w:name w:val="footnote reference"/>
    <w:basedOn w:val="DefaultParagraphFont"/>
    <w:semiHidden/>
    <w:unhideWhenUsed/>
    <w:rsid w:val="00144F38"/>
    <w:rPr>
      <w:vertAlign w:val="superscript"/>
    </w:rPr>
  </w:style>
  <w:style w:type="paragraph" w:styleId="BodyTextIndent">
    <w:name w:val="Body Text Indent"/>
    <w:basedOn w:val="Normal"/>
    <w:link w:val="BodyTextIndentChar"/>
    <w:unhideWhenUsed/>
    <w:rsid w:val="00305030"/>
    <w:pPr>
      <w:spacing w:after="120"/>
      <w:ind w:left="283"/>
    </w:pPr>
  </w:style>
  <w:style w:type="character" w:customStyle="1" w:styleId="BodyTextIndentChar">
    <w:name w:val="Body Text Indent Char"/>
    <w:basedOn w:val="DefaultParagraphFont"/>
    <w:link w:val="BodyTextIndent"/>
    <w:rsid w:val="0030503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Jobshare.MACKENZIE-PEACHEY@education.gov.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Mary.ROBERTS@education.gov.uk" TargetMode="External"/><Relationship Id="rId2" Type="http://schemas.openxmlformats.org/officeDocument/2006/relationships/customXml" Target="../customXml/item2.xml"/><Relationship Id="rId16" Type="http://schemas.openxmlformats.org/officeDocument/2006/relationships/hyperlink" Target="https://www.gov.uk/government/publications/increasing-flexible-working-in-schools/increasing-flexible-working-opportunities-in-school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flexible-working-in-schools"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gov.uk/government/publications/eoi-guid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flexible-working-in-school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uploads/system/uploads/attachment_data/file/584503/Teacher_Voice_Summer_2016_Report_Final.pdf" TargetMode="External"/><Relationship Id="rId1" Type="http://schemas.openxmlformats.org/officeDocument/2006/relationships/hyperlink" Target="https://www.gov.uk/government/statistics/school-workforce-in-england-november-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4B7DCE39-AB92-4048-BD16-472514B227E0}">
  <ds:schemaRefs>
    <ds:schemaRef ds:uri="1d8741c7-de4e-4a2d-a0c7-324270fb0e97"/>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6.xml><?xml version="1.0" encoding="utf-8"?>
<ds:datastoreItem xmlns:ds="http://schemas.openxmlformats.org/officeDocument/2006/customXml" ds:itemID="{AA4914CF-4140-45B6-93C0-64A7323D4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5160</Characters>
  <Application>Microsoft Office Word</Application>
  <DocSecurity>4</DocSecurity>
  <Lines>43</Lines>
  <Paragraphs>11</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5957</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HARDY, Louise</cp:lastModifiedBy>
  <cp:revision>2</cp:revision>
  <cp:lastPrinted>2013-07-11T10:35:00Z</cp:lastPrinted>
  <dcterms:created xsi:type="dcterms:W3CDTF">2018-05-24T07:10:00Z</dcterms:created>
  <dcterms:modified xsi:type="dcterms:W3CDTF">2018-05-24T07:10:00Z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