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56" w:rsidRDefault="009F347B" w:rsidP="00780EF6">
      <w:pPr>
        <w:pStyle w:val="Title"/>
        <w:spacing w:after="0"/>
        <w:contextualSpacing w:val="0"/>
      </w:pPr>
      <w:r>
        <w:t>Chemicals</w:t>
      </w:r>
    </w:p>
    <w:p w:rsidR="009F347B" w:rsidRDefault="00B02FC3" w:rsidP="00780EF6">
      <w:pPr>
        <w:pStyle w:val="Heading1"/>
        <w:spacing w:before="0"/>
      </w:pPr>
      <w:r>
        <w:t xml:space="preserve">Expression </w:t>
      </w:r>
      <w:proofErr w:type="gramStart"/>
      <w:r>
        <w:t>Of</w:t>
      </w:r>
      <w:proofErr w:type="gramEnd"/>
      <w:r>
        <w:t xml:space="preserve"> Interest</w:t>
      </w:r>
    </w:p>
    <w:p w:rsidR="00234177" w:rsidRDefault="00234177" w:rsidP="00780EF6">
      <w:pPr>
        <w:spacing w:after="0"/>
        <w:rPr>
          <w:rFonts w:ascii="Arial" w:hAnsi="Arial" w:cs="Arial"/>
          <w:sz w:val="24"/>
          <w:szCs w:val="24"/>
        </w:rPr>
      </w:pPr>
    </w:p>
    <w:p w:rsidR="00234177" w:rsidRDefault="00234177" w:rsidP="00780EF6">
      <w:pPr>
        <w:spacing w:after="0"/>
        <w:rPr>
          <w:rFonts w:ascii="Arial" w:hAnsi="Arial" w:cs="Arial"/>
          <w:sz w:val="24"/>
          <w:szCs w:val="24"/>
        </w:rPr>
      </w:pPr>
      <w:r w:rsidRPr="00234177">
        <w:rPr>
          <w:rFonts w:ascii="Arial" w:hAnsi="Arial" w:cs="Arial"/>
          <w:sz w:val="24"/>
          <w:szCs w:val="24"/>
        </w:rPr>
        <w:t xml:space="preserve">Team Leidos </w:t>
      </w:r>
      <w:r w:rsidR="00780EF6">
        <w:rPr>
          <w:rFonts w:ascii="Arial" w:hAnsi="Arial" w:cs="Arial"/>
          <w:sz w:val="24"/>
          <w:szCs w:val="24"/>
        </w:rPr>
        <w:t xml:space="preserve">(TL) </w:t>
      </w:r>
      <w:r w:rsidRPr="00234177">
        <w:rPr>
          <w:rFonts w:ascii="Arial" w:hAnsi="Arial" w:cs="Arial"/>
          <w:sz w:val="24"/>
          <w:szCs w:val="24"/>
        </w:rPr>
        <w:t>would like to make interested suppliers aware that it intends to i</w:t>
      </w:r>
      <w:r>
        <w:rPr>
          <w:rFonts w:ascii="Arial" w:hAnsi="Arial" w:cs="Arial"/>
          <w:sz w:val="24"/>
          <w:szCs w:val="24"/>
        </w:rPr>
        <w:t>nvite tenders for its Chemicals</w:t>
      </w:r>
      <w:r w:rsidR="00780EF6">
        <w:rPr>
          <w:rFonts w:ascii="Arial" w:hAnsi="Arial" w:cs="Arial"/>
          <w:sz w:val="24"/>
          <w:szCs w:val="24"/>
        </w:rPr>
        <w:t xml:space="preserve"> and related products</w:t>
      </w:r>
      <w:r w:rsidR="00B24F88">
        <w:rPr>
          <w:rFonts w:ascii="Arial" w:hAnsi="Arial" w:cs="Arial"/>
          <w:sz w:val="24"/>
          <w:szCs w:val="24"/>
        </w:rPr>
        <w:t xml:space="preserve">. </w:t>
      </w:r>
      <w:r w:rsidR="00780EF6">
        <w:rPr>
          <w:rFonts w:ascii="Arial" w:hAnsi="Arial" w:cs="Arial"/>
          <w:sz w:val="24"/>
          <w:szCs w:val="24"/>
        </w:rPr>
        <w:t xml:space="preserve"> </w:t>
      </w:r>
      <w:r w:rsidR="00780EF6" w:rsidRPr="00B73C82">
        <w:rPr>
          <w:rFonts w:ascii="Arial" w:hAnsi="Arial" w:cs="Arial"/>
          <w:sz w:val="24"/>
          <w:szCs w:val="24"/>
        </w:rPr>
        <w:t xml:space="preserve">This </w:t>
      </w:r>
      <w:r w:rsidR="00796D49">
        <w:rPr>
          <w:rFonts w:ascii="Arial" w:hAnsi="Arial" w:cs="Arial"/>
          <w:sz w:val="24"/>
          <w:szCs w:val="24"/>
        </w:rPr>
        <w:t xml:space="preserve">Expression </w:t>
      </w:r>
      <w:proofErr w:type="gramStart"/>
      <w:r w:rsidR="00796D49">
        <w:rPr>
          <w:rFonts w:ascii="Arial" w:hAnsi="Arial" w:cs="Arial"/>
          <w:sz w:val="24"/>
          <w:szCs w:val="24"/>
        </w:rPr>
        <w:t>Of</w:t>
      </w:r>
      <w:proofErr w:type="gramEnd"/>
      <w:r w:rsidR="00796D49">
        <w:rPr>
          <w:rFonts w:ascii="Arial" w:hAnsi="Arial" w:cs="Arial"/>
          <w:sz w:val="24"/>
          <w:szCs w:val="24"/>
        </w:rPr>
        <w:t xml:space="preserve"> Interest </w:t>
      </w:r>
      <w:r w:rsidR="00780EF6" w:rsidRPr="00B73C82">
        <w:rPr>
          <w:rFonts w:ascii="Arial" w:hAnsi="Arial" w:cs="Arial"/>
          <w:sz w:val="24"/>
          <w:szCs w:val="24"/>
        </w:rPr>
        <w:t xml:space="preserve">will help develop </w:t>
      </w:r>
      <w:r w:rsidR="00796D49">
        <w:rPr>
          <w:rFonts w:ascii="Arial" w:hAnsi="Arial" w:cs="Arial"/>
          <w:sz w:val="24"/>
          <w:szCs w:val="24"/>
        </w:rPr>
        <w:t xml:space="preserve">part of </w:t>
      </w:r>
      <w:r w:rsidR="00780EF6" w:rsidRPr="00B73C82">
        <w:rPr>
          <w:rFonts w:ascii="Arial" w:hAnsi="Arial" w:cs="Arial"/>
          <w:sz w:val="24"/>
          <w:szCs w:val="24"/>
        </w:rPr>
        <w:t xml:space="preserve">the </w:t>
      </w:r>
      <w:r w:rsidR="00780EF6">
        <w:rPr>
          <w:rFonts w:ascii="Arial" w:hAnsi="Arial" w:cs="Arial"/>
          <w:sz w:val="24"/>
          <w:szCs w:val="24"/>
        </w:rPr>
        <w:t>strategy and approach to market.</w:t>
      </w:r>
      <w:r w:rsidR="00B24F88">
        <w:rPr>
          <w:rFonts w:ascii="Arial" w:hAnsi="Arial" w:cs="Arial"/>
          <w:sz w:val="24"/>
          <w:szCs w:val="24"/>
        </w:rPr>
        <w:t xml:space="preserve">  It is anticipated that contract(s) may be awarded i</w:t>
      </w:r>
      <w:r>
        <w:rPr>
          <w:rFonts w:ascii="Arial" w:hAnsi="Arial" w:cs="Arial"/>
          <w:sz w:val="24"/>
          <w:szCs w:val="24"/>
        </w:rPr>
        <w:t>n 2018.</w:t>
      </w:r>
    </w:p>
    <w:p w:rsidR="00780EF6" w:rsidRPr="00234177" w:rsidRDefault="00780EF6" w:rsidP="00780EF6">
      <w:pPr>
        <w:spacing w:after="0"/>
        <w:rPr>
          <w:rFonts w:ascii="Arial" w:hAnsi="Arial" w:cs="Arial"/>
          <w:sz w:val="24"/>
          <w:szCs w:val="24"/>
        </w:rPr>
      </w:pPr>
    </w:p>
    <w:p w:rsidR="00780EF6" w:rsidRDefault="00B24F88" w:rsidP="00780E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</w:t>
      </w:r>
      <w:r w:rsidR="00796D49">
        <w:rPr>
          <w:rFonts w:ascii="Arial" w:hAnsi="Arial" w:cs="Arial"/>
          <w:sz w:val="24"/>
          <w:szCs w:val="24"/>
        </w:rPr>
        <w:t xml:space="preserve"> +200</w:t>
      </w:r>
      <w:r w:rsidR="00234177" w:rsidRPr="002341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product </w:t>
      </w:r>
      <w:r w:rsidR="00234177" w:rsidRPr="00234177">
        <w:rPr>
          <w:rFonts w:ascii="Arial" w:hAnsi="Arial" w:cs="Arial"/>
          <w:sz w:val="24"/>
          <w:szCs w:val="24"/>
        </w:rPr>
        <w:t xml:space="preserve">items.  The requirement covers a wide range of </w:t>
      </w:r>
      <w:r w:rsidR="00780EF6">
        <w:rPr>
          <w:rFonts w:ascii="Arial" w:hAnsi="Arial" w:cs="Arial"/>
          <w:sz w:val="24"/>
          <w:szCs w:val="24"/>
        </w:rPr>
        <w:t>general and specialist</w:t>
      </w:r>
      <w:r w:rsidR="00234177" w:rsidRPr="00234177">
        <w:rPr>
          <w:rFonts w:ascii="Arial" w:hAnsi="Arial" w:cs="Arial"/>
          <w:sz w:val="24"/>
          <w:szCs w:val="24"/>
        </w:rPr>
        <w:t xml:space="preserve"> products</w:t>
      </w:r>
      <w:r>
        <w:rPr>
          <w:rFonts w:ascii="Arial" w:hAnsi="Arial" w:cs="Arial"/>
          <w:sz w:val="24"/>
          <w:szCs w:val="24"/>
        </w:rPr>
        <w:t>,</w:t>
      </w:r>
      <w:r w:rsidR="00234177" w:rsidRPr="00234177">
        <w:rPr>
          <w:rFonts w:ascii="Arial" w:hAnsi="Arial" w:cs="Arial"/>
          <w:sz w:val="24"/>
          <w:szCs w:val="24"/>
        </w:rPr>
        <w:t xml:space="preserve"> </w:t>
      </w:r>
      <w:r w:rsidR="00A54653">
        <w:rPr>
          <w:rFonts w:ascii="Arial" w:hAnsi="Arial" w:cs="Arial"/>
          <w:sz w:val="24"/>
          <w:szCs w:val="24"/>
        </w:rPr>
        <w:t>as stated in the table below.</w:t>
      </w:r>
    </w:p>
    <w:p w:rsidR="00780EF6" w:rsidRDefault="00780EF6" w:rsidP="00780EF6">
      <w:pPr>
        <w:spacing w:after="0"/>
        <w:rPr>
          <w:rFonts w:ascii="Arial" w:hAnsi="Arial" w:cs="Arial"/>
          <w:sz w:val="24"/>
          <w:szCs w:val="24"/>
        </w:rPr>
      </w:pPr>
    </w:p>
    <w:p w:rsidR="00234177" w:rsidRPr="00234177" w:rsidRDefault="00234177" w:rsidP="00780EF6">
      <w:pPr>
        <w:spacing w:after="0"/>
        <w:rPr>
          <w:rFonts w:ascii="Arial" w:hAnsi="Arial" w:cs="Arial"/>
          <w:sz w:val="24"/>
          <w:szCs w:val="24"/>
        </w:rPr>
      </w:pPr>
      <w:r w:rsidRPr="00234177">
        <w:rPr>
          <w:rFonts w:ascii="Arial" w:hAnsi="Arial" w:cs="Arial"/>
          <w:sz w:val="24"/>
          <w:szCs w:val="24"/>
        </w:rPr>
        <w:t>Products may be required to comply with specified British Standards and Defence Standards</w:t>
      </w:r>
    </w:p>
    <w:p w:rsidR="00234177" w:rsidRPr="00234177" w:rsidRDefault="00234177" w:rsidP="00780EF6">
      <w:pPr>
        <w:spacing w:after="0"/>
        <w:rPr>
          <w:rFonts w:ascii="Arial" w:hAnsi="Arial" w:cs="Arial"/>
          <w:sz w:val="24"/>
          <w:szCs w:val="24"/>
        </w:rPr>
      </w:pPr>
    </w:p>
    <w:p w:rsidR="00B73C82" w:rsidRDefault="005267E0" w:rsidP="00780E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refer to the attached Schedule of </w:t>
      </w:r>
      <w:r w:rsidR="00E22FF3">
        <w:rPr>
          <w:rFonts w:ascii="Arial" w:hAnsi="Arial" w:cs="Arial"/>
          <w:sz w:val="24"/>
          <w:szCs w:val="24"/>
        </w:rPr>
        <w:t xml:space="preserve">Requirement </w:t>
      </w:r>
      <w:r>
        <w:rPr>
          <w:rFonts w:ascii="Arial" w:hAnsi="Arial" w:cs="Arial"/>
          <w:sz w:val="24"/>
          <w:szCs w:val="24"/>
        </w:rPr>
        <w:t>for further information related to descriptions, denomination of quantities and shelf-life.</w:t>
      </w:r>
    </w:p>
    <w:p w:rsidR="00B24F88" w:rsidRDefault="00B24F88" w:rsidP="00780EF6">
      <w:pPr>
        <w:spacing w:after="0"/>
        <w:rPr>
          <w:rFonts w:ascii="Arial" w:hAnsi="Arial" w:cs="Arial"/>
          <w:sz w:val="24"/>
          <w:szCs w:val="24"/>
        </w:rPr>
      </w:pPr>
    </w:p>
    <w:p w:rsidR="00926D12" w:rsidRDefault="00926D12" w:rsidP="00780E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express your interest in terms of which </w:t>
      </w:r>
      <w:r w:rsidR="00B24F88">
        <w:rPr>
          <w:rFonts w:ascii="Arial" w:hAnsi="Arial" w:cs="Arial"/>
          <w:sz w:val="24"/>
          <w:szCs w:val="24"/>
        </w:rPr>
        <w:t xml:space="preserve">Sub Category area(s) </w:t>
      </w:r>
      <w:r w:rsidR="005267E0">
        <w:rPr>
          <w:rFonts w:ascii="Arial" w:hAnsi="Arial" w:cs="Arial"/>
          <w:sz w:val="24"/>
          <w:szCs w:val="24"/>
        </w:rPr>
        <w:t xml:space="preserve">you might wish to submit a potential </w:t>
      </w:r>
      <w:r>
        <w:rPr>
          <w:rFonts w:ascii="Arial" w:hAnsi="Arial" w:cs="Arial"/>
          <w:sz w:val="24"/>
          <w:szCs w:val="24"/>
        </w:rPr>
        <w:t>tender.  Please provide a brief description in no more than 100 words, what products and service solutions you provide</w:t>
      </w:r>
      <w:r w:rsidR="004F6FCE">
        <w:rPr>
          <w:rFonts w:ascii="Arial" w:hAnsi="Arial" w:cs="Arial"/>
          <w:sz w:val="24"/>
          <w:szCs w:val="24"/>
        </w:rPr>
        <w:t>, if you are appointed to a Public Sector Chemicals Framework</w:t>
      </w:r>
      <w:r w:rsidR="008017C8">
        <w:rPr>
          <w:rFonts w:ascii="Arial" w:hAnsi="Arial" w:cs="Arial"/>
          <w:sz w:val="24"/>
          <w:szCs w:val="24"/>
        </w:rPr>
        <w:t xml:space="preserve"> and what is your </w:t>
      </w:r>
      <w:r w:rsidR="004F6FCE">
        <w:rPr>
          <w:rFonts w:ascii="Arial" w:hAnsi="Arial" w:cs="Arial"/>
          <w:sz w:val="24"/>
          <w:szCs w:val="24"/>
        </w:rPr>
        <w:t>Unique Selling Point</w:t>
      </w:r>
      <w:r>
        <w:rPr>
          <w:rFonts w:ascii="Arial" w:hAnsi="Arial" w:cs="Arial"/>
          <w:sz w:val="24"/>
          <w:szCs w:val="24"/>
        </w:rPr>
        <w:t>.</w:t>
      </w:r>
      <w:r w:rsidR="008017C8">
        <w:rPr>
          <w:rFonts w:ascii="Arial" w:hAnsi="Arial" w:cs="Arial"/>
          <w:sz w:val="24"/>
          <w:szCs w:val="24"/>
        </w:rPr>
        <w:t xml:space="preserve">  Please also i</w:t>
      </w:r>
      <w:r>
        <w:rPr>
          <w:rFonts w:ascii="Arial" w:hAnsi="Arial" w:cs="Arial"/>
          <w:sz w:val="24"/>
          <w:szCs w:val="24"/>
        </w:rPr>
        <w:t>nclude the following information:</w:t>
      </w:r>
    </w:p>
    <w:p w:rsidR="00E22FF3" w:rsidRDefault="00E22FF3" w:rsidP="00780EF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details , address, contact details, website</w:t>
      </w:r>
      <w:r w:rsidR="00893FFB">
        <w:rPr>
          <w:rFonts w:ascii="Arial" w:hAnsi="Arial" w:cs="Arial"/>
          <w:sz w:val="24"/>
          <w:szCs w:val="24"/>
        </w:rPr>
        <w:t xml:space="preserve"> address</w:t>
      </w:r>
      <w:r>
        <w:rPr>
          <w:rFonts w:ascii="Arial" w:hAnsi="Arial" w:cs="Arial"/>
          <w:sz w:val="24"/>
          <w:szCs w:val="24"/>
        </w:rPr>
        <w:t xml:space="preserve"> </w:t>
      </w:r>
    </w:p>
    <w:p w:rsidR="00926D12" w:rsidRPr="00926D12" w:rsidRDefault="00926D12" w:rsidP="00780EF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employees</w:t>
      </w:r>
    </w:p>
    <w:p w:rsidR="008017C8" w:rsidRDefault="008017C8" w:rsidP="00780EF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3172"/>
        <w:gridCol w:w="947"/>
        <w:gridCol w:w="1672"/>
        <w:gridCol w:w="1305"/>
      </w:tblGrid>
      <w:tr w:rsidR="009B1F11" w:rsidRPr="000D6098" w:rsidTr="00796D49">
        <w:tc>
          <w:tcPr>
            <w:tcW w:w="1109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Sub Category Area</w:t>
            </w:r>
          </w:p>
        </w:tc>
        <w:tc>
          <w:tcPr>
            <w:tcW w:w="31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  <w:r w:rsidRPr="000D6098">
              <w:rPr>
                <w:rFonts w:ascii="Arial" w:hAnsi="Arial" w:cs="Arial"/>
                <w:szCs w:val="24"/>
              </w:rPr>
              <w:t xml:space="preserve">Description </w:t>
            </w:r>
          </w:p>
        </w:tc>
        <w:tc>
          <w:tcPr>
            <w:tcW w:w="947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 of lines</w:t>
            </w:r>
          </w:p>
        </w:tc>
        <w:tc>
          <w:tcPr>
            <w:tcW w:w="1672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Manufacturer or Distributor</w:t>
            </w:r>
          </w:p>
        </w:tc>
        <w:tc>
          <w:tcPr>
            <w:tcW w:w="1305" w:type="dxa"/>
          </w:tcPr>
          <w:p w:rsidR="009B1F11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Expression Of Interest</w:t>
            </w:r>
          </w:p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 or N</w:t>
            </w:r>
          </w:p>
        </w:tc>
      </w:tr>
      <w:tr w:rsidR="009B1F11" w:rsidRPr="000D6098" w:rsidTr="00796D49">
        <w:tc>
          <w:tcPr>
            <w:tcW w:w="1109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 w:rsidRPr="000D609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  <w:r w:rsidRPr="000D6098">
              <w:rPr>
                <w:rFonts w:ascii="Arial" w:hAnsi="Arial" w:cs="Arial"/>
                <w:szCs w:val="24"/>
              </w:rPr>
              <w:t>General and Domestic chemicals</w:t>
            </w:r>
            <w:r>
              <w:rPr>
                <w:rFonts w:ascii="Arial" w:hAnsi="Arial" w:cs="Arial"/>
                <w:szCs w:val="24"/>
              </w:rPr>
              <w:t xml:space="preserve"> – disinfectants, floor/furniture/floor polish, stain remover, wax etc</w:t>
            </w:r>
          </w:p>
        </w:tc>
        <w:tc>
          <w:tcPr>
            <w:tcW w:w="947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101</w:t>
            </w:r>
          </w:p>
        </w:tc>
        <w:tc>
          <w:tcPr>
            <w:tcW w:w="16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05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</w:tr>
      <w:tr w:rsidR="009B1F11" w:rsidRPr="000D6098" w:rsidTr="00796D49">
        <w:tc>
          <w:tcPr>
            <w:tcW w:w="1109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 w:rsidRPr="000D609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  <w:r w:rsidRPr="000D6098">
              <w:rPr>
                <w:rFonts w:ascii="Arial" w:hAnsi="Arial" w:cs="Arial"/>
                <w:szCs w:val="24"/>
              </w:rPr>
              <w:t>Desiccants</w:t>
            </w:r>
            <w:r>
              <w:rPr>
                <w:rFonts w:ascii="Arial" w:hAnsi="Arial" w:cs="Arial"/>
                <w:szCs w:val="24"/>
              </w:rPr>
              <w:t xml:space="preserve"> – activated, containers, gel bags</w:t>
            </w:r>
          </w:p>
        </w:tc>
        <w:tc>
          <w:tcPr>
            <w:tcW w:w="947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6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05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</w:tr>
      <w:tr w:rsidR="009B1F11" w:rsidRPr="000D6098" w:rsidTr="00796D49">
        <w:tc>
          <w:tcPr>
            <w:tcW w:w="1109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 w:rsidRPr="000D609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  <w:r w:rsidRPr="000D6098">
              <w:rPr>
                <w:rFonts w:ascii="Arial" w:hAnsi="Arial" w:cs="Arial"/>
                <w:szCs w:val="24"/>
              </w:rPr>
              <w:t>Non Destructive Testing (NDT)</w:t>
            </w:r>
            <w:r>
              <w:rPr>
                <w:rFonts w:ascii="Arial" w:hAnsi="Arial" w:cs="Arial"/>
                <w:szCs w:val="24"/>
              </w:rPr>
              <w:t xml:space="preserve"> – inspection penetrant, fluorescent dye, magnetic inks</w:t>
            </w:r>
          </w:p>
        </w:tc>
        <w:tc>
          <w:tcPr>
            <w:tcW w:w="947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6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05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</w:tr>
      <w:tr w:rsidR="009B1F11" w:rsidRPr="000D6098" w:rsidTr="00796D49">
        <w:tc>
          <w:tcPr>
            <w:tcW w:w="1109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72" w:type="dxa"/>
          </w:tcPr>
          <w:p w:rsidR="009B1F11" w:rsidRPr="000D6098" w:rsidRDefault="009B1F11" w:rsidP="00A80C36">
            <w:pPr>
              <w:rPr>
                <w:rFonts w:ascii="Arial" w:hAnsi="Arial" w:cs="Arial"/>
                <w:szCs w:val="24"/>
              </w:rPr>
            </w:pPr>
            <w:r w:rsidRPr="000D6098">
              <w:rPr>
                <w:rFonts w:ascii="Arial" w:hAnsi="Arial" w:cs="Arial"/>
                <w:szCs w:val="24"/>
              </w:rPr>
              <w:t>Specialist Chemicals</w:t>
            </w:r>
            <w:r>
              <w:rPr>
                <w:rFonts w:ascii="Arial" w:hAnsi="Arial" w:cs="Arial"/>
                <w:szCs w:val="24"/>
              </w:rPr>
              <w:t xml:space="preserve">  - used in electrical and aerospace – plastic polish, scale removal, vehicle pressure wash</w:t>
            </w:r>
          </w:p>
        </w:tc>
        <w:tc>
          <w:tcPr>
            <w:tcW w:w="947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672" w:type="dxa"/>
          </w:tcPr>
          <w:p w:rsidR="009B1F11" w:rsidRPr="000D6098" w:rsidRDefault="009B1F11" w:rsidP="00A80C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05" w:type="dxa"/>
          </w:tcPr>
          <w:p w:rsidR="009B1F11" w:rsidRPr="000D6098" w:rsidRDefault="009B1F11" w:rsidP="00A80C36">
            <w:pPr>
              <w:rPr>
                <w:rFonts w:ascii="Arial" w:hAnsi="Arial" w:cs="Arial"/>
                <w:szCs w:val="24"/>
              </w:rPr>
            </w:pPr>
          </w:p>
        </w:tc>
      </w:tr>
      <w:tr w:rsidR="009B1F11" w:rsidRPr="000D6098" w:rsidTr="00796D49">
        <w:tc>
          <w:tcPr>
            <w:tcW w:w="1109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72" w:type="dxa"/>
          </w:tcPr>
          <w:p w:rsidR="009B1F11" w:rsidRPr="000D6098" w:rsidRDefault="009B1F11" w:rsidP="00233B8E">
            <w:pPr>
              <w:rPr>
                <w:rFonts w:ascii="Arial" w:hAnsi="Arial" w:cs="Arial"/>
                <w:szCs w:val="24"/>
              </w:rPr>
            </w:pPr>
            <w:r w:rsidRPr="000D6098">
              <w:rPr>
                <w:rFonts w:ascii="Arial" w:hAnsi="Arial" w:cs="Arial"/>
                <w:szCs w:val="24"/>
              </w:rPr>
              <w:t xml:space="preserve">Laboratory </w:t>
            </w:r>
            <w:r w:rsidR="00233B8E">
              <w:rPr>
                <w:rFonts w:ascii="Arial" w:hAnsi="Arial" w:cs="Arial"/>
                <w:szCs w:val="24"/>
              </w:rPr>
              <w:t xml:space="preserve">and </w:t>
            </w:r>
            <w:r w:rsidRPr="000D6098">
              <w:rPr>
                <w:rFonts w:ascii="Arial" w:hAnsi="Arial" w:cs="Arial"/>
                <w:szCs w:val="24"/>
              </w:rPr>
              <w:t>Water Purification</w:t>
            </w:r>
            <w:r>
              <w:rPr>
                <w:rFonts w:ascii="Arial" w:hAnsi="Arial" w:cs="Arial"/>
                <w:szCs w:val="24"/>
              </w:rPr>
              <w:t xml:space="preserve"> – used in maritime industry </w:t>
            </w:r>
          </w:p>
        </w:tc>
        <w:tc>
          <w:tcPr>
            <w:tcW w:w="947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16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05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</w:tr>
      <w:tr w:rsidR="009B1F11" w:rsidRPr="000D6098" w:rsidTr="00796D49">
        <w:tc>
          <w:tcPr>
            <w:tcW w:w="1109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Miscellaneous - </w:t>
            </w:r>
            <w:r w:rsidRPr="00A54653">
              <w:rPr>
                <w:rFonts w:ascii="Arial" w:hAnsi="Arial" w:cs="Arial"/>
                <w:szCs w:val="24"/>
              </w:rPr>
              <w:t>talc dusting powder, aerosol air dusters etc</w:t>
            </w:r>
          </w:p>
        </w:tc>
        <w:tc>
          <w:tcPr>
            <w:tcW w:w="947" w:type="dxa"/>
          </w:tcPr>
          <w:p w:rsidR="009B1F11" w:rsidRPr="000D6098" w:rsidRDefault="009B1F11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672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05" w:type="dxa"/>
          </w:tcPr>
          <w:p w:rsidR="009B1F11" w:rsidRPr="000D6098" w:rsidRDefault="009B1F11" w:rsidP="00780EF6">
            <w:pPr>
              <w:rPr>
                <w:rFonts w:ascii="Arial" w:hAnsi="Arial" w:cs="Arial"/>
                <w:szCs w:val="24"/>
              </w:rPr>
            </w:pPr>
          </w:p>
        </w:tc>
      </w:tr>
      <w:tr w:rsidR="00233B8E" w:rsidRPr="000D6098" w:rsidTr="00796D49">
        <w:tc>
          <w:tcPr>
            <w:tcW w:w="1109" w:type="dxa"/>
          </w:tcPr>
          <w:p w:rsidR="00233B8E" w:rsidRDefault="00233B8E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72" w:type="dxa"/>
          </w:tcPr>
          <w:p w:rsidR="00233B8E" w:rsidRDefault="00233B8E" w:rsidP="00780EF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Specials – technical products</w:t>
            </w:r>
          </w:p>
        </w:tc>
        <w:tc>
          <w:tcPr>
            <w:tcW w:w="947" w:type="dxa"/>
          </w:tcPr>
          <w:p w:rsidR="00233B8E" w:rsidRDefault="00233B8E" w:rsidP="007920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672" w:type="dxa"/>
          </w:tcPr>
          <w:p w:rsidR="00233B8E" w:rsidRPr="000D6098" w:rsidRDefault="00233B8E" w:rsidP="00780EF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05" w:type="dxa"/>
          </w:tcPr>
          <w:p w:rsidR="00233B8E" w:rsidRPr="000D6098" w:rsidRDefault="00233B8E" w:rsidP="00780EF6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017C8" w:rsidRDefault="008017C8" w:rsidP="00780EF6">
      <w:pPr>
        <w:spacing w:after="0"/>
        <w:rPr>
          <w:rFonts w:ascii="Arial" w:hAnsi="Arial" w:cs="Arial"/>
          <w:sz w:val="24"/>
          <w:szCs w:val="24"/>
        </w:rPr>
      </w:pPr>
    </w:p>
    <w:p w:rsidR="00D64DD9" w:rsidRDefault="000F4F95" w:rsidP="00780E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quantities quoted are approximate and are subject to change.</w:t>
      </w:r>
    </w:p>
    <w:p w:rsidR="00D64DD9" w:rsidRDefault="00D64DD9" w:rsidP="00780E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Submission deadline:  Friday</w:t>
      </w:r>
      <w:r w:rsidR="009B1F11">
        <w:rPr>
          <w:rFonts w:ascii="Arial" w:hAnsi="Arial" w:cs="Arial"/>
          <w:sz w:val="24"/>
          <w:szCs w:val="24"/>
        </w:rPr>
        <w:t xml:space="preserve"> 23</w:t>
      </w:r>
      <w:r w:rsidR="009B1F11" w:rsidRPr="009B1F11">
        <w:rPr>
          <w:rFonts w:ascii="Arial" w:hAnsi="Arial" w:cs="Arial"/>
          <w:sz w:val="24"/>
          <w:szCs w:val="24"/>
          <w:vertAlign w:val="superscript"/>
        </w:rPr>
        <w:t>rd</w:t>
      </w:r>
      <w:r w:rsidR="009B1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February 2018</w:t>
      </w:r>
    </w:p>
    <w:sectPr w:rsidR="00D64DD9" w:rsidSect="00796D49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50D0"/>
    <w:multiLevelType w:val="hybridMultilevel"/>
    <w:tmpl w:val="2504932C"/>
    <w:lvl w:ilvl="0" w:tplc="5852B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85A5C"/>
    <w:multiLevelType w:val="hybridMultilevel"/>
    <w:tmpl w:val="9CC0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66E85"/>
    <w:multiLevelType w:val="hybridMultilevel"/>
    <w:tmpl w:val="7CC2BA42"/>
    <w:lvl w:ilvl="0" w:tplc="9E5E2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7B"/>
    <w:rsid w:val="000D6098"/>
    <w:rsid w:val="000F4F95"/>
    <w:rsid w:val="00233B8E"/>
    <w:rsid w:val="00234177"/>
    <w:rsid w:val="00240B36"/>
    <w:rsid w:val="002D496D"/>
    <w:rsid w:val="004F6FCE"/>
    <w:rsid w:val="005267E0"/>
    <w:rsid w:val="005F421D"/>
    <w:rsid w:val="00627E85"/>
    <w:rsid w:val="00632C5A"/>
    <w:rsid w:val="00721754"/>
    <w:rsid w:val="00780EF6"/>
    <w:rsid w:val="0079202E"/>
    <w:rsid w:val="00796D49"/>
    <w:rsid w:val="008017C8"/>
    <w:rsid w:val="00865ECB"/>
    <w:rsid w:val="00893FFB"/>
    <w:rsid w:val="00894867"/>
    <w:rsid w:val="008C34EA"/>
    <w:rsid w:val="008E490B"/>
    <w:rsid w:val="00926D12"/>
    <w:rsid w:val="00992F26"/>
    <w:rsid w:val="009A4312"/>
    <w:rsid w:val="009B1F11"/>
    <w:rsid w:val="009C3C00"/>
    <w:rsid w:val="009F347B"/>
    <w:rsid w:val="00A54653"/>
    <w:rsid w:val="00B02FC3"/>
    <w:rsid w:val="00B24F88"/>
    <w:rsid w:val="00B73C82"/>
    <w:rsid w:val="00C2246E"/>
    <w:rsid w:val="00D624EC"/>
    <w:rsid w:val="00D64DD9"/>
    <w:rsid w:val="00D7127B"/>
    <w:rsid w:val="00D84556"/>
    <w:rsid w:val="00E22FF3"/>
    <w:rsid w:val="00E255D4"/>
    <w:rsid w:val="00EF0767"/>
    <w:rsid w:val="00F9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34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34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F3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6D12"/>
    <w:pPr>
      <w:ind w:left="720"/>
      <w:contextualSpacing/>
    </w:pPr>
  </w:style>
  <w:style w:type="table" w:styleId="TableGrid">
    <w:name w:val="Table Grid"/>
    <w:basedOn w:val="TableNormal"/>
    <w:uiPriority w:val="59"/>
    <w:rsid w:val="0080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9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4F88"/>
    <w:rPr>
      <w:color w:val="0000FF"/>
      <w:u w:val="single"/>
    </w:rPr>
  </w:style>
  <w:style w:type="character" w:customStyle="1" w:styleId="tgc">
    <w:name w:val="_tgc"/>
    <w:basedOn w:val="DefaultParagraphFont"/>
    <w:rsid w:val="00B24F88"/>
  </w:style>
  <w:style w:type="paragraph" w:styleId="Revision">
    <w:name w:val="Revision"/>
    <w:hidden/>
    <w:uiPriority w:val="99"/>
    <w:semiHidden/>
    <w:rsid w:val="00865EC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65ECB"/>
    <w:rPr>
      <w:b/>
      <w:bCs/>
    </w:rPr>
  </w:style>
  <w:style w:type="paragraph" w:styleId="NormalWeb">
    <w:name w:val="Normal (Web)"/>
    <w:basedOn w:val="Normal"/>
    <w:uiPriority w:val="99"/>
    <w:unhideWhenUsed/>
    <w:rsid w:val="0086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34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34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F3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6D12"/>
    <w:pPr>
      <w:ind w:left="720"/>
      <w:contextualSpacing/>
    </w:pPr>
  </w:style>
  <w:style w:type="table" w:styleId="TableGrid">
    <w:name w:val="Table Grid"/>
    <w:basedOn w:val="TableNormal"/>
    <w:uiPriority w:val="59"/>
    <w:rsid w:val="0080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9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4F88"/>
    <w:rPr>
      <w:color w:val="0000FF"/>
      <w:u w:val="single"/>
    </w:rPr>
  </w:style>
  <w:style w:type="character" w:customStyle="1" w:styleId="tgc">
    <w:name w:val="_tgc"/>
    <w:basedOn w:val="DefaultParagraphFont"/>
    <w:rsid w:val="00B24F88"/>
  </w:style>
  <w:style w:type="paragraph" w:styleId="Revision">
    <w:name w:val="Revision"/>
    <w:hidden/>
    <w:uiPriority w:val="99"/>
    <w:semiHidden/>
    <w:rsid w:val="00865EC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65ECB"/>
    <w:rPr>
      <w:b/>
      <w:bCs/>
    </w:rPr>
  </w:style>
  <w:style w:type="paragraph" w:styleId="NormalWeb">
    <w:name w:val="Normal (Web)"/>
    <w:basedOn w:val="Normal"/>
    <w:uiPriority w:val="99"/>
    <w:unhideWhenUsed/>
    <w:rsid w:val="0086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42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898513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2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3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6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65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2243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6583414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48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7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4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TVS Supply Chain Solutions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Iles</dc:creator>
  <cp:lastModifiedBy>Jane Iles</cp:lastModifiedBy>
  <cp:revision>5</cp:revision>
  <cp:lastPrinted>2018-01-18T13:00:00Z</cp:lastPrinted>
  <dcterms:created xsi:type="dcterms:W3CDTF">2018-02-05T10:06:00Z</dcterms:created>
  <dcterms:modified xsi:type="dcterms:W3CDTF">2018-02-05T11:14:00Z</dcterms:modified>
</cp:coreProperties>
</file>