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AC" w:rsidRDefault="00FE18AC" w:rsidP="00FE18AC">
      <w:pPr>
        <w:pStyle w:val="bodystrongcentred"/>
      </w:pPr>
      <w:r>
        <w:t>CONTENTS</w:t>
      </w:r>
    </w:p>
    <w:p w:rsidR="00FE18AC" w:rsidRDefault="00FE18AC" w:rsidP="00FE18AC"/>
    <w:p w:rsidR="00E2582B"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50559840" w:history="1">
        <w:r w:rsidR="00E2582B" w:rsidRPr="00CB288D">
          <w:rPr>
            <w:rStyle w:val="Hyperlink"/>
            <w:noProof/>
          </w:rPr>
          <w:t>1.</w:t>
        </w:r>
        <w:r w:rsidR="00E2582B">
          <w:rPr>
            <w:rFonts w:asciiTheme="minorHAnsi" w:eastAsiaTheme="minorEastAsia" w:hAnsiTheme="minorHAnsi" w:cstheme="minorBidi"/>
            <w:caps w:val="0"/>
            <w:noProof/>
            <w:szCs w:val="22"/>
            <w:lang w:eastAsia="en-GB"/>
          </w:rPr>
          <w:tab/>
        </w:r>
        <w:r w:rsidR="00E2582B" w:rsidRPr="00CB288D">
          <w:rPr>
            <w:rStyle w:val="Hyperlink"/>
            <w:noProof/>
          </w:rPr>
          <w:t>PURPOSE</w:t>
        </w:r>
        <w:r w:rsidR="00E2582B">
          <w:rPr>
            <w:noProof/>
            <w:webHidden/>
          </w:rPr>
          <w:tab/>
        </w:r>
        <w:r w:rsidR="00E2582B">
          <w:rPr>
            <w:noProof/>
            <w:webHidden/>
          </w:rPr>
          <w:fldChar w:fldCharType="begin"/>
        </w:r>
        <w:r w:rsidR="00E2582B">
          <w:rPr>
            <w:noProof/>
            <w:webHidden/>
          </w:rPr>
          <w:instrText xml:space="preserve"> PAGEREF _Toc450559840 \h </w:instrText>
        </w:r>
        <w:r w:rsidR="00E2582B">
          <w:rPr>
            <w:noProof/>
            <w:webHidden/>
          </w:rPr>
        </w:r>
        <w:r w:rsidR="00E2582B">
          <w:rPr>
            <w:noProof/>
            <w:webHidden/>
          </w:rPr>
          <w:fldChar w:fldCharType="separate"/>
        </w:r>
        <w:r w:rsidR="00E2582B">
          <w:rPr>
            <w:noProof/>
            <w:webHidden/>
          </w:rPr>
          <w:t>2</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1" w:history="1">
        <w:r w:rsidR="00E2582B" w:rsidRPr="00CB288D">
          <w:rPr>
            <w:rStyle w:val="Hyperlink"/>
            <w:noProof/>
          </w:rPr>
          <w:t>2.</w:t>
        </w:r>
        <w:r w:rsidR="00E2582B">
          <w:rPr>
            <w:rFonts w:asciiTheme="minorHAnsi" w:eastAsiaTheme="minorEastAsia" w:hAnsiTheme="minorHAnsi" w:cstheme="minorBidi"/>
            <w:caps w:val="0"/>
            <w:noProof/>
            <w:szCs w:val="22"/>
            <w:lang w:eastAsia="en-GB"/>
          </w:rPr>
          <w:tab/>
        </w:r>
        <w:r w:rsidR="00E2582B" w:rsidRPr="00CB288D">
          <w:rPr>
            <w:rStyle w:val="Hyperlink"/>
            <w:noProof/>
          </w:rPr>
          <w:t>BACKGROUND TO THE CONTRACTING aUTHORITY</w:t>
        </w:r>
        <w:r w:rsidR="00E2582B">
          <w:rPr>
            <w:noProof/>
            <w:webHidden/>
          </w:rPr>
          <w:tab/>
        </w:r>
        <w:r w:rsidR="00E2582B">
          <w:rPr>
            <w:noProof/>
            <w:webHidden/>
          </w:rPr>
          <w:fldChar w:fldCharType="begin"/>
        </w:r>
        <w:r w:rsidR="00E2582B">
          <w:rPr>
            <w:noProof/>
            <w:webHidden/>
          </w:rPr>
          <w:instrText xml:space="preserve"> PAGEREF _Toc450559841 \h </w:instrText>
        </w:r>
        <w:r w:rsidR="00E2582B">
          <w:rPr>
            <w:noProof/>
            <w:webHidden/>
          </w:rPr>
        </w:r>
        <w:r w:rsidR="00E2582B">
          <w:rPr>
            <w:noProof/>
            <w:webHidden/>
          </w:rPr>
          <w:fldChar w:fldCharType="separate"/>
        </w:r>
        <w:r w:rsidR="00E2582B">
          <w:rPr>
            <w:noProof/>
            <w:webHidden/>
          </w:rPr>
          <w:t>2</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2" w:history="1">
        <w:r w:rsidR="00E2582B" w:rsidRPr="00CB288D">
          <w:rPr>
            <w:rStyle w:val="Hyperlink"/>
            <w:noProof/>
          </w:rPr>
          <w:t>3.</w:t>
        </w:r>
        <w:r w:rsidR="00E2582B">
          <w:rPr>
            <w:rFonts w:asciiTheme="minorHAnsi" w:eastAsiaTheme="minorEastAsia" w:hAnsiTheme="minorHAnsi" w:cstheme="minorBidi"/>
            <w:caps w:val="0"/>
            <w:noProof/>
            <w:szCs w:val="22"/>
            <w:lang w:eastAsia="en-GB"/>
          </w:rPr>
          <w:tab/>
        </w:r>
        <w:r w:rsidR="00E2582B" w:rsidRPr="00CB288D">
          <w:rPr>
            <w:rStyle w:val="Hyperlink"/>
            <w:noProof/>
          </w:rPr>
          <w:t>Background to requirement/OVERVIEW of requirement</w:t>
        </w:r>
        <w:r w:rsidR="00E2582B">
          <w:rPr>
            <w:noProof/>
            <w:webHidden/>
          </w:rPr>
          <w:tab/>
        </w:r>
        <w:r w:rsidR="00E2582B">
          <w:rPr>
            <w:noProof/>
            <w:webHidden/>
          </w:rPr>
          <w:fldChar w:fldCharType="begin"/>
        </w:r>
        <w:r w:rsidR="00E2582B">
          <w:rPr>
            <w:noProof/>
            <w:webHidden/>
          </w:rPr>
          <w:instrText xml:space="preserve"> PAGEREF _Toc450559842 \h </w:instrText>
        </w:r>
        <w:r w:rsidR="00E2582B">
          <w:rPr>
            <w:noProof/>
            <w:webHidden/>
          </w:rPr>
        </w:r>
        <w:r w:rsidR="00E2582B">
          <w:rPr>
            <w:noProof/>
            <w:webHidden/>
          </w:rPr>
          <w:fldChar w:fldCharType="separate"/>
        </w:r>
        <w:r w:rsidR="00E2582B">
          <w:rPr>
            <w:noProof/>
            <w:webHidden/>
          </w:rPr>
          <w:t>2</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3" w:history="1">
        <w:r w:rsidR="00E2582B" w:rsidRPr="00CB288D">
          <w:rPr>
            <w:rStyle w:val="Hyperlink"/>
            <w:noProof/>
          </w:rPr>
          <w:t>4.</w:t>
        </w:r>
        <w:r w:rsidR="00E2582B">
          <w:rPr>
            <w:rFonts w:asciiTheme="minorHAnsi" w:eastAsiaTheme="minorEastAsia" w:hAnsiTheme="minorHAnsi" w:cstheme="minorBidi"/>
            <w:caps w:val="0"/>
            <w:noProof/>
            <w:szCs w:val="22"/>
            <w:lang w:eastAsia="en-GB"/>
          </w:rPr>
          <w:tab/>
        </w:r>
        <w:r w:rsidR="00E2582B" w:rsidRPr="00CB288D">
          <w:rPr>
            <w:rStyle w:val="Hyperlink"/>
            <w:noProof/>
          </w:rPr>
          <w:t>definitions</w:t>
        </w:r>
        <w:r w:rsidR="00E2582B">
          <w:rPr>
            <w:noProof/>
            <w:webHidden/>
          </w:rPr>
          <w:tab/>
        </w:r>
        <w:r w:rsidR="00E2582B">
          <w:rPr>
            <w:noProof/>
            <w:webHidden/>
          </w:rPr>
          <w:fldChar w:fldCharType="begin"/>
        </w:r>
        <w:r w:rsidR="00E2582B">
          <w:rPr>
            <w:noProof/>
            <w:webHidden/>
          </w:rPr>
          <w:instrText xml:space="preserve"> PAGEREF _Toc450559843 \h </w:instrText>
        </w:r>
        <w:r w:rsidR="00E2582B">
          <w:rPr>
            <w:noProof/>
            <w:webHidden/>
          </w:rPr>
        </w:r>
        <w:r w:rsidR="00E2582B">
          <w:rPr>
            <w:noProof/>
            <w:webHidden/>
          </w:rPr>
          <w:fldChar w:fldCharType="separate"/>
        </w:r>
        <w:r w:rsidR="00E2582B">
          <w:rPr>
            <w:noProof/>
            <w:webHidden/>
          </w:rPr>
          <w:t>2</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4" w:history="1">
        <w:r w:rsidR="00E2582B" w:rsidRPr="00CB288D">
          <w:rPr>
            <w:rStyle w:val="Hyperlink"/>
            <w:noProof/>
          </w:rPr>
          <w:t>5.</w:t>
        </w:r>
        <w:r w:rsidR="00E2582B">
          <w:rPr>
            <w:rFonts w:asciiTheme="minorHAnsi" w:eastAsiaTheme="minorEastAsia" w:hAnsiTheme="minorHAnsi" w:cstheme="minorBidi"/>
            <w:caps w:val="0"/>
            <w:noProof/>
            <w:szCs w:val="22"/>
            <w:lang w:eastAsia="en-GB"/>
          </w:rPr>
          <w:tab/>
        </w:r>
        <w:r w:rsidR="00E2582B" w:rsidRPr="00CB288D">
          <w:rPr>
            <w:rStyle w:val="Hyperlink"/>
            <w:noProof/>
          </w:rPr>
          <w:t>scope of requirement</w:t>
        </w:r>
        <w:r w:rsidR="00E2582B">
          <w:rPr>
            <w:noProof/>
            <w:webHidden/>
          </w:rPr>
          <w:tab/>
        </w:r>
        <w:r w:rsidR="00E2582B">
          <w:rPr>
            <w:noProof/>
            <w:webHidden/>
          </w:rPr>
          <w:fldChar w:fldCharType="begin"/>
        </w:r>
        <w:r w:rsidR="00E2582B">
          <w:rPr>
            <w:noProof/>
            <w:webHidden/>
          </w:rPr>
          <w:instrText xml:space="preserve"> PAGEREF _Toc450559844 \h </w:instrText>
        </w:r>
        <w:r w:rsidR="00E2582B">
          <w:rPr>
            <w:noProof/>
            <w:webHidden/>
          </w:rPr>
        </w:r>
        <w:r w:rsidR="00E2582B">
          <w:rPr>
            <w:noProof/>
            <w:webHidden/>
          </w:rPr>
          <w:fldChar w:fldCharType="separate"/>
        </w:r>
        <w:r w:rsidR="00E2582B">
          <w:rPr>
            <w:noProof/>
            <w:webHidden/>
          </w:rPr>
          <w:t>2</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5" w:history="1">
        <w:r w:rsidR="00E2582B" w:rsidRPr="00CB288D">
          <w:rPr>
            <w:rStyle w:val="Hyperlink"/>
            <w:noProof/>
          </w:rPr>
          <w:t>6.</w:t>
        </w:r>
        <w:r w:rsidR="00E2582B">
          <w:rPr>
            <w:rFonts w:asciiTheme="minorHAnsi" w:eastAsiaTheme="minorEastAsia" w:hAnsiTheme="minorHAnsi" w:cstheme="minorBidi"/>
            <w:caps w:val="0"/>
            <w:noProof/>
            <w:szCs w:val="22"/>
            <w:lang w:eastAsia="en-GB"/>
          </w:rPr>
          <w:tab/>
        </w:r>
        <w:r w:rsidR="00E2582B" w:rsidRPr="00CB288D">
          <w:rPr>
            <w:rStyle w:val="Hyperlink"/>
            <w:noProof/>
          </w:rPr>
          <w:t>The requirement</w:t>
        </w:r>
        <w:r w:rsidR="00E2582B">
          <w:rPr>
            <w:noProof/>
            <w:webHidden/>
          </w:rPr>
          <w:tab/>
        </w:r>
        <w:r w:rsidR="00E2582B">
          <w:rPr>
            <w:noProof/>
            <w:webHidden/>
          </w:rPr>
          <w:fldChar w:fldCharType="begin"/>
        </w:r>
        <w:r w:rsidR="00E2582B">
          <w:rPr>
            <w:noProof/>
            <w:webHidden/>
          </w:rPr>
          <w:instrText xml:space="preserve"> PAGEREF _Toc450559845 \h </w:instrText>
        </w:r>
        <w:r w:rsidR="00E2582B">
          <w:rPr>
            <w:noProof/>
            <w:webHidden/>
          </w:rPr>
        </w:r>
        <w:r w:rsidR="00E2582B">
          <w:rPr>
            <w:noProof/>
            <w:webHidden/>
          </w:rPr>
          <w:fldChar w:fldCharType="separate"/>
        </w:r>
        <w:r w:rsidR="00E2582B">
          <w:rPr>
            <w:noProof/>
            <w:webHidden/>
          </w:rPr>
          <w:t>3</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6" w:history="1">
        <w:r w:rsidR="00E2582B" w:rsidRPr="00CB288D">
          <w:rPr>
            <w:rStyle w:val="Hyperlink"/>
            <w:rFonts w:cs="Arial"/>
            <w:noProof/>
          </w:rPr>
          <w:t>7.</w:t>
        </w:r>
        <w:r w:rsidR="00E2582B">
          <w:rPr>
            <w:rFonts w:asciiTheme="minorHAnsi" w:eastAsiaTheme="minorEastAsia" w:hAnsiTheme="minorHAnsi" w:cstheme="minorBidi"/>
            <w:caps w:val="0"/>
            <w:noProof/>
            <w:szCs w:val="22"/>
            <w:lang w:eastAsia="en-GB"/>
          </w:rPr>
          <w:tab/>
        </w:r>
        <w:r w:rsidR="00E2582B" w:rsidRPr="00CB288D">
          <w:rPr>
            <w:rStyle w:val="Hyperlink"/>
            <w:rFonts w:cs="Arial"/>
            <w:noProof/>
          </w:rPr>
          <w:t>authority’s responsibilities</w:t>
        </w:r>
        <w:r w:rsidR="00E2582B">
          <w:rPr>
            <w:noProof/>
            <w:webHidden/>
          </w:rPr>
          <w:tab/>
        </w:r>
        <w:r w:rsidR="00E2582B">
          <w:rPr>
            <w:noProof/>
            <w:webHidden/>
          </w:rPr>
          <w:fldChar w:fldCharType="begin"/>
        </w:r>
        <w:r w:rsidR="00E2582B">
          <w:rPr>
            <w:noProof/>
            <w:webHidden/>
          </w:rPr>
          <w:instrText xml:space="preserve"> PAGEREF _Toc450559846 \h </w:instrText>
        </w:r>
        <w:r w:rsidR="00E2582B">
          <w:rPr>
            <w:noProof/>
            <w:webHidden/>
          </w:rPr>
        </w:r>
        <w:r w:rsidR="00E2582B">
          <w:rPr>
            <w:noProof/>
            <w:webHidden/>
          </w:rPr>
          <w:fldChar w:fldCharType="separate"/>
        </w:r>
        <w:r w:rsidR="00E2582B">
          <w:rPr>
            <w:noProof/>
            <w:webHidden/>
          </w:rPr>
          <w:t>3</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7" w:history="1">
        <w:r w:rsidR="00E2582B" w:rsidRPr="00CB288D">
          <w:rPr>
            <w:rStyle w:val="Hyperlink"/>
            <w:rFonts w:cs="Arial"/>
            <w:noProof/>
          </w:rPr>
          <w:t>8.</w:t>
        </w:r>
        <w:r w:rsidR="00E2582B">
          <w:rPr>
            <w:rFonts w:asciiTheme="minorHAnsi" w:eastAsiaTheme="minorEastAsia" w:hAnsiTheme="minorHAnsi" w:cstheme="minorBidi"/>
            <w:caps w:val="0"/>
            <w:noProof/>
            <w:szCs w:val="22"/>
            <w:lang w:eastAsia="en-GB"/>
          </w:rPr>
          <w:tab/>
        </w:r>
        <w:r w:rsidR="00E2582B" w:rsidRPr="00CB288D">
          <w:rPr>
            <w:rStyle w:val="Hyperlink"/>
            <w:rFonts w:cs="Arial"/>
            <w:noProof/>
          </w:rPr>
          <w:t>PRICE</w:t>
        </w:r>
        <w:r w:rsidR="00E2582B">
          <w:rPr>
            <w:noProof/>
            <w:webHidden/>
          </w:rPr>
          <w:tab/>
        </w:r>
        <w:r w:rsidR="00E2582B">
          <w:rPr>
            <w:noProof/>
            <w:webHidden/>
          </w:rPr>
          <w:fldChar w:fldCharType="begin"/>
        </w:r>
        <w:r w:rsidR="00E2582B">
          <w:rPr>
            <w:noProof/>
            <w:webHidden/>
          </w:rPr>
          <w:instrText xml:space="preserve"> PAGEREF _Toc450559847 \h </w:instrText>
        </w:r>
        <w:r w:rsidR="00E2582B">
          <w:rPr>
            <w:noProof/>
            <w:webHidden/>
          </w:rPr>
        </w:r>
        <w:r w:rsidR="00E2582B">
          <w:rPr>
            <w:noProof/>
            <w:webHidden/>
          </w:rPr>
          <w:fldChar w:fldCharType="separate"/>
        </w:r>
        <w:r w:rsidR="00E2582B">
          <w:rPr>
            <w:noProof/>
            <w:webHidden/>
          </w:rPr>
          <w:t>3</w:t>
        </w:r>
        <w:r w:rsidR="00E2582B">
          <w:rPr>
            <w:noProof/>
            <w:webHidden/>
          </w:rPr>
          <w:fldChar w:fldCharType="end"/>
        </w:r>
      </w:hyperlink>
    </w:p>
    <w:p w:rsidR="00E2582B" w:rsidRDefault="001C4F57">
      <w:pPr>
        <w:pStyle w:val="TOC1"/>
        <w:rPr>
          <w:rFonts w:asciiTheme="minorHAnsi" w:eastAsiaTheme="minorEastAsia" w:hAnsiTheme="minorHAnsi" w:cstheme="minorBidi"/>
          <w:caps w:val="0"/>
          <w:noProof/>
          <w:szCs w:val="22"/>
          <w:lang w:eastAsia="en-GB"/>
        </w:rPr>
      </w:pPr>
      <w:hyperlink w:anchor="_Toc450559848" w:history="1">
        <w:r w:rsidR="00E2582B" w:rsidRPr="00CB288D">
          <w:rPr>
            <w:rStyle w:val="Hyperlink"/>
            <w:rFonts w:cs="Arial"/>
            <w:noProof/>
          </w:rPr>
          <w:t>9.</w:t>
        </w:r>
        <w:r w:rsidR="00E2582B">
          <w:rPr>
            <w:rFonts w:asciiTheme="minorHAnsi" w:eastAsiaTheme="minorEastAsia" w:hAnsiTheme="minorHAnsi" w:cstheme="minorBidi"/>
            <w:caps w:val="0"/>
            <w:noProof/>
            <w:szCs w:val="22"/>
            <w:lang w:eastAsia="en-GB"/>
          </w:rPr>
          <w:tab/>
        </w:r>
        <w:r w:rsidR="00E2582B" w:rsidRPr="00CB288D">
          <w:rPr>
            <w:rStyle w:val="Hyperlink"/>
            <w:rFonts w:cs="Arial"/>
            <w:noProof/>
          </w:rPr>
          <w:t>intellectual property rights (ipr)</w:t>
        </w:r>
        <w:r w:rsidR="00E2582B">
          <w:rPr>
            <w:noProof/>
            <w:webHidden/>
          </w:rPr>
          <w:tab/>
        </w:r>
        <w:r w:rsidR="00E2582B">
          <w:rPr>
            <w:noProof/>
            <w:webHidden/>
          </w:rPr>
          <w:fldChar w:fldCharType="begin"/>
        </w:r>
        <w:r w:rsidR="00E2582B">
          <w:rPr>
            <w:noProof/>
            <w:webHidden/>
          </w:rPr>
          <w:instrText xml:space="preserve"> PAGEREF _Toc450559848 \h </w:instrText>
        </w:r>
        <w:r w:rsidR="00E2582B">
          <w:rPr>
            <w:noProof/>
            <w:webHidden/>
          </w:rPr>
        </w:r>
        <w:r w:rsidR="00E2582B">
          <w:rPr>
            <w:noProof/>
            <w:webHidden/>
          </w:rPr>
          <w:fldChar w:fldCharType="separate"/>
        </w:r>
        <w:r w:rsidR="00E2582B">
          <w:rPr>
            <w:noProof/>
            <w:webHidden/>
          </w:rPr>
          <w:t>3</w:t>
        </w:r>
        <w:r w:rsidR="00E2582B">
          <w:rPr>
            <w:noProof/>
            <w:webHidden/>
          </w:rPr>
          <w:fldChar w:fldCharType="end"/>
        </w:r>
      </w:hyperlink>
    </w:p>
    <w:p w:rsidR="00FE18AC" w:rsidRPr="00D37BAC" w:rsidRDefault="00E10E97" w:rsidP="00FE18AC">
      <w:pPr>
        <w:spacing w:after="120"/>
        <w:jc w:val="center"/>
        <w:rPr>
          <w:b/>
        </w:rPr>
      </w:pPr>
      <w:r w:rsidRPr="00FA5229">
        <w:rPr>
          <w:rFonts w:cs="Arial"/>
          <w:caps/>
        </w:rPr>
        <w:fldChar w:fldCharType="end"/>
      </w:r>
    </w:p>
    <w:p w:rsidR="00F44D62" w:rsidRPr="00F44D62" w:rsidRDefault="00F44D62" w:rsidP="00F44D62">
      <w:pPr>
        <w:adjustRightInd w:val="0"/>
        <w:spacing w:before="60" w:after="60"/>
        <w:jc w:val="center"/>
        <w:rPr>
          <w:rFonts w:eastAsia="STZhongsong" w:cs="Arial"/>
          <w:b/>
          <w:szCs w:val="22"/>
          <w:highlight w:val="yellow"/>
        </w:rPr>
      </w:pPr>
      <w:bookmarkStart w:id="0"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50559840"/>
      <w:r w:rsidRPr="00CE295C">
        <w:rPr>
          <w:caps w:val="0"/>
          <w:szCs w:val="22"/>
        </w:rPr>
        <w:lastRenderedPageBreak/>
        <w:t>PURPOSE</w:t>
      </w:r>
      <w:bookmarkEnd w:id="0"/>
      <w:bookmarkEnd w:id="1"/>
      <w:bookmarkEnd w:id="2"/>
    </w:p>
    <w:p w:rsidR="00FE18AC" w:rsidRPr="001D3F77" w:rsidRDefault="001D3F77"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Pr>
          <w:szCs w:val="22"/>
        </w:rPr>
        <w:t xml:space="preserve">The Department for Transport </w:t>
      </w:r>
      <w:r w:rsidR="00AA3838">
        <w:rPr>
          <w:szCs w:val="22"/>
        </w:rPr>
        <w:t>wishes</w:t>
      </w:r>
      <w:r>
        <w:rPr>
          <w:szCs w:val="22"/>
        </w:rPr>
        <w:t xml:space="preserve"> to purchase</w:t>
      </w:r>
      <w:r w:rsidR="002B30C3">
        <w:rPr>
          <w:szCs w:val="22"/>
        </w:rPr>
        <w:t xml:space="preserve"> a subscription for</w:t>
      </w:r>
      <w:r>
        <w:rPr>
          <w:szCs w:val="22"/>
        </w:rPr>
        <w:t xml:space="preserve"> </w:t>
      </w:r>
      <w:r w:rsidR="002B30C3">
        <w:rPr>
          <w:szCs w:val="22"/>
        </w:rPr>
        <w:t>transport fuels market</w:t>
      </w:r>
      <w:r>
        <w:rPr>
          <w:szCs w:val="22"/>
        </w:rPr>
        <w:t xml:space="preserve"> price data and</w:t>
      </w:r>
      <w:r w:rsidR="002B30C3">
        <w:rPr>
          <w:szCs w:val="22"/>
        </w:rPr>
        <w:t xml:space="preserve"> a biofuels</w:t>
      </w:r>
      <w:r>
        <w:rPr>
          <w:szCs w:val="22"/>
        </w:rPr>
        <w:t xml:space="preserve"> news service.</w:t>
      </w:r>
    </w:p>
    <w:p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50559841"/>
      <w:bookmarkStart w:id="6" w:name="_Toc297554773"/>
      <w:bookmarkStart w:id="7" w:name="_Toc296415805"/>
      <w:bookmarkStart w:id="8" w:name="_Toc296415793"/>
      <w:bookmarkEnd w:id="3"/>
      <w:r w:rsidRPr="004E78BC">
        <w:rPr>
          <w:szCs w:val="22"/>
        </w:rPr>
        <w:t>BACKGROUND TO THE CONTRACTING aUTHORITY</w:t>
      </w:r>
      <w:bookmarkEnd w:id="4"/>
      <w:bookmarkEnd w:id="5"/>
    </w:p>
    <w:p w:rsidR="00671798" w:rsidRPr="00C62E4E" w:rsidRDefault="001D3F77">
      <w:pPr>
        <w:pStyle w:val="Heading2"/>
        <w:tabs>
          <w:tab w:val="clear" w:pos="720"/>
          <w:tab w:val="num" w:pos="709"/>
        </w:tabs>
        <w:spacing w:after="120"/>
        <w:ind w:left="709" w:hanging="709"/>
      </w:pPr>
      <w:r w:rsidRPr="001D3F77">
        <w:t xml:space="preserve">The Department for Transport is the Government department responsible for UK low </w:t>
      </w:r>
      <w:r w:rsidRPr="00C62E4E">
        <w:t>carbon fuels policy.</w:t>
      </w:r>
    </w:p>
    <w:p w:rsidR="00FE18AC" w:rsidRPr="00C62E4E"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50559842"/>
      <w:r w:rsidRPr="00C62E4E">
        <w:rPr>
          <w:szCs w:val="22"/>
        </w:rPr>
        <w:t>Background to requirement/OVERVIEW</w:t>
      </w:r>
      <w:bookmarkEnd w:id="6"/>
      <w:r w:rsidRPr="00C62E4E">
        <w:rPr>
          <w:szCs w:val="22"/>
        </w:rPr>
        <w:t xml:space="preserve"> of requirement</w:t>
      </w:r>
      <w:bookmarkEnd w:id="9"/>
      <w:bookmarkEnd w:id="10"/>
    </w:p>
    <w:p w:rsidR="00C62E4E" w:rsidRDefault="00C62E4E" w:rsidP="00C62E4E">
      <w:pPr>
        <w:pStyle w:val="Heading2"/>
      </w:pPr>
      <w:bookmarkStart w:id="11" w:name="_Toc297554774"/>
      <w:bookmarkEnd w:id="7"/>
      <w:r w:rsidRPr="00C62E4E">
        <w:t xml:space="preserve">As part of its ongoing work to support the decarbonisation of the transport fuel supply and management of the Renewable Transport Fuel Obligation (RTFO), the Department for Transport needs </w:t>
      </w:r>
      <w:r w:rsidR="00BE5E36">
        <w:t>transport fuels (bio &amp; fossil)</w:t>
      </w:r>
      <w:r>
        <w:t xml:space="preserve"> </w:t>
      </w:r>
      <w:r w:rsidRPr="00C62E4E">
        <w:t>price data</w:t>
      </w:r>
      <w:r>
        <w:t xml:space="preserve"> to inform its analysis of biofuels policies. In particular, price data is required as an input</w:t>
      </w:r>
      <w:r w:rsidR="00F74E85">
        <w:t xml:space="preserve"> for calculating the annual cost of the RTFO which is reported to parliament and published on the Department’s website.</w:t>
      </w:r>
      <w:r>
        <w:t xml:space="preserve"> </w:t>
      </w:r>
      <w:r w:rsidRPr="00C62E4E">
        <w:t xml:space="preserve"> </w:t>
      </w:r>
    </w:p>
    <w:p w:rsidR="00C62E4E" w:rsidRPr="00C62E4E" w:rsidRDefault="00F74E85" w:rsidP="00C62E4E">
      <w:pPr>
        <w:pStyle w:val="Heading2"/>
      </w:pPr>
      <w:r>
        <w:t>The Department also wants to receive</w:t>
      </w:r>
      <w:r w:rsidR="00C62E4E" w:rsidRPr="00C62E4E">
        <w:t xml:space="preserve"> </w:t>
      </w:r>
      <w:r>
        <w:t xml:space="preserve">a </w:t>
      </w:r>
      <w:r w:rsidR="00C62E4E" w:rsidRPr="00C62E4E">
        <w:t>biofuels</w:t>
      </w:r>
      <w:r>
        <w:t xml:space="preserve"> news service in order to keep up to da</w:t>
      </w:r>
      <w:r w:rsidR="00BE5E36">
        <w:t xml:space="preserve">te with the latest developments in </w:t>
      </w:r>
      <w:r w:rsidR="00E960F5">
        <w:t>biofuels</w:t>
      </w:r>
      <w:r w:rsidR="00C62E4E" w:rsidRPr="00C62E4E">
        <w:t xml:space="preserve"> markets. </w:t>
      </w:r>
    </w:p>
    <w:p w:rsidR="00C4233A" w:rsidRDefault="00106F24">
      <w:pPr>
        <w:pStyle w:val="Heading1"/>
        <w:tabs>
          <w:tab w:val="clear" w:pos="720"/>
        </w:tabs>
        <w:overflowPunct w:val="0"/>
        <w:autoSpaceDE w:val="0"/>
        <w:autoSpaceDN w:val="0"/>
        <w:spacing w:after="120"/>
        <w:textAlignment w:val="baseline"/>
        <w:rPr>
          <w:szCs w:val="22"/>
        </w:rPr>
      </w:pPr>
      <w:bookmarkStart w:id="12" w:name="_Toc450559843"/>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rsidTr="004B0B36">
        <w:tc>
          <w:tcPr>
            <w:tcW w:w="1841" w:type="dxa"/>
            <w:shd w:val="clear" w:color="auto" w:fill="C6D9F1" w:themeFill="text2" w:themeFillTint="33"/>
          </w:tcPr>
          <w:p w:rsidR="00106F24" w:rsidRPr="004B0B36" w:rsidRDefault="00106F24" w:rsidP="0081061A">
            <w:pPr>
              <w:pStyle w:val="Heading2"/>
              <w:numPr>
                <w:ilvl w:val="0"/>
                <w:numId w:val="0"/>
              </w:numPr>
              <w:spacing w:after="120"/>
              <w:ind w:left="18" w:hanging="18"/>
              <w:jc w:val="left"/>
              <w:outlineLvl w:val="1"/>
            </w:pPr>
            <w:r w:rsidRPr="004B0B36">
              <w:t>Expression</w:t>
            </w:r>
            <w:r w:rsidR="0081061A" w:rsidRPr="004B0B36">
              <w:t xml:space="preserve"> or </w:t>
            </w:r>
            <w:r w:rsidRPr="004B0B36">
              <w:t>Acronym</w:t>
            </w:r>
          </w:p>
        </w:tc>
        <w:tc>
          <w:tcPr>
            <w:tcW w:w="6458" w:type="dxa"/>
            <w:shd w:val="clear" w:color="auto" w:fill="C6D9F1" w:themeFill="text2" w:themeFillTint="33"/>
          </w:tcPr>
          <w:p w:rsidR="00106F24" w:rsidRPr="004B0B36" w:rsidRDefault="00106F24" w:rsidP="0081061A">
            <w:pPr>
              <w:pStyle w:val="Heading2"/>
              <w:numPr>
                <w:ilvl w:val="0"/>
                <w:numId w:val="0"/>
              </w:numPr>
              <w:spacing w:after="120"/>
              <w:ind w:left="720" w:hanging="720"/>
              <w:outlineLvl w:val="1"/>
            </w:pPr>
            <w:r w:rsidRPr="004B0B36">
              <w:t>Definition</w:t>
            </w:r>
          </w:p>
        </w:tc>
      </w:tr>
      <w:tr w:rsidR="00106F24" w:rsidTr="004B0B36">
        <w:tc>
          <w:tcPr>
            <w:tcW w:w="1841" w:type="dxa"/>
          </w:tcPr>
          <w:p w:rsidR="00106F24" w:rsidRPr="004B0B36" w:rsidRDefault="00B0195F" w:rsidP="0081061A">
            <w:pPr>
              <w:pStyle w:val="Heading2"/>
              <w:numPr>
                <w:ilvl w:val="0"/>
                <w:numId w:val="0"/>
              </w:numPr>
              <w:spacing w:after="120"/>
              <w:ind w:left="720" w:hanging="720"/>
              <w:outlineLvl w:val="1"/>
            </w:pPr>
            <w:r w:rsidRPr="004B0B36">
              <w:t>RTFO</w:t>
            </w:r>
          </w:p>
        </w:tc>
        <w:tc>
          <w:tcPr>
            <w:tcW w:w="6458" w:type="dxa"/>
          </w:tcPr>
          <w:p w:rsidR="00106F24" w:rsidRPr="004B0B36" w:rsidRDefault="0036555C" w:rsidP="00B0195F">
            <w:pPr>
              <w:pStyle w:val="Heading2"/>
              <w:numPr>
                <w:ilvl w:val="0"/>
                <w:numId w:val="0"/>
              </w:numPr>
              <w:spacing w:after="120"/>
              <w:outlineLvl w:val="1"/>
            </w:pPr>
            <w:r w:rsidRPr="004B0B36">
              <w:t xml:space="preserve">means </w:t>
            </w:r>
            <w:r w:rsidR="00B0195F" w:rsidRPr="004B0B36">
              <w:t>Renewable Transport Fuel Obligation (the UK biofuels subsidy)</w:t>
            </w:r>
          </w:p>
        </w:tc>
      </w:tr>
      <w:tr w:rsidR="00106F24" w:rsidTr="004B0B36">
        <w:tc>
          <w:tcPr>
            <w:tcW w:w="1841" w:type="dxa"/>
          </w:tcPr>
          <w:p w:rsidR="00106F24" w:rsidRPr="004B0B36" w:rsidRDefault="00B0195F" w:rsidP="0081061A">
            <w:pPr>
              <w:pStyle w:val="Heading2"/>
              <w:numPr>
                <w:ilvl w:val="0"/>
                <w:numId w:val="0"/>
              </w:numPr>
              <w:spacing w:after="120"/>
              <w:ind w:left="720" w:hanging="720"/>
              <w:outlineLvl w:val="1"/>
            </w:pPr>
            <w:r w:rsidRPr="004B0B36">
              <w:t>PME</w:t>
            </w:r>
          </w:p>
        </w:tc>
        <w:tc>
          <w:tcPr>
            <w:tcW w:w="6458" w:type="dxa"/>
          </w:tcPr>
          <w:p w:rsidR="00106F24" w:rsidRPr="004B0B36" w:rsidRDefault="00F242C1" w:rsidP="004B0B36">
            <w:pPr>
              <w:pStyle w:val="Heading2"/>
              <w:numPr>
                <w:ilvl w:val="0"/>
                <w:numId w:val="0"/>
              </w:numPr>
              <w:spacing w:after="120"/>
              <w:ind w:left="720" w:hanging="720"/>
              <w:outlineLvl w:val="1"/>
            </w:pPr>
            <w:r w:rsidRPr="004B0B36">
              <w:t xml:space="preserve">means </w:t>
            </w:r>
            <w:r w:rsidR="00B0195F" w:rsidRPr="004B0B36">
              <w:t>Palm</w:t>
            </w:r>
            <w:r w:rsidR="004B0B36" w:rsidRPr="004B0B36">
              <w:t xml:space="preserve"> M</w:t>
            </w:r>
            <w:r w:rsidR="00B0195F" w:rsidRPr="004B0B36">
              <w:t>ethyl Ester (Palm Oil Biodiesel)</w:t>
            </w:r>
          </w:p>
        </w:tc>
      </w:tr>
      <w:tr w:rsidR="00B0195F" w:rsidTr="004B0B36">
        <w:tc>
          <w:tcPr>
            <w:tcW w:w="1841" w:type="dxa"/>
          </w:tcPr>
          <w:p w:rsidR="00B0195F" w:rsidRPr="004B0B36" w:rsidRDefault="00B0195F" w:rsidP="0081061A">
            <w:pPr>
              <w:pStyle w:val="Heading2"/>
              <w:numPr>
                <w:ilvl w:val="0"/>
                <w:numId w:val="0"/>
              </w:numPr>
              <w:spacing w:after="120"/>
              <w:ind w:left="720" w:hanging="720"/>
              <w:outlineLvl w:val="1"/>
            </w:pPr>
            <w:r w:rsidRPr="004B0B36">
              <w:t>RME</w:t>
            </w:r>
          </w:p>
        </w:tc>
        <w:tc>
          <w:tcPr>
            <w:tcW w:w="6458" w:type="dxa"/>
          </w:tcPr>
          <w:p w:rsidR="00B0195F" w:rsidRPr="004B0B36" w:rsidRDefault="004B0B36" w:rsidP="004B0B36">
            <w:pPr>
              <w:pStyle w:val="Heading2"/>
              <w:numPr>
                <w:ilvl w:val="0"/>
                <w:numId w:val="0"/>
              </w:numPr>
              <w:spacing w:after="120"/>
              <w:outlineLvl w:val="1"/>
            </w:pPr>
            <w:r w:rsidRPr="004B0B36">
              <w:t>means Rapeseed Methyl Ester (Rapeseed Oil Biodiesel)</w:t>
            </w:r>
          </w:p>
        </w:tc>
      </w:tr>
      <w:tr w:rsidR="00B0195F" w:rsidTr="004B0B36">
        <w:tc>
          <w:tcPr>
            <w:tcW w:w="1841" w:type="dxa"/>
          </w:tcPr>
          <w:p w:rsidR="00B0195F" w:rsidRPr="004B0B36" w:rsidRDefault="00B0195F" w:rsidP="0081061A">
            <w:pPr>
              <w:pStyle w:val="Heading2"/>
              <w:numPr>
                <w:ilvl w:val="0"/>
                <w:numId w:val="0"/>
              </w:numPr>
              <w:spacing w:after="120"/>
              <w:ind w:left="720" w:hanging="720"/>
              <w:outlineLvl w:val="1"/>
            </w:pPr>
            <w:r w:rsidRPr="004B0B36">
              <w:t>SME</w:t>
            </w:r>
          </w:p>
        </w:tc>
        <w:tc>
          <w:tcPr>
            <w:tcW w:w="6458" w:type="dxa"/>
          </w:tcPr>
          <w:p w:rsidR="00B0195F" w:rsidRPr="004B0B36" w:rsidRDefault="004B0B36" w:rsidP="004B0B36">
            <w:pPr>
              <w:pStyle w:val="Heading2"/>
              <w:numPr>
                <w:ilvl w:val="0"/>
                <w:numId w:val="0"/>
              </w:numPr>
              <w:spacing w:after="120"/>
              <w:outlineLvl w:val="1"/>
            </w:pPr>
            <w:r w:rsidRPr="004B0B36">
              <w:t>means Soy Methyl Ester (Soya Oil Biodiesel)</w:t>
            </w:r>
          </w:p>
        </w:tc>
      </w:tr>
      <w:tr w:rsidR="00B0195F" w:rsidTr="004B0B36">
        <w:tc>
          <w:tcPr>
            <w:tcW w:w="1841" w:type="dxa"/>
          </w:tcPr>
          <w:p w:rsidR="00B0195F" w:rsidRPr="004B0B36" w:rsidRDefault="00B0195F" w:rsidP="0081061A">
            <w:pPr>
              <w:pStyle w:val="Heading2"/>
              <w:numPr>
                <w:ilvl w:val="0"/>
                <w:numId w:val="0"/>
              </w:numPr>
              <w:spacing w:after="120"/>
              <w:ind w:left="720" w:hanging="720"/>
              <w:outlineLvl w:val="1"/>
            </w:pPr>
            <w:r w:rsidRPr="004B0B36">
              <w:t>UCOME</w:t>
            </w:r>
          </w:p>
        </w:tc>
        <w:tc>
          <w:tcPr>
            <w:tcW w:w="6458" w:type="dxa"/>
          </w:tcPr>
          <w:p w:rsidR="00B0195F" w:rsidRPr="004B0B36" w:rsidRDefault="004B0B36" w:rsidP="004B0B36">
            <w:pPr>
              <w:pStyle w:val="Heading2"/>
              <w:numPr>
                <w:ilvl w:val="0"/>
                <w:numId w:val="0"/>
              </w:numPr>
              <w:spacing w:after="120"/>
              <w:outlineLvl w:val="1"/>
            </w:pPr>
            <w:r w:rsidRPr="004B0B36">
              <w:t>means Used Cooking Oil Methyl Ester (Used Cooking Oil Biodiesel)</w:t>
            </w:r>
          </w:p>
        </w:tc>
      </w:tr>
      <w:tr w:rsidR="00B0195F" w:rsidTr="004B0B36">
        <w:tc>
          <w:tcPr>
            <w:tcW w:w="1841" w:type="dxa"/>
          </w:tcPr>
          <w:p w:rsidR="00B0195F" w:rsidRPr="004B0B36" w:rsidRDefault="00B0195F" w:rsidP="0081061A">
            <w:pPr>
              <w:pStyle w:val="Heading2"/>
              <w:numPr>
                <w:ilvl w:val="0"/>
                <w:numId w:val="0"/>
              </w:numPr>
              <w:spacing w:after="120"/>
              <w:ind w:left="720" w:hanging="720"/>
              <w:outlineLvl w:val="1"/>
            </w:pPr>
            <w:r w:rsidRPr="004B0B36">
              <w:t>TME</w:t>
            </w:r>
          </w:p>
        </w:tc>
        <w:tc>
          <w:tcPr>
            <w:tcW w:w="6458" w:type="dxa"/>
          </w:tcPr>
          <w:p w:rsidR="00B0195F" w:rsidRPr="004B0B36" w:rsidRDefault="004B0B36" w:rsidP="004B0B36">
            <w:pPr>
              <w:pStyle w:val="Heading2"/>
              <w:numPr>
                <w:ilvl w:val="0"/>
                <w:numId w:val="0"/>
              </w:numPr>
              <w:spacing w:after="120"/>
              <w:outlineLvl w:val="1"/>
            </w:pPr>
            <w:r w:rsidRPr="004B0B36">
              <w:t>means Tallow Methyl Ester (Tallow Biodiesel)</w:t>
            </w:r>
          </w:p>
        </w:tc>
      </w:tr>
      <w:tr w:rsidR="004B0B36" w:rsidTr="004B0B36">
        <w:tc>
          <w:tcPr>
            <w:tcW w:w="1841" w:type="dxa"/>
          </w:tcPr>
          <w:p w:rsidR="004B0B36" w:rsidRPr="004B0B36" w:rsidRDefault="004B0B36" w:rsidP="0081061A">
            <w:pPr>
              <w:pStyle w:val="Heading2"/>
              <w:numPr>
                <w:ilvl w:val="0"/>
                <w:numId w:val="0"/>
              </w:numPr>
              <w:spacing w:after="120"/>
              <w:ind w:left="720" w:hanging="720"/>
              <w:outlineLvl w:val="1"/>
            </w:pPr>
            <w:r>
              <w:t>POME</w:t>
            </w:r>
          </w:p>
        </w:tc>
        <w:tc>
          <w:tcPr>
            <w:tcW w:w="6458" w:type="dxa"/>
          </w:tcPr>
          <w:p w:rsidR="004B0B36" w:rsidRPr="004B0B36" w:rsidRDefault="004B0B36" w:rsidP="004B0B36">
            <w:pPr>
              <w:pStyle w:val="Heading2"/>
              <w:numPr>
                <w:ilvl w:val="0"/>
                <w:numId w:val="0"/>
              </w:numPr>
              <w:spacing w:after="120"/>
              <w:outlineLvl w:val="1"/>
            </w:pPr>
            <w:r>
              <w:t>Palm Oil Mill Effluent</w:t>
            </w:r>
            <w:r w:rsidR="008E121E">
              <w:t xml:space="preserve"> (a biodiesel feedstock)</w:t>
            </w:r>
          </w:p>
        </w:tc>
      </w:tr>
    </w:tbl>
    <w:p w:rsidR="00671798" w:rsidRPr="004B0B36" w:rsidRDefault="00FE18AC" w:rsidP="00106F24">
      <w:pPr>
        <w:pStyle w:val="Heading1"/>
        <w:tabs>
          <w:tab w:val="clear" w:pos="720"/>
        </w:tabs>
        <w:overflowPunct w:val="0"/>
        <w:autoSpaceDE w:val="0"/>
        <w:autoSpaceDN w:val="0"/>
        <w:spacing w:before="240" w:after="120"/>
        <w:textAlignment w:val="baseline"/>
        <w:rPr>
          <w:szCs w:val="22"/>
        </w:rPr>
      </w:pPr>
      <w:bookmarkStart w:id="14" w:name="_Toc450559844"/>
      <w:r w:rsidRPr="004B0B36">
        <w:rPr>
          <w:szCs w:val="22"/>
        </w:rPr>
        <w:t>scope of requirement</w:t>
      </w:r>
      <w:bookmarkEnd w:id="11"/>
      <w:bookmarkEnd w:id="13"/>
      <w:bookmarkEnd w:id="14"/>
      <w:r w:rsidRPr="004B0B36">
        <w:rPr>
          <w:szCs w:val="22"/>
        </w:rPr>
        <w:t xml:space="preserve"> </w:t>
      </w:r>
    </w:p>
    <w:bookmarkEnd w:id="8"/>
    <w:p w:rsidR="00671798" w:rsidRPr="004B0B36" w:rsidRDefault="00BE5E36">
      <w:pPr>
        <w:pStyle w:val="Heading2"/>
        <w:tabs>
          <w:tab w:val="clear" w:pos="720"/>
          <w:tab w:val="num" w:pos="862"/>
        </w:tabs>
        <w:overflowPunct w:val="0"/>
        <w:autoSpaceDE w:val="0"/>
        <w:autoSpaceDN w:val="0"/>
        <w:spacing w:after="120"/>
        <w:ind w:left="709" w:hanging="709"/>
        <w:textAlignment w:val="baseline"/>
        <w:rPr>
          <w:rFonts w:cs="Arial"/>
          <w:szCs w:val="22"/>
        </w:rPr>
      </w:pPr>
      <w:r w:rsidRPr="004B0B36">
        <w:rPr>
          <w:rFonts w:cs="Arial"/>
        </w:rPr>
        <w:t>Specifically we are looking for:</w:t>
      </w:r>
    </w:p>
    <w:p w:rsidR="00BE5E36" w:rsidRPr="00AA3838" w:rsidRDefault="00BE5E36" w:rsidP="00BE5E36">
      <w:pPr>
        <w:pStyle w:val="Heading3"/>
      </w:pPr>
      <w:r w:rsidRPr="004B0B36">
        <w:t xml:space="preserve">Regular wholesale market price updates and access to historical price data for major biofuel markets (T1 ethanol, T2 ethanol, PME, </w:t>
      </w:r>
      <w:r w:rsidRPr="00AA3838">
        <w:t>RME, SME, UCOME, TME biodiesel etc) and also, if available, price data for emerging/niche</w:t>
      </w:r>
      <w:r w:rsidR="004B0B36" w:rsidRPr="00AA3838">
        <w:t xml:space="preserve"> biofuel markets (e.g. bio</w:t>
      </w:r>
      <w:r w:rsidRPr="00AA3838">
        <w:t xml:space="preserve">methanol, </w:t>
      </w:r>
      <w:r w:rsidR="004B0B36" w:rsidRPr="00AA3838">
        <w:t>POME biodiesel</w:t>
      </w:r>
      <w:r w:rsidRPr="00AA3838">
        <w:t xml:space="preserve">, </w:t>
      </w:r>
      <w:r w:rsidR="004B0B36" w:rsidRPr="00AA3838">
        <w:t>bioethanol from waste feedstock</w:t>
      </w:r>
      <w:r w:rsidRPr="00AA3838">
        <w:t>)</w:t>
      </w:r>
      <w:bookmarkStart w:id="15" w:name="_GoBack"/>
      <w:r w:rsidR="00575C4A">
        <w:t>]</w:t>
      </w:r>
      <w:bookmarkEnd w:id="15"/>
    </w:p>
    <w:p w:rsidR="00BE5E36" w:rsidRPr="00AA3838" w:rsidRDefault="00BE5E36" w:rsidP="00BE5E36">
      <w:pPr>
        <w:pStyle w:val="Heading3"/>
      </w:pPr>
      <w:r w:rsidRPr="00AA3838">
        <w:t>Regular (e.g. daily, weekly) wholesale market price updates for liquid fossil fuel markets (e.g. petrol, diesel, gasoil</w:t>
      </w:r>
      <w:r w:rsidR="002B30C3" w:rsidRPr="00AA3838">
        <w:t>,</w:t>
      </w:r>
      <w:r w:rsidR="00E2674A">
        <w:t xml:space="preserve"> LNG,</w:t>
      </w:r>
      <w:r w:rsidR="002B30C3" w:rsidRPr="00AA3838">
        <w:t xml:space="preserve"> aviation kerosene</w:t>
      </w:r>
      <w:r w:rsidRPr="00AA3838">
        <w:t xml:space="preserve"> etc) </w:t>
      </w:r>
    </w:p>
    <w:p w:rsidR="00BE5E36" w:rsidRPr="00AA3838" w:rsidRDefault="00AA3838" w:rsidP="00BE5E36">
      <w:pPr>
        <w:pStyle w:val="Heading3"/>
      </w:pPr>
      <w:r w:rsidRPr="00AA3838">
        <w:t>A n</w:t>
      </w:r>
      <w:r w:rsidR="00E960F5" w:rsidRPr="00AA3838">
        <w:t>ews service which provides regular</w:t>
      </w:r>
      <w:r w:rsidR="005126D1">
        <w:t xml:space="preserve"> email</w:t>
      </w:r>
      <w:r w:rsidR="00E960F5" w:rsidRPr="00AA3838">
        <w:t xml:space="preserve"> updates on developments in biofuels markets</w:t>
      </w:r>
      <w:r w:rsidRPr="00AA3838">
        <w:t>.</w:t>
      </w:r>
    </w:p>
    <w:p w:rsidR="00671798" w:rsidRDefault="00FE18AC">
      <w:pPr>
        <w:pStyle w:val="Heading1"/>
        <w:spacing w:after="120"/>
      </w:pPr>
      <w:bookmarkStart w:id="16" w:name="_Toc368573031"/>
      <w:bookmarkStart w:id="17" w:name="_Toc450559845"/>
      <w:r w:rsidRPr="00BE6EE0">
        <w:lastRenderedPageBreak/>
        <w:t>The requirement</w:t>
      </w:r>
      <w:bookmarkEnd w:id="16"/>
      <w:bookmarkEnd w:id="17"/>
    </w:p>
    <w:p w:rsidR="00671798" w:rsidRPr="00615EED" w:rsidRDefault="00615EED">
      <w:pPr>
        <w:pStyle w:val="Heading2"/>
        <w:tabs>
          <w:tab w:val="clear" w:pos="720"/>
          <w:tab w:val="num" w:pos="709"/>
        </w:tabs>
        <w:spacing w:after="120"/>
        <w:ind w:left="709" w:hanging="709"/>
      </w:pPr>
      <w:r w:rsidRPr="00615EED">
        <w:t>P</w:t>
      </w:r>
      <w:r w:rsidR="00E960F5" w:rsidRPr="00615EED">
        <w:t xml:space="preserve">rice data should ideally be provided in spreadsheet format. </w:t>
      </w:r>
      <w:r w:rsidRPr="00615EED">
        <w:t>News</w:t>
      </w:r>
      <w:r w:rsidR="00E960F5" w:rsidRPr="00615EED">
        <w:t xml:space="preserve"> updates </w:t>
      </w:r>
      <w:r w:rsidRPr="00615EED">
        <w:t>should ideally</w:t>
      </w:r>
      <w:r w:rsidR="00AA3838">
        <w:t xml:space="preserve"> be provided as a regular email (or email attachment) which is made available to multiple users (around 10 or more users would be ideal).</w:t>
      </w:r>
    </w:p>
    <w:p w:rsidR="00E2582B" w:rsidRDefault="00106F24" w:rsidP="00E2582B">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450559846"/>
      <w:bookmarkStart w:id="19" w:name="_Toc368573033"/>
      <w:bookmarkStart w:id="20" w:name="_Toc302637211"/>
      <w:r>
        <w:rPr>
          <w:rFonts w:cs="Arial"/>
          <w:szCs w:val="22"/>
        </w:rPr>
        <w:t>authority’s responsibilities</w:t>
      </w:r>
      <w:bookmarkEnd w:id="18"/>
    </w:p>
    <w:p w:rsidR="00982F04" w:rsidRPr="003932BF" w:rsidRDefault="00982F04" w:rsidP="00982F04">
      <w:pPr>
        <w:pStyle w:val="Heading2"/>
        <w:rPr>
          <w:rFonts w:cs="Arial"/>
          <w:szCs w:val="22"/>
        </w:rPr>
      </w:pPr>
      <w:r w:rsidRPr="00E2582B">
        <w:t xml:space="preserve">Interested suppliers should note that the Department </w:t>
      </w:r>
      <w:r>
        <w:t xml:space="preserve">is required to publish an estimate of the cost of the Renewable Transport Fuel Obligation </w:t>
      </w:r>
      <w:r w:rsidRPr="00E2582B">
        <w:t>(e.g. ‘the total value of the RTFO for 2014-15 is £288 million’)</w:t>
      </w:r>
      <w:r>
        <w:t xml:space="preserve">  once a year and that</w:t>
      </w:r>
      <w:r w:rsidRPr="00E2582B">
        <w:t xml:space="preserve"> the biofuel price data </w:t>
      </w:r>
      <w:r>
        <w:t>is used as</w:t>
      </w:r>
      <w:r w:rsidRPr="00E2582B">
        <w:t xml:space="preserve"> an input </w:t>
      </w:r>
      <w:r>
        <w:t>for this calculation. T</w:t>
      </w:r>
      <w:r w:rsidRPr="00E2582B">
        <w:t>he contractual arrangement between the</w:t>
      </w:r>
      <w:r>
        <w:t xml:space="preserve"> biofuel price data</w:t>
      </w:r>
      <w:r w:rsidRPr="00E2582B">
        <w:t xml:space="preserve"> supplier and the </w:t>
      </w:r>
      <w:r>
        <w:t>Department will need to enable the Department</w:t>
      </w:r>
      <w:r w:rsidRPr="00E2582B">
        <w:t xml:space="preserve"> to use the data in this way</w:t>
      </w:r>
      <w:r>
        <w:t>.</w:t>
      </w:r>
    </w:p>
    <w:p w:rsidR="00982F04" w:rsidRPr="003932BF" w:rsidRDefault="00982F04" w:rsidP="00982F04">
      <w:pPr>
        <w:pStyle w:val="Heading2"/>
        <w:rPr>
          <w:rFonts w:cs="Arial"/>
          <w:szCs w:val="22"/>
        </w:rPr>
      </w:pPr>
      <w:r>
        <w:t xml:space="preserve">An example of how the this cost estimate is published can be found at the following link: </w:t>
      </w:r>
      <w:hyperlink r:id="rId8" w:history="1">
        <w:r w:rsidRPr="00C803C3">
          <w:rPr>
            <w:rStyle w:val="Hyperlink"/>
          </w:rPr>
          <w:t>https://www.gov.uk/government/uploads/system/uploads/attachment_data/file/509569/rtfo-annual-report-2014-2015-web-version.pdf.pdf</w:t>
        </w:r>
      </w:hyperlink>
      <w:r>
        <w:t xml:space="preserve"> </w:t>
      </w:r>
      <w:r w:rsidRPr="00E2582B">
        <w:t xml:space="preserve"> </w:t>
      </w:r>
    </w:p>
    <w:p w:rsidR="00FE18AC" w:rsidRPr="004B0B36"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7"/>
      <w:bookmarkStart w:id="22" w:name="_Toc450559847"/>
      <w:bookmarkEnd w:id="19"/>
      <w:r w:rsidRPr="004B0B36">
        <w:rPr>
          <w:rFonts w:cs="Arial"/>
          <w:szCs w:val="22"/>
        </w:rPr>
        <w:t>PRICE</w:t>
      </w:r>
      <w:bookmarkEnd w:id="21"/>
      <w:bookmarkEnd w:id="22"/>
    </w:p>
    <w:p w:rsidR="00B0195F" w:rsidRPr="00E2582B" w:rsidRDefault="00B0195F" w:rsidP="00B0195F">
      <w:pPr>
        <w:pStyle w:val="Heading2"/>
      </w:pPr>
      <w:r w:rsidRPr="004C599E">
        <w:t>We would like to purchase this service for one year with an option to extend the service into a second year</w:t>
      </w:r>
      <w:r w:rsidR="004C599E" w:rsidRPr="004C599E">
        <w:t xml:space="preserve"> (subject to the service meeting expectations and a continued need in the second year)</w:t>
      </w:r>
      <w:r w:rsidRPr="004C599E">
        <w:t xml:space="preserve">. Please </w:t>
      </w:r>
      <w:r w:rsidRPr="00E2582B">
        <w:t>provide quotes for a two year service, split into year one and year two.</w:t>
      </w:r>
    </w:p>
    <w:p w:rsidR="00671798" w:rsidRPr="00E2582B" w:rsidRDefault="00FE18AC" w:rsidP="00B0195F">
      <w:pPr>
        <w:pStyle w:val="Heading2"/>
      </w:pPr>
      <w:r w:rsidRPr="00E2582B">
        <w:t>Prices are to be submitted via the e</w:t>
      </w:r>
      <w:r w:rsidR="00F44D62" w:rsidRPr="00E2582B">
        <w:t>-</w:t>
      </w:r>
      <w:r w:rsidRPr="00E2582B">
        <w:t>Sourcing Suite</w:t>
      </w:r>
      <w:r w:rsidR="00E2582B" w:rsidRPr="00E2582B">
        <w:t xml:space="preserve"> Appendix E</w:t>
      </w:r>
      <w:r w:rsidRPr="00E2582B">
        <w:t xml:space="preserve"> excluding VAT</w:t>
      </w:r>
      <w:r w:rsidR="00AE3C65" w:rsidRPr="00E2582B">
        <w:t>.</w:t>
      </w:r>
    </w:p>
    <w:p w:rsidR="00E2582B" w:rsidRDefault="00FE18AC" w:rsidP="00E2582B">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41"/>
      <w:bookmarkStart w:id="24" w:name="_Toc450559848"/>
      <w:r w:rsidRPr="008E121E">
        <w:rPr>
          <w:rFonts w:cs="Arial"/>
          <w:szCs w:val="22"/>
        </w:rPr>
        <w:t>intellectual property rights (ipr)</w:t>
      </w:r>
      <w:bookmarkStart w:id="25" w:name="_Toc368573042"/>
      <w:bookmarkEnd w:id="23"/>
      <w:bookmarkEnd w:id="24"/>
    </w:p>
    <w:p w:rsidR="002F7AA1" w:rsidRPr="00E2582B" w:rsidRDefault="00AA3838" w:rsidP="00E2582B">
      <w:pPr>
        <w:pStyle w:val="Heading2"/>
        <w:rPr>
          <w:rFonts w:cs="Arial"/>
          <w:szCs w:val="22"/>
        </w:rPr>
      </w:pPr>
      <w:r w:rsidRPr="00E2582B">
        <w:t>The Department</w:t>
      </w:r>
      <w:r w:rsidR="008E121E" w:rsidRPr="00E2582B">
        <w:t xml:space="preserve"> intend</w:t>
      </w:r>
      <w:r w:rsidRPr="00E2582B">
        <w:t>s</w:t>
      </w:r>
      <w:r w:rsidR="008E121E" w:rsidRPr="00E2582B">
        <w:t xml:space="preserve"> to use the price data to inform policy analysis</w:t>
      </w:r>
      <w:r w:rsidRPr="00E2582B">
        <w:t xml:space="preserve"> primarily</w:t>
      </w:r>
      <w:r w:rsidR="008E121E" w:rsidRPr="00E2582B">
        <w:t xml:space="preserve"> for internal Government use. However, i</w:t>
      </w:r>
      <w:r w:rsidR="00B0195F" w:rsidRPr="00E2582B">
        <w:t>nterested suppliers should</w:t>
      </w:r>
      <w:r w:rsidR="008E121E" w:rsidRPr="00E2582B">
        <w:t xml:space="preserve"> also</w:t>
      </w:r>
      <w:r w:rsidR="00B0195F" w:rsidRPr="00E2582B">
        <w:t xml:space="preserve"> note that the Department would like to use the biofuel price data as an input to calculate aggregated cost estimates for biofuel policy (e.g. </w:t>
      </w:r>
      <w:r w:rsidR="008E121E" w:rsidRPr="00E2582B">
        <w:t>‘</w:t>
      </w:r>
      <w:r w:rsidR="00EF2FCC" w:rsidRPr="00E2582B">
        <w:t>the total value of the RTFO for 2014-15 is £288 million</w:t>
      </w:r>
      <w:r w:rsidR="008E121E" w:rsidRPr="00E2582B">
        <w:t>’</w:t>
      </w:r>
      <w:r w:rsidR="002B30C3" w:rsidRPr="00E2582B">
        <w:t xml:space="preserve">) in the ‘Renewable Transport Fuel Obligation Annual Report’ (you can find the latest report at </w:t>
      </w:r>
      <w:hyperlink r:id="rId9" w:history="1">
        <w:r w:rsidR="002B30C3" w:rsidRPr="00E2582B">
          <w:rPr>
            <w:rStyle w:val="Hyperlink"/>
          </w:rPr>
          <w:t>https://www.gov.uk/government/uploads/system/uploads/attachment_data/file/509569/rtfo-annual-report-2014-2015-web-version.pdf</w:t>
        </w:r>
      </w:hyperlink>
      <w:r w:rsidR="002B30C3" w:rsidRPr="00E2582B">
        <w:t xml:space="preserve"> ).T</w:t>
      </w:r>
      <w:r w:rsidR="00B0195F" w:rsidRPr="00E2582B">
        <w:t>he contractual arrangement between the supplier and the D</w:t>
      </w:r>
      <w:r w:rsidR="002B30C3" w:rsidRPr="00E2582B">
        <w:t>epartment will need to enable the Department</w:t>
      </w:r>
      <w:r w:rsidR="00B0195F" w:rsidRPr="00E2582B">
        <w:t xml:space="preserve"> to use</w:t>
      </w:r>
      <w:r w:rsidR="002B30C3" w:rsidRPr="00E2582B">
        <w:t xml:space="preserve"> the data in this way.</w:t>
      </w:r>
      <w:bookmarkEnd w:id="20"/>
      <w:bookmarkEnd w:id="25"/>
    </w:p>
    <w:p w:rsidR="002F7AA1" w:rsidRDefault="002F7AA1" w:rsidP="002F7AA1">
      <w:pPr>
        <w:pStyle w:val="Heading1"/>
        <w:numPr>
          <w:ilvl w:val="0"/>
          <w:numId w:val="0"/>
        </w:numPr>
        <w:ind w:left="720" w:hanging="720"/>
        <w:jc w:val="center"/>
      </w:pPr>
    </w:p>
    <w:p w:rsidR="002F7AA1" w:rsidRDefault="002F7AA1" w:rsidP="007D431E">
      <w:pPr>
        <w:pStyle w:val="Heading1"/>
        <w:numPr>
          <w:ilvl w:val="0"/>
          <w:numId w:val="0"/>
        </w:numPr>
        <w:ind w:left="720" w:hanging="720"/>
      </w:pPr>
    </w:p>
    <w:p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57" w:rsidRDefault="001C4F57">
      <w:pPr>
        <w:spacing w:line="20" w:lineRule="exact"/>
      </w:pPr>
    </w:p>
  </w:endnote>
  <w:endnote w:type="continuationSeparator" w:id="0">
    <w:p w:rsidR="001C4F57" w:rsidRDefault="001C4F57">
      <w:pPr>
        <w:spacing w:line="20" w:lineRule="exact"/>
      </w:pPr>
      <w:r>
        <w:t xml:space="preserve"> </w:t>
      </w:r>
    </w:p>
  </w:endnote>
  <w:endnote w:type="continuationNotice" w:id="1">
    <w:p w:rsidR="001C4F57" w:rsidRDefault="001C4F5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7E5E3"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rsidR="00985B4D" w:rsidRPr="00985B4D" w:rsidRDefault="00985B4D" w:rsidP="00985B4D">
        <w:pPr>
          <w:pStyle w:val="Footer"/>
          <w:jc w:val="center"/>
          <w:rPr>
            <w:sz w:val="20"/>
            <w:szCs w:val="20"/>
          </w:rPr>
        </w:pPr>
        <w:r w:rsidRPr="00985B4D">
          <w:rPr>
            <w:sz w:val="20"/>
            <w:szCs w:val="20"/>
          </w:rPr>
          <w:t>OFFICIAL</w:t>
        </w:r>
      </w:p>
      <w:p w:rsidR="00985B4D" w:rsidRPr="00985B4D" w:rsidRDefault="00985B4D">
        <w:pPr>
          <w:pStyle w:val="Footer"/>
          <w:rPr>
            <w:sz w:val="20"/>
            <w:szCs w:val="20"/>
          </w:rPr>
        </w:pPr>
        <w:r w:rsidRPr="00985B4D">
          <w:rPr>
            <w:sz w:val="20"/>
            <w:szCs w:val="20"/>
          </w:rPr>
          <w:t>Appendix B – Statement of Requirements</w:t>
        </w:r>
      </w:p>
      <w:p w:rsidR="00985B4D" w:rsidRPr="00985B4D" w:rsidRDefault="00E2582B">
        <w:pPr>
          <w:pStyle w:val="Footer"/>
          <w:rPr>
            <w:sz w:val="20"/>
            <w:szCs w:val="20"/>
          </w:rPr>
        </w:pPr>
        <w:r>
          <w:rPr>
            <w:sz w:val="20"/>
            <w:szCs w:val="20"/>
          </w:rPr>
          <w:t>Jasmine Bland</w:t>
        </w:r>
      </w:p>
      <w:p w:rsidR="00985B4D" w:rsidRPr="00985B4D" w:rsidRDefault="00773C5A" w:rsidP="00985B4D">
        <w:pPr>
          <w:pStyle w:val="Footer"/>
          <w:jc w:val="right"/>
          <w:rPr>
            <w:sz w:val="20"/>
            <w:szCs w:val="20"/>
          </w:rPr>
        </w:pPr>
        <w:r>
          <w:rPr>
            <w:sz w:val="20"/>
            <w:szCs w:val="20"/>
          </w:rPr>
          <w:t xml:space="preserve">V1.0 </w:t>
        </w:r>
        <w:r w:rsidR="00E2582B">
          <w:rPr>
            <w:sz w:val="20"/>
            <w:szCs w:val="20"/>
          </w:rPr>
          <w:t>09/05/16</w:t>
        </w:r>
      </w:p>
      <w:p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E3D61">
          <w:rPr>
            <w:noProof/>
            <w:sz w:val="20"/>
            <w:szCs w:val="20"/>
          </w:rPr>
          <w:t>3</w:t>
        </w:r>
        <w:r w:rsidRPr="00985B4D">
          <w:rPr>
            <w:noProof/>
            <w:sz w:val="20"/>
            <w:szCs w:val="20"/>
          </w:rPr>
          <w:fldChar w:fldCharType="end"/>
        </w:r>
      </w:p>
    </w:sdtContent>
  </w:sdt>
  <w:p w:rsidR="00985B4D" w:rsidRPr="002933F8" w:rsidRDefault="00985B4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57" w:rsidRDefault="001C4F57">
      <w:r>
        <w:separator/>
      </w:r>
    </w:p>
  </w:footnote>
  <w:footnote w:type="continuationSeparator" w:id="0">
    <w:p w:rsidR="001C4F57" w:rsidRDefault="001C4F57">
      <w:r>
        <w:continuationSeparator/>
      </w:r>
    </w:p>
  </w:footnote>
  <w:footnote w:type="continuationNotice" w:id="1">
    <w:p w:rsidR="001C4F57" w:rsidRDefault="001C4F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D62" w:rsidRPr="00F44D62" w:rsidRDefault="00F44D6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rsidR="00F44D62" w:rsidRDefault="00F44D62" w:rsidP="00985B4D">
    <w:pPr>
      <w:tabs>
        <w:tab w:val="center" w:pos="4153"/>
        <w:tab w:val="right" w:pos="8306"/>
      </w:tabs>
      <w:ind w:left="720"/>
      <w:jc w:val="center"/>
      <w:rPr>
        <w:sz w:val="20"/>
        <w:szCs w:val="20"/>
      </w:rPr>
    </w:pPr>
    <w:r w:rsidRPr="00F44D62">
      <w:rPr>
        <w:sz w:val="20"/>
        <w:szCs w:val="20"/>
      </w:rPr>
      <w:t>App</w:t>
    </w:r>
    <w:r w:rsidR="00985B4D">
      <w:rPr>
        <w:sz w:val="20"/>
        <w:szCs w:val="20"/>
      </w:rPr>
      <w:t>endix B – Statement of Requirements</w:t>
    </w:r>
  </w:p>
  <w:p w:rsidR="00E2582B" w:rsidRDefault="00E2582B" w:rsidP="005334EA">
    <w:pPr>
      <w:tabs>
        <w:tab w:val="center" w:pos="4153"/>
        <w:tab w:val="right" w:pos="8306"/>
      </w:tabs>
      <w:ind w:left="720"/>
      <w:jc w:val="center"/>
      <w:rPr>
        <w:rFonts w:cs="Arial"/>
        <w:sz w:val="20"/>
        <w:szCs w:val="20"/>
      </w:rPr>
    </w:pPr>
    <w:r>
      <w:rPr>
        <w:rFonts w:cs="Arial"/>
        <w:sz w:val="20"/>
        <w:szCs w:val="20"/>
      </w:rPr>
      <w:t>Bio &amp;</w:t>
    </w:r>
    <w:r w:rsidR="00F56CEC">
      <w:rPr>
        <w:rFonts w:cs="Arial"/>
        <w:sz w:val="20"/>
        <w:szCs w:val="20"/>
      </w:rPr>
      <w:t xml:space="preserve"> </w:t>
    </w:r>
    <w:r>
      <w:rPr>
        <w:rFonts w:cs="Arial"/>
        <w:sz w:val="20"/>
        <w:szCs w:val="20"/>
      </w:rPr>
      <w:t>Fossil Fuels Price Data</w:t>
    </w:r>
  </w:p>
  <w:p w:rsidR="00183DAF" w:rsidRPr="009D0EAE" w:rsidRDefault="00E2582B" w:rsidP="00F946AC">
    <w:pPr>
      <w:pStyle w:val="Header"/>
      <w:jc w:val="center"/>
      <w:rPr>
        <w:rFonts w:cs="Arial"/>
        <w:sz w:val="20"/>
        <w:szCs w:val="20"/>
        <w:highlight w:val="yellow"/>
      </w:rPr>
    </w:pPr>
    <w:r>
      <w:rPr>
        <w:rFonts w:cs="Arial"/>
        <w:sz w:val="20"/>
        <w:szCs w:val="20"/>
      </w:rPr>
      <w:t>SO18624</w:t>
    </w:r>
  </w:p>
  <w:p w:rsidR="002B4FD0" w:rsidRPr="00074357" w:rsidRDefault="00183DAF" w:rsidP="00074357">
    <w:pPr>
      <w:pStyle w:val="Header"/>
    </w:pPr>
    <w:r>
      <w:rPr>
        <w:noProof/>
        <w:lang w:eastAsia="en-GB"/>
      </w:rPr>
      <mc:AlternateContent>
        <mc:Choice Requires="wps">
          <w:drawing>
            <wp:anchor distT="0" distB="0" distL="114300" distR="114300" simplePos="0" relativeHeight="25167308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4A19A"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425"/>
    <w:rsid w:val="00024AE7"/>
    <w:rsid w:val="00024B2F"/>
    <w:rsid w:val="00026CBD"/>
    <w:rsid w:val="00026E28"/>
    <w:rsid w:val="00027C05"/>
    <w:rsid w:val="000318CA"/>
    <w:rsid w:val="0003289F"/>
    <w:rsid w:val="00035A45"/>
    <w:rsid w:val="00037CB6"/>
    <w:rsid w:val="00040A60"/>
    <w:rsid w:val="000459DD"/>
    <w:rsid w:val="00051303"/>
    <w:rsid w:val="00052A65"/>
    <w:rsid w:val="00053DF7"/>
    <w:rsid w:val="0005414E"/>
    <w:rsid w:val="00056F7F"/>
    <w:rsid w:val="00060D0E"/>
    <w:rsid w:val="000645CC"/>
    <w:rsid w:val="00064B8F"/>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446"/>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1CC5"/>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4F57"/>
    <w:rsid w:val="001C609B"/>
    <w:rsid w:val="001C63F8"/>
    <w:rsid w:val="001D0473"/>
    <w:rsid w:val="001D0D12"/>
    <w:rsid w:val="001D1ADF"/>
    <w:rsid w:val="001D1C5A"/>
    <w:rsid w:val="001D3018"/>
    <w:rsid w:val="001D3F77"/>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30C3"/>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0B36"/>
    <w:rsid w:val="004B4E34"/>
    <w:rsid w:val="004B6951"/>
    <w:rsid w:val="004B7B71"/>
    <w:rsid w:val="004C0636"/>
    <w:rsid w:val="004C1460"/>
    <w:rsid w:val="004C50CD"/>
    <w:rsid w:val="004C599E"/>
    <w:rsid w:val="004C5A51"/>
    <w:rsid w:val="004C5C6B"/>
    <w:rsid w:val="004C62BB"/>
    <w:rsid w:val="004D0392"/>
    <w:rsid w:val="004D0A59"/>
    <w:rsid w:val="004D1EED"/>
    <w:rsid w:val="004D22DF"/>
    <w:rsid w:val="004D267E"/>
    <w:rsid w:val="004D2D01"/>
    <w:rsid w:val="004D34B9"/>
    <w:rsid w:val="004D4D43"/>
    <w:rsid w:val="004D4E92"/>
    <w:rsid w:val="004D5500"/>
    <w:rsid w:val="004E04E2"/>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26D1"/>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5C4A"/>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5EED"/>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1B8"/>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379A"/>
    <w:rsid w:val="0076417D"/>
    <w:rsid w:val="007667BD"/>
    <w:rsid w:val="0077082E"/>
    <w:rsid w:val="00770F75"/>
    <w:rsid w:val="0077138F"/>
    <w:rsid w:val="00772062"/>
    <w:rsid w:val="007723BF"/>
    <w:rsid w:val="007734F9"/>
    <w:rsid w:val="00773C5A"/>
    <w:rsid w:val="007742BD"/>
    <w:rsid w:val="0078132F"/>
    <w:rsid w:val="0078177C"/>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0FF8"/>
    <w:rsid w:val="007F255C"/>
    <w:rsid w:val="007F48F8"/>
    <w:rsid w:val="007F521C"/>
    <w:rsid w:val="007F78F3"/>
    <w:rsid w:val="007F7976"/>
    <w:rsid w:val="00800097"/>
    <w:rsid w:val="0080152B"/>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18BA"/>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52C"/>
    <w:rsid w:val="008D7794"/>
    <w:rsid w:val="008E0B8A"/>
    <w:rsid w:val="008E121E"/>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2F04"/>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02D8"/>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4980"/>
    <w:rsid w:val="00A150ED"/>
    <w:rsid w:val="00A163C2"/>
    <w:rsid w:val="00A17174"/>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3838"/>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195F"/>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D61"/>
    <w:rsid w:val="00BE407A"/>
    <w:rsid w:val="00BE5E36"/>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2E4E"/>
    <w:rsid w:val="00C644A6"/>
    <w:rsid w:val="00C646E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0821"/>
    <w:rsid w:val="00CC2078"/>
    <w:rsid w:val="00CC5CB2"/>
    <w:rsid w:val="00CD10B1"/>
    <w:rsid w:val="00CD13CF"/>
    <w:rsid w:val="00CD38C2"/>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1DDE"/>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82B"/>
    <w:rsid w:val="00E25C2D"/>
    <w:rsid w:val="00E2674A"/>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960F5"/>
    <w:rsid w:val="00EA0A6E"/>
    <w:rsid w:val="00EA3CBF"/>
    <w:rsid w:val="00EA6A93"/>
    <w:rsid w:val="00EB1275"/>
    <w:rsid w:val="00EB3DA4"/>
    <w:rsid w:val="00EB512C"/>
    <w:rsid w:val="00EB5CE0"/>
    <w:rsid w:val="00EB6DB1"/>
    <w:rsid w:val="00EC1B98"/>
    <w:rsid w:val="00EC212C"/>
    <w:rsid w:val="00EC3A14"/>
    <w:rsid w:val="00EC6507"/>
    <w:rsid w:val="00ED08E0"/>
    <w:rsid w:val="00ED0E52"/>
    <w:rsid w:val="00ED208B"/>
    <w:rsid w:val="00ED3242"/>
    <w:rsid w:val="00ED3ECF"/>
    <w:rsid w:val="00ED5990"/>
    <w:rsid w:val="00ED6414"/>
    <w:rsid w:val="00ED6D4F"/>
    <w:rsid w:val="00EE2602"/>
    <w:rsid w:val="00EE2DA4"/>
    <w:rsid w:val="00EE3490"/>
    <w:rsid w:val="00EE3CAE"/>
    <w:rsid w:val="00EE4132"/>
    <w:rsid w:val="00EE6DC8"/>
    <w:rsid w:val="00EE7827"/>
    <w:rsid w:val="00EF0368"/>
    <w:rsid w:val="00EF1231"/>
    <w:rsid w:val="00EF14C7"/>
    <w:rsid w:val="00EF2FCC"/>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6CEC"/>
    <w:rsid w:val="00F576F1"/>
    <w:rsid w:val="00F62DC9"/>
    <w:rsid w:val="00F6463B"/>
    <w:rsid w:val="00F656D5"/>
    <w:rsid w:val="00F65C1B"/>
    <w:rsid w:val="00F718BA"/>
    <w:rsid w:val="00F71D56"/>
    <w:rsid w:val="00F722CD"/>
    <w:rsid w:val="00F74E85"/>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A48"/>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09569/rtfo-annual-report-2014-2015-web-version.pd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509569/rtfo-annual-report-2014-2015-web-ver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7ACD-664B-477A-BDBB-D0005F3F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Jasmine Bland</cp:lastModifiedBy>
  <cp:revision>2</cp:revision>
  <dcterms:created xsi:type="dcterms:W3CDTF">2016-05-13T14:03:00Z</dcterms:created>
  <dcterms:modified xsi:type="dcterms:W3CDTF">2016-05-13T14:03:00Z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