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0554A5">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0554A5">
              <w:rPr>
                <w:rFonts w:asciiTheme="minorHAnsi" w:hAnsiTheme="minorHAnsi" w:cstheme="minorHAnsi"/>
                <w:b/>
                <w:iCs/>
                <w:color w:val="FFFFFF" w:themeColor="background1"/>
                <w:sz w:val="24"/>
              </w:rPr>
              <w:t>Technical Support to ONR Research Project – Defining distances for outer consultation zones</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0554A5" w:rsidRDefault="000554A5" w:rsidP="000554A5">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The Office for Nuclear Regulation (ONR) requests that Local Planning Authorities consult </w:t>
            </w:r>
            <w:r w:rsidR="00252688">
              <w:rPr>
                <w:rFonts w:asciiTheme="minorHAnsi" w:hAnsiTheme="minorHAnsi" w:cstheme="minorHAnsi"/>
              </w:rPr>
              <w:t xml:space="preserve">with the </w:t>
            </w:r>
            <w:r>
              <w:rPr>
                <w:rFonts w:asciiTheme="minorHAnsi" w:hAnsiTheme="minorHAnsi" w:cstheme="minorHAnsi"/>
              </w:rPr>
              <w:t>ONR about planning permission applications within the Outer Consultation Zones</w:t>
            </w:r>
            <w:r w:rsidR="00252688">
              <w:rPr>
                <w:rFonts w:asciiTheme="minorHAnsi" w:hAnsiTheme="minorHAnsi" w:cstheme="minorHAnsi"/>
              </w:rPr>
              <w:t xml:space="preserve"> (OCZs)</w:t>
            </w:r>
            <w:r w:rsidR="002040B5">
              <w:rPr>
                <w:rFonts w:asciiTheme="minorHAnsi" w:hAnsiTheme="minorHAnsi" w:cstheme="minorHAnsi"/>
              </w:rPr>
              <w:t xml:space="preserve"> of </w:t>
            </w:r>
            <w:r w:rsidR="00722381">
              <w:rPr>
                <w:rFonts w:asciiTheme="minorHAnsi" w:hAnsiTheme="minorHAnsi" w:cstheme="minorHAnsi"/>
              </w:rPr>
              <w:t xml:space="preserve">GB </w:t>
            </w:r>
            <w:r w:rsidR="009471DB">
              <w:rPr>
                <w:rFonts w:asciiTheme="minorHAnsi" w:hAnsiTheme="minorHAnsi" w:cstheme="minorHAnsi"/>
              </w:rPr>
              <w:t>n</w:t>
            </w:r>
            <w:r w:rsidR="002040B5">
              <w:rPr>
                <w:rFonts w:asciiTheme="minorHAnsi" w:hAnsiTheme="minorHAnsi" w:cstheme="minorHAnsi"/>
              </w:rPr>
              <w:t xml:space="preserve">uclear </w:t>
            </w:r>
            <w:r w:rsidR="009471DB">
              <w:rPr>
                <w:rFonts w:asciiTheme="minorHAnsi" w:hAnsiTheme="minorHAnsi" w:cstheme="minorHAnsi"/>
              </w:rPr>
              <w:t>s</w:t>
            </w:r>
            <w:r w:rsidR="002040B5">
              <w:rPr>
                <w:rFonts w:asciiTheme="minorHAnsi" w:hAnsiTheme="minorHAnsi" w:cstheme="minorHAnsi"/>
              </w:rPr>
              <w:t>ites</w:t>
            </w:r>
            <w:r>
              <w:rPr>
                <w:rFonts w:asciiTheme="minorHAnsi" w:hAnsiTheme="minorHAnsi" w:cstheme="minorHAnsi"/>
              </w:rPr>
              <w:t xml:space="preserve"> that meet consultation criteria. </w:t>
            </w:r>
            <w:r w:rsidR="00252688">
              <w:rPr>
                <w:rFonts w:asciiTheme="minorHAnsi" w:hAnsiTheme="minorHAnsi" w:cstheme="minorHAnsi"/>
              </w:rPr>
              <w:t>T</w:t>
            </w:r>
            <w:r>
              <w:rPr>
                <w:rFonts w:asciiTheme="minorHAnsi" w:hAnsiTheme="minorHAnsi" w:cstheme="minorHAnsi"/>
              </w:rPr>
              <w:t>his includes any new development, re-use or re-classification of an existing development that could</w:t>
            </w:r>
            <w:r w:rsidR="006B6121">
              <w:rPr>
                <w:rFonts w:asciiTheme="minorHAnsi" w:hAnsiTheme="minorHAnsi" w:cstheme="minorHAnsi"/>
              </w:rPr>
              <w:t xml:space="preserve"> either impact on off-site emergency planning arrangements and/or</w:t>
            </w:r>
            <w:r>
              <w:rPr>
                <w:rFonts w:asciiTheme="minorHAnsi" w:hAnsiTheme="minorHAnsi" w:cstheme="minorHAnsi"/>
              </w:rPr>
              <w:t xml:space="preserve"> pose an external hazard</w:t>
            </w:r>
            <w:r w:rsidR="00661BB2">
              <w:rPr>
                <w:rStyle w:val="FootnoteReference"/>
                <w:rFonts w:asciiTheme="minorHAnsi" w:hAnsiTheme="minorHAnsi" w:cstheme="minorHAnsi"/>
              </w:rPr>
              <w:footnoteReference w:id="1"/>
            </w:r>
            <w:r>
              <w:rPr>
                <w:rFonts w:asciiTheme="minorHAnsi" w:hAnsiTheme="minorHAnsi" w:cstheme="minorHAnsi"/>
              </w:rPr>
              <w:t xml:space="preserve"> to the site. </w:t>
            </w:r>
          </w:p>
          <w:p w:rsidR="00776FB4" w:rsidRDefault="000554A5" w:rsidP="000554A5">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 </w:t>
            </w:r>
            <w:r w:rsidR="00776FB4">
              <w:rPr>
                <w:rFonts w:asciiTheme="minorHAnsi" w:hAnsiTheme="minorHAnsi" w:cstheme="minorHAnsi"/>
              </w:rPr>
              <w:t xml:space="preserve">The </w:t>
            </w:r>
            <w:r>
              <w:rPr>
                <w:rFonts w:asciiTheme="minorHAnsi" w:hAnsiTheme="minorHAnsi" w:cstheme="minorHAnsi"/>
              </w:rPr>
              <w:t>ONR has</w:t>
            </w:r>
            <w:r w:rsidR="00DB54B4">
              <w:rPr>
                <w:rFonts w:asciiTheme="minorHAnsi" w:hAnsiTheme="minorHAnsi" w:cstheme="minorHAnsi"/>
              </w:rPr>
              <w:t xml:space="preserve"> recently</w:t>
            </w:r>
            <w:r>
              <w:rPr>
                <w:rFonts w:asciiTheme="minorHAnsi" w:hAnsiTheme="minorHAnsi" w:cstheme="minorHAnsi"/>
              </w:rPr>
              <w:t xml:space="preserve"> reviewed </w:t>
            </w:r>
            <w:r w:rsidR="00776FB4">
              <w:rPr>
                <w:rFonts w:asciiTheme="minorHAnsi" w:hAnsiTheme="minorHAnsi" w:cstheme="minorHAnsi"/>
              </w:rPr>
              <w:t xml:space="preserve">the </w:t>
            </w:r>
            <w:r>
              <w:rPr>
                <w:rFonts w:asciiTheme="minorHAnsi" w:hAnsiTheme="minorHAnsi" w:cstheme="minorHAnsi"/>
              </w:rPr>
              <w:t>existing OCZs</w:t>
            </w:r>
            <w:r w:rsidR="0035417A">
              <w:rPr>
                <w:rFonts w:asciiTheme="minorHAnsi" w:hAnsiTheme="minorHAnsi" w:cstheme="minorHAnsi"/>
              </w:rPr>
              <w:t xml:space="preserve">, </w:t>
            </w:r>
            <w:r w:rsidR="00776FB4">
              <w:rPr>
                <w:rFonts w:asciiTheme="minorHAnsi" w:hAnsiTheme="minorHAnsi" w:cstheme="minorHAnsi"/>
              </w:rPr>
              <w:t xml:space="preserve">of which </w:t>
            </w:r>
            <w:r>
              <w:rPr>
                <w:rFonts w:asciiTheme="minorHAnsi" w:hAnsiTheme="minorHAnsi" w:cstheme="minorHAnsi"/>
              </w:rPr>
              <w:t xml:space="preserve">there </w:t>
            </w:r>
            <w:r w:rsidR="0035417A">
              <w:rPr>
                <w:rFonts w:asciiTheme="minorHAnsi" w:hAnsiTheme="minorHAnsi" w:cstheme="minorHAnsi"/>
              </w:rPr>
              <w:t xml:space="preserve">are </w:t>
            </w:r>
            <w:r w:rsidR="00776FB4">
              <w:rPr>
                <w:rFonts w:asciiTheme="minorHAnsi" w:hAnsiTheme="minorHAnsi" w:cstheme="minorHAnsi"/>
              </w:rPr>
              <w:t xml:space="preserve">a total of </w:t>
            </w:r>
            <w:r>
              <w:rPr>
                <w:rFonts w:asciiTheme="minorHAnsi" w:hAnsiTheme="minorHAnsi" w:cstheme="minorHAnsi"/>
              </w:rPr>
              <w:t>eight</w:t>
            </w:r>
            <w:r w:rsidR="00776FB4">
              <w:rPr>
                <w:rFonts w:asciiTheme="minorHAnsi" w:hAnsiTheme="minorHAnsi" w:cstheme="minorHAnsi"/>
              </w:rPr>
              <w:t xml:space="preserve"> for</w:t>
            </w:r>
            <w:r>
              <w:rPr>
                <w:rFonts w:asciiTheme="minorHAnsi" w:hAnsiTheme="minorHAnsi" w:cstheme="minorHAnsi"/>
              </w:rPr>
              <w:t xml:space="preserve"> </w:t>
            </w:r>
            <w:r w:rsidR="00776FB4">
              <w:rPr>
                <w:rFonts w:asciiTheme="minorHAnsi" w:hAnsiTheme="minorHAnsi" w:cstheme="minorHAnsi"/>
              </w:rPr>
              <w:t xml:space="preserve">existing </w:t>
            </w:r>
            <w:r w:rsidR="0035417A">
              <w:rPr>
                <w:rFonts w:asciiTheme="minorHAnsi" w:hAnsiTheme="minorHAnsi" w:cstheme="minorHAnsi"/>
              </w:rPr>
              <w:t xml:space="preserve">nuclear licensed </w:t>
            </w:r>
            <w:r>
              <w:rPr>
                <w:rFonts w:asciiTheme="minorHAnsi" w:hAnsiTheme="minorHAnsi" w:cstheme="minorHAnsi"/>
              </w:rPr>
              <w:t>sites.</w:t>
            </w:r>
            <w:r w:rsidR="0035417A">
              <w:rPr>
                <w:rFonts w:asciiTheme="minorHAnsi" w:hAnsiTheme="minorHAnsi" w:cstheme="minorHAnsi"/>
              </w:rPr>
              <w:t xml:space="preserve"> These sites are</w:t>
            </w:r>
            <w:r w:rsidR="00776FB4">
              <w:rPr>
                <w:rFonts w:asciiTheme="minorHAnsi" w:hAnsiTheme="minorHAnsi" w:cstheme="minorHAnsi"/>
              </w:rPr>
              <w:t>:</w:t>
            </w:r>
          </w:p>
          <w:p w:rsidR="00776FB4" w:rsidRPr="00314635" w:rsidRDefault="0035417A" w:rsidP="00314635">
            <w:pPr>
              <w:pStyle w:val="TSBullet1Square"/>
              <w:rPr>
                <w:rFonts w:asciiTheme="minorHAnsi" w:hAnsiTheme="minorHAnsi"/>
              </w:rPr>
            </w:pPr>
            <w:r w:rsidRPr="00314635">
              <w:rPr>
                <w:rFonts w:asciiTheme="minorHAnsi" w:hAnsiTheme="minorHAnsi"/>
              </w:rPr>
              <w:t>Winfrith</w:t>
            </w:r>
          </w:p>
          <w:p w:rsidR="00776FB4" w:rsidRPr="00314635" w:rsidRDefault="0035417A" w:rsidP="00314635">
            <w:pPr>
              <w:pStyle w:val="TSBullet1Square"/>
              <w:rPr>
                <w:rFonts w:asciiTheme="minorHAnsi" w:hAnsiTheme="minorHAnsi"/>
              </w:rPr>
            </w:pPr>
            <w:r w:rsidRPr="00314635">
              <w:rPr>
                <w:rFonts w:asciiTheme="minorHAnsi" w:hAnsiTheme="minorHAnsi"/>
              </w:rPr>
              <w:t>Aldermaston</w:t>
            </w:r>
          </w:p>
          <w:p w:rsidR="00776FB4" w:rsidRPr="00314635" w:rsidRDefault="0035417A" w:rsidP="00314635">
            <w:pPr>
              <w:pStyle w:val="TSBullet1Square"/>
              <w:rPr>
                <w:rFonts w:asciiTheme="minorHAnsi" w:hAnsiTheme="minorHAnsi"/>
              </w:rPr>
            </w:pPr>
            <w:r w:rsidRPr="00314635">
              <w:rPr>
                <w:rFonts w:asciiTheme="minorHAnsi" w:hAnsiTheme="minorHAnsi"/>
              </w:rPr>
              <w:t>Burghfield</w:t>
            </w:r>
            <w:bookmarkStart w:id="0" w:name="_GoBack"/>
            <w:bookmarkEnd w:id="0"/>
          </w:p>
          <w:p w:rsidR="00776FB4" w:rsidRPr="00314635" w:rsidRDefault="0035417A" w:rsidP="00314635">
            <w:pPr>
              <w:pStyle w:val="TSBullet1Square"/>
              <w:rPr>
                <w:rFonts w:asciiTheme="minorHAnsi" w:hAnsiTheme="minorHAnsi"/>
              </w:rPr>
            </w:pPr>
            <w:r w:rsidRPr="00314635">
              <w:rPr>
                <w:rFonts w:asciiTheme="minorHAnsi" w:hAnsiTheme="minorHAnsi"/>
              </w:rPr>
              <w:t>Dungeness B</w:t>
            </w:r>
          </w:p>
          <w:p w:rsidR="00776FB4" w:rsidRPr="00314635" w:rsidRDefault="0035417A" w:rsidP="00314635">
            <w:pPr>
              <w:pStyle w:val="TSBullet1Square"/>
              <w:rPr>
                <w:rFonts w:asciiTheme="minorHAnsi" w:hAnsiTheme="minorHAnsi"/>
              </w:rPr>
            </w:pPr>
            <w:r w:rsidRPr="00314635">
              <w:rPr>
                <w:rFonts w:asciiTheme="minorHAnsi" w:hAnsiTheme="minorHAnsi"/>
              </w:rPr>
              <w:t>Hinkley Point B</w:t>
            </w:r>
          </w:p>
          <w:p w:rsidR="00776FB4" w:rsidRPr="00314635" w:rsidRDefault="0035417A" w:rsidP="00314635">
            <w:pPr>
              <w:pStyle w:val="TSBullet1Square"/>
              <w:rPr>
                <w:rFonts w:asciiTheme="minorHAnsi" w:hAnsiTheme="minorHAnsi"/>
              </w:rPr>
            </w:pPr>
            <w:r w:rsidRPr="00314635">
              <w:rPr>
                <w:rFonts w:asciiTheme="minorHAnsi" w:hAnsiTheme="minorHAnsi"/>
              </w:rPr>
              <w:t>Oldbury</w:t>
            </w:r>
          </w:p>
          <w:p w:rsidR="00776FB4" w:rsidRPr="00314635" w:rsidRDefault="0035417A" w:rsidP="00314635">
            <w:pPr>
              <w:pStyle w:val="TSBullet1Square"/>
              <w:rPr>
                <w:rFonts w:asciiTheme="minorHAnsi" w:hAnsiTheme="minorHAnsi"/>
              </w:rPr>
            </w:pPr>
            <w:r w:rsidRPr="00314635">
              <w:rPr>
                <w:rFonts w:asciiTheme="minorHAnsi" w:hAnsiTheme="minorHAnsi"/>
              </w:rPr>
              <w:t>Sizewell B</w:t>
            </w:r>
            <w:r w:rsidR="00776FB4" w:rsidRPr="00314635">
              <w:rPr>
                <w:rFonts w:asciiTheme="minorHAnsi" w:hAnsiTheme="minorHAnsi"/>
              </w:rPr>
              <w:t>,</w:t>
            </w:r>
            <w:r w:rsidRPr="00314635">
              <w:rPr>
                <w:rFonts w:asciiTheme="minorHAnsi" w:hAnsiTheme="minorHAnsi"/>
              </w:rPr>
              <w:t xml:space="preserve"> </w:t>
            </w:r>
            <w:r w:rsidR="00776FB4" w:rsidRPr="00314635">
              <w:rPr>
                <w:rFonts w:asciiTheme="minorHAnsi" w:hAnsiTheme="minorHAnsi"/>
              </w:rPr>
              <w:t>and</w:t>
            </w:r>
          </w:p>
          <w:p w:rsidR="00776FB4" w:rsidRPr="00314635" w:rsidRDefault="0035417A" w:rsidP="00314635">
            <w:pPr>
              <w:pStyle w:val="TSBullet1Square"/>
              <w:rPr>
                <w:rFonts w:asciiTheme="minorHAnsi" w:hAnsiTheme="minorHAnsi"/>
              </w:rPr>
            </w:pPr>
            <w:r w:rsidRPr="00314635">
              <w:rPr>
                <w:rFonts w:asciiTheme="minorHAnsi" w:hAnsiTheme="minorHAnsi"/>
              </w:rPr>
              <w:t>Wylfa.</w:t>
            </w:r>
            <w:r w:rsidR="000554A5" w:rsidRPr="00314635">
              <w:rPr>
                <w:rFonts w:asciiTheme="minorHAnsi" w:hAnsiTheme="minorHAnsi"/>
              </w:rPr>
              <w:t xml:space="preserve"> </w:t>
            </w:r>
          </w:p>
          <w:p w:rsidR="009471DB" w:rsidRDefault="00776FB4" w:rsidP="000554A5">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The </w:t>
            </w:r>
            <w:r w:rsidR="009471DB">
              <w:rPr>
                <w:rFonts w:asciiTheme="minorHAnsi" w:hAnsiTheme="minorHAnsi" w:cstheme="minorHAnsi"/>
              </w:rPr>
              <w:t xml:space="preserve">ONR is intending to define distances for </w:t>
            </w:r>
            <w:r>
              <w:rPr>
                <w:rFonts w:asciiTheme="minorHAnsi" w:hAnsiTheme="minorHAnsi" w:cstheme="minorHAnsi"/>
              </w:rPr>
              <w:t>OCZs</w:t>
            </w:r>
            <w:r w:rsidR="009471DB">
              <w:rPr>
                <w:rFonts w:asciiTheme="minorHAnsi" w:hAnsiTheme="minorHAnsi" w:cstheme="minorHAnsi"/>
              </w:rPr>
              <w:t xml:space="preserve"> for all </w:t>
            </w:r>
            <w:r w:rsidR="00722381">
              <w:rPr>
                <w:rFonts w:asciiTheme="minorHAnsi" w:hAnsiTheme="minorHAnsi" w:cstheme="minorHAnsi"/>
              </w:rPr>
              <w:t xml:space="preserve">GB </w:t>
            </w:r>
            <w:r w:rsidR="009471DB">
              <w:rPr>
                <w:rFonts w:asciiTheme="minorHAnsi" w:hAnsiTheme="minorHAnsi" w:cstheme="minorHAnsi"/>
              </w:rPr>
              <w:t>nuclear sites by</w:t>
            </w:r>
            <w:r w:rsidR="001D7BCB">
              <w:rPr>
                <w:rFonts w:asciiTheme="minorHAnsi" w:hAnsiTheme="minorHAnsi" w:cstheme="minorHAnsi"/>
              </w:rPr>
              <w:t xml:space="preserve"> </w:t>
            </w:r>
            <w:r w:rsidR="00091ED3">
              <w:rPr>
                <w:rFonts w:asciiTheme="minorHAnsi" w:hAnsiTheme="minorHAnsi" w:cstheme="minorHAnsi"/>
              </w:rPr>
              <w:t>January 2021</w:t>
            </w:r>
            <w:r w:rsidR="001D7BCB">
              <w:rPr>
                <w:rFonts w:asciiTheme="minorHAnsi" w:hAnsiTheme="minorHAnsi" w:cstheme="minorHAnsi"/>
              </w:rPr>
              <w:t xml:space="preserve">. </w:t>
            </w:r>
            <w:r w:rsidR="00835153">
              <w:rPr>
                <w:rFonts w:asciiTheme="minorHAnsi" w:hAnsiTheme="minorHAnsi" w:cstheme="minorHAnsi"/>
              </w:rPr>
              <w:t>The</w:t>
            </w:r>
            <w:r w:rsidR="009471DB">
              <w:rPr>
                <w:rFonts w:asciiTheme="minorHAnsi" w:hAnsiTheme="minorHAnsi" w:cstheme="minorHAnsi"/>
              </w:rPr>
              <w:t xml:space="preserve"> distances </w:t>
            </w:r>
            <w:r w:rsidR="00661BB2">
              <w:rPr>
                <w:rFonts w:asciiTheme="minorHAnsi" w:hAnsiTheme="minorHAnsi" w:cstheme="minorHAnsi"/>
              </w:rPr>
              <w:t>and further information on the OCZs</w:t>
            </w:r>
            <w:r w:rsidR="001D7BCB">
              <w:rPr>
                <w:rFonts w:asciiTheme="minorHAnsi" w:hAnsiTheme="minorHAnsi" w:cstheme="minorHAnsi"/>
              </w:rPr>
              <w:t xml:space="preserve"> will be </w:t>
            </w:r>
            <w:r w:rsidR="00661BB2">
              <w:rPr>
                <w:rFonts w:asciiTheme="minorHAnsi" w:hAnsiTheme="minorHAnsi" w:cstheme="minorHAnsi"/>
              </w:rPr>
              <w:t>published to the</w:t>
            </w:r>
            <w:r w:rsidR="001D7BCB">
              <w:rPr>
                <w:rFonts w:asciiTheme="minorHAnsi" w:hAnsiTheme="minorHAnsi" w:cstheme="minorHAnsi"/>
              </w:rPr>
              <w:t xml:space="preserve"> ONR’s website</w:t>
            </w:r>
            <w:r w:rsidR="00661BB2">
              <w:rPr>
                <w:rStyle w:val="FootnoteReference"/>
                <w:rFonts w:asciiTheme="minorHAnsi" w:hAnsiTheme="minorHAnsi" w:cstheme="minorHAnsi"/>
              </w:rPr>
              <w:footnoteReference w:id="2"/>
            </w:r>
            <w:r w:rsidR="00091ED3">
              <w:rPr>
                <w:rFonts w:asciiTheme="minorHAnsi" w:hAnsiTheme="minorHAnsi" w:cstheme="minorHAnsi"/>
              </w:rPr>
              <w:t>.</w:t>
            </w:r>
          </w:p>
          <w:p w:rsidR="004771DA" w:rsidRDefault="009471DB" w:rsidP="000554A5">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The key purpose of defining </w:t>
            </w:r>
            <w:r w:rsidR="00661BB2">
              <w:rPr>
                <w:rFonts w:asciiTheme="minorHAnsi" w:hAnsiTheme="minorHAnsi" w:cstheme="minorHAnsi"/>
              </w:rPr>
              <w:t>OCZs</w:t>
            </w:r>
            <w:r>
              <w:rPr>
                <w:rFonts w:asciiTheme="minorHAnsi" w:hAnsiTheme="minorHAnsi" w:cstheme="minorHAnsi"/>
              </w:rPr>
              <w:t xml:space="preserve"> for all </w:t>
            </w:r>
            <w:r w:rsidR="00722381">
              <w:rPr>
                <w:rFonts w:asciiTheme="minorHAnsi" w:hAnsiTheme="minorHAnsi" w:cstheme="minorHAnsi"/>
              </w:rPr>
              <w:t xml:space="preserve">GB </w:t>
            </w:r>
            <w:r>
              <w:rPr>
                <w:rFonts w:asciiTheme="minorHAnsi" w:hAnsiTheme="minorHAnsi" w:cstheme="minorHAnsi"/>
              </w:rPr>
              <w:t xml:space="preserve">nuclear sites is to make the land use planning consultation process more transparent and to ensure that </w:t>
            </w:r>
            <w:r w:rsidR="00661BB2">
              <w:rPr>
                <w:rFonts w:asciiTheme="minorHAnsi" w:hAnsiTheme="minorHAnsi" w:cstheme="minorHAnsi"/>
              </w:rPr>
              <w:t>the OCZs</w:t>
            </w:r>
            <w:r>
              <w:rPr>
                <w:rFonts w:asciiTheme="minorHAnsi" w:hAnsiTheme="minorHAnsi" w:cstheme="minorHAnsi"/>
              </w:rPr>
              <w:t xml:space="preserve"> are proportionate to the site risk. </w:t>
            </w:r>
            <w:r w:rsidR="00661BB2">
              <w:rPr>
                <w:rFonts w:asciiTheme="minorHAnsi" w:hAnsiTheme="minorHAnsi" w:cstheme="minorHAnsi"/>
              </w:rPr>
              <w:t>T</w:t>
            </w:r>
            <w:r>
              <w:rPr>
                <w:rFonts w:asciiTheme="minorHAnsi" w:hAnsiTheme="minorHAnsi" w:cstheme="minorHAnsi"/>
              </w:rPr>
              <w:t xml:space="preserve">his will provide further clarity to Local Planning Authorities as to when it may be appropriate to consult </w:t>
            </w:r>
            <w:r w:rsidR="00661BB2">
              <w:rPr>
                <w:rFonts w:asciiTheme="minorHAnsi" w:hAnsiTheme="minorHAnsi" w:cstheme="minorHAnsi"/>
              </w:rPr>
              <w:t xml:space="preserve">with the </w:t>
            </w:r>
            <w:r>
              <w:rPr>
                <w:rFonts w:asciiTheme="minorHAnsi" w:hAnsiTheme="minorHAnsi" w:cstheme="minorHAnsi"/>
              </w:rPr>
              <w:t>ONR about a proposed development</w:t>
            </w:r>
            <w:r w:rsidR="0050655E">
              <w:rPr>
                <w:rFonts w:asciiTheme="minorHAnsi" w:hAnsiTheme="minorHAnsi" w:cstheme="minorHAnsi"/>
              </w:rPr>
              <w:t xml:space="preserve"> and when a proposed development could </w:t>
            </w:r>
            <w:r w:rsidR="004771DA">
              <w:rPr>
                <w:rFonts w:asciiTheme="minorHAnsi" w:hAnsiTheme="minorHAnsi" w:cstheme="minorHAnsi"/>
              </w:rPr>
              <w:t xml:space="preserve">either impact on off-site emergency planning arrangements and/or </w:t>
            </w:r>
            <w:r w:rsidR="0050655E">
              <w:rPr>
                <w:rFonts w:asciiTheme="minorHAnsi" w:hAnsiTheme="minorHAnsi" w:cstheme="minorHAnsi"/>
              </w:rPr>
              <w:t>pose an external hazard to</w:t>
            </w:r>
            <w:r w:rsidR="00722381">
              <w:rPr>
                <w:rFonts w:asciiTheme="minorHAnsi" w:hAnsiTheme="minorHAnsi" w:cstheme="minorHAnsi"/>
              </w:rPr>
              <w:t xml:space="preserve"> GB</w:t>
            </w:r>
            <w:r w:rsidR="0050655E">
              <w:rPr>
                <w:rFonts w:asciiTheme="minorHAnsi" w:hAnsiTheme="minorHAnsi" w:cstheme="minorHAnsi"/>
              </w:rPr>
              <w:t xml:space="preserve"> nuclear sites</w:t>
            </w:r>
            <w:r>
              <w:rPr>
                <w:rFonts w:asciiTheme="minorHAnsi" w:hAnsiTheme="minorHAnsi" w:cstheme="minorHAnsi"/>
              </w:rPr>
              <w:t>.</w:t>
            </w:r>
            <w:r w:rsidR="0083627D">
              <w:rPr>
                <w:rFonts w:asciiTheme="minorHAnsi" w:hAnsiTheme="minorHAnsi" w:cstheme="minorHAnsi"/>
              </w:rPr>
              <w:t xml:space="preserve"> </w:t>
            </w:r>
            <w:r w:rsidR="00BB0E35">
              <w:rPr>
                <w:rFonts w:asciiTheme="minorHAnsi" w:hAnsiTheme="minorHAnsi" w:cstheme="minorHAnsi"/>
              </w:rPr>
              <w:t xml:space="preserve"> </w:t>
            </w:r>
          </w:p>
          <w:p w:rsidR="000554A5" w:rsidRDefault="00032398" w:rsidP="000554A5">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The ONR’s proposal includes a minimum OCZ for all GB nuclear sites. This means that</w:t>
            </w:r>
            <w:r w:rsidR="00A44C97">
              <w:rPr>
                <w:rFonts w:asciiTheme="minorHAnsi" w:hAnsiTheme="minorHAnsi" w:cstheme="minorHAnsi"/>
              </w:rPr>
              <w:t xml:space="preserve"> </w:t>
            </w:r>
            <w:r>
              <w:rPr>
                <w:rFonts w:asciiTheme="minorHAnsi" w:hAnsiTheme="minorHAnsi" w:cstheme="minorHAnsi"/>
              </w:rPr>
              <w:t xml:space="preserve">sites without a detailed emergency planning zone (DEPZ) </w:t>
            </w:r>
            <w:r w:rsidR="00CC22F1">
              <w:rPr>
                <w:rFonts w:asciiTheme="minorHAnsi" w:hAnsiTheme="minorHAnsi" w:cstheme="minorHAnsi"/>
              </w:rPr>
              <w:t xml:space="preserve">will need to demonstrate to </w:t>
            </w:r>
            <w:r w:rsidR="00A44C97">
              <w:rPr>
                <w:rFonts w:asciiTheme="minorHAnsi" w:hAnsiTheme="minorHAnsi" w:cstheme="minorHAnsi"/>
              </w:rPr>
              <w:t xml:space="preserve">the ONR </w:t>
            </w:r>
            <w:r w:rsidR="00CC22F1">
              <w:rPr>
                <w:rFonts w:asciiTheme="minorHAnsi" w:hAnsiTheme="minorHAnsi" w:cstheme="minorHAnsi"/>
              </w:rPr>
              <w:t>that they have</w:t>
            </w:r>
            <w:r>
              <w:rPr>
                <w:rFonts w:asciiTheme="minorHAnsi" w:hAnsiTheme="minorHAnsi" w:cstheme="minorHAnsi"/>
              </w:rPr>
              <w:t xml:space="preserve"> consider</w:t>
            </w:r>
            <w:r w:rsidR="00CC22F1">
              <w:rPr>
                <w:rFonts w:asciiTheme="minorHAnsi" w:hAnsiTheme="minorHAnsi" w:cstheme="minorHAnsi"/>
              </w:rPr>
              <w:t>ed</w:t>
            </w:r>
            <w:r>
              <w:rPr>
                <w:rFonts w:asciiTheme="minorHAnsi" w:hAnsiTheme="minorHAnsi" w:cstheme="minorHAnsi"/>
              </w:rPr>
              <w:t xml:space="preserve"> developments in the proposed OCZ and whether they present an external hazard to the site. </w:t>
            </w:r>
            <w:r w:rsidR="00661BB2">
              <w:rPr>
                <w:rFonts w:asciiTheme="minorHAnsi" w:hAnsiTheme="minorHAnsi" w:cstheme="minorHAnsi"/>
              </w:rPr>
              <w:t xml:space="preserve">The </w:t>
            </w:r>
            <w:r w:rsidR="009471DB">
              <w:rPr>
                <w:rFonts w:asciiTheme="minorHAnsi" w:hAnsiTheme="minorHAnsi" w:cstheme="minorHAnsi"/>
              </w:rPr>
              <w:t xml:space="preserve">ONR </w:t>
            </w:r>
            <w:r w:rsidR="0050655E">
              <w:rPr>
                <w:rFonts w:asciiTheme="minorHAnsi" w:hAnsiTheme="minorHAnsi" w:cstheme="minorHAnsi"/>
              </w:rPr>
              <w:t>is</w:t>
            </w:r>
            <w:r w:rsidR="004771DA">
              <w:rPr>
                <w:rFonts w:asciiTheme="minorHAnsi" w:hAnsiTheme="minorHAnsi" w:cstheme="minorHAnsi"/>
              </w:rPr>
              <w:t xml:space="preserve"> also</w:t>
            </w:r>
            <w:r w:rsidR="0050655E">
              <w:rPr>
                <w:rFonts w:asciiTheme="minorHAnsi" w:hAnsiTheme="minorHAnsi" w:cstheme="minorHAnsi"/>
              </w:rPr>
              <w:t xml:space="preserve"> intending to </w:t>
            </w:r>
            <w:r w:rsidR="00661BB2">
              <w:rPr>
                <w:rFonts w:asciiTheme="minorHAnsi" w:hAnsiTheme="minorHAnsi" w:cstheme="minorHAnsi"/>
              </w:rPr>
              <w:t>define a</w:t>
            </w:r>
            <w:r w:rsidR="004771DA">
              <w:rPr>
                <w:rFonts w:asciiTheme="minorHAnsi" w:hAnsiTheme="minorHAnsi" w:cstheme="minorHAnsi"/>
              </w:rPr>
              <w:t xml:space="preserve"> second</w:t>
            </w:r>
            <w:r w:rsidR="00B8492A">
              <w:rPr>
                <w:rFonts w:asciiTheme="minorHAnsi" w:hAnsiTheme="minorHAnsi" w:cstheme="minorHAnsi"/>
              </w:rPr>
              <w:t xml:space="preserve"> </w:t>
            </w:r>
            <w:r w:rsidR="004771DA">
              <w:rPr>
                <w:rFonts w:asciiTheme="minorHAnsi" w:hAnsiTheme="minorHAnsi" w:cstheme="minorHAnsi"/>
              </w:rPr>
              <w:t xml:space="preserve">larger </w:t>
            </w:r>
            <w:r w:rsidR="00B8492A">
              <w:rPr>
                <w:rFonts w:asciiTheme="minorHAnsi" w:hAnsiTheme="minorHAnsi" w:cstheme="minorHAnsi"/>
              </w:rPr>
              <w:t>OCZ</w:t>
            </w:r>
            <w:r w:rsidR="00661BB2">
              <w:rPr>
                <w:rFonts w:asciiTheme="minorHAnsi" w:hAnsiTheme="minorHAnsi" w:cstheme="minorHAnsi"/>
              </w:rPr>
              <w:t xml:space="preserve"> for all GB </w:t>
            </w:r>
            <w:r w:rsidR="00722381">
              <w:rPr>
                <w:rFonts w:asciiTheme="minorHAnsi" w:hAnsiTheme="minorHAnsi" w:cstheme="minorHAnsi"/>
              </w:rPr>
              <w:t>n</w:t>
            </w:r>
            <w:r w:rsidR="00661BB2">
              <w:rPr>
                <w:rFonts w:asciiTheme="minorHAnsi" w:hAnsiTheme="minorHAnsi" w:cstheme="minorHAnsi"/>
              </w:rPr>
              <w:t xml:space="preserve">uclear </w:t>
            </w:r>
            <w:r w:rsidR="00722381">
              <w:rPr>
                <w:rFonts w:asciiTheme="minorHAnsi" w:hAnsiTheme="minorHAnsi" w:cstheme="minorHAnsi"/>
              </w:rPr>
              <w:t>s</w:t>
            </w:r>
            <w:r w:rsidR="00661BB2">
              <w:rPr>
                <w:rFonts w:asciiTheme="minorHAnsi" w:hAnsiTheme="minorHAnsi" w:cstheme="minorHAnsi"/>
              </w:rPr>
              <w:t xml:space="preserve">ites that relates </w:t>
            </w:r>
            <w:r w:rsidR="004771DA">
              <w:rPr>
                <w:rFonts w:asciiTheme="minorHAnsi" w:hAnsiTheme="minorHAnsi" w:cstheme="minorHAnsi"/>
              </w:rPr>
              <w:t xml:space="preserve">only </w:t>
            </w:r>
            <w:r w:rsidR="00661BB2">
              <w:rPr>
                <w:rFonts w:asciiTheme="minorHAnsi" w:hAnsiTheme="minorHAnsi" w:cstheme="minorHAnsi"/>
              </w:rPr>
              <w:t>to</w:t>
            </w:r>
            <w:r w:rsidR="00B8492A">
              <w:rPr>
                <w:rFonts w:asciiTheme="minorHAnsi" w:hAnsiTheme="minorHAnsi" w:cstheme="minorHAnsi"/>
              </w:rPr>
              <w:t xml:space="preserve"> certain types of </w:t>
            </w:r>
            <w:r w:rsidR="004771DA">
              <w:rPr>
                <w:rFonts w:asciiTheme="minorHAnsi" w:hAnsiTheme="minorHAnsi" w:cstheme="minorHAnsi"/>
              </w:rPr>
              <w:t xml:space="preserve">significant </w:t>
            </w:r>
            <w:r w:rsidR="00B8492A">
              <w:rPr>
                <w:rFonts w:asciiTheme="minorHAnsi" w:hAnsiTheme="minorHAnsi" w:cstheme="minorHAnsi"/>
              </w:rPr>
              <w:t>development</w:t>
            </w:r>
            <w:r w:rsidR="00E566A1">
              <w:rPr>
                <w:rFonts w:asciiTheme="minorHAnsi" w:hAnsiTheme="minorHAnsi" w:cstheme="minorHAnsi"/>
              </w:rPr>
              <w:t>,</w:t>
            </w:r>
            <w:r w:rsidR="0050655E">
              <w:rPr>
                <w:rFonts w:asciiTheme="minorHAnsi" w:hAnsiTheme="minorHAnsi" w:cstheme="minorHAnsi"/>
              </w:rPr>
              <w:t xml:space="preserve"> </w:t>
            </w:r>
            <w:r w:rsidR="004771DA">
              <w:rPr>
                <w:rFonts w:asciiTheme="minorHAnsi" w:hAnsiTheme="minorHAnsi" w:cstheme="minorHAnsi"/>
              </w:rPr>
              <w:t xml:space="preserve">which </w:t>
            </w:r>
            <w:r w:rsidR="00661BB2">
              <w:rPr>
                <w:rFonts w:asciiTheme="minorHAnsi" w:hAnsiTheme="minorHAnsi" w:cstheme="minorHAnsi"/>
              </w:rPr>
              <w:t>includ</w:t>
            </w:r>
            <w:r w:rsidR="004771DA">
              <w:rPr>
                <w:rFonts w:asciiTheme="minorHAnsi" w:hAnsiTheme="minorHAnsi" w:cstheme="minorHAnsi"/>
              </w:rPr>
              <w:t>es</w:t>
            </w:r>
            <w:r w:rsidR="00BE5E79">
              <w:rPr>
                <w:rFonts w:asciiTheme="minorHAnsi" w:hAnsiTheme="minorHAnsi" w:cstheme="minorHAnsi"/>
              </w:rPr>
              <w:t xml:space="preserve"> but is not limited to:</w:t>
            </w:r>
            <w:r w:rsidR="00661BB2">
              <w:rPr>
                <w:rFonts w:asciiTheme="minorHAnsi" w:hAnsiTheme="minorHAnsi" w:cstheme="minorHAnsi"/>
              </w:rPr>
              <w:t xml:space="preserve"> </w:t>
            </w:r>
            <w:r w:rsidR="0050655E">
              <w:rPr>
                <w:rFonts w:asciiTheme="minorHAnsi" w:hAnsiTheme="minorHAnsi" w:cstheme="minorHAnsi"/>
              </w:rPr>
              <w:t>major hazard facilities</w:t>
            </w:r>
            <w:r w:rsidR="0050655E">
              <w:rPr>
                <w:rStyle w:val="FootnoteReference"/>
                <w:rFonts w:asciiTheme="minorHAnsi" w:hAnsiTheme="minorHAnsi" w:cstheme="minorHAnsi"/>
              </w:rPr>
              <w:footnoteReference w:id="3"/>
            </w:r>
            <w:r w:rsidR="0050655E">
              <w:rPr>
                <w:rFonts w:asciiTheme="minorHAnsi" w:hAnsiTheme="minorHAnsi" w:cstheme="minorHAnsi"/>
              </w:rPr>
              <w:t xml:space="preserve">, airports </w:t>
            </w:r>
            <w:r w:rsidR="00F729E4">
              <w:rPr>
                <w:rFonts w:asciiTheme="minorHAnsi" w:hAnsiTheme="minorHAnsi" w:cstheme="minorHAnsi"/>
              </w:rPr>
              <w:t xml:space="preserve">and </w:t>
            </w:r>
            <w:r w:rsidR="0050655E">
              <w:rPr>
                <w:rFonts w:asciiTheme="minorHAnsi" w:hAnsiTheme="minorHAnsi" w:cstheme="minorHAnsi"/>
              </w:rPr>
              <w:t xml:space="preserve">launch facilities </w:t>
            </w:r>
            <w:r w:rsidR="004771DA">
              <w:rPr>
                <w:rFonts w:asciiTheme="minorHAnsi" w:hAnsiTheme="minorHAnsi" w:cstheme="minorHAnsi"/>
              </w:rPr>
              <w:t xml:space="preserve">given the greater external hazard they could potentially pose to </w:t>
            </w:r>
            <w:r>
              <w:rPr>
                <w:rFonts w:asciiTheme="minorHAnsi" w:hAnsiTheme="minorHAnsi" w:cstheme="minorHAnsi"/>
              </w:rPr>
              <w:t xml:space="preserve">GB nuclear </w:t>
            </w:r>
            <w:r w:rsidR="004771DA">
              <w:rPr>
                <w:rFonts w:asciiTheme="minorHAnsi" w:hAnsiTheme="minorHAnsi" w:cstheme="minorHAnsi"/>
              </w:rPr>
              <w:t>sites.</w:t>
            </w:r>
            <w:r w:rsidR="00B8492A">
              <w:rPr>
                <w:rFonts w:asciiTheme="minorHAnsi" w:hAnsiTheme="minorHAnsi" w:cstheme="minorHAnsi"/>
              </w:rPr>
              <w:t xml:space="preserve"> </w:t>
            </w:r>
          </w:p>
          <w:p w:rsidR="00E566A1" w:rsidRDefault="00661BB2" w:rsidP="00DB54B4">
            <w:pPr>
              <w:pStyle w:val="TSNumberedParagraph11"/>
              <w:tabs>
                <w:tab w:val="clear" w:pos="-31680"/>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lastRenderedPageBreak/>
              <w:t xml:space="preserve">The ONR has </w:t>
            </w:r>
            <w:r w:rsidR="00345DB7">
              <w:rPr>
                <w:rFonts w:asciiTheme="minorHAnsi" w:hAnsiTheme="minorHAnsi" w:cstheme="minorHAnsi"/>
              </w:rPr>
              <w:t>considered</w:t>
            </w:r>
            <w:r>
              <w:rPr>
                <w:rFonts w:asciiTheme="minorHAnsi" w:hAnsiTheme="minorHAnsi" w:cstheme="minorHAnsi"/>
              </w:rPr>
              <w:t xml:space="preserve"> the extant OCZ distances, and </w:t>
            </w:r>
            <w:r w:rsidR="00345DB7">
              <w:rPr>
                <w:rFonts w:asciiTheme="minorHAnsi" w:hAnsiTheme="minorHAnsi" w:cstheme="minorHAnsi"/>
              </w:rPr>
              <w:t xml:space="preserve">based on </w:t>
            </w:r>
            <w:r w:rsidR="006B6121">
              <w:rPr>
                <w:rFonts w:asciiTheme="minorHAnsi" w:hAnsiTheme="minorHAnsi" w:cstheme="minorHAnsi"/>
              </w:rPr>
              <w:t xml:space="preserve">both the potential impact on off-site emergency planning arrangements and </w:t>
            </w:r>
            <w:r w:rsidR="00345DB7">
              <w:rPr>
                <w:rFonts w:asciiTheme="minorHAnsi" w:hAnsiTheme="minorHAnsi" w:cstheme="minorHAnsi"/>
              </w:rPr>
              <w:t xml:space="preserve">an initial </w:t>
            </w:r>
            <w:r w:rsidR="004771DA">
              <w:rPr>
                <w:rFonts w:asciiTheme="minorHAnsi" w:hAnsiTheme="minorHAnsi" w:cstheme="minorHAnsi"/>
              </w:rPr>
              <w:t xml:space="preserve">external hazard </w:t>
            </w:r>
            <w:r w:rsidR="00345DB7">
              <w:rPr>
                <w:rFonts w:asciiTheme="minorHAnsi" w:hAnsiTheme="minorHAnsi" w:cstheme="minorHAnsi"/>
              </w:rPr>
              <w:t>assessment</w:t>
            </w:r>
            <w:r w:rsidR="009745B4">
              <w:rPr>
                <w:rStyle w:val="FootnoteReference"/>
                <w:rFonts w:asciiTheme="minorHAnsi" w:hAnsiTheme="minorHAnsi" w:cstheme="minorHAnsi"/>
              </w:rPr>
              <w:footnoteReference w:id="4"/>
            </w:r>
            <w:r w:rsidR="00345DB7">
              <w:rPr>
                <w:rFonts w:asciiTheme="minorHAnsi" w:hAnsiTheme="minorHAnsi" w:cstheme="minorHAnsi"/>
              </w:rPr>
              <w:t xml:space="preserve"> has </w:t>
            </w:r>
            <w:r>
              <w:rPr>
                <w:rFonts w:asciiTheme="minorHAnsi" w:hAnsiTheme="minorHAnsi" w:cstheme="minorHAnsi"/>
              </w:rPr>
              <w:t>defined tentative distances for OCZs for a range of different GB nuclear licensed site types</w:t>
            </w:r>
            <w:r w:rsidR="00345DB7">
              <w:rPr>
                <w:rFonts w:asciiTheme="minorHAnsi" w:hAnsiTheme="minorHAnsi" w:cstheme="minorHAnsi"/>
              </w:rPr>
              <w:t xml:space="preserve"> </w:t>
            </w:r>
            <w:r>
              <w:rPr>
                <w:rFonts w:asciiTheme="minorHAnsi" w:hAnsiTheme="minorHAnsi" w:cstheme="minorHAnsi"/>
              </w:rPr>
              <w:t xml:space="preserve">(TABLE 1). </w:t>
            </w:r>
            <w:r w:rsidR="006A39BB">
              <w:rPr>
                <w:rFonts w:asciiTheme="minorHAnsi" w:hAnsiTheme="minorHAnsi" w:cstheme="minorHAnsi"/>
              </w:rPr>
              <w:t xml:space="preserve">The proposed distances have been communicated to Local Planning Authorities for discussion, and ONR intends to implement the distances by </w:t>
            </w:r>
            <w:r w:rsidR="00091ED3">
              <w:rPr>
                <w:rFonts w:asciiTheme="minorHAnsi" w:hAnsiTheme="minorHAnsi" w:cstheme="minorHAnsi"/>
              </w:rPr>
              <w:t>January</w:t>
            </w:r>
            <w:r w:rsidR="006A39BB">
              <w:rPr>
                <w:rFonts w:asciiTheme="minorHAnsi" w:hAnsiTheme="minorHAnsi" w:cstheme="minorHAnsi"/>
              </w:rPr>
              <w:t xml:space="preserve"> 202</w:t>
            </w:r>
            <w:r w:rsidR="00091ED3">
              <w:rPr>
                <w:rFonts w:asciiTheme="minorHAnsi" w:hAnsiTheme="minorHAnsi" w:cstheme="minorHAnsi"/>
              </w:rPr>
              <w:t>1</w:t>
            </w:r>
            <w:r w:rsidR="006A39BB">
              <w:rPr>
                <w:rFonts w:asciiTheme="minorHAnsi" w:hAnsiTheme="minorHAnsi" w:cstheme="minorHAnsi"/>
              </w:rPr>
              <w:t xml:space="preserve">. </w:t>
            </w:r>
          </w:p>
          <w:p w:rsidR="002C62C2" w:rsidRDefault="00661BB2" w:rsidP="00DB54B4">
            <w:pPr>
              <w:pStyle w:val="TSNumberedParagraph11"/>
              <w:tabs>
                <w:tab w:val="clear" w:pos="-31680"/>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The </w:t>
            </w:r>
            <w:r w:rsidR="00B8492A">
              <w:rPr>
                <w:rFonts w:asciiTheme="minorHAnsi" w:hAnsiTheme="minorHAnsi" w:cstheme="minorHAnsi"/>
              </w:rPr>
              <w:t>ONR</w:t>
            </w:r>
            <w:r>
              <w:rPr>
                <w:rFonts w:asciiTheme="minorHAnsi" w:hAnsiTheme="minorHAnsi" w:cstheme="minorHAnsi"/>
              </w:rPr>
              <w:t>, however,</w:t>
            </w:r>
            <w:r w:rsidR="00B8492A">
              <w:rPr>
                <w:rFonts w:asciiTheme="minorHAnsi" w:hAnsiTheme="minorHAnsi" w:cstheme="minorHAnsi"/>
              </w:rPr>
              <w:t xml:space="preserve"> considers it appropriate to undertake </w:t>
            </w:r>
            <w:r w:rsidR="0035417A">
              <w:rPr>
                <w:rFonts w:asciiTheme="minorHAnsi" w:hAnsiTheme="minorHAnsi" w:cstheme="minorHAnsi"/>
              </w:rPr>
              <w:t>a research project</w:t>
            </w:r>
            <w:r w:rsidR="00B8492A">
              <w:rPr>
                <w:rFonts w:asciiTheme="minorHAnsi" w:hAnsiTheme="minorHAnsi" w:cstheme="minorHAnsi"/>
              </w:rPr>
              <w:t xml:space="preserve"> to justify and support </w:t>
            </w:r>
            <w:r w:rsidR="00D97F14">
              <w:rPr>
                <w:rFonts w:asciiTheme="minorHAnsi" w:hAnsiTheme="minorHAnsi" w:cstheme="minorHAnsi"/>
              </w:rPr>
              <w:t>its</w:t>
            </w:r>
            <w:r w:rsidR="00B8492A">
              <w:rPr>
                <w:rFonts w:asciiTheme="minorHAnsi" w:hAnsiTheme="minorHAnsi" w:cstheme="minorHAnsi"/>
              </w:rPr>
              <w:t xml:space="preserve"> derivation of</w:t>
            </w:r>
            <w:r w:rsidR="006B6121">
              <w:rPr>
                <w:rFonts w:asciiTheme="minorHAnsi" w:hAnsiTheme="minorHAnsi" w:cstheme="minorHAnsi"/>
              </w:rPr>
              <w:t xml:space="preserve"> the two minimum </w:t>
            </w:r>
            <w:r w:rsidR="00345DB7">
              <w:rPr>
                <w:rFonts w:asciiTheme="minorHAnsi" w:hAnsiTheme="minorHAnsi" w:cstheme="minorHAnsi"/>
              </w:rPr>
              <w:t xml:space="preserve">OCZ </w:t>
            </w:r>
            <w:r w:rsidR="00D97F14">
              <w:rPr>
                <w:rFonts w:asciiTheme="minorHAnsi" w:hAnsiTheme="minorHAnsi" w:cstheme="minorHAnsi"/>
              </w:rPr>
              <w:t xml:space="preserve">distances </w:t>
            </w:r>
            <w:r w:rsidR="004771DA">
              <w:rPr>
                <w:rFonts w:asciiTheme="minorHAnsi" w:hAnsiTheme="minorHAnsi" w:cstheme="minorHAnsi"/>
              </w:rPr>
              <w:t xml:space="preserve">from an external hazard perspective </w:t>
            </w:r>
            <w:r w:rsidR="00B8492A">
              <w:rPr>
                <w:rFonts w:asciiTheme="minorHAnsi" w:hAnsiTheme="minorHAnsi" w:cstheme="minorHAnsi"/>
              </w:rPr>
              <w:t>and</w:t>
            </w:r>
            <w:r w:rsidR="006A39BB">
              <w:rPr>
                <w:rFonts w:asciiTheme="minorHAnsi" w:hAnsiTheme="minorHAnsi" w:cstheme="minorHAnsi"/>
              </w:rPr>
              <w:t>,</w:t>
            </w:r>
            <w:r w:rsidR="00B8492A">
              <w:rPr>
                <w:rFonts w:asciiTheme="minorHAnsi" w:hAnsiTheme="minorHAnsi" w:cstheme="minorHAnsi"/>
              </w:rPr>
              <w:t xml:space="preserve"> </w:t>
            </w:r>
            <w:r w:rsidR="006A39BB">
              <w:rPr>
                <w:rFonts w:asciiTheme="minorHAnsi" w:hAnsiTheme="minorHAnsi" w:cstheme="minorHAnsi"/>
              </w:rPr>
              <w:t xml:space="preserve">if required, </w:t>
            </w:r>
            <w:r w:rsidR="00B8492A">
              <w:rPr>
                <w:rFonts w:asciiTheme="minorHAnsi" w:hAnsiTheme="minorHAnsi" w:cstheme="minorHAnsi"/>
              </w:rPr>
              <w:t>to update the</w:t>
            </w:r>
            <w:r w:rsidR="006B6121">
              <w:rPr>
                <w:rFonts w:asciiTheme="minorHAnsi" w:hAnsiTheme="minorHAnsi" w:cstheme="minorHAnsi"/>
              </w:rPr>
              <w:t>se</w:t>
            </w:r>
            <w:r w:rsidR="00B8492A">
              <w:rPr>
                <w:rFonts w:asciiTheme="minorHAnsi" w:hAnsiTheme="minorHAnsi" w:cstheme="minorHAnsi"/>
              </w:rPr>
              <w:t xml:space="preserve"> distances.</w:t>
            </w:r>
            <w:r w:rsidR="00FD43FB">
              <w:rPr>
                <w:rFonts w:asciiTheme="minorHAnsi" w:hAnsiTheme="minorHAnsi" w:cstheme="minorHAnsi"/>
              </w:rPr>
              <w:t xml:space="preserve"> </w:t>
            </w:r>
            <w:r w:rsidR="00712EF2">
              <w:rPr>
                <w:rFonts w:asciiTheme="minorHAnsi" w:hAnsiTheme="minorHAnsi" w:cstheme="minorHAnsi"/>
              </w:rPr>
              <w:t xml:space="preserve">The ONR is also seeking advice as to whether other industries should be identified as ‘significant developments’ and included in the 30km OCZ, such as extractive industries including hydraulic fracturing (fracking) sites. </w:t>
            </w:r>
            <w:r w:rsidR="00B8492A">
              <w:rPr>
                <w:rFonts w:asciiTheme="minorHAnsi" w:hAnsiTheme="minorHAnsi" w:cstheme="minorHAnsi"/>
              </w:rPr>
              <w:t xml:space="preserve">This </w:t>
            </w:r>
            <w:r w:rsidR="006A39BB">
              <w:rPr>
                <w:rFonts w:asciiTheme="minorHAnsi" w:hAnsiTheme="minorHAnsi" w:cstheme="minorHAnsi"/>
              </w:rPr>
              <w:t xml:space="preserve">research project </w:t>
            </w:r>
            <w:r w:rsidR="00B8492A">
              <w:rPr>
                <w:rFonts w:asciiTheme="minorHAnsi" w:hAnsiTheme="minorHAnsi" w:cstheme="minorHAnsi"/>
              </w:rPr>
              <w:t xml:space="preserve">will provide </w:t>
            </w:r>
            <w:r w:rsidR="006A39BB">
              <w:rPr>
                <w:rFonts w:asciiTheme="minorHAnsi" w:hAnsiTheme="minorHAnsi" w:cstheme="minorHAnsi"/>
              </w:rPr>
              <w:t>an evidential basis</w:t>
            </w:r>
            <w:r w:rsidR="00B8492A">
              <w:rPr>
                <w:rFonts w:asciiTheme="minorHAnsi" w:hAnsiTheme="minorHAnsi" w:cstheme="minorHAnsi"/>
              </w:rPr>
              <w:t xml:space="preserve"> for the derivation of OCZs</w:t>
            </w:r>
            <w:r w:rsidR="004771DA">
              <w:rPr>
                <w:rFonts w:asciiTheme="minorHAnsi" w:hAnsiTheme="minorHAnsi" w:cstheme="minorHAnsi"/>
              </w:rPr>
              <w:t xml:space="preserve"> from an external hazards perspective</w:t>
            </w:r>
            <w:r w:rsidR="00835153">
              <w:rPr>
                <w:rFonts w:asciiTheme="minorHAnsi" w:hAnsiTheme="minorHAnsi" w:cstheme="minorHAnsi"/>
              </w:rPr>
              <w:t xml:space="preserve">, </w:t>
            </w:r>
            <w:r w:rsidR="006A39BB">
              <w:rPr>
                <w:rFonts w:asciiTheme="minorHAnsi" w:hAnsiTheme="minorHAnsi" w:cstheme="minorHAnsi"/>
              </w:rPr>
              <w:t xml:space="preserve">demonstrate that the distances are proportionate to the risk and </w:t>
            </w:r>
            <w:r w:rsidR="00835153">
              <w:rPr>
                <w:rFonts w:asciiTheme="minorHAnsi" w:hAnsiTheme="minorHAnsi" w:cstheme="minorHAnsi"/>
              </w:rPr>
              <w:t xml:space="preserve">ensure that proposed developments do not pose </w:t>
            </w:r>
            <w:r w:rsidR="00B8492A">
              <w:rPr>
                <w:rFonts w:asciiTheme="minorHAnsi" w:hAnsiTheme="minorHAnsi" w:cstheme="minorHAnsi"/>
              </w:rPr>
              <w:t>an external hazard</w:t>
            </w:r>
            <w:r w:rsidR="00835153">
              <w:rPr>
                <w:rFonts w:asciiTheme="minorHAnsi" w:hAnsiTheme="minorHAnsi" w:cstheme="minorHAnsi"/>
              </w:rPr>
              <w:t xml:space="preserve"> to </w:t>
            </w:r>
            <w:r w:rsidR="006A39BB">
              <w:rPr>
                <w:rFonts w:asciiTheme="minorHAnsi" w:hAnsiTheme="minorHAnsi" w:cstheme="minorHAnsi"/>
              </w:rPr>
              <w:t xml:space="preserve">GB </w:t>
            </w:r>
            <w:r w:rsidR="00835153">
              <w:rPr>
                <w:rFonts w:asciiTheme="minorHAnsi" w:hAnsiTheme="minorHAnsi" w:cstheme="minorHAnsi"/>
              </w:rPr>
              <w:t>nuclear licensed sites</w:t>
            </w:r>
            <w:r w:rsidR="00B8492A">
              <w:rPr>
                <w:rFonts w:asciiTheme="minorHAnsi" w:hAnsiTheme="minorHAnsi" w:cstheme="minorHAnsi"/>
              </w:rPr>
              <w:t xml:space="preserve">. </w:t>
            </w:r>
            <w:r w:rsidR="006A39BB">
              <w:rPr>
                <w:rFonts w:asciiTheme="minorHAnsi" w:hAnsiTheme="minorHAnsi" w:cstheme="minorHAnsi"/>
              </w:rPr>
              <w:t>Further</w:t>
            </w:r>
            <w:r w:rsidR="00B8492A">
              <w:rPr>
                <w:rFonts w:asciiTheme="minorHAnsi" w:hAnsiTheme="minorHAnsi" w:cstheme="minorHAnsi"/>
              </w:rPr>
              <w:t xml:space="preserve">, it will ensure that </w:t>
            </w:r>
            <w:r w:rsidR="006A39BB">
              <w:rPr>
                <w:rFonts w:asciiTheme="minorHAnsi" w:hAnsiTheme="minorHAnsi" w:cstheme="minorHAnsi"/>
              </w:rPr>
              <w:t xml:space="preserve">the </w:t>
            </w:r>
            <w:r w:rsidR="00DB54B4">
              <w:rPr>
                <w:rFonts w:asciiTheme="minorHAnsi" w:hAnsiTheme="minorHAnsi" w:cstheme="minorHAnsi"/>
              </w:rPr>
              <w:t>ONR</w:t>
            </w:r>
            <w:r w:rsidR="00B8492A">
              <w:rPr>
                <w:rFonts w:asciiTheme="minorHAnsi" w:hAnsiTheme="minorHAnsi" w:cstheme="minorHAnsi"/>
              </w:rPr>
              <w:t xml:space="preserve"> remain</w:t>
            </w:r>
            <w:r w:rsidR="00DB54B4">
              <w:rPr>
                <w:rFonts w:asciiTheme="minorHAnsi" w:hAnsiTheme="minorHAnsi" w:cstheme="minorHAnsi"/>
              </w:rPr>
              <w:t>s</w:t>
            </w:r>
            <w:r w:rsidR="00B8492A">
              <w:rPr>
                <w:rFonts w:asciiTheme="minorHAnsi" w:hAnsiTheme="minorHAnsi" w:cstheme="minorHAnsi"/>
              </w:rPr>
              <w:t xml:space="preserve"> targeted and proportionate in </w:t>
            </w:r>
            <w:r w:rsidR="00DB54B4">
              <w:rPr>
                <w:rFonts w:asciiTheme="minorHAnsi" w:hAnsiTheme="minorHAnsi" w:cstheme="minorHAnsi"/>
              </w:rPr>
              <w:t>its</w:t>
            </w:r>
            <w:r w:rsidR="00B8492A">
              <w:rPr>
                <w:rFonts w:asciiTheme="minorHAnsi" w:hAnsiTheme="minorHAnsi" w:cstheme="minorHAnsi"/>
              </w:rPr>
              <w:t xml:space="preserve"> consideration of proposed developments.  </w:t>
            </w:r>
          </w:p>
          <w:p w:rsidR="00661BB2" w:rsidRPr="00252688" w:rsidRDefault="00345DB7" w:rsidP="00661BB2">
            <w:pPr>
              <w:pStyle w:val="TSNumberedParagraph11"/>
              <w:numPr>
                <w:ilvl w:val="0"/>
                <w:numId w:val="0"/>
              </w:numPr>
              <w:tabs>
                <w:tab w:val="left" w:pos="0"/>
              </w:tabs>
              <w:jc w:val="center"/>
              <w:rPr>
                <w:rFonts w:asciiTheme="minorHAnsi" w:hAnsiTheme="minorHAnsi" w:cstheme="minorHAnsi"/>
                <w:b/>
              </w:rPr>
            </w:pPr>
            <w:r>
              <w:rPr>
                <w:rFonts w:asciiTheme="minorHAnsi" w:hAnsiTheme="minorHAnsi" w:cstheme="minorHAnsi"/>
                <w:b/>
              </w:rPr>
              <w:t>TABLE</w:t>
            </w:r>
            <w:r w:rsidR="00661BB2" w:rsidRPr="00252688">
              <w:rPr>
                <w:rFonts w:asciiTheme="minorHAnsi" w:hAnsiTheme="minorHAnsi" w:cstheme="minorHAnsi"/>
                <w:b/>
              </w:rPr>
              <w:t xml:space="preserve"> 1 – </w:t>
            </w:r>
            <w:r>
              <w:rPr>
                <w:rFonts w:asciiTheme="minorHAnsi" w:hAnsiTheme="minorHAnsi" w:cstheme="minorHAnsi"/>
                <w:b/>
              </w:rPr>
              <w:t>Proposed</w:t>
            </w:r>
            <w:r w:rsidR="00661BB2" w:rsidRPr="00252688">
              <w:rPr>
                <w:rFonts w:asciiTheme="minorHAnsi" w:hAnsiTheme="minorHAnsi" w:cstheme="minorHAnsi"/>
                <w:b/>
              </w:rPr>
              <w:t xml:space="preserve"> Outer Consultation Zone </w:t>
            </w:r>
            <w:r>
              <w:rPr>
                <w:rFonts w:asciiTheme="minorHAnsi" w:hAnsiTheme="minorHAnsi" w:cstheme="minorHAnsi"/>
                <w:b/>
              </w:rPr>
              <w:t>D</w:t>
            </w:r>
            <w:r w:rsidR="00661BB2" w:rsidRPr="00252688">
              <w:rPr>
                <w:rFonts w:asciiTheme="minorHAnsi" w:hAnsiTheme="minorHAnsi" w:cstheme="minorHAnsi"/>
                <w:b/>
              </w:rPr>
              <w:t>istances</w:t>
            </w:r>
          </w:p>
          <w:tbl>
            <w:tblPr>
              <w:tblStyle w:val="TableGrid"/>
              <w:tblW w:w="0" w:type="auto"/>
              <w:jc w:val="center"/>
              <w:tblLook w:val="04A0" w:firstRow="1" w:lastRow="0" w:firstColumn="1" w:lastColumn="0" w:noHBand="0" w:noVBand="1"/>
            </w:tblPr>
            <w:tblGrid>
              <w:gridCol w:w="5103"/>
              <w:gridCol w:w="1560"/>
            </w:tblGrid>
            <w:tr w:rsidR="009F607C" w:rsidTr="00CA34C5">
              <w:trPr>
                <w:jc w:val="center"/>
              </w:trPr>
              <w:tc>
                <w:tcPr>
                  <w:tcW w:w="5103" w:type="dxa"/>
                  <w:shd w:val="clear" w:color="auto" w:fill="006D68"/>
                </w:tcPr>
                <w:p w:rsidR="009F607C" w:rsidRPr="00252688" w:rsidRDefault="009F607C" w:rsidP="00CA34C5">
                  <w:pPr>
                    <w:pStyle w:val="TSNumberedParagraph11"/>
                    <w:numPr>
                      <w:ilvl w:val="0"/>
                      <w:numId w:val="0"/>
                    </w:numPr>
                    <w:tabs>
                      <w:tab w:val="left" w:pos="0"/>
                    </w:tabs>
                    <w:spacing w:after="0"/>
                    <w:jc w:val="center"/>
                    <w:rPr>
                      <w:rFonts w:asciiTheme="minorHAnsi" w:hAnsiTheme="minorHAnsi" w:cstheme="minorHAnsi"/>
                      <w:b/>
                      <w:color w:val="FFFFFF" w:themeColor="background1"/>
                    </w:rPr>
                  </w:pPr>
                  <w:r w:rsidRPr="00252688">
                    <w:rPr>
                      <w:rFonts w:asciiTheme="minorHAnsi" w:hAnsiTheme="minorHAnsi" w:cstheme="minorHAnsi"/>
                      <w:b/>
                      <w:color w:val="FFFFFF" w:themeColor="background1"/>
                    </w:rPr>
                    <w:t>Site Type</w:t>
                  </w:r>
                </w:p>
              </w:tc>
              <w:tc>
                <w:tcPr>
                  <w:tcW w:w="1560" w:type="dxa"/>
                  <w:shd w:val="clear" w:color="auto" w:fill="006D68"/>
                </w:tcPr>
                <w:p w:rsidR="009F607C" w:rsidRPr="00252688" w:rsidRDefault="009F607C" w:rsidP="00CA34C5">
                  <w:pPr>
                    <w:pStyle w:val="TSNumberedParagraph11"/>
                    <w:numPr>
                      <w:ilvl w:val="0"/>
                      <w:numId w:val="0"/>
                    </w:numPr>
                    <w:tabs>
                      <w:tab w:val="left" w:pos="0"/>
                    </w:tabs>
                    <w:spacing w:after="0"/>
                    <w:jc w:val="center"/>
                    <w:rPr>
                      <w:rFonts w:asciiTheme="minorHAnsi" w:hAnsiTheme="minorHAnsi" w:cstheme="minorHAnsi"/>
                      <w:b/>
                      <w:color w:val="FFFFFF" w:themeColor="background1"/>
                    </w:rPr>
                  </w:pPr>
                  <w:r w:rsidRPr="00252688">
                    <w:rPr>
                      <w:rFonts w:asciiTheme="minorHAnsi" w:hAnsiTheme="minorHAnsi" w:cstheme="minorHAnsi"/>
                      <w:b/>
                      <w:color w:val="FFFFFF" w:themeColor="background1"/>
                    </w:rPr>
                    <w:t>OCZ Distance</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Operating reactor sites</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8km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Reactor sites that are not operational but are not de-fuelled</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8km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Reactor sites that are de-fuelled (adjacent site included in a National Policy Statement)</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8km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Reactor sites that are de-fuelled (adjacent site not included in a National Policy Statement)</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3km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Sellafield</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10km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proofErr w:type="spellStart"/>
                  <w:r>
                    <w:rPr>
                      <w:rFonts w:asciiTheme="minorHAnsi" w:hAnsiTheme="minorHAnsi" w:cstheme="minorHAnsi"/>
                    </w:rPr>
                    <w:t>Dounreay</w:t>
                  </w:r>
                  <w:proofErr w:type="spellEnd"/>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8km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AWE Aldermaston &amp; AWE Burghfield</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5km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Other Nuclear Sites (Licensed, Authorised Defence and Nuclear Warship)</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3km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Minimum distance for consideration of developments as a potential external hazard to the site*</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3km</w:t>
                  </w:r>
                </w:p>
              </w:tc>
            </w:tr>
            <w:tr w:rsidR="009F607C" w:rsidTr="00CA34C5">
              <w:trPr>
                <w:jc w:val="center"/>
              </w:trPr>
              <w:tc>
                <w:tcPr>
                  <w:tcW w:w="5103" w:type="dxa"/>
                </w:tcPr>
                <w:p w:rsidR="009F607C" w:rsidRDefault="009F607C" w:rsidP="00CA34C5">
                  <w:pPr>
                    <w:pStyle w:val="TSNumberedParagraph11"/>
                    <w:numPr>
                      <w:ilvl w:val="0"/>
                      <w:numId w:val="0"/>
                    </w:numPr>
                    <w:tabs>
                      <w:tab w:val="left" w:pos="0"/>
                    </w:tabs>
                    <w:spacing w:after="0"/>
                    <w:jc w:val="both"/>
                    <w:rPr>
                      <w:rFonts w:asciiTheme="minorHAnsi" w:hAnsiTheme="minorHAnsi" w:cstheme="minorHAnsi"/>
                    </w:rPr>
                  </w:pPr>
                  <w:r>
                    <w:rPr>
                      <w:rFonts w:asciiTheme="minorHAnsi" w:hAnsiTheme="minorHAnsi" w:cstheme="minorHAnsi"/>
                    </w:rPr>
                    <w:t xml:space="preserve">All </w:t>
                  </w:r>
                  <w:r w:rsidRPr="00252688">
                    <w:rPr>
                      <w:rFonts w:asciiTheme="minorHAnsi" w:hAnsiTheme="minorHAnsi" w:cstheme="minorHAnsi"/>
                    </w:rPr>
                    <w:t>GB nuclear sites for certain types of significant development</w:t>
                  </w:r>
                  <w:r>
                    <w:rPr>
                      <w:rFonts w:asciiTheme="minorHAnsi" w:hAnsiTheme="minorHAnsi" w:cstheme="minorHAnsi"/>
                    </w:rPr>
                    <w:t>s</w:t>
                  </w:r>
                  <w:r>
                    <w:rPr>
                      <w:rStyle w:val="FootnoteReference"/>
                      <w:rFonts w:asciiTheme="minorHAnsi" w:hAnsiTheme="minorHAnsi" w:cstheme="minorHAnsi"/>
                    </w:rPr>
                    <w:footnoteReference w:id="5"/>
                  </w:r>
                  <w:r>
                    <w:rPr>
                      <w:rFonts w:asciiTheme="minorHAnsi" w:hAnsiTheme="minorHAnsi" w:cstheme="minorHAnsi"/>
                    </w:rPr>
                    <w:t>*</w:t>
                  </w:r>
                </w:p>
              </w:tc>
              <w:tc>
                <w:tcPr>
                  <w:tcW w:w="1560" w:type="dxa"/>
                </w:tcPr>
                <w:p w:rsidR="009F607C" w:rsidRDefault="009F607C" w:rsidP="00CA34C5">
                  <w:pPr>
                    <w:pStyle w:val="TSNumberedParagraph11"/>
                    <w:numPr>
                      <w:ilvl w:val="0"/>
                      <w:numId w:val="0"/>
                    </w:numPr>
                    <w:tabs>
                      <w:tab w:val="left" w:pos="0"/>
                    </w:tabs>
                    <w:spacing w:after="0"/>
                    <w:jc w:val="right"/>
                    <w:rPr>
                      <w:rFonts w:asciiTheme="minorHAnsi" w:hAnsiTheme="minorHAnsi" w:cstheme="minorHAnsi"/>
                    </w:rPr>
                  </w:pPr>
                  <w:r>
                    <w:rPr>
                      <w:rFonts w:asciiTheme="minorHAnsi" w:hAnsiTheme="minorHAnsi" w:cstheme="minorHAnsi"/>
                    </w:rPr>
                    <w:t>30km</w:t>
                  </w:r>
                </w:p>
              </w:tc>
            </w:tr>
          </w:tbl>
          <w:p w:rsidR="009F607C" w:rsidRPr="00314635" w:rsidRDefault="009F607C" w:rsidP="00314635">
            <w:pPr>
              <w:pStyle w:val="TSNumberedParagraph11"/>
              <w:numPr>
                <w:ilvl w:val="0"/>
                <w:numId w:val="0"/>
              </w:numPr>
              <w:tabs>
                <w:tab w:val="left" w:pos="0"/>
              </w:tabs>
              <w:overflowPunct w:val="0"/>
              <w:autoSpaceDE w:val="0"/>
              <w:autoSpaceDN w:val="0"/>
              <w:adjustRightInd w:val="0"/>
              <w:textAlignment w:val="baseline"/>
              <w:rPr>
                <w:rFonts w:asciiTheme="minorHAnsi" w:hAnsiTheme="minorHAnsi" w:cstheme="minorHAnsi"/>
                <w:sz w:val="18"/>
              </w:rPr>
            </w:pPr>
            <w:r>
              <w:rPr>
                <w:rFonts w:asciiTheme="minorHAnsi" w:hAnsiTheme="minorHAnsi" w:cstheme="minorHAnsi"/>
                <w:sz w:val="18"/>
              </w:rPr>
              <w:t>*These proposed OCZ distances are the focus of this Research project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D97F14" w:rsidRPr="00D97F14" w:rsidRDefault="006A39BB"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w:t>
            </w:r>
            <w:r w:rsidR="00D97F14" w:rsidRPr="00D97F14">
              <w:rPr>
                <w:rFonts w:asciiTheme="minorHAnsi" w:hAnsiTheme="minorHAnsi" w:cstheme="minorHAnsi"/>
              </w:rPr>
              <w:t xml:space="preserve">ONR requires </w:t>
            </w:r>
            <w:r w:rsidR="00D63B9E">
              <w:rPr>
                <w:rFonts w:asciiTheme="minorHAnsi" w:hAnsiTheme="minorHAnsi" w:cstheme="minorHAnsi"/>
              </w:rPr>
              <w:t xml:space="preserve">a </w:t>
            </w:r>
            <w:r w:rsidR="00D97F14" w:rsidRPr="00D97F14">
              <w:rPr>
                <w:rFonts w:asciiTheme="minorHAnsi" w:hAnsiTheme="minorHAnsi" w:cstheme="minorHAnsi"/>
              </w:rPr>
              <w:t xml:space="preserve">technical support </w:t>
            </w:r>
            <w:r w:rsidR="00D63B9E">
              <w:rPr>
                <w:rFonts w:asciiTheme="minorHAnsi" w:hAnsiTheme="minorHAnsi" w:cstheme="minorHAnsi"/>
              </w:rPr>
              <w:t xml:space="preserve">contractor (TSC) </w:t>
            </w:r>
            <w:r w:rsidR="00D97F14" w:rsidRPr="00D97F14">
              <w:rPr>
                <w:rFonts w:asciiTheme="minorHAnsi" w:hAnsiTheme="minorHAnsi" w:cstheme="minorHAnsi"/>
              </w:rPr>
              <w:t xml:space="preserve">to </w:t>
            </w:r>
            <w:r>
              <w:rPr>
                <w:rFonts w:asciiTheme="minorHAnsi" w:hAnsiTheme="minorHAnsi" w:cstheme="minorHAnsi"/>
              </w:rPr>
              <w:t>review and underpin the</w:t>
            </w:r>
            <w:r w:rsidR="00CD7E16">
              <w:rPr>
                <w:rFonts w:asciiTheme="minorHAnsi" w:hAnsiTheme="minorHAnsi" w:cstheme="minorHAnsi"/>
              </w:rPr>
              <w:t xml:space="preserve"> two minimum</w:t>
            </w:r>
            <w:r>
              <w:rPr>
                <w:rFonts w:asciiTheme="minorHAnsi" w:hAnsiTheme="minorHAnsi" w:cstheme="minorHAnsi"/>
              </w:rPr>
              <w:t xml:space="preserve"> </w:t>
            </w:r>
            <w:r w:rsidR="00D97F14" w:rsidRPr="00D97F14">
              <w:rPr>
                <w:rFonts w:asciiTheme="minorHAnsi" w:hAnsiTheme="minorHAnsi" w:cstheme="minorHAnsi"/>
              </w:rPr>
              <w:t xml:space="preserve">distances for OCZs </w:t>
            </w:r>
            <w:r w:rsidR="00D95E29">
              <w:rPr>
                <w:rFonts w:asciiTheme="minorHAnsi" w:hAnsiTheme="minorHAnsi" w:cstheme="minorHAnsi"/>
              </w:rPr>
              <w:t xml:space="preserve">from an external hazards perspective </w:t>
            </w:r>
            <w:r>
              <w:rPr>
                <w:rFonts w:asciiTheme="minorHAnsi" w:hAnsiTheme="minorHAnsi" w:cstheme="minorHAnsi"/>
              </w:rPr>
              <w:t xml:space="preserve">derived from </w:t>
            </w:r>
            <w:r w:rsidR="00D63B9E">
              <w:rPr>
                <w:rFonts w:asciiTheme="minorHAnsi" w:hAnsiTheme="minorHAnsi" w:cstheme="minorHAnsi"/>
              </w:rPr>
              <w:t>a</w:t>
            </w:r>
            <w:r>
              <w:rPr>
                <w:rFonts w:asciiTheme="minorHAnsi" w:hAnsiTheme="minorHAnsi" w:cstheme="minorHAnsi"/>
              </w:rPr>
              <w:t xml:space="preserve"> </w:t>
            </w:r>
            <w:r w:rsidR="009745B4">
              <w:rPr>
                <w:rFonts w:asciiTheme="minorHAnsi" w:hAnsiTheme="minorHAnsi" w:cstheme="minorHAnsi"/>
              </w:rPr>
              <w:t>preliminary</w:t>
            </w:r>
            <w:r>
              <w:rPr>
                <w:rFonts w:asciiTheme="minorHAnsi" w:hAnsiTheme="minorHAnsi" w:cstheme="minorHAnsi"/>
              </w:rPr>
              <w:t xml:space="preserve"> ONR assessment, </w:t>
            </w:r>
            <w:r w:rsidR="00D97F14" w:rsidRPr="00D97F14">
              <w:rPr>
                <w:rFonts w:asciiTheme="minorHAnsi" w:hAnsiTheme="minorHAnsi" w:cstheme="minorHAnsi"/>
              </w:rPr>
              <w:t xml:space="preserve">and </w:t>
            </w:r>
            <w:r w:rsidR="00D63B9E" w:rsidRPr="00D97F14">
              <w:rPr>
                <w:rFonts w:asciiTheme="minorHAnsi" w:hAnsiTheme="minorHAnsi" w:cstheme="minorHAnsi"/>
              </w:rPr>
              <w:t xml:space="preserve">if </w:t>
            </w:r>
            <w:r w:rsidR="00D63B9E">
              <w:rPr>
                <w:rFonts w:asciiTheme="minorHAnsi" w:hAnsiTheme="minorHAnsi" w:cstheme="minorHAnsi"/>
              </w:rPr>
              <w:t>needed,</w:t>
            </w:r>
            <w:r w:rsidR="00D63B9E" w:rsidRPr="00D97F14">
              <w:rPr>
                <w:rFonts w:asciiTheme="minorHAnsi" w:hAnsiTheme="minorHAnsi" w:cstheme="minorHAnsi"/>
              </w:rPr>
              <w:t xml:space="preserve"> </w:t>
            </w:r>
            <w:r w:rsidR="00D97F14" w:rsidRPr="00D97F14">
              <w:rPr>
                <w:rFonts w:asciiTheme="minorHAnsi" w:hAnsiTheme="minorHAnsi" w:cstheme="minorHAnsi"/>
              </w:rPr>
              <w:t xml:space="preserve">to </w:t>
            </w:r>
            <w:r w:rsidR="009745B4">
              <w:rPr>
                <w:rFonts w:asciiTheme="minorHAnsi" w:hAnsiTheme="minorHAnsi" w:cstheme="minorHAnsi"/>
              </w:rPr>
              <w:t xml:space="preserve">recommend </w:t>
            </w:r>
            <w:r w:rsidR="00D97F14" w:rsidRPr="00D97F14">
              <w:rPr>
                <w:rFonts w:asciiTheme="minorHAnsi" w:hAnsiTheme="minorHAnsi" w:cstheme="minorHAnsi"/>
              </w:rPr>
              <w:t xml:space="preserve">update </w:t>
            </w:r>
            <w:r w:rsidR="009745B4">
              <w:rPr>
                <w:rFonts w:asciiTheme="minorHAnsi" w:hAnsiTheme="minorHAnsi" w:cstheme="minorHAnsi"/>
              </w:rPr>
              <w:t>to the</w:t>
            </w:r>
            <w:r w:rsidR="009745B4" w:rsidRPr="00D97F14">
              <w:rPr>
                <w:rFonts w:asciiTheme="minorHAnsi" w:hAnsiTheme="minorHAnsi" w:cstheme="minorHAnsi"/>
              </w:rPr>
              <w:t xml:space="preserve"> </w:t>
            </w:r>
            <w:r w:rsidR="00D97F14" w:rsidRPr="00D97F14">
              <w:rPr>
                <w:rFonts w:asciiTheme="minorHAnsi" w:hAnsiTheme="minorHAnsi" w:cstheme="minorHAnsi"/>
              </w:rPr>
              <w:t xml:space="preserve">distances for OCZs. This </w:t>
            </w:r>
            <w:r>
              <w:rPr>
                <w:rFonts w:asciiTheme="minorHAnsi" w:hAnsiTheme="minorHAnsi" w:cstheme="minorHAnsi"/>
              </w:rPr>
              <w:t xml:space="preserve">study </w:t>
            </w:r>
            <w:r w:rsidR="00D97F14" w:rsidRPr="00D97F14">
              <w:rPr>
                <w:rFonts w:asciiTheme="minorHAnsi" w:hAnsiTheme="minorHAnsi" w:cstheme="minorHAnsi"/>
              </w:rPr>
              <w:t xml:space="preserve">will provide </w:t>
            </w:r>
            <w:r w:rsidR="009745B4">
              <w:rPr>
                <w:rFonts w:asciiTheme="minorHAnsi" w:hAnsiTheme="minorHAnsi" w:cstheme="minorHAnsi"/>
              </w:rPr>
              <w:t>the</w:t>
            </w:r>
            <w:r>
              <w:rPr>
                <w:rFonts w:asciiTheme="minorHAnsi" w:hAnsiTheme="minorHAnsi" w:cstheme="minorHAnsi"/>
              </w:rPr>
              <w:t xml:space="preserve"> robust evidential basis</w:t>
            </w:r>
            <w:r w:rsidR="00D97F14" w:rsidRPr="00D97F14">
              <w:rPr>
                <w:rFonts w:asciiTheme="minorHAnsi" w:hAnsiTheme="minorHAnsi" w:cstheme="minorHAnsi"/>
              </w:rPr>
              <w:t xml:space="preserve"> for the derivation of </w:t>
            </w:r>
            <w:r w:rsidR="00CD7E16">
              <w:rPr>
                <w:rFonts w:asciiTheme="minorHAnsi" w:hAnsiTheme="minorHAnsi" w:cstheme="minorHAnsi"/>
              </w:rPr>
              <w:t xml:space="preserve">these two </w:t>
            </w:r>
            <w:r w:rsidR="00D97F14" w:rsidRPr="00D97F14">
              <w:rPr>
                <w:rFonts w:asciiTheme="minorHAnsi" w:hAnsiTheme="minorHAnsi" w:cstheme="minorHAnsi"/>
              </w:rPr>
              <w:t>OCZs.</w:t>
            </w:r>
            <w:r w:rsidR="009745B4">
              <w:rPr>
                <w:rFonts w:asciiTheme="minorHAnsi" w:hAnsiTheme="minorHAnsi" w:cstheme="minorHAnsi"/>
              </w:rPr>
              <w:t xml:space="preserve"> </w:t>
            </w:r>
          </w:p>
          <w:p w:rsidR="00345DB7" w:rsidRDefault="00D97F14" w:rsidP="00D97F14">
            <w:pPr>
              <w:pStyle w:val="TSNumberedParagraph11"/>
              <w:tabs>
                <w:tab w:val="left" w:pos="0"/>
              </w:tabs>
              <w:ind w:left="0" w:firstLine="0"/>
              <w:rPr>
                <w:rFonts w:asciiTheme="minorHAnsi" w:hAnsiTheme="minorHAnsi" w:cstheme="minorHAnsi"/>
              </w:rPr>
            </w:pPr>
            <w:r w:rsidRPr="00D97F14">
              <w:rPr>
                <w:rFonts w:asciiTheme="minorHAnsi" w:hAnsiTheme="minorHAnsi" w:cstheme="minorHAnsi"/>
              </w:rPr>
              <w:lastRenderedPageBreak/>
              <w:t>ONR expects the successful TSC to produce a research report</w:t>
            </w:r>
            <w:r w:rsidR="00345DB7">
              <w:rPr>
                <w:rFonts w:asciiTheme="minorHAnsi" w:hAnsiTheme="minorHAnsi" w:cstheme="minorHAnsi"/>
              </w:rPr>
              <w:t xml:space="preserve"> that provides</w:t>
            </w:r>
            <w:r w:rsidRPr="00D97F14">
              <w:rPr>
                <w:rFonts w:asciiTheme="minorHAnsi" w:hAnsiTheme="minorHAnsi" w:cstheme="minorHAnsi"/>
              </w:rPr>
              <w:t xml:space="preserve"> recommendations for </w:t>
            </w:r>
            <w:r w:rsidR="006B6121">
              <w:rPr>
                <w:rFonts w:asciiTheme="minorHAnsi" w:hAnsiTheme="minorHAnsi" w:cstheme="minorHAnsi"/>
              </w:rPr>
              <w:t xml:space="preserve">a minimum </w:t>
            </w:r>
            <w:r w:rsidR="00345DB7" w:rsidRPr="00D97F14">
              <w:rPr>
                <w:rFonts w:asciiTheme="minorHAnsi" w:hAnsiTheme="minorHAnsi" w:cstheme="minorHAnsi"/>
              </w:rPr>
              <w:t>OCZ</w:t>
            </w:r>
            <w:r w:rsidR="00345DB7">
              <w:rPr>
                <w:rFonts w:asciiTheme="minorHAnsi" w:hAnsiTheme="minorHAnsi" w:cstheme="minorHAnsi"/>
              </w:rPr>
              <w:t xml:space="preserve"> </w:t>
            </w:r>
            <w:r w:rsidRPr="00D97F14">
              <w:rPr>
                <w:rFonts w:asciiTheme="minorHAnsi" w:hAnsiTheme="minorHAnsi" w:cstheme="minorHAnsi"/>
              </w:rPr>
              <w:t>distance</w:t>
            </w:r>
            <w:r w:rsidR="006B6121">
              <w:rPr>
                <w:rFonts w:asciiTheme="minorHAnsi" w:hAnsiTheme="minorHAnsi" w:cstheme="minorHAnsi"/>
              </w:rPr>
              <w:t xml:space="preserve"> for all </w:t>
            </w:r>
            <w:r w:rsidR="00722381">
              <w:rPr>
                <w:rFonts w:asciiTheme="minorHAnsi" w:hAnsiTheme="minorHAnsi" w:cstheme="minorHAnsi"/>
              </w:rPr>
              <w:t xml:space="preserve">GB </w:t>
            </w:r>
            <w:r w:rsidR="001D7BCB">
              <w:rPr>
                <w:rFonts w:asciiTheme="minorHAnsi" w:hAnsiTheme="minorHAnsi" w:cstheme="minorHAnsi"/>
              </w:rPr>
              <w:t>nuclear sites</w:t>
            </w:r>
            <w:r w:rsidR="00345DB7">
              <w:rPr>
                <w:rFonts w:asciiTheme="minorHAnsi" w:hAnsiTheme="minorHAnsi" w:cstheme="minorHAnsi"/>
              </w:rPr>
              <w:t xml:space="preserve"> </w:t>
            </w:r>
            <w:r w:rsidR="006B6121">
              <w:rPr>
                <w:rFonts w:asciiTheme="minorHAnsi" w:hAnsiTheme="minorHAnsi" w:cstheme="minorHAnsi"/>
              </w:rPr>
              <w:t xml:space="preserve">and also a minimum OCZ distance </w:t>
            </w:r>
            <w:r w:rsidR="00E566A1">
              <w:rPr>
                <w:rFonts w:asciiTheme="minorHAnsi" w:hAnsiTheme="minorHAnsi" w:cstheme="minorHAnsi"/>
              </w:rPr>
              <w:t>relating to</w:t>
            </w:r>
            <w:r w:rsidR="006B6121">
              <w:rPr>
                <w:rFonts w:asciiTheme="minorHAnsi" w:hAnsiTheme="minorHAnsi" w:cstheme="minorHAnsi"/>
              </w:rPr>
              <w:t xml:space="preserve"> significant developments </w:t>
            </w:r>
            <w:r w:rsidR="00345DB7">
              <w:rPr>
                <w:rFonts w:asciiTheme="minorHAnsi" w:hAnsiTheme="minorHAnsi" w:cstheme="minorHAnsi"/>
              </w:rPr>
              <w:t>(see TABLE 1)</w:t>
            </w:r>
            <w:r w:rsidR="00E566A1">
              <w:rPr>
                <w:rFonts w:asciiTheme="minorHAnsi" w:hAnsiTheme="minorHAnsi" w:cstheme="minorHAnsi"/>
              </w:rPr>
              <w:t>, which will be applied to all sites</w:t>
            </w:r>
            <w:r w:rsidR="00691490">
              <w:rPr>
                <w:rFonts w:asciiTheme="minorHAnsi" w:hAnsiTheme="minorHAnsi" w:cstheme="minorHAnsi"/>
              </w:rPr>
              <w:t>.</w:t>
            </w:r>
            <w:r w:rsidRPr="00D97F14">
              <w:rPr>
                <w:rFonts w:asciiTheme="minorHAnsi" w:hAnsiTheme="minorHAnsi" w:cstheme="minorHAnsi"/>
              </w:rPr>
              <w:t xml:space="preserve"> This </w:t>
            </w:r>
            <w:r w:rsidR="00345DB7">
              <w:rPr>
                <w:rFonts w:asciiTheme="minorHAnsi" w:hAnsiTheme="minorHAnsi" w:cstheme="minorHAnsi"/>
              </w:rPr>
              <w:t>report may</w:t>
            </w:r>
            <w:r w:rsidR="00345DB7" w:rsidRPr="00D97F14">
              <w:rPr>
                <w:rFonts w:asciiTheme="minorHAnsi" w:hAnsiTheme="minorHAnsi" w:cstheme="minorHAnsi"/>
              </w:rPr>
              <w:t xml:space="preserve"> </w:t>
            </w:r>
            <w:r w:rsidRPr="00D97F14">
              <w:rPr>
                <w:rFonts w:asciiTheme="minorHAnsi" w:hAnsiTheme="minorHAnsi" w:cstheme="minorHAnsi"/>
              </w:rPr>
              <w:t xml:space="preserve">include recommendations for updates to ONR’s </w:t>
            </w:r>
            <w:r w:rsidR="00345DB7">
              <w:rPr>
                <w:rFonts w:asciiTheme="minorHAnsi" w:hAnsiTheme="minorHAnsi" w:cstheme="minorHAnsi"/>
              </w:rPr>
              <w:t>proposed</w:t>
            </w:r>
            <w:r w:rsidR="00345DB7" w:rsidRPr="00D97F14">
              <w:rPr>
                <w:rFonts w:asciiTheme="minorHAnsi" w:hAnsiTheme="minorHAnsi" w:cstheme="minorHAnsi"/>
              </w:rPr>
              <w:t xml:space="preserve"> OCZ </w:t>
            </w:r>
            <w:r w:rsidRPr="00D97F14">
              <w:rPr>
                <w:rFonts w:asciiTheme="minorHAnsi" w:hAnsiTheme="minorHAnsi" w:cstheme="minorHAnsi"/>
              </w:rPr>
              <w:t>distances and associated guidance</w:t>
            </w:r>
            <w:r w:rsidR="005D0052">
              <w:rPr>
                <w:rFonts w:asciiTheme="minorHAnsi" w:hAnsiTheme="minorHAnsi" w:cstheme="minorHAnsi"/>
              </w:rPr>
              <w:t xml:space="preserve"> that will be </w:t>
            </w:r>
            <w:r w:rsidR="00345DB7">
              <w:rPr>
                <w:rFonts w:asciiTheme="minorHAnsi" w:hAnsiTheme="minorHAnsi" w:cstheme="minorHAnsi"/>
              </w:rPr>
              <w:t xml:space="preserve">published </w:t>
            </w:r>
            <w:r w:rsidR="005D0052">
              <w:rPr>
                <w:rFonts w:asciiTheme="minorHAnsi" w:hAnsiTheme="minorHAnsi" w:cstheme="minorHAnsi"/>
              </w:rPr>
              <w:t xml:space="preserve">on </w:t>
            </w:r>
            <w:r w:rsidR="00345DB7">
              <w:rPr>
                <w:rFonts w:asciiTheme="minorHAnsi" w:hAnsiTheme="minorHAnsi" w:cstheme="minorHAnsi"/>
              </w:rPr>
              <w:t xml:space="preserve">the </w:t>
            </w:r>
            <w:r w:rsidR="005D0052">
              <w:rPr>
                <w:rFonts w:asciiTheme="minorHAnsi" w:hAnsiTheme="minorHAnsi" w:cstheme="minorHAnsi"/>
              </w:rPr>
              <w:t xml:space="preserve">ONR’s website in </w:t>
            </w:r>
            <w:r w:rsidR="00091ED3">
              <w:rPr>
                <w:rFonts w:asciiTheme="minorHAnsi" w:hAnsiTheme="minorHAnsi" w:cstheme="minorHAnsi"/>
              </w:rPr>
              <w:t>2021</w:t>
            </w:r>
            <w:r w:rsidRPr="00D97F14">
              <w:rPr>
                <w:rFonts w:asciiTheme="minorHAnsi" w:hAnsiTheme="minorHAnsi" w:cstheme="minorHAnsi"/>
              </w:rPr>
              <w:t xml:space="preserve">. </w:t>
            </w:r>
            <w:r w:rsidR="00345DB7">
              <w:rPr>
                <w:rFonts w:asciiTheme="minorHAnsi" w:hAnsiTheme="minorHAnsi" w:cstheme="minorHAnsi"/>
              </w:rPr>
              <w:t xml:space="preserve">The research report will provide the evidential basis to underpin the </w:t>
            </w:r>
            <w:r w:rsidR="0002451F">
              <w:rPr>
                <w:rFonts w:asciiTheme="minorHAnsi" w:hAnsiTheme="minorHAnsi" w:cstheme="minorHAnsi"/>
              </w:rPr>
              <w:t xml:space="preserve">minimum </w:t>
            </w:r>
            <w:r w:rsidR="00345DB7">
              <w:rPr>
                <w:rFonts w:asciiTheme="minorHAnsi" w:hAnsiTheme="minorHAnsi" w:cstheme="minorHAnsi"/>
              </w:rPr>
              <w:t>OCZ distances</w:t>
            </w:r>
            <w:r w:rsidR="0002451F">
              <w:rPr>
                <w:rFonts w:asciiTheme="minorHAnsi" w:hAnsiTheme="minorHAnsi" w:cstheme="minorHAnsi"/>
              </w:rPr>
              <w:t xml:space="preserve"> from an external hazards perspective</w:t>
            </w:r>
            <w:r w:rsidR="00345DB7">
              <w:rPr>
                <w:rFonts w:asciiTheme="minorHAnsi" w:hAnsiTheme="minorHAnsi" w:cstheme="minorHAnsi"/>
              </w:rPr>
              <w:t xml:space="preserve">, and will also be made available on the ONR website. </w:t>
            </w:r>
          </w:p>
          <w:p w:rsidR="00345DB7" w:rsidRDefault="00345DB7" w:rsidP="00D97F14">
            <w:pPr>
              <w:pStyle w:val="TSNumberedParagraph11"/>
              <w:tabs>
                <w:tab w:val="left" w:pos="0"/>
              </w:tabs>
              <w:ind w:left="0" w:firstLine="0"/>
              <w:rPr>
                <w:rFonts w:asciiTheme="minorHAnsi" w:hAnsiTheme="minorHAnsi" w:cstheme="minorHAnsi"/>
              </w:rPr>
            </w:pPr>
            <w:r w:rsidRPr="00D97F14">
              <w:rPr>
                <w:rFonts w:asciiTheme="minorHAnsi" w:hAnsiTheme="minorHAnsi" w:cstheme="minorHAnsi"/>
              </w:rPr>
              <w:t>Th</w:t>
            </w:r>
            <w:r>
              <w:rPr>
                <w:rFonts w:asciiTheme="minorHAnsi" w:hAnsiTheme="minorHAnsi" w:cstheme="minorHAnsi"/>
              </w:rPr>
              <w:t>e</w:t>
            </w:r>
            <w:r w:rsidRPr="00D97F14">
              <w:rPr>
                <w:rFonts w:asciiTheme="minorHAnsi" w:hAnsiTheme="minorHAnsi" w:cstheme="minorHAnsi"/>
              </w:rPr>
              <w:t xml:space="preserve"> </w:t>
            </w:r>
            <w:r w:rsidR="00D97F14" w:rsidRPr="00D97F14">
              <w:rPr>
                <w:rFonts w:asciiTheme="minorHAnsi" w:hAnsiTheme="minorHAnsi" w:cstheme="minorHAnsi"/>
              </w:rPr>
              <w:t>research report should</w:t>
            </w:r>
            <w:r>
              <w:rPr>
                <w:rFonts w:asciiTheme="minorHAnsi" w:hAnsiTheme="minorHAnsi" w:cstheme="minorHAnsi"/>
              </w:rPr>
              <w:t>:</w:t>
            </w:r>
          </w:p>
          <w:p w:rsidR="009745B4" w:rsidRPr="00FD2ED7" w:rsidRDefault="00345DB7" w:rsidP="009F607C">
            <w:pPr>
              <w:pStyle w:val="TSBullet1Square"/>
              <w:rPr>
                <w:rFonts w:asciiTheme="minorHAnsi" w:hAnsiTheme="minorHAnsi"/>
              </w:rPr>
            </w:pPr>
            <w:r w:rsidRPr="00FD2ED7">
              <w:rPr>
                <w:rFonts w:asciiTheme="minorHAnsi" w:hAnsiTheme="minorHAnsi"/>
              </w:rPr>
              <w:t xml:space="preserve">Provide a literature review </w:t>
            </w:r>
            <w:r w:rsidR="009F607C">
              <w:rPr>
                <w:rFonts w:asciiTheme="minorHAnsi" w:hAnsiTheme="minorHAnsi"/>
              </w:rPr>
              <w:t>of</w:t>
            </w:r>
            <w:r w:rsidR="009F607C" w:rsidRPr="00FD2ED7">
              <w:rPr>
                <w:rFonts w:asciiTheme="minorHAnsi" w:hAnsiTheme="minorHAnsi"/>
              </w:rPr>
              <w:t xml:space="preserve"> </w:t>
            </w:r>
            <w:r w:rsidRPr="00FD2ED7">
              <w:rPr>
                <w:rFonts w:asciiTheme="minorHAnsi" w:hAnsiTheme="minorHAnsi"/>
              </w:rPr>
              <w:t xml:space="preserve">distances associated with similar development </w:t>
            </w:r>
            <w:r w:rsidR="009F607C" w:rsidRPr="00FD2ED7">
              <w:rPr>
                <w:rFonts w:asciiTheme="minorHAnsi" w:hAnsiTheme="minorHAnsi"/>
              </w:rPr>
              <w:t xml:space="preserve">controls </w:t>
            </w:r>
            <w:r w:rsidRPr="00FD2ED7">
              <w:rPr>
                <w:rFonts w:asciiTheme="minorHAnsi" w:hAnsiTheme="minorHAnsi"/>
              </w:rPr>
              <w:t>zones</w:t>
            </w:r>
            <w:r w:rsidR="00D55B89" w:rsidRPr="00FD2ED7">
              <w:rPr>
                <w:rFonts w:asciiTheme="minorHAnsi" w:hAnsiTheme="minorHAnsi"/>
              </w:rPr>
              <w:t xml:space="preserve"> both in the UK and Internationally</w:t>
            </w:r>
            <w:r w:rsidR="009F607C" w:rsidRPr="00FD2ED7">
              <w:rPr>
                <w:rFonts w:asciiTheme="minorHAnsi" w:hAnsiTheme="minorHAnsi"/>
              </w:rPr>
              <w:t xml:space="preserve">. This should include </w:t>
            </w:r>
            <w:r w:rsidR="009F607C" w:rsidRPr="009F607C">
              <w:rPr>
                <w:rFonts w:asciiTheme="minorHAnsi" w:hAnsiTheme="minorHAnsi"/>
              </w:rPr>
              <w:t xml:space="preserve">a review of </w:t>
            </w:r>
            <w:r w:rsidR="009F607C">
              <w:rPr>
                <w:rFonts w:asciiTheme="minorHAnsi" w:hAnsiTheme="minorHAnsi"/>
              </w:rPr>
              <w:t>International good practice</w:t>
            </w:r>
            <w:r w:rsidR="009F607C" w:rsidRPr="009F607C">
              <w:rPr>
                <w:rFonts w:asciiTheme="minorHAnsi" w:hAnsiTheme="minorHAnsi"/>
              </w:rPr>
              <w:t xml:space="preserve"> regarding development control around nuclear sites from an external hazard and emergency planning perspective</w:t>
            </w:r>
            <w:r w:rsidR="009745B4" w:rsidRPr="00FD2ED7">
              <w:rPr>
                <w:rFonts w:asciiTheme="minorHAnsi" w:hAnsiTheme="minorHAnsi"/>
              </w:rPr>
              <w:t>;</w:t>
            </w:r>
          </w:p>
          <w:p w:rsidR="00345DB7" w:rsidRPr="009745B4" w:rsidRDefault="009745B4" w:rsidP="00314635">
            <w:pPr>
              <w:pStyle w:val="TSBullet1Square"/>
              <w:rPr>
                <w:rFonts w:asciiTheme="minorHAnsi" w:hAnsiTheme="minorHAnsi"/>
              </w:rPr>
            </w:pPr>
            <w:r>
              <w:rPr>
                <w:rFonts w:asciiTheme="minorHAnsi" w:hAnsiTheme="minorHAnsi"/>
              </w:rPr>
              <w:t xml:space="preserve">Discuss </w:t>
            </w:r>
            <w:r w:rsidRPr="00345DB7">
              <w:rPr>
                <w:rFonts w:asciiTheme="minorHAnsi" w:hAnsiTheme="minorHAnsi"/>
              </w:rPr>
              <w:t>any relevant operational experience</w:t>
            </w:r>
            <w:r>
              <w:rPr>
                <w:rFonts w:asciiTheme="minorHAnsi" w:hAnsiTheme="minorHAnsi"/>
              </w:rPr>
              <w:t xml:space="preserve"> that would </w:t>
            </w:r>
            <w:r w:rsidRPr="00345DB7">
              <w:rPr>
                <w:rFonts w:asciiTheme="minorHAnsi" w:hAnsiTheme="minorHAnsi"/>
              </w:rPr>
              <w:t xml:space="preserve">support the recommended </w:t>
            </w:r>
            <w:r w:rsidR="0002451F">
              <w:rPr>
                <w:rFonts w:asciiTheme="minorHAnsi" w:hAnsiTheme="minorHAnsi"/>
              </w:rPr>
              <w:t xml:space="preserve">minimum OCZ </w:t>
            </w:r>
            <w:r w:rsidRPr="00345DB7">
              <w:rPr>
                <w:rFonts w:asciiTheme="minorHAnsi" w:hAnsiTheme="minorHAnsi"/>
              </w:rPr>
              <w:t>distances</w:t>
            </w:r>
            <w:r w:rsidR="0002451F">
              <w:rPr>
                <w:rFonts w:asciiTheme="minorHAnsi" w:hAnsiTheme="minorHAnsi"/>
              </w:rPr>
              <w:t xml:space="preserve"> from an external hazards perspective</w:t>
            </w:r>
            <w:r>
              <w:rPr>
                <w:rFonts w:asciiTheme="minorHAnsi" w:hAnsiTheme="minorHAnsi"/>
              </w:rPr>
              <w:t xml:space="preserve">. </w:t>
            </w:r>
            <w:r w:rsidRPr="009745B4">
              <w:rPr>
                <w:rFonts w:asciiTheme="minorHAnsi" w:hAnsiTheme="minorHAnsi"/>
              </w:rPr>
              <w:t>Relevant operational experience could be from other industries and could include, for example, the potential blast radius for chemical facilities or potential distances impacted by turbine disinte</w:t>
            </w:r>
            <w:r>
              <w:rPr>
                <w:rFonts w:asciiTheme="minorHAnsi" w:hAnsiTheme="minorHAnsi"/>
              </w:rPr>
              <w:t>gration</w:t>
            </w:r>
            <w:r w:rsidR="0002451F">
              <w:rPr>
                <w:rFonts w:asciiTheme="minorHAnsi" w:hAnsiTheme="minorHAnsi"/>
              </w:rPr>
              <w:t xml:space="preserve"> and blade throw</w:t>
            </w:r>
            <w:r>
              <w:rPr>
                <w:rFonts w:asciiTheme="minorHAnsi" w:hAnsiTheme="minorHAnsi"/>
              </w:rPr>
              <w:t>;</w:t>
            </w:r>
          </w:p>
          <w:p w:rsidR="00345DB7" w:rsidRDefault="00345DB7" w:rsidP="00314635">
            <w:pPr>
              <w:pStyle w:val="TSBullet1Square"/>
              <w:rPr>
                <w:rFonts w:asciiTheme="minorHAnsi" w:hAnsiTheme="minorHAnsi"/>
              </w:rPr>
            </w:pPr>
            <w:r>
              <w:rPr>
                <w:rFonts w:asciiTheme="minorHAnsi" w:hAnsiTheme="minorHAnsi"/>
              </w:rPr>
              <w:t>Where no literature is available to support</w:t>
            </w:r>
            <w:r w:rsidR="009745B4">
              <w:rPr>
                <w:rFonts w:asciiTheme="minorHAnsi" w:hAnsiTheme="minorHAnsi"/>
              </w:rPr>
              <w:t xml:space="preserve"> </w:t>
            </w:r>
            <w:r w:rsidR="0002451F">
              <w:rPr>
                <w:rFonts w:asciiTheme="minorHAnsi" w:hAnsiTheme="minorHAnsi"/>
              </w:rPr>
              <w:t xml:space="preserve">the proposed </w:t>
            </w:r>
            <w:r w:rsidR="009745B4">
              <w:rPr>
                <w:rFonts w:asciiTheme="minorHAnsi" w:hAnsiTheme="minorHAnsi"/>
              </w:rPr>
              <w:t>OCZ distance</w:t>
            </w:r>
            <w:r w:rsidR="0002451F">
              <w:rPr>
                <w:rFonts w:asciiTheme="minorHAnsi" w:hAnsiTheme="minorHAnsi"/>
              </w:rPr>
              <w:t>s</w:t>
            </w:r>
            <w:r w:rsidR="009745B4">
              <w:rPr>
                <w:rFonts w:asciiTheme="minorHAnsi" w:hAnsiTheme="minorHAnsi"/>
              </w:rPr>
              <w:t xml:space="preserve">, the </w:t>
            </w:r>
            <w:r w:rsidR="00D55B89">
              <w:rPr>
                <w:rFonts w:asciiTheme="minorHAnsi" w:hAnsiTheme="minorHAnsi"/>
              </w:rPr>
              <w:t xml:space="preserve">TSC </w:t>
            </w:r>
            <w:r w:rsidR="009745B4">
              <w:rPr>
                <w:rFonts w:asciiTheme="minorHAnsi" w:hAnsiTheme="minorHAnsi"/>
              </w:rPr>
              <w:t>should provide qualitative and quantitative analysis to underpin the distance using data agreed by the ONR;</w:t>
            </w:r>
            <w:r>
              <w:rPr>
                <w:rFonts w:asciiTheme="minorHAnsi" w:hAnsiTheme="minorHAnsi"/>
              </w:rPr>
              <w:t xml:space="preserve"> </w:t>
            </w:r>
          </w:p>
          <w:p w:rsidR="009745B4" w:rsidRDefault="009745B4" w:rsidP="009745B4">
            <w:pPr>
              <w:pStyle w:val="TSBullet1Square"/>
              <w:rPr>
                <w:rFonts w:asciiTheme="minorHAnsi" w:hAnsiTheme="minorHAnsi"/>
              </w:rPr>
            </w:pPr>
            <w:r>
              <w:rPr>
                <w:rFonts w:asciiTheme="minorHAnsi" w:hAnsiTheme="minorHAnsi"/>
              </w:rPr>
              <w:t xml:space="preserve">In particular the report should aim to underpin the </w:t>
            </w:r>
            <w:r w:rsidR="00521BAA">
              <w:rPr>
                <w:rFonts w:asciiTheme="minorHAnsi" w:hAnsiTheme="minorHAnsi"/>
              </w:rPr>
              <w:t xml:space="preserve">following </w:t>
            </w:r>
            <w:r>
              <w:rPr>
                <w:rFonts w:asciiTheme="minorHAnsi" w:hAnsiTheme="minorHAnsi"/>
              </w:rPr>
              <w:t xml:space="preserve">proposed </w:t>
            </w:r>
            <w:r w:rsidR="00521BAA">
              <w:rPr>
                <w:rFonts w:asciiTheme="minorHAnsi" w:hAnsiTheme="minorHAnsi"/>
              </w:rPr>
              <w:t xml:space="preserve">OCZ </w:t>
            </w:r>
            <w:r>
              <w:rPr>
                <w:rFonts w:asciiTheme="minorHAnsi" w:hAnsiTheme="minorHAnsi"/>
              </w:rPr>
              <w:t>distances</w:t>
            </w:r>
            <w:r w:rsidR="00521BAA">
              <w:rPr>
                <w:rFonts w:asciiTheme="minorHAnsi" w:hAnsiTheme="minorHAnsi"/>
              </w:rPr>
              <w:t xml:space="preserve"> to ensure they are proportionate to the overall risk</w:t>
            </w:r>
            <w:r>
              <w:rPr>
                <w:rFonts w:asciiTheme="minorHAnsi" w:hAnsiTheme="minorHAnsi"/>
              </w:rPr>
              <w:t>:</w:t>
            </w:r>
          </w:p>
          <w:p w:rsidR="009745B4" w:rsidRDefault="009745B4" w:rsidP="00314635">
            <w:pPr>
              <w:pStyle w:val="TSBullet1Square"/>
              <w:numPr>
                <w:ilvl w:val="1"/>
                <w:numId w:val="16"/>
              </w:numPr>
              <w:tabs>
                <w:tab w:val="clear" w:pos="1440"/>
                <w:tab w:val="num" w:pos="1832"/>
              </w:tabs>
              <w:ind w:left="1832"/>
              <w:rPr>
                <w:rFonts w:asciiTheme="minorHAnsi" w:hAnsiTheme="minorHAnsi"/>
              </w:rPr>
            </w:pPr>
            <w:r>
              <w:rPr>
                <w:rFonts w:asciiTheme="minorHAnsi" w:hAnsiTheme="minorHAnsi"/>
              </w:rPr>
              <w:t>30km</w:t>
            </w:r>
            <w:r w:rsidR="00521BAA">
              <w:rPr>
                <w:rFonts w:asciiTheme="minorHAnsi" w:hAnsiTheme="minorHAnsi"/>
              </w:rPr>
              <w:t xml:space="preserve"> </w:t>
            </w:r>
            <w:r>
              <w:rPr>
                <w:rFonts w:asciiTheme="minorHAnsi" w:hAnsiTheme="minorHAnsi"/>
              </w:rPr>
              <w:t>for certain types of significant developments; and</w:t>
            </w:r>
          </w:p>
          <w:p w:rsidR="009745B4" w:rsidRDefault="009745B4" w:rsidP="00314635">
            <w:pPr>
              <w:pStyle w:val="TSBullet1Square"/>
              <w:numPr>
                <w:ilvl w:val="1"/>
                <w:numId w:val="16"/>
              </w:numPr>
              <w:tabs>
                <w:tab w:val="clear" w:pos="1440"/>
                <w:tab w:val="num" w:pos="1832"/>
              </w:tabs>
              <w:ind w:left="1832"/>
              <w:rPr>
                <w:rFonts w:asciiTheme="minorHAnsi" w:hAnsiTheme="minorHAnsi"/>
              </w:rPr>
            </w:pPr>
            <w:r>
              <w:rPr>
                <w:rFonts w:asciiTheme="minorHAnsi" w:hAnsiTheme="minorHAnsi"/>
              </w:rPr>
              <w:t>3km</w:t>
            </w:r>
            <w:r w:rsidR="0002451F">
              <w:rPr>
                <w:rFonts w:asciiTheme="minorHAnsi" w:hAnsiTheme="minorHAnsi"/>
              </w:rPr>
              <w:t xml:space="preserve"> as a minimum distance for all GB nuclear sites to consider developments as </w:t>
            </w:r>
            <w:r w:rsidR="00D55B89">
              <w:rPr>
                <w:rFonts w:asciiTheme="minorHAnsi" w:hAnsiTheme="minorHAnsi"/>
              </w:rPr>
              <w:t xml:space="preserve">a </w:t>
            </w:r>
            <w:r w:rsidR="0002451F">
              <w:rPr>
                <w:rFonts w:asciiTheme="minorHAnsi" w:hAnsiTheme="minorHAnsi"/>
              </w:rPr>
              <w:t>potential external hazard</w:t>
            </w:r>
          </w:p>
          <w:p w:rsidR="00CC22F1" w:rsidRDefault="00CC22F1" w:rsidP="00CC22F1">
            <w:pPr>
              <w:pStyle w:val="TSBullet1Square"/>
              <w:rPr>
                <w:rFonts w:asciiTheme="minorHAnsi" w:hAnsiTheme="minorHAnsi"/>
              </w:rPr>
            </w:pPr>
            <w:r>
              <w:rPr>
                <w:rFonts w:asciiTheme="minorHAnsi" w:hAnsiTheme="minorHAnsi"/>
              </w:rPr>
              <w:t xml:space="preserve">For the proposed 30km OCZ, the  report </w:t>
            </w:r>
            <w:r w:rsidRPr="00CC22F1">
              <w:rPr>
                <w:rFonts w:asciiTheme="minorHAnsi" w:hAnsiTheme="minorHAnsi"/>
              </w:rPr>
              <w:t xml:space="preserve">should advise on any other activities that should be </w:t>
            </w:r>
            <w:r>
              <w:rPr>
                <w:rFonts w:asciiTheme="minorHAnsi" w:hAnsiTheme="minorHAnsi"/>
              </w:rPr>
              <w:t>included in the</w:t>
            </w:r>
            <w:r w:rsidRPr="00CC22F1">
              <w:rPr>
                <w:rFonts w:asciiTheme="minorHAnsi" w:hAnsiTheme="minorHAnsi"/>
              </w:rPr>
              <w:t xml:space="preserve"> </w:t>
            </w:r>
            <w:r>
              <w:rPr>
                <w:rFonts w:asciiTheme="minorHAnsi" w:hAnsiTheme="minorHAnsi"/>
              </w:rPr>
              <w:t>‘</w:t>
            </w:r>
            <w:r w:rsidRPr="00CC22F1">
              <w:rPr>
                <w:rFonts w:asciiTheme="minorHAnsi" w:hAnsiTheme="minorHAnsi"/>
              </w:rPr>
              <w:t>significant development</w:t>
            </w:r>
            <w:r>
              <w:rPr>
                <w:rFonts w:asciiTheme="minorHAnsi" w:hAnsiTheme="minorHAnsi"/>
              </w:rPr>
              <w:t>’</w:t>
            </w:r>
            <w:r w:rsidRPr="00CC22F1">
              <w:rPr>
                <w:rFonts w:asciiTheme="minorHAnsi" w:hAnsiTheme="minorHAnsi"/>
              </w:rPr>
              <w:t xml:space="preserve"> list</w:t>
            </w:r>
          </w:p>
          <w:p w:rsidR="009745B4" w:rsidRDefault="00521BAA" w:rsidP="00314635">
            <w:pPr>
              <w:pStyle w:val="TSBullet1Square"/>
              <w:rPr>
                <w:rFonts w:asciiTheme="minorHAnsi" w:hAnsiTheme="minorHAnsi"/>
              </w:rPr>
            </w:pPr>
            <w:r>
              <w:rPr>
                <w:rFonts w:asciiTheme="minorHAnsi" w:hAnsiTheme="minorHAnsi"/>
              </w:rPr>
              <w:t>Articulate</w:t>
            </w:r>
            <w:r w:rsidR="009745B4" w:rsidRPr="00345DB7">
              <w:rPr>
                <w:rFonts w:asciiTheme="minorHAnsi" w:hAnsiTheme="minorHAnsi"/>
              </w:rPr>
              <w:t xml:space="preserve"> </w:t>
            </w:r>
            <w:r w:rsidR="00D97F14" w:rsidRPr="00345DB7">
              <w:rPr>
                <w:rFonts w:asciiTheme="minorHAnsi" w:hAnsiTheme="minorHAnsi"/>
              </w:rPr>
              <w:t>the justification and rationale for the selection of distances</w:t>
            </w:r>
            <w:r w:rsidR="009745B4">
              <w:rPr>
                <w:rFonts w:asciiTheme="minorHAnsi" w:hAnsiTheme="minorHAnsi"/>
              </w:rPr>
              <w:t xml:space="preserve"> </w:t>
            </w:r>
            <w:r w:rsidR="002E133F" w:rsidRPr="00345DB7">
              <w:rPr>
                <w:rFonts w:asciiTheme="minorHAnsi" w:hAnsiTheme="minorHAnsi"/>
              </w:rPr>
              <w:t>for OCZs</w:t>
            </w:r>
            <w:r w:rsidR="009745B4">
              <w:rPr>
                <w:rFonts w:asciiTheme="minorHAnsi" w:hAnsiTheme="minorHAnsi"/>
              </w:rPr>
              <w:t>;</w:t>
            </w:r>
            <w:r w:rsidR="00D97F14" w:rsidRPr="00345DB7">
              <w:rPr>
                <w:rFonts w:asciiTheme="minorHAnsi" w:hAnsiTheme="minorHAnsi"/>
              </w:rPr>
              <w:t xml:space="preserve"> </w:t>
            </w:r>
          </w:p>
          <w:p w:rsidR="009745B4" w:rsidRDefault="009745B4" w:rsidP="00314635">
            <w:pPr>
              <w:pStyle w:val="TSBullet1Square"/>
              <w:rPr>
                <w:rFonts w:asciiTheme="minorHAnsi" w:hAnsiTheme="minorHAnsi"/>
              </w:rPr>
            </w:pPr>
            <w:r>
              <w:rPr>
                <w:rFonts w:asciiTheme="minorHAnsi" w:hAnsiTheme="minorHAnsi"/>
              </w:rPr>
              <w:t>Be written in a concise and clear manner; and,</w:t>
            </w:r>
          </w:p>
          <w:p w:rsidR="00D97F14" w:rsidRDefault="009745B4" w:rsidP="00314635">
            <w:pPr>
              <w:pStyle w:val="TSBullet1Square"/>
              <w:rPr>
                <w:rFonts w:asciiTheme="minorHAnsi" w:hAnsiTheme="minorHAnsi"/>
              </w:rPr>
            </w:pPr>
            <w:r>
              <w:rPr>
                <w:rFonts w:asciiTheme="minorHAnsi" w:hAnsiTheme="minorHAnsi"/>
              </w:rPr>
              <w:t>Be suitable for publication on the ONR</w:t>
            </w:r>
            <w:r w:rsidR="00D97F14" w:rsidRPr="009745B4">
              <w:rPr>
                <w:rFonts w:asciiTheme="minorHAnsi" w:hAnsiTheme="minorHAnsi"/>
              </w:rPr>
              <w:t xml:space="preserve"> website.</w:t>
            </w:r>
          </w:p>
          <w:p w:rsidR="00521BAA" w:rsidRDefault="00521BAA"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In addition to developing the aforementioned research report</w:t>
            </w:r>
            <w:r w:rsidR="00D746AA">
              <w:rPr>
                <w:rFonts w:asciiTheme="minorHAnsi" w:hAnsiTheme="minorHAnsi" w:cstheme="minorHAnsi"/>
              </w:rPr>
              <w:t>,</w:t>
            </w:r>
            <w:r>
              <w:rPr>
                <w:rFonts w:asciiTheme="minorHAnsi" w:hAnsiTheme="minorHAnsi" w:cstheme="minorHAnsi"/>
              </w:rPr>
              <w:t xml:space="preserve"> the TSC will be expected to attend meetings with the ONR project officer</w:t>
            </w:r>
            <w:r w:rsidR="00091ED3">
              <w:rPr>
                <w:rFonts w:asciiTheme="minorHAnsi" w:hAnsiTheme="minorHAnsi" w:cstheme="minorHAnsi"/>
              </w:rPr>
              <w:t>. It is expected that the TSC will present their progress at these meetings via a presentation.</w:t>
            </w:r>
            <w:r>
              <w:rPr>
                <w:rFonts w:asciiTheme="minorHAnsi" w:hAnsiTheme="minorHAnsi" w:cstheme="minorHAnsi"/>
              </w:rPr>
              <w:t xml:space="preserve"> </w:t>
            </w:r>
            <w:r w:rsidR="00091ED3">
              <w:rPr>
                <w:rFonts w:asciiTheme="minorHAnsi" w:hAnsiTheme="minorHAnsi" w:cstheme="minorHAnsi"/>
              </w:rPr>
              <w:t>The following meetings are required</w:t>
            </w:r>
            <w:r>
              <w:rPr>
                <w:rFonts w:asciiTheme="minorHAnsi" w:hAnsiTheme="minorHAnsi" w:cstheme="minorHAnsi"/>
              </w:rPr>
              <w:t>:</w:t>
            </w:r>
          </w:p>
          <w:p w:rsidR="00521BAA" w:rsidRDefault="00521BAA" w:rsidP="00314635">
            <w:pPr>
              <w:pStyle w:val="TSBullet1Square"/>
              <w:rPr>
                <w:rFonts w:asciiTheme="minorHAnsi" w:hAnsiTheme="minorHAnsi" w:cstheme="minorHAnsi"/>
              </w:rPr>
            </w:pPr>
            <w:r>
              <w:rPr>
                <w:rFonts w:asciiTheme="minorHAnsi" w:hAnsiTheme="minorHAnsi" w:cstheme="minorHAnsi"/>
              </w:rPr>
              <w:t>an initial contract start-up meeting held via teleconference or Skype</w:t>
            </w:r>
            <w:r w:rsidR="00091ED3">
              <w:rPr>
                <w:rFonts w:asciiTheme="minorHAnsi" w:hAnsiTheme="minorHAnsi" w:cstheme="minorHAnsi"/>
              </w:rPr>
              <w:t xml:space="preserve"> (assume three hours for the meeting)</w:t>
            </w:r>
          </w:p>
          <w:p w:rsidR="00521BAA" w:rsidRPr="00314635" w:rsidRDefault="00521BAA" w:rsidP="00314635">
            <w:pPr>
              <w:pStyle w:val="TSBullet1Square"/>
              <w:rPr>
                <w:rFonts w:asciiTheme="minorHAnsi" w:hAnsiTheme="minorHAnsi" w:cstheme="minorHAnsi"/>
              </w:rPr>
            </w:pPr>
            <w:r>
              <w:rPr>
                <w:rFonts w:asciiTheme="minorHAnsi" w:hAnsiTheme="minorHAnsi" w:cstheme="minorHAnsi"/>
              </w:rPr>
              <w:t>monthly progress meetings held via teleconference or Skype</w:t>
            </w:r>
            <w:r w:rsidR="00091ED3">
              <w:rPr>
                <w:rFonts w:asciiTheme="minorHAnsi" w:hAnsiTheme="minorHAnsi" w:cstheme="minorHAnsi"/>
              </w:rPr>
              <w:t xml:space="preserve"> (total </w:t>
            </w:r>
            <w:r w:rsidR="00D55B89">
              <w:rPr>
                <w:rFonts w:asciiTheme="minorHAnsi" w:hAnsiTheme="minorHAnsi" w:cstheme="minorHAnsi"/>
              </w:rPr>
              <w:t xml:space="preserve">of </w:t>
            </w:r>
            <w:r w:rsidR="00091ED3">
              <w:rPr>
                <w:rFonts w:asciiTheme="minorHAnsi" w:hAnsiTheme="minorHAnsi" w:cstheme="minorHAnsi"/>
              </w:rPr>
              <w:t>5</w:t>
            </w:r>
            <w:r w:rsidR="00D55B89">
              <w:rPr>
                <w:rFonts w:asciiTheme="minorHAnsi" w:hAnsiTheme="minorHAnsi" w:cstheme="minorHAnsi"/>
              </w:rPr>
              <w:t xml:space="preserve"> meetings</w:t>
            </w:r>
            <w:r w:rsidR="00091ED3">
              <w:rPr>
                <w:rFonts w:asciiTheme="minorHAnsi" w:hAnsiTheme="minorHAnsi" w:cstheme="minorHAnsi"/>
              </w:rPr>
              <w:t>, assume three hours per meeting)</w:t>
            </w:r>
          </w:p>
          <w:p w:rsidR="006B77DE" w:rsidRDefault="00C67330"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t>
            </w:r>
            <w:r w:rsidR="006B77DE">
              <w:rPr>
                <w:rFonts w:asciiTheme="minorHAnsi" w:hAnsiTheme="minorHAnsi" w:cstheme="minorHAnsi"/>
              </w:rPr>
              <w:t xml:space="preserve">will </w:t>
            </w:r>
            <w:r>
              <w:rPr>
                <w:rFonts w:asciiTheme="minorHAnsi" w:hAnsiTheme="minorHAnsi" w:cstheme="minorHAnsi"/>
              </w:rPr>
              <w:t xml:space="preserve">require </w:t>
            </w:r>
            <w:r w:rsidR="006B77DE">
              <w:rPr>
                <w:rFonts w:asciiTheme="minorHAnsi" w:hAnsiTheme="minorHAnsi" w:cstheme="minorHAnsi"/>
              </w:rPr>
              <w:t xml:space="preserve">invoices to be accompanied by </w:t>
            </w:r>
            <w:r>
              <w:rPr>
                <w:rFonts w:asciiTheme="minorHAnsi" w:hAnsiTheme="minorHAnsi" w:cstheme="minorHAnsi"/>
              </w:rPr>
              <w:t>regular progress reports</w:t>
            </w:r>
            <w:r w:rsidR="006B77DE">
              <w:rPr>
                <w:rFonts w:asciiTheme="minorHAnsi" w:hAnsiTheme="minorHAnsi" w:cstheme="minorHAnsi"/>
              </w:rPr>
              <w:t xml:space="preserve">. These should be provided on a monthly basis to </w:t>
            </w:r>
            <w:r w:rsidR="00091ED3">
              <w:rPr>
                <w:rFonts w:asciiTheme="minorHAnsi" w:hAnsiTheme="minorHAnsi" w:cstheme="minorHAnsi"/>
              </w:rPr>
              <w:t xml:space="preserve">support </w:t>
            </w:r>
            <w:r w:rsidR="006B77DE">
              <w:rPr>
                <w:rFonts w:asciiTheme="minorHAnsi" w:hAnsiTheme="minorHAnsi" w:cstheme="minorHAnsi"/>
              </w:rPr>
              <w:t>ONR</w:t>
            </w:r>
            <w:r w:rsidR="00091ED3">
              <w:rPr>
                <w:rFonts w:asciiTheme="minorHAnsi" w:hAnsiTheme="minorHAnsi" w:cstheme="minorHAnsi"/>
              </w:rPr>
              <w:t>’s</w:t>
            </w:r>
            <w:r w:rsidR="006B77DE">
              <w:rPr>
                <w:rFonts w:asciiTheme="minorHAnsi" w:hAnsiTheme="minorHAnsi" w:cstheme="minorHAnsi"/>
              </w:rPr>
              <w:t xml:space="preserve"> oversight of progress </w:t>
            </w:r>
            <w:r w:rsidR="00091ED3">
              <w:rPr>
                <w:rFonts w:asciiTheme="minorHAnsi" w:hAnsiTheme="minorHAnsi" w:cstheme="minorHAnsi"/>
              </w:rPr>
              <w:t xml:space="preserve">with </w:t>
            </w:r>
            <w:r w:rsidR="006B77DE">
              <w:rPr>
                <w:rFonts w:asciiTheme="minorHAnsi" w:hAnsiTheme="minorHAnsi" w:cstheme="minorHAnsi"/>
              </w:rPr>
              <w:t xml:space="preserve">the project. </w:t>
            </w:r>
          </w:p>
          <w:p w:rsidR="00091ED3" w:rsidRDefault="00091ED3" w:rsidP="00091ED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The timescales for this research project are:</w:t>
            </w:r>
          </w:p>
          <w:p w:rsidR="00091ED3" w:rsidRDefault="00091ED3" w:rsidP="00314635">
            <w:pPr>
              <w:pStyle w:val="TSBullet1Square"/>
              <w:rPr>
                <w:rFonts w:asciiTheme="minorHAnsi" w:hAnsiTheme="minorHAnsi" w:cstheme="minorHAnsi"/>
              </w:rPr>
            </w:pPr>
            <w:r>
              <w:rPr>
                <w:rFonts w:asciiTheme="minorHAnsi" w:hAnsiTheme="minorHAnsi" w:cstheme="minorHAnsi"/>
              </w:rPr>
              <w:t xml:space="preserve">Project commences – 1 </w:t>
            </w:r>
            <w:r w:rsidR="00CD7E16">
              <w:rPr>
                <w:rFonts w:asciiTheme="minorHAnsi" w:hAnsiTheme="minorHAnsi" w:cstheme="minorHAnsi"/>
              </w:rPr>
              <w:t xml:space="preserve">September </w:t>
            </w:r>
            <w:r>
              <w:rPr>
                <w:rFonts w:asciiTheme="minorHAnsi" w:hAnsiTheme="minorHAnsi" w:cstheme="minorHAnsi"/>
              </w:rPr>
              <w:t>2020</w:t>
            </w:r>
          </w:p>
          <w:p w:rsidR="00091ED3" w:rsidRPr="00091ED3" w:rsidRDefault="00091ED3" w:rsidP="00091ED3">
            <w:pPr>
              <w:pStyle w:val="TSBullet1Square"/>
              <w:rPr>
                <w:rFonts w:asciiTheme="minorHAnsi" w:hAnsiTheme="minorHAnsi" w:cstheme="minorHAnsi"/>
              </w:rPr>
            </w:pPr>
            <w:r>
              <w:rPr>
                <w:rFonts w:asciiTheme="minorHAnsi" w:hAnsiTheme="minorHAnsi" w:cstheme="minorHAnsi"/>
              </w:rPr>
              <w:t>Kick-off meeting – w</w:t>
            </w:r>
            <w:r w:rsidRPr="00091ED3">
              <w:rPr>
                <w:rFonts w:asciiTheme="minorHAnsi" w:hAnsiTheme="minorHAnsi" w:cstheme="minorHAnsi"/>
              </w:rPr>
              <w:t>ithin 10 days of award</w:t>
            </w:r>
          </w:p>
          <w:p w:rsidR="00091ED3" w:rsidRDefault="00091ED3" w:rsidP="00314635">
            <w:pPr>
              <w:pStyle w:val="TSBullet1Square"/>
              <w:rPr>
                <w:rFonts w:asciiTheme="minorHAnsi" w:hAnsiTheme="minorHAnsi" w:cstheme="minorHAnsi"/>
              </w:rPr>
            </w:pPr>
            <w:r>
              <w:rPr>
                <w:rFonts w:asciiTheme="minorHAnsi" w:hAnsiTheme="minorHAnsi" w:cstheme="minorHAnsi"/>
              </w:rPr>
              <w:t xml:space="preserve">Draft research report issued to ONR for comment – end </w:t>
            </w:r>
            <w:r w:rsidR="00CD7E16">
              <w:rPr>
                <w:rFonts w:asciiTheme="minorHAnsi" w:hAnsiTheme="minorHAnsi" w:cstheme="minorHAnsi"/>
              </w:rPr>
              <w:t xml:space="preserve">January </w:t>
            </w:r>
            <w:r w:rsidR="0002451F">
              <w:rPr>
                <w:rFonts w:asciiTheme="minorHAnsi" w:hAnsiTheme="minorHAnsi" w:cstheme="minorHAnsi"/>
              </w:rPr>
              <w:t>2021</w:t>
            </w:r>
          </w:p>
          <w:p w:rsidR="00CD7E16" w:rsidRDefault="00CD7E16" w:rsidP="00CD7E16">
            <w:pPr>
              <w:pStyle w:val="TSBullet1Square"/>
              <w:rPr>
                <w:rFonts w:asciiTheme="minorHAnsi" w:hAnsiTheme="minorHAnsi" w:cstheme="minorHAnsi"/>
              </w:rPr>
            </w:pPr>
            <w:r>
              <w:rPr>
                <w:rFonts w:asciiTheme="minorHAnsi" w:hAnsiTheme="minorHAnsi" w:cstheme="minorHAnsi"/>
              </w:rPr>
              <w:t>ONR publish</w:t>
            </w:r>
            <w:r w:rsidR="0002451F">
              <w:rPr>
                <w:rFonts w:asciiTheme="minorHAnsi" w:hAnsiTheme="minorHAnsi" w:cstheme="minorHAnsi"/>
              </w:rPr>
              <w:t>es</w:t>
            </w:r>
            <w:r>
              <w:rPr>
                <w:rFonts w:asciiTheme="minorHAnsi" w:hAnsiTheme="minorHAnsi" w:cstheme="minorHAnsi"/>
              </w:rPr>
              <w:t xml:space="preserve"> </w:t>
            </w:r>
            <w:r w:rsidR="0002451F">
              <w:rPr>
                <w:rFonts w:asciiTheme="minorHAnsi" w:hAnsiTheme="minorHAnsi" w:cstheme="minorHAnsi"/>
              </w:rPr>
              <w:t xml:space="preserve">proposed </w:t>
            </w:r>
            <w:r>
              <w:rPr>
                <w:rFonts w:asciiTheme="minorHAnsi" w:hAnsiTheme="minorHAnsi" w:cstheme="minorHAnsi"/>
              </w:rPr>
              <w:t>OCZ distances to the</w:t>
            </w:r>
            <w:r w:rsidR="0002451F">
              <w:rPr>
                <w:rFonts w:asciiTheme="minorHAnsi" w:hAnsiTheme="minorHAnsi" w:cstheme="minorHAnsi"/>
              </w:rPr>
              <w:t xml:space="preserve"> ONR website – </w:t>
            </w:r>
            <w:r w:rsidR="008C1D45">
              <w:rPr>
                <w:rFonts w:asciiTheme="minorHAnsi" w:hAnsiTheme="minorHAnsi" w:cstheme="minorHAnsi"/>
              </w:rPr>
              <w:t>approximately J</w:t>
            </w:r>
            <w:r w:rsidR="0002451F">
              <w:rPr>
                <w:rFonts w:asciiTheme="minorHAnsi" w:hAnsiTheme="minorHAnsi" w:cstheme="minorHAnsi"/>
              </w:rPr>
              <w:t>anuary 2021</w:t>
            </w:r>
            <w:r>
              <w:rPr>
                <w:rFonts w:asciiTheme="minorHAnsi" w:hAnsiTheme="minorHAnsi" w:cstheme="minorHAnsi"/>
              </w:rPr>
              <w:t xml:space="preserve"> </w:t>
            </w:r>
          </w:p>
          <w:p w:rsidR="00252688" w:rsidRDefault="00091ED3" w:rsidP="00CD7E16">
            <w:pPr>
              <w:pStyle w:val="TSBullet1Square"/>
              <w:rPr>
                <w:rFonts w:asciiTheme="minorHAnsi" w:hAnsiTheme="minorHAnsi" w:cstheme="minorHAnsi"/>
              </w:rPr>
            </w:pPr>
            <w:r>
              <w:rPr>
                <w:rFonts w:asciiTheme="minorHAnsi" w:hAnsiTheme="minorHAnsi" w:cstheme="minorHAnsi"/>
              </w:rPr>
              <w:t xml:space="preserve">Final research report issued to ONR – end </w:t>
            </w:r>
            <w:r w:rsidR="0002451F">
              <w:rPr>
                <w:rFonts w:asciiTheme="minorHAnsi" w:hAnsiTheme="minorHAnsi" w:cstheme="minorHAnsi"/>
              </w:rPr>
              <w:t>February</w:t>
            </w:r>
            <w:r w:rsidR="00CD7E16">
              <w:rPr>
                <w:rFonts w:asciiTheme="minorHAnsi" w:hAnsiTheme="minorHAnsi" w:cstheme="minorHAnsi"/>
              </w:rPr>
              <w:t xml:space="preserve"> </w:t>
            </w:r>
            <w:r>
              <w:rPr>
                <w:rFonts w:asciiTheme="minorHAnsi" w:hAnsiTheme="minorHAnsi" w:cstheme="minorHAnsi"/>
              </w:rPr>
              <w:t>2021</w:t>
            </w:r>
          </w:p>
          <w:p w:rsidR="0002451F" w:rsidRDefault="0002451F" w:rsidP="0002451F">
            <w:pPr>
              <w:pStyle w:val="TSBullet1Square"/>
              <w:rPr>
                <w:rFonts w:asciiTheme="minorHAnsi" w:hAnsiTheme="minorHAnsi" w:cstheme="minorHAnsi"/>
              </w:rPr>
            </w:pPr>
            <w:r>
              <w:rPr>
                <w:rFonts w:asciiTheme="minorHAnsi" w:hAnsiTheme="minorHAnsi" w:cstheme="minorHAnsi"/>
              </w:rPr>
              <w:t>ONR publishes TSC report to ONR website and if needed revises the OCZ distances  – March 2021</w:t>
            </w:r>
          </w:p>
          <w:p w:rsidR="00D55B89" w:rsidRPr="00314635" w:rsidRDefault="00D55B89" w:rsidP="0002451F">
            <w:pPr>
              <w:pStyle w:val="TSBullet1Square"/>
              <w:rPr>
                <w:rFonts w:asciiTheme="minorHAnsi" w:hAnsiTheme="minorHAnsi" w:cstheme="minorHAnsi"/>
              </w:rPr>
            </w:pPr>
            <w:r>
              <w:rPr>
                <w:rFonts w:asciiTheme="minorHAnsi" w:hAnsiTheme="minorHAnsi" w:cstheme="minorHAnsi"/>
              </w:rPr>
              <w:lastRenderedPageBreak/>
              <w:t>Contract ends – 31 March 2021</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5264AF" w:rsidRDefault="00B8492A"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 xml:space="preserve">The </w:t>
            </w:r>
            <w:r w:rsidR="005264AF">
              <w:rPr>
                <w:rFonts w:asciiTheme="minorHAnsi" w:hAnsiTheme="minorHAnsi" w:cstheme="minorHAnsi"/>
              </w:rPr>
              <w:t xml:space="preserve">objective of this project is to </w:t>
            </w:r>
            <w:r>
              <w:rPr>
                <w:rFonts w:asciiTheme="minorHAnsi" w:hAnsiTheme="minorHAnsi" w:cstheme="minorHAnsi"/>
              </w:rPr>
              <w:t xml:space="preserve">undertake research </w:t>
            </w:r>
            <w:r w:rsidR="00D63B9E">
              <w:rPr>
                <w:rFonts w:asciiTheme="minorHAnsi" w:hAnsiTheme="minorHAnsi" w:cstheme="minorHAnsi"/>
              </w:rPr>
              <w:t>to</w:t>
            </w:r>
            <w:r w:rsidR="005264AF">
              <w:rPr>
                <w:rFonts w:asciiTheme="minorHAnsi" w:hAnsiTheme="minorHAnsi" w:cstheme="minorHAnsi"/>
              </w:rPr>
              <w:t xml:space="preserve"> provide evidence </w:t>
            </w:r>
            <w:r w:rsidR="00D63B9E">
              <w:rPr>
                <w:rFonts w:asciiTheme="minorHAnsi" w:hAnsiTheme="minorHAnsi" w:cstheme="minorHAnsi"/>
              </w:rPr>
              <w:t>that</w:t>
            </w:r>
            <w:r w:rsidR="005264AF">
              <w:rPr>
                <w:rFonts w:asciiTheme="minorHAnsi" w:hAnsiTheme="minorHAnsi" w:cstheme="minorHAnsi"/>
              </w:rPr>
              <w:t xml:space="preserve"> underpin</w:t>
            </w:r>
            <w:r w:rsidR="00D63B9E">
              <w:rPr>
                <w:rFonts w:asciiTheme="minorHAnsi" w:hAnsiTheme="minorHAnsi" w:cstheme="minorHAnsi"/>
              </w:rPr>
              <w:t>s the</w:t>
            </w:r>
            <w:r w:rsidR="005264AF">
              <w:rPr>
                <w:rFonts w:asciiTheme="minorHAnsi" w:hAnsiTheme="minorHAnsi" w:cstheme="minorHAnsi"/>
              </w:rPr>
              <w:t xml:space="preserve"> distances</w:t>
            </w:r>
            <w:r w:rsidR="00D63B9E">
              <w:rPr>
                <w:rFonts w:asciiTheme="minorHAnsi" w:hAnsiTheme="minorHAnsi" w:cstheme="minorHAnsi"/>
              </w:rPr>
              <w:t xml:space="preserve"> derived</w:t>
            </w:r>
            <w:r w:rsidR="005264AF">
              <w:rPr>
                <w:rFonts w:asciiTheme="minorHAnsi" w:hAnsiTheme="minorHAnsi" w:cstheme="minorHAnsi"/>
              </w:rPr>
              <w:t xml:space="preserve"> for</w:t>
            </w:r>
            <w:r w:rsidR="0002451F">
              <w:rPr>
                <w:rFonts w:asciiTheme="minorHAnsi" w:hAnsiTheme="minorHAnsi" w:cstheme="minorHAnsi"/>
              </w:rPr>
              <w:t xml:space="preserve"> the minimum</w:t>
            </w:r>
            <w:r w:rsidR="005264AF">
              <w:rPr>
                <w:rFonts w:asciiTheme="minorHAnsi" w:hAnsiTheme="minorHAnsi" w:cstheme="minorHAnsi"/>
              </w:rPr>
              <w:t xml:space="preserve"> OCZs </w:t>
            </w:r>
            <w:r w:rsidR="0002451F">
              <w:rPr>
                <w:rFonts w:asciiTheme="minorHAnsi" w:hAnsiTheme="minorHAnsi" w:cstheme="minorHAnsi"/>
              </w:rPr>
              <w:t>for</w:t>
            </w:r>
            <w:r w:rsidR="005264AF">
              <w:rPr>
                <w:rFonts w:asciiTheme="minorHAnsi" w:hAnsiTheme="minorHAnsi" w:cstheme="minorHAnsi"/>
              </w:rPr>
              <w:t xml:space="preserve"> GB </w:t>
            </w:r>
            <w:r w:rsidR="00722381">
              <w:rPr>
                <w:rFonts w:asciiTheme="minorHAnsi" w:hAnsiTheme="minorHAnsi" w:cstheme="minorHAnsi"/>
              </w:rPr>
              <w:t>n</w:t>
            </w:r>
            <w:r w:rsidR="005264AF">
              <w:rPr>
                <w:rFonts w:asciiTheme="minorHAnsi" w:hAnsiTheme="minorHAnsi" w:cstheme="minorHAnsi"/>
              </w:rPr>
              <w:t xml:space="preserve">uclear </w:t>
            </w:r>
            <w:r w:rsidR="00722381">
              <w:rPr>
                <w:rFonts w:asciiTheme="minorHAnsi" w:hAnsiTheme="minorHAnsi" w:cstheme="minorHAnsi"/>
              </w:rPr>
              <w:t>s</w:t>
            </w:r>
            <w:r w:rsidR="005264AF">
              <w:rPr>
                <w:rFonts w:asciiTheme="minorHAnsi" w:hAnsiTheme="minorHAnsi" w:cstheme="minorHAnsi"/>
              </w:rPr>
              <w:t>ites</w:t>
            </w:r>
            <w:r w:rsidR="006B6121">
              <w:rPr>
                <w:rFonts w:asciiTheme="minorHAnsi" w:hAnsiTheme="minorHAnsi" w:cstheme="minorHAnsi"/>
              </w:rPr>
              <w:t xml:space="preserve"> from an external hazards perspective</w:t>
            </w:r>
            <w:r w:rsidR="005264AF">
              <w:rPr>
                <w:rFonts w:asciiTheme="minorHAnsi" w:hAnsiTheme="minorHAnsi" w:cstheme="minorHAnsi"/>
              </w:rPr>
              <w:t xml:space="preserve">. </w:t>
            </w:r>
          </w:p>
          <w:p w:rsidR="00AF4C0F" w:rsidRPr="00314635" w:rsidRDefault="005264AF" w:rsidP="00314635">
            <w:pPr>
              <w:pStyle w:val="TSNumberedParagraph11"/>
              <w:tabs>
                <w:tab w:val="clear" w:pos="-31680"/>
                <w:tab w:val="left" w:pos="0"/>
              </w:tabs>
              <w:ind w:left="0" w:firstLine="0"/>
              <w:rPr>
                <w:rFonts w:asciiTheme="minorHAnsi" w:hAnsiTheme="minorHAnsi" w:cstheme="minorHAnsi"/>
              </w:rPr>
            </w:pPr>
            <w:r>
              <w:rPr>
                <w:rFonts w:asciiTheme="minorHAnsi" w:hAnsiTheme="minorHAnsi" w:cstheme="minorHAnsi"/>
              </w:rPr>
              <w:t xml:space="preserve">This research project </w:t>
            </w:r>
            <w:r w:rsidR="00B8492A">
              <w:rPr>
                <w:rFonts w:asciiTheme="minorHAnsi" w:hAnsiTheme="minorHAnsi" w:cstheme="minorHAnsi"/>
              </w:rPr>
              <w:t>support</w:t>
            </w:r>
            <w:r>
              <w:rPr>
                <w:rFonts w:asciiTheme="minorHAnsi" w:hAnsiTheme="minorHAnsi" w:cstheme="minorHAnsi"/>
              </w:rPr>
              <w:t>s the</w:t>
            </w:r>
            <w:r w:rsidR="00B8492A">
              <w:rPr>
                <w:rFonts w:asciiTheme="minorHAnsi" w:hAnsiTheme="minorHAnsi" w:cstheme="minorHAnsi"/>
              </w:rPr>
              <w:t xml:space="preserve"> ONR’s non-statutory consultee role for development control around nuclear sites. </w:t>
            </w:r>
          </w:p>
        </w:tc>
      </w:tr>
      <w:tr w:rsidR="00AF4C0F" w:rsidRPr="002C62C2" w:rsidTr="00971BA8">
        <w:trPr>
          <w:jc w:val="center"/>
        </w:trPr>
        <w:tc>
          <w:tcPr>
            <w:tcW w:w="9709" w:type="dxa"/>
          </w:tcPr>
          <w:p w:rsidR="00AF4C0F" w:rsidRPr="002C62C2" w:rsidRDefault="00AF4C0F" w:rsidP="00D8427D">
            <w:pPr>
              <w:pStyle w:val="TSHeadingNumbered1"/>
              <w:tabs>
                <w:tab w:val="left" w:pos="0"/>
              </w:tabs>
              <w:ind w:left="0" w:firstLine="0"/>
            </w:pPr>
            <w:r w:rsidRPr="00D8427D">
              <w:rPr>
                <w:rFonts w:asciiTheme="minorHAnsi" w:hAnsiTheme="minorHAnsi" w:cstheme="minorHAnsi"/>
              </w:rPr>
              <w:t>CONSTRAINTS</w:t>
            </w:r>
            <w:r w:rsidRPr="002C62C2">
              <w:t xml:space="preserve"> </w:t>
            </w:r>
          </w:p>
          <w:p w:rsidR="00D63B9E" w:rsidRDefault="00D8427D" w:rsidP="009C4F49">
            <w:pPr>
              <w:pStyle w:val="TSNumberedParagraph11"/>
              <w:tabs>
                <w:tab w:val="left" w:pos="0"/>
              </w:tabs>
              <w:ind w:left="0" w:firstLine="0"/>
              <w:rPr>
                <w:rFonts w:asciiTheme="minorHAnsi" w:hAnsiTheme="minorHAnsi"/>
              </w:rPr>
            </w:pPr>
            <w:r w:rsidRPr="009C4F49">
              <w:rPr>
                <w:rFonts w:asciiTheme="minorHAnsi" w:hAnsiTheme="minorHAnsi"/>
              </w:rPr>
              <w:t xml:space="preserve">This research project will be </w:t>
            </w:r>
            <w:r w:rsidR="005264AF">
              <w:rPr>
                <w:rFonts w:asciiTheme="minorHAnsi" w:hAnsiTheme="minorHAnsi"/>
              </w:rPr>
              <w:t>tendered</w:t>
            </w:r>
            <w:r w:rsidRPr="009C4F49">
              <w:rPr>
                <w:rFonts w:asciiTheme="minorHAnsi" w:hAnsiTheme="minorHAnsi"/>
              </w:rPr>
              <w:t xml:space="preserve"> through </w:t>
            </w:r>
            <w:r w:rsidR="005264AF">
              <w:rPr>
                <w:rFonts w:asciiTheme="minorHAnsi" w:hAnsiTheme="minorHAnsi"/>
              </w:rPr>
              <w:t xml:space="preserve">the </w:t>
            </w:r>
            <w:r w:rsidRPr="009C4F49">
              <w:rPr>
                <w:rFonts w:asciiTheme="minorHAnsi" w:hAnsiTheme="minorHAnsi"/>
              </w:rPr>
              <w:t xml:space="preserve">ONR’s Lot 2 </w:t>
            </w:r>
            <w:r w:rsidRPr="009C4F49">
              <w:rPr>
                <w:rFonts w:asciiTheme="minorHAnsi" w:hAnsiTheme="minorHAnsi" w:cstheme="minorHAnsi"/>
              </w:rPr>
              <w:t>Technical</w:t>
            </w:r>
            <w:r w:rsidRPr="009C4F49">
              <w:rPr>
                <w:rFonts w:asciiTheme="minorHAnsi" w:hAnsiTheme="minorHAnsi"/>
              </w:rPr>
              <w:t xml:space="preserve"> Support Framework. </w:t>
            </w:r>
            <w:r w:rsidR="005264AF">
              <w:rPr>
                <w:rFonts w:asciiTheme="minorHAnsi" w:hAnsiTheme="minorHAnsi"/>
              </w:rPr>
              <w:t xml:space="preserve">Lot 2 TSCs are </w:t>
            </w:r>
            <w:r w:rsidR="009C4F49" w:rsidRPr="009C4F49">
              <w:rPr>
                <w:rFonts w:asciiTheme="minorHAnsi" w:hAnsiTheme="minorHAnsi"/>
              </w:rPr>
              <w:t xml:space="preserve">invited to submit a </w:t>
            </w:r>
            <w:r w:rsidR="00EB69FB" w:rsidRPr="00314635">
              <w:rPr>
                <w:rFonts w:asciiTheme="minorHAnsi" w:hAnsiTheme="minorHAnsi"/>
              </w:rPr>
              <w:t xml:space="preserve">proposal </w:t>
            </w:r>
            <w:r w:rsidR="00D63B9E" w:rsidRPr="00314635">
              <w:rPr>
                <w:rFonts w:asciiTheme="minorHAnsi" w:hAnsiTheme="minorHAnsi"/>
              </w:rPr>
              <w:t>to undertake this work</w:t>
            </w:r>
            <w:r w:rsidR="009C4F49" w:rsidRPr="00314635">
              <w:rPr>
                <w:rFonts w:asciiTheme="minorHAnsi" w:hAnsiTheme="minorHAnsi"/>
              </w:rPr>
              <w:t xml:space="preserve">. </w:t>
            </w:r>
          </w:p>
          <w:p w:rsidR="00D232DB" w:rsidRDefault="00D232DB" w:rsidP="009C4F49">
            <w:pPr>
              <w:pStyle w:val="TSNumberedParagraph11"/>
              <w:tabs>
                <w:tab w:val="left" w:pos="0"/>
              </w:tabs>
              <w:ind w:left="0" w:firstLine="0"/>
              <w:rPr>
                <w:rFonts w:asciiTheme="minorHAnsi" w:hAnsiTheme="minorHAnsi"/>
              </w:rPr>
            </w:pPr>
            <w:r>
              <w:rPr>
                <w:rFonts w:asciiTheme="minorHAnsi" w:hAnsiTheme="minorHAnsi" w:cstheme="minorHAnsi"/>
              </w:rPr>
              <w:t>T</w:t>
            </w:r>
            <w:r w:rsidRPr="007D64D0">
              <w:rPr>
                <w:rFonts w:asciiTheme="minorHAnsi" w:hAnsiTheme="minorHAnsi" w:cstheme="minorHAnsi"/>
              </w:rPr>
              <w:t xml:space="preserve">he work will be conducted under the terms and conditions of the existing ONR </w:t>
            </w:r>
            <w:r>
              <w:rPr>
                <w:rFonts w:asciiTheme="minorHAnsi" w:hAnsiTheme="minorHAnsi" w:cstheme="minorHAnsi"/>
              </w:rPr>
              <w:t>Technical Support</w:t>
            </w:r>
            <w:r w:rsidRPr="007D64D0">
              <w:rPr>
                <w:rFonts w:asciiTheme="minorHAnsi" w:hAnsiTheme="minorHAnsi" w:cstheme="minorHAnsi"/>
              </w:rPr>
              <w:t xml:space="preserve"> Framework Agreement</w:t>
            </w:r>
            <w:r>
              <w:rPr>
                <w:rFonts w:asciiTheme="minorHAnsi" w:hAnsiTheme="minorHAnsi" w:cstheme="minorHAnsi"/>
              </w:rPr>
              <w:t>.</w:t>
            </w:r>
          </w:p>
          <w:p w:rsidR="00D8427D" w:rsidRDefault="00D232DB" w:rsidP="009C4F49">
            <w:pPr>
              <w:pStyle w:val="TSNumberedParagraph11"/>
              <w:tabs>
                <w:tab w:val="left" w:pos="0"/>
              </w:tabs>
              <w:ind w:left="0" w:firstLine="0"/>
              <w:rPr>
                <w:rFonts w:asciiTheme="minorHAnsi" w:hAnsiTheme="minorHAnsi"/>
              </w:rPr>
            </w:pPr>
            <w:r w:rsidRPr="00314635">
              <w:rPr>
                <w:rFonts w:asciiTheme="minorHAnsi" w:hAnsiTheme="minorHAnsi"/>
              </w:rPr>
              <w:t>This</w:t>
            </w:r>
            <w:r>
              <w:rPr>
                <w:rFonts w:asciiTheme="minorHAnsi" w:hAnsiTheme="minorHAnsi"/>
              </w:rPr>
              <w:t xml:space="preserve"> proposal should reflect the scope of the research project described herein. </w:t>
            </w:r>
            <w:r w:rsidR="00EB69FB">
              <w:rPr>
                <w:rFonts w:asciiTheme="minorHAnsi" w:hAnsiTheme="minorHAnsi"/>
              </w:rPr>
              <w:t xml:space="preserve">The project is expected to </w:t>
            </w:r>
            <w:r w:rsidR="00D63B9E">
              <w:rPr>
                <w:rFonts w:asciiTheme="minorHAnsi" w:hAnsiTheme="minorHAnsi"/>
              </w:rPr>
              <w:t xml:space="preserve">commence August 2020 and be </w:t>
            </w:r>
            <w:r w:rsidR="00EB69FB">
              <w:rPr>
                <w:rFonts w:asciiTheme="minorHAnsi" w:hAnsiTheme="minorHAnsi"/>
              </w:rPr>
              <w:t>complete</w:t>
            </w:r>
            <w:r w:rsidR="00D63B9E">
              <w:rPr>
                <w:rFonts w:asciiTheme="minorHAnsi" w:hAnsiTheme="minorHAnsi"/>
              </w:rPr>
              <w:t>d</w:t>
            </w:r>
            <w:r w:rsidR="00EB69FB">
              <w:rPr>
                <w:rFonts w:asciiTheme="minorHAnsi" w:hAnsiTheme="minorHAnsi"/>
              </w:rPr>
              <w:t xml:space="preserve"> by 29 January 2021. A budget of up to £75,000 has been approved for this research project. Potential suppliers should submit a bid that aligns with</w:t>
            </w:r>
            <w:r w:rsidR="00A44C97">
              <w:rPr>
                <w:rFonts w:asciiTheme="minorHAnsi" w:hAnsiTheme="minorHAnsi"/>
              </w:rPr>
              <w:t>in</w:t>
            </w:r>
            <w:r w:rsidR="00EB69FB">
              <w:rPr>
                <w:rFonts w:asciiTheme="minorHAnsi" w:hAnsiTheme="minorHAnsi"/>
              </w:rPr>
              <w:t xml:space="preserve"> the approved budget for this research project.</w:t>
            </w:r>
          </w:p>
          <w:p w:rsidR="009C4F49" w:rsidRDefault="009C4F49" w:rsidP="009C4F49">
            <w:pPr>
              <w:pStyle w:val="TSNumberedParagraph11"/>
              <w:tabs>
                <w:tab w:val="left" w:pos="0"/>
              </w:tabs>
              <w:ind w:left="0" w:firstLine="0"/>
              <w:rPr>
                <w:rFonts w:asciiTheme="minorHAnsi" w:hAnsiTheme="minorHAnsi"/>
              </w:rPr>
            </w:pPr>
            <w:r>
              <w:rPr>
                <w:rFonts w:asciiTheme="minorHAnsi" w:hAnsiTheme="minorHAnsi"/>
              </w:rPr>
              <w:t xml:space="preserve">In their proposal, potential suppliers should declare any conflicts of interest that may affect their suitability for this project. </w:t>
            </w:r>
          </w:p>
          <w:p w:rsidR="00AF4C0F" w:rsidRPr="00314635" w:rsidRDefault="009C4F49" w:rsidP="002E133F">
            <w:pPr>
              <w:pStyle w:val="TSNumberedParagraph11"/>
              <w:tabs>
                <w:tab w:val="left" w:pos="0"/>
              </w:tabs>
              <w:ind w:left="0" w:firstLine="0"/>
              <w:rPr>
                <w:rFonts w:asciiTheme="minorHAnsi" w:hAnsiTheme="minorHAnsi" w:cstheme="minorHAnsi"/>
                <w:iCs/>
                <w:sz w:val="20"/>
                <w:szCs w:val="20"/>
              </w:rPr>
            </w:pPr>
            <w:r>
              <w:rPr>
                <w:rFonts w:asciiTheme="minorHAnsi" w:hAnsiTheme="minorHAnsi"/>
              </w:rPr>
              <w:t>This project needs to be delivered by</w:t>
            </w:r>
            <w:r w:rsidR="00EB69FB">
              <w:rPr>
                <w:rFonts w:asciiTheme="minorHAnsi" w:hAnsiTheme="minorHAnsi"/>
              </w:rPr>
              <w:t xml:space="preserve"> </w:t>
            </w:r>
            <w:r w:rsidR="00D97F14">
              <w:rPr>
                <w:rFonts w:asciiTheme="minorHAnsi" w:hAnsiTheme="minorHAnsi"/>
              </w:rPr>
              <w:t xml:space="preserve">individuals with experience of working in land-use planning and the nuclear industry. Potential suppliers should include details of the relevant skills and experience of the individuals who will be delivering these research projects. </w:t>
            </w:r>
          </w:p>
          <w:p w:rsidR="005264AF" w:rsidRPr="00314635" w:rsidRDefault="005264AF" w:rsidP="00314635">
            <w:pPr>
              <w:pStyle w:val="TSNumberedParagraph11"/>
              <w:tabs>
                <w:tab w:val="left" w:pos="0"/>
              </w:tabs>
              <w:ind w:left="0" w:firstLine="0"/>
              <w:rPr>
                <w:rFonts w:asciiTheme="minorHAnsi" w:hAnsiTheme="minorHAnsi"/>
              </w:rPr>
            </w:pPr>
            <w:r w:rsidRPr="00314635">
              <w:rPr>
                <w:rFonts w:asciiTheme="minorHAnsi" w:hAnsiTheme="minorHAnsi"/>
              </w:rPr>
              <w:t xml:space="preserve">It is expected that the successful </w:t>
            </w:r>
            <w:r w:rsidR="00EB69FB">
              <w:rPr>
                <w:rFonts w:asciiTheme="minorHAnsi" w:hAnsiTheme="minorHAnsi"/>
              </w:rPr>
              <w:t>TSC</w:t>
            </w:r>
            <w:r w:rsidRPr="00314635">
              <w:rPr>
                <w:rFonts w:asciiTheme="minorHAnsi" w:hAnsiTheme="minorHAnsi"/>
              </w:rPr>
              <w:t xml:space="preserve"> will also draw upon their experience, resources and publicly available information to perform this work. </w:t>
            </w:r>
          </w:p>
          <w:p w:rsidR="005264AF" w:rsidRPr="00314635" w:rsidRDefault="005264AF" w:rsidP="00314635">
            <w:pPr>
              <w:pStyle w:val="TSNumberedParagraph11"/>
              <w:tabs>
                <w:tab w:val="left" w:pos="0"/>
              </w:tabs>
              <w:ind w:left="0" w:firstLine="0"/>
              <w:rPr>
                <w:rFonts w:asciiTheme="minorHAnsi" w:hAnsiTheme="minorHAnsi"/>
              </w:rPr>
            </w:pPr>
            <w:r w:rsidRPr="00314635">
              <w:rPr>
                <w:rFonts w:asciiTheme="minorHAnsi" w:hAnsiTheme="minorHAnsi"/>
              </w:rPr>
              <w:t xml:space="preserve">The transmittal of </w:t>
            </w:r>
            <w:r w:rsidR="00EB69FB">
              <w:rPr>
                <w:rFonts w:asciiTheme="minorHAnsi" w:hAnsiTheme="minorHAnsi"/>
              </w:rPr>
              <w:t>any</w:t>
            </w:r>
            <w:r w:rsidRPr="00314635">
              <w:rPr>
                <w:rFonts w:asciiTheme="minorHAnsi" w:hAnsiTheme="minorHAnsi"/>
              </w:rPr>
              <w:t xml:space="preserve"> document</w:t>
            </w:r>
            <w:r w:rsidR="00EB69FB">
              <w:rPr>
                <w:rFonts w:asciiTheme="minorHAnsi" w:hAnsiTheme="minorHAnsi"/>
              </w:rPr>
              <w:t>ation</w:t>
            </w:r>
            <w:r w:rsidRPr="00314635">
              <w:rPr>
                <w:rFonts w:asciiTheme="minorHAnsi" w:hAnsiTheme="minorHAnsi"/>
              </w:rPr>
              <w:t xml:space="preserve"> between ONR and the </w:t>
            </w:r>
            <w:r w:rsidR="00EB69FB">
              <w:rPr>
                <w:rFonts w:asciiTheme="minorHAnsi" w:hAnsiTheme="minorHAnsi"/>
              </w:rPr>
              <w:t>successful TSC</w:t>
            </w:r>
            <w:r w:rsidRPr="00314635">
              <w:rPr>
                <w:rFonts w:asciiTheme="minorHAnsi" w:hAnsiTheme="minorHAnsi"/>
              </w:rPr>
              <w:t xml:space="preserve"> will be through ONR's </w:t>
            </w:r>
            <w:r w:rsidR="00EB69FB" w:rsidRPr="00FD2ED7">
              <w:rPr>
                <w:rFonts w:asciiTheme="minorHAnsi" w:hAnsiTheme="minorHAnsi"/>
              </w:rPr>
              <w:t>Research Function</w:t>
            </w:r>
            <w:r w:rsidRPr="00314635">
              <w:rPr>
                <w:rFonts w:asciiTheme="minorHAnsi" w:hAnsiTheme="minorHAnsi"/>
              </w:rPr>
              <w:t xml:space="preserve">. This will use the egress system, regardless of the security marking (unless the documents are publicly available on the internet). </w:t>
            </w:r>
          </w:p>
          <w:p w:rsidR="005264AF" w:rsidRPr="00314635" w:rsidRDefault="005264AF" w:rsidP="00314635">
            <w:pPr>
              <w:pStyle w:val="TSNumberedParagraph11"/>
              <w:tabs>
                <w:tab w:val="left" w:pos="0"/>
              </w:tabs>
              <w:ind w:left="0" w:firstLine="0"/>
              <w:rPr>
                <w:rFonts w:asciiTheme="minorHAnsi" w:hAnsiTheme="minorHAnsi"/>
              </w:rPr>
            </w:pPr>
            <w:r w:rsidRPr="00314635">
              <w:rPr>
                <w:rFonts w:asciiTheme="minorHAnsi" w:hAnsiTheme="minorHAnsi"/>
              </w:rPr>
              <w:t xml:space="preserve">The </w:t>
            </w:r>
            <w:r w:rsidR="00EB69FB">
              <w:rPr>
                <w:rFonts w:asciiTheme="minorHAnsi" w:hAnsiTheme="minorHAnsi"/>
              </w:rPr>
              <w:t>TSC</w:t>
            </w:r>
            <w:r w:rsidRPr="00314635">
              <w:rPr>
                <w:rFonts w:asciiTheme="minorHAnsi" w:hAnsiTheme="minorHAnsi"/>
              </w:rPr>
              <w:t xml:space="preserve"> shall not utilise any additional third party support not named in the bid documentation without ONR’s prior</w:t>
            </w:r>
            <w:r w:rsidR="00EB69FB">
              <w:rPr>
                <w:rFonts w:asciiTheme="minorHAnsi" w:hAnsiTheme="minorHAnsi"/>
              </w:rPr>
              <w:t>,</w:t>
            </w:r>
            <w:r w:rsidRPr="00314635">
              <w:rPr>
                <w:rFonts w:asciiTheme="minorHAnsi" w:hAnsiTheme="minorHAnsi"/>
              </w:rPr>
              <w:t xml:space="preserve"> written consent.</w:t>
            </w:r>
          </w:p>
          <w:p w:rsidR="005264AF" w:rsidRPr="00314635" w:rsidRDefault="005264AF" w:rsidP="00314635">
            <w:pPr>
              <w:pStyle w:val="TSNumberedParagraph11"/>
              <w:tabs>
                <w:tab w:val="left" w:pos="0"/>
              </w:tabs>
              <w:ind w:left="0" w:firstLine="0"/>
              <w:rPr>
                <w:rFonts w:asciiTheme="minorHAnsi" w:hAnsiTheme="minorHAnsi"/>
              </w:rPr>
            </w:pPr>
            <w:r w:rsidRPr="00314635">
              <w:rPr>
                <w:rFonts w:asciiTheme="minorHAnsi" w:hAnsiTheme="minorHAnsi"/>
              </w:rPr>
              <w:t xml:space="preserve">The </w:t>
            </w:r>
            <w:r w:rsidR="00EB69FB">
              <w:rPr>
                <w:rFonts w:asciiTheme="minorHAnsi" w:hAnsiTheme="minorHAnsi"/>
              </w:rPr>
              <w:t>TSC</w:t>
            </w:r>
            <w:r w:rsidRPr="00314635">
              <w:rPr>
                <w:rFonts w:asciiTheme="minorHAnsi" w:hAnsiTheme="minorHAnsi"/>
              </w:rPr>
              <w:t xml:space="preserve"> shall ensure they have the relevant permissions for all codes, standards, technology, software and/or information required to deliver the scope of work. </w:t>
            </w:r>
          </w:p>
          <w:p w:rsidR="005264AF" w:rsidRPr="002C62C2" w:rsidRDefault="005264AF" w:rsidP="00314635">
            <w:pPr>
              <w:pStyle w:val="TSNumberedParagraph11"/>
              <w:tabs>
                <w:tab w:val="left" w:pos="0"/>
              </w:tabs>
              <w:ind w:left="0" w:firstLine="0"/>
              <w:rPr>
                <w:rFonts w:asciiTheme="minorHAnsi" w:hAnsiTheme="minorHAnsi" w:cstheme="minorHAnsi"/>
                <w:iCs/>
                <w:sz w:val="20"/>
                <w:szCs w:val="20"/>
              </w:rPr>
            </w:pPr>
            <w:r w:rsidRPr="00314635">
              <w:rPr>
                <w:rFonts w:asciiTheme="minorHAnsi" w:hAnsiTheme="minorHAnsi"/>
              </w:rPr>
              <w:t xml:space="preserve">The contractor should identify </w:t>
            </w:r>
            <w:r w:rsidR="00EB69FB">
              <w:rPr>
                <w:rFonts w:asciiTheme="minorHAnsi" w:hAnsiTheme="minorHAnsi"/>
              </w:rPr>
              <w:t xml:space="preserve">in their proposal </w:t>
            </w:r>
            <w:r w:rsidRPr="00314635">
              <w:rPr>
                <w:rFonts w:asciiTheme="minorHAnsi" w:hAnsiTheme="minorHAnsi"/>
              </w:rPr>
              <w:t>any constraints that may impact delivery of the intended scope of work.</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EB69FB" w:rsidRDefault="00EB69FB" w:rsidP="00314635">
            <w:pPr>
              <w:pStyle w:val="TSNumberedParagraph11"/>
              <w:tabs>
                <w:tab w:val="left" w:pos="0"/>
              </w:tabs>
              <w:ind w:left="0" w:firstLine="0"/>
              <w:rPr>
                <w:rFonts w:asciiTheme="minorHAnsi" w:hAnsiTheme="minorHAnsi"/>
              </w:rPr>
            </w:pPr>
            <w:r w:rsidRPr="00EB69FB">
              <w:rPr>
                <w:rFonts w:asciiTheme="minorHAnsi" w:hAnsiTheme="minorHAnsi"/>
              </w:rPr>
              <w:t xml:space="preserve">On award of the contract a project kick-off meeting will take place with the successful TSC within 10 days. </w:t>
            </w:r>
          </w:p>
          <w:p w:rsidR="00EB69FB" w:rsidRPr="00EB69FB" w:rsidRDefault="00D63B9E" w:rsidP="00314635">
            <w:pPr>
              <w:pStyle w:val="TSNumberedParagraph11"/>
              <w:tabs>
                <w:tab w:val="left" w:pos="0"/>
              </w:tabs>
              <w:ind w:left="0" w:firstLine="0"/>
              <w:rPr>
                <w:rFonts w:asciiTheme="minorHAnsi" w:hAnsiTheme="minorHAnsi"/>
              </w:rPr>
            </w:pPr>
            <w:r>
              <w:rPr>
                <w:rFonts w:asciiTheme="minorHAnsi" w:hAnsiTheme="minorHAnsi"/>
              </w:rPr>
              <w:t>T</w:t>
            </w:r>
            <w:r w:rsidR="00EB69FB" w:rsidRPr="00EB69FB">
              <w:rPr>
                <w:rFonts w:asciiTheme="minorHAnsi" w:hAnsiTheme="minorHAnsi"/>
              </w:rPr>
              <w:t xml:space="preserve">he TSC </w:t>
            </w:r>
            <w:r>
              <w:rPr>
                <w:rFonts w:asciiTheme="minorHAnsi" w:hAnsiTheme="minorHAnsi"/>
              </w:rPr>
              <w:t xml:space="preserve">on accepting the contract </w:t>
            </w:r>
            <w:r w:rsidR="00EB69FB" w:rsidRPr="00EB69FB">
              <w:rPr>
                <w:rFonts w:asciiTheme="minorHAnsi" w:hAnsiTheme="minorHAnsi"/>
              </w:rPr>
              <w:t xml:space="preserve">will be expected to deliver the defined scope as set out in the </w:t>
            </w:r>
            <w:r w:rsidR="00EB69FB">
              <w:rPr>
                <w:rFonts w:asciiTheme="minorHAnsi" w:hAnsiTheme="minorHAnsi"/>
              </w:rPr>
              <w:t>proposal</w:t>
            </w:r>
            <w:r w:rsidR="00EB69FB" w:rsidRPr="00EB69FB">
              <w:rPr>
                <w:rFonts w:asciiTheme="minorHAnsi" w:hAnsiTheme="minorHAnsi"/>
              </w:rPr>
              <w:t xml:space="preserve"> to </w:t>
            </w:r>
            <w:r w:rsidR="00EB69FB">
              <w:rPr>
                <w:rFonts w:asciiTheme="minorHAnsi" w:hAnsiTheme="minorHAnsi"/>
              </w:rPr>
              <w:t xml:space="preserve">the agreed programme and </w:t>
            </w:r>
            <w:r w:rsidR="00EB69FB" w:rsidRPr="00EB69FB">
              <w:rPr>
                <w:rFonts w:asciiTheme="minorHAnsi" w:hAnsiTheme="minorHAnsi"/>
              </w:rPr>
              <w:t>cost</w:t>
            </w:r>
            <w:r w:rsidR="00EB69FB">
              <w:rPr>
                <w:rFonts w:asciiTheme="minorHAnsi" w:hAnsiTheme="minorHAnsi"/>
              </w:rPr>
              <w:t>.</w:t>
            </w:r>
            <w:r w:rsidR="00314635">
              <w:rPr>
                <w:rFonts w:asciiTheme="minorHAnsi" w:hAnsiTheme="minorHAnsi"/>
              </w:rPr>
              <w:t xml:space="preserve"> </w:t>
            </w:r>
          </w:p>
          <w:p w:rsidR="00AF4C0F" w:rsidRPr="00EB69FB" w:rsidRDefault="00EB69FB" w:rsidP="00314635">
            <w:pPr>
              <w:pStyle w:val="TSNumberedParagraph11"/>
              <w:tabs>
                <w:tab w:val="left" w:pos="0"/>
              </w:tabs>
              <w:ind w:left="0" w:firstLine="0"/>
              <w:rPr>
                <w:rFonts w:asciiTheme="minorHAnsi" w:hAnsiTheme="minorHAnsi"/>
              </w:rPr>
            </w:pPr>
            <w:r>
              <w:rPr>
                <w:rFonts w:asciiTheme="minorHAnsi" w:hAnsiTheme="minorHAnsi"/>
              </w:rPr>
              <w:lastRenderedPageBreak/>
              <w:t>The TSC will provide the ONR with an</w:t>
            </w:r>
            <w:r w:rsidR="00AF4C0F" w:rsidRPr="00EB69FB">
              <w:rPr>
                <w:rFonts w:asciiTheme="minorHAnsi" w:hAnsiTheme="minorHAnsi"/>
              </w:rPr>
              <w:t xml:space="preserve"> update </w:t>
            </w:r>
            <w:r>
              <w:rPr>
                <w:rFonts w:asciiTheme="minorHAnsi" w:hAnsiTheme="minorHAnsi"/>
              </w:rPr>
              <w:t xml:space="preserve">on </w:t>
            </w:r>
            <w:r w:rsidR="00AF4C0F" w:rsidRPr="00EB69FB">
              <w:rPr>
                <w:rFonts w:asciiTheme="minorHAnsi" w:hAnsiTheme="minorHAnsi"/>
              </w:rPr>
              <w:t>progress and delivery of the required work via monthly meetings</w:t>
            </w:r>
            <w:r>
              <w:rPr>
                <w:rFonts w:asciiTheme="minorHAnsi" w:hAnsiTheme="minorHAnsi"/>
              </w:rPr>
              <w:t xml:space="preserve"> using</w:t>
            </w:r>
            <w:r w:rsidR="005D0052" w:rsidRPr="00EB69FB">
              <w:rPr>
                <w:rFonts w:asciiTheme="minorHAnsi" w:hAnsiTheme="minorHAnsi"/>
              </w:rPr>
              <w:t xml:space="preserve"> teleconference/</w:t>
            </w:r>
            <w:r>
              <w:rPr>
                <w:rFonts w:asciiTheme="minorHAnsi" w:hAnsiTheme="minorHAnsi"/>
              </w:rPr>
              <w:t>Skype</w:t>
            </w:r>
            <w:r w:rsidR="00AF4C0F" w:rsidRPr="00EB69FB">
              <w:rPr>
                <w:rFonts w:asciiTheme="minorHAnsi" w:hAnsiTheme="minorHAnsi"/>
              </w:rPr>
              <w:t>.</w:t>
            </w:r>
          </w:p>
          <w:p w:rsidR="00EB69FB" w:rsidRPr="0016113F" w:rsidRDefault="00EB69FB" w:rsidP="00314635">
            <w:pPr>
              <w:pStyle w:val="TSNumberedParagraph11"/>
              <w:tabs>
                <w:tab w:val="left" w:pos="0"/>
              </w:tabs>
              <w:ind w:left="0" w:firstLine="0"/>
              <w:rPr>
                <w:rFonts w:asciiTheme="minorHAnsi" w:hAnsiTheme="minorHAnsi" w:cstheme="minorHAnsi"/>
                <w:iCs/>
                <w:sz w:val="20"/>
                <w:szCs w:val="20"/>
              </w:rPr>
            </w:pPr>
            <w:r w:rsidRPr="00314635">
              <w:rPr>
                <w:rFonts w:asciiTheme="minorHAnsi" w:hAnsiTheme="minorHAnsi"/>
              </w:rPr>
              <w:t xml:space="preserve">As part of the </w:t>
            </w:r>
            <w:r w:rsidR="0016113F" w:rsidRPr="00314635">
              <w:rPr>
                <w:rFonts w:asciiTheme="minorHAnsi" w:hAnsiTheme="minorHAnsi"/>
              </w:rPr>
              <w:t>project,</w:t>
            </w:r>
            <w:r w:rsidRPr="00314635">
              <w:rPr>
                <w:rFonts w:asciiTheme="minorHAnsi" w:hAnsiTheme="minorHAnsi"/>
              </w:rPr>
              <w:t xml:space="preserve"> the TSC will be expected to routinely review the programme scope, deliverables, milestones, timeframes, project costs and indicative invoice forecast via monthly reporting.</w:t>
            </w:r>
          </w:p>
          <w:p w:rsidR="0016113F" w:rsidRPr="0016113F" w:rsidRDefault="0016113F" w:rsidP="0016113F">
            <w:pPr>
              <w:pStyle w:val="TSNumberedParagraph11"/>
              <w:tabs>
                <w:tab w:val="left" w:pos="0"/>
              </w:tabs>
              <w:ind w:left="0" w:firstLine="0"/>
              <w:rPr>
                <w:rFonts w:asciiTheme="minorHAnsi" w:hAnsiTheme="minorHAnsi"/>
              </w:rPr>
            </w:pPr>
            <w:r w:rsidRPr="0016113F">
              <w:rPr>
                <w:rFonts w:asciiTheme="minorHAnsi" w:hAnsiTheme="minorHAnsi"/>
              </w:rPr>
              <w:t>As this work comprises research, as defined on the ONR Research Register1, the provider will be required to complete a brief evaluation2 on completion (or annually for multi-year projects) to provide their view of the effectiveness of the work, clarity of the specification, ONR communications etc.  If necessary, the evaluation template can be requested from  </w:t>
            </w:r>
            <w:hyperlink r:id="rId9" w:history="1">
              <w:r w:rsidRPr="0016113F">
                <w:rPr>
                  <w:rFonts w:asciiTheme="minorHAnsi" w:hAnsiTheme="minorHAnsi"/>
                </w:rPr>
                <w:t>ONR.Research@ONR.Gov.uk</w:t>
              </w:r>
            </w:hyperlink>
            <w:r w:rsidRPr="0016113F">
              <w:rPr>
                <w:rFonts w:asciiTheme="minorHAnsi" w:hAnsiTheme="minorHAnsi"/>
              </w:rPr>
              <w:t xml:space="preserve"> </w:t>
            </w:r>
          </w:p>
          <w:p w:rsidR="0016113F" w:rsidRDefault="0016113F" w:rsidP="0016113F">
            <w:pPr>
              <w:pStyle w:val="TSNumberedParagraph11"/>
              <w:numPr>
                <w:ilvl w:val="0"/>
                <w:numId w:val="0"/>
              </w:numPr>
              <w:spacing w:after="0"/>
              <w:jc w:val="both"/>
              <w:rPr>
                <w:rFonts w:ascii="Calibri" w:hAnsi="Calibri" w:cs="Calibri"/>
              </w:rPr>
            </w:pPr>
          </w:p>
          <w:p w:rsidR="0016113F" w:rsidRDefault="00A84A06" w:rsidP="0016113F">
            <w:pPr>
              <w:pStyle w:val="ListParagraph"/>
              <w:numPr>
                <w:ilvl w:val="0"/>
                <w:numId w:val="47"/>
              </w:numPr>
              <w:rPr>
                <w:rFonts w:cs="Arial"/>
                <w:i/>
                <w:iCs/>
                <w:sz w:val="16"/>
                <w:szCs w:val="16"/>
              </w:rPr>
            </w:pPr>
            <w:hyperlink r:id="rId10" w:history="1">
              <w:r w:rsidR="0016113F">
                <w:rPr>
                  <w:rStyle w:val="Hyperlink"/>
                  <w:i/>
                  <w:iCs/>
                  <w:sz w:val="16"/>
                  <w:szCs w:val="16"/>
                </w:rPr>
                <w:t>http://www.onr.org.uk/research/regulatory-research-register.htm</w:t>
              </w:r>
            </w:hyperlink>
          </w:p>
          <w:p w:rsidR="0016113F" w:rsidRDefault="0016113F" w:rsidP="0016113F">
            <w:pPr>
              <w:pStyle w:val="ListParagraph"/>
              <w:numPr>
                <w:ilvl w:val="0"/>
                <w:numId w:val="47"/>
              </w:numPr>
              <w:rPr>
                <w:rFonts w:ascii="Calibri" w:hAnsi="Calibri" w:cs="Calibri"/>
                <w:i/>
                <w:iCs/>
                <w:color w:val="1F497D"/>
                <w:sz w:val="16"/>
                <w:szCs w:val="16"/>
              </w:rPr>
            </w:pPr>
            <w:r>
              <w:rPr>
                <w:rFonts w:ascii="Calibri" w:hAnsi="Calibri" w:cs="Calibri"/>
                <w:i/>
                <w:iCs/>
                <w:color w:val="1F497D"/>
                <w:sz w:val="16"/>
                <w:szCs w:val="16"/>
              </w:rPr>
              <w:t>APPENDIX 4 TO ONR-RES-GD-001</w:t>
            </w:r>
          </w:p>
          <w:p w:rsidR="0016113F" w:rsidRDefault="0016113F" w:rsidP="0016113F">
            <w:pPr>
              <w:pStyle w:val="ListParagraph"/>
              <w:rPr>
                <w:rFonts w:ascii="Calibri" w:hAnsi="Calibri" w:cs="Calibri"/>
                <w:i/>
                <w:iCs/>
                <w:color w:val="1F497D"/>
                <w:sz w:val="16"/>
                <w:szCs w:val="16"/>
              </w:rPr>
            </w:pPr>
          </w:p>
          <w:p w:rsidR="0016113F" w:rsidRDefault="0016113F" w:rsidP="0016113F">
            <w:pPr>
              <w:pStyle w:val="TSNumberedParagraph11"/>
              <w:numPr>
                <w:ilvl w:val="0"/>
                <w:numId w:val="0"/>
              </w:numPr>
              <w:spacing w:after="0"/>
              <w:jc w:val="both"/>
              <w:rPr>
                <w:rFonts w:ascii="Calibri" w:hAnsi="Calibri" w:cs="Calibri"/>
                <w:szCs w:val="22"/>
              </w:rPr>
            </w:pPr>
            <w:r>
              <w:rPr>
                <w:rFonts w:ascii="Calibri" w:hAnsi="Calibri" w:cs="Calibri"/>
                <w:noProof/>
                <w:lang w:eastAsia="en-GB"/>
              </w:rPr>
              <w:drawing>
                <wp:inline distT="0" distB="0" distL="0" distR="0">
                  <wp:extent cx="958850"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622300"/>
                          </a:xfrm>
                          <a:prstGeom prst="rect">
                            <a:avLst/>
                          </a:prstGeom>
                          <a:noFill/>
                          <a:ln>
                            <a:noFill/>
                          </a:ln>
                        </pic:spPr>
                      </pic:pic>
                    </a:graphicData>
                  </a:graphic>
                </wp:inline>
              </w:drawing>
            </w:r>
          </w:p>
          <w:p w:rsidR="0016113F" w:rsidRDefault="0016113F" w:rsidP="0016113F">
            <w:pPr>
              <w:rPr>
                <w:rFonts w:ascii="Calibri" w:hAnsi="Calibri" w:cs="Calibri"/>
              </w:rPr>
            </w:pPr>
          </w:p>
          <w:p w:rsidR="005E7882" w:rsidRPr="002C62C2" w:rsidRDefault="005E7882" w:rsidP="00314635">
            <w:pPr>
              <w:pStyle w:val="TSNumberedParagraph11"/>
              <w:numPr>
                <w:ilvl w:val="0"/>
                <w:numId w:val="0"/>
              </w:numPr>
              <w:tabs>
                <w:tab w:val="left" w:pos="0"/>
              </w:tabs>
              <w:spacing w:after="0"/>
              <w:ind w:left="720"/>
              <w:rPr>
                <w:rFonts w:asciiTheme="minorHAnsi" w:hAnsiTheme="minorHAnsi" w:cstheme="minorHAnsi"/>
                <w:iCs/>
                <w:sz w:val="20"/>
                <w:szCs w:val="20"/>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D97F14" w:rsidRDefault="00971BA8" w:rsidP="00971BA8">
            <w:pPr>
              <w:pStyle w:val="TSNumberedParagraph11"/>
              <w:tabs>
                <w:tab w:val="left" w:pos="0"/>
              </w:tabs>
              <w:ind w:left="0" w:firstLine="0"/>
              <w:rPr>
                <w:rFonts w:asciiTheme="minorHAnsi" w:hAnsiTheme="minorHAnsi" w:cstheme="minorHAnsi"/>
              </w:rPr>
            </w:pPr>
            <w:r w:rsidRPr="00D97F14">
              <w:rPr>
                <w:rFonts w:asciiTheme="minorHAnsi" w:hAnsiTheme="minorHAnsi" w:cstheme="minorHAnsi"/>
              </w:rPr>
              <w:t>Please provide</w:t>
            </w:r>
            <w:r w:rsidR="00077D1C">
              <w:rPr>
                <w:rFonts w:asciiTheme="minorHAnsi" w:hAnsiTheme="minorHAnsi" w:cstheme="minorHAnsi"/>
              </w:rPr>
              <w:t>:</w:t>
            </w:r>
            <w:r w:rsidRPr="00D97F14">
              <w:rPr>
                <w:rFonts w:asciiTheme="minorHAnsi" w:hAnsiTheme="minorHAnsi" w:cstheme="minorHAnsi"/>
              </w:rPr>
              <w:t xml:space="preserve"> </w:t>
            </w:r>
          </w:p>
          <w:p w:rsidR="00EB69FB" w:rsidRDefault="00314635" w:rsidP="00314635">
            <w:pPr>
              <w:pStyle w:val="TSBullet1Square"/>
              <w:rPr>
                <w:rFonts w:asciiTheme="minorHAnsi" w:hAnsiTheme="minorHAnsi" w:cstheme="minorHAnsi"/>
              </w:rPr>
            </w:pPr>
            <w:r>
              <w:rPr>
                <w:rFonts w:asciiTheme="minorHAnsi" w:hAnsiTheme="minorHAnsi" w:cstheme="minorHAnsi"/>
              </w:rPr>
              <w:t>A</w:t>
            </w:r>
            <w:r w:rsidR="00971BA8" w:rsidRPr="00D97F14">
              <w:rPr>
                <w:rFonts w:asciiTheme="minorHAnsi" w:hAnsiTheme="minorHAnsi" w:cstheme="minorHAnsi"/>
              </w:rPr>
              <w:t xml:space="preserve"> description of how you will deliver the scope of work (methodology)</w:t>
            </w:r>
            <w:r w:rsidR="00D63B9E">
              <w:rPr>
                <w:rFonts w:asciiTheme="minorHAnsi" w:hAnsiTheme="minorHAnsi" w:cstheme="minorHAnsi"/>
              </w:rPr>
              <w:t>;</w:t>
            </w:r>
            <w:r w:rsidR="00971BA8" w:rsidRPr="00D97F14">
              <w:rPr>
                <w:rFonts w:asciiTheme="minorHAnsi" w:hAnsiTheme="minorHAnsi" w:cstheme="minorHAnsi"/>
              </w:rPr>
              <w:t xml:space="preserve"> </w:t>
            </w:r>
          </w:p>
          <w:p w:rsidR="00971BA8" w:rsidRPr="00D97F14" w:rsidRDefault="00314635" w:rsidP="00314635">
            <w:pPr>
              <w:pStyle w:val="TSBullet1Square"/>
              <w:rPr>
                <w:rFonts w:asciiTheme="minorHAnsi" w:hAnsiTheme="minorHAnsi" w:cstheme="minorHAnsi"/>
              </w:rPr>
            </w:pPr>
            <w:r w:rsidRPr="00D97F14">
              <w:rPr>
                <w:rFonts w:asciiTheme="minorHAnsi" w:hAnsiTheme="minorHAnsi" w:cstheme="minorHAnsi"/>
              </w:rPr>
              <w:t>The</w:t>
            </w:r>
            <w:r w:rsidR="00971BA8" w:rsidRPr="00D97F14">
              <w:rPr>
                <w:rFonts w:asciiTheme="minorHAnsi" w:hAnsiTheme="minorHAnsi" w:cstheme="minorHAnsi"/>
              </w:rPr>
              <w:t xml:space="preserve"> proposed delivery team you will use</w:t>
            </w:r>
            <w:r w:rsidR="00D63B9E">
              <w:rPr>
                <w:rFonts w:asciiTheme="minorHAnsi" w:hAnsiTheme="minorHAnsi" w:cstheme="minorHAnsi"/>
              </w:rPr>
              <w:t xml:space="preserve"> including CVs</w:t>
            </w:r>
            <w:r w:rsidR="00971BA8" w:rsidRPr="00D97F14">
              <w:rPr>
                <w:rFonts w:asciiTheme="minorHAnsi" w:hAnsiTheme="minorHAnsi" w:cstheme="minorHAnsi"/>
              </w:rPr>
              <w:t>, clearly signposting to relevant sections within your Capability Prospectus where appropriate/relevant</w:t>
            </w:r>
            <w:r w:rsidR="00D63B9E">
              <w:rPr>
                <w:rFonts w:asciiTheme="minorHAnsi" w:hAnsiTheme="minorHAnsi" w:cstheme="minorHAnsi"/>
              </w:rPr>
              <w:t xml:space="preserve">. </w:t>
            </w:r>
            <w:r w:rsidR="00D63B9E" w:rsidRPr="00C622B9">
              <w:rPr>
                <w:rFonts w:asciiTheme="minorHAnsi" w:hAnsiTheme="minorHAnsi" w:cstheme="minorHAnsi"/>
              </w:rPr>
              <w:t>A statement of suitability for each individual should be provided that justifies why they are competent for their proposed project role</w:t>
            </w:r>
            <w:r w:rsidR="00D63B9E">
              <w:rPr>
                <w:rFonts w:asciiTheme="minorHAnsi" w:hAnsiTheme="minorHAnsi" w:cstheme="minorHAnsi"/>
              </w:rPr>
              <w:t>;</w:t>
            </w:r>
          </w:p>
          <w:p w:rsidR="00971BA8" w:rsidRPr="00D97F14" w:rsidRDefault="00314635" w:rsidP="00314635">
            <w:pPr>
              <w:pStyle w:val="TSBullet1Square"/>
              <w:rPr>
                <w:rFonts w:asciiTheme="minorHAnsi" w:hAnsiTheme="minorHAnsi" w:cstheme="minorHAnsi"/>
              </w:rPr>
            </w:pPr>
            <w:r>
              <w:rPr>
                <w:rFonts w:asciiTheme="minorHAnsi" w:hAnsiTheme="minorHAnsi" w:cstheme="minorHAnsi"/>
              </w:rPr>
              <w:t>A</w:t>
            </w:r>
            <w:r w:rsidR="00971BA8" w:rsidRPr="00D97F14">
              <w:rPr>
                <w:rFonts w:asciiTheme="minorHAnsi" w:hAnsiTheme="minorHAnsi" w:cstheme="minorHAnsi"/>
              </w:rPr>
              <w:t xml:space="preserve"> description of proposed deliverables and/or outputs</w:t>
            </w:r>
            <w:r>
              <w:rPr>
                <w:rFonts w:asciiTheme="minorHAnsi" w:hAnsiTheme="minorHAnsi" w:cstheme="minorHAnsi"/>
              </w:rPr>
              <w:t>;</w:t>
            </w:r>
          </w:p>
          <w:p w:rsidR="00971BA8" w:rsidRPr="00D97F14" w:rsidRDefault="00314635" w:rsidP="00314635">
            <w:pPr>
              <w:pStyle w:val="TSBullet1Square"/>
              <w:rPr>
                <w:rFonts w:asciiTheme="minorHAnsi" w:hAnsiTheme="minorHAnsi" w:cstheme="minorHAnsi"/>
              </w:rPr>
            </w:pPr>
            <w:r>
              <w:rPr>
                <w:rFonts w:asciiTheme="minorHAnsi" w:hAnsiTheme="minorHAnsi" w:cstheme="minorHAnsi"/>
              </w:rPr>
              <w:t>A</w:t>
            </w:r>
            <w:r w:rsidR="00971BA8" w:rsidRPr="00D97F14">
              <w:rPr>
                <w:rFonts w:asciiTheme="minorHAnsi" w:hAnsiTheme="minorHAnsi" w:cstheme="minorHAnsi"/>
              </w:rPr>
              <w:t xml:space="preserve">n outline of anticipated engagement (project meetings </w:t>
            </w:r>
            <w:r w:rsidR="00077D1C">
              <w:rPr>
                <w:rFonts w:asciiTheme="minorHAnsi" w:hAnsiTheme="minorHAnsi" w:cstheme="minorHAnsi"/>
              </w:rPr>
              <w:t>and</w:t>
            </w:r>
            <w:r w:rsidR="00971BA8" w:rsidRPr="00D97F14">
              <w:rPr>
                <w:rFonts w:asciiTheme="minorHAnsi" w:hAnsiTheme="minorHAnsi" w:cstheme="minorHAnsi"/>
              </w:rPr>
              <w:t xml:space="preserve"> management)</w:t>
            </w:r>
            <w:r>
              <w:rPr>
                <w:rFonts w:asciiTheme="minorHAnsi" w:hAnsiTheme="minorHAnsi" w:cstheme="minorHAnsi"/>
              </w:rPr>
              <w:t>;</w:t>
            </w:r>
          </w:p>
          <w:p w:rsidR="00971BA8" w:rsidRPr="00D97F14" w:rsidRDefault="00314635" w:rsidP="00314635">
            <w:pPr>
              <w:pStyle w:val="TSBullet1Square"/>
              <w:rPr>
                <w:rFonts w:asciiTheme="minorHAnsi" w:hAnsiTheme="minorHAnsi" w:cstheme="minorHAnsi"/>
              </w:rPr>
            </w:pPr>
            <w:r>
              <w:rPr>
                <w:rFonts w:asciiTheme="minorHAnsi" w:hAnsiTheme="minorHAnsi" w:cstheme="minorHAnsi"/>
              </w:rPr>
              <w:t>D</w:t>
            </w:r>
            <w:r w:rsidR="00971BA8" w:rsidRPr="00D97F14">
              <w:rPr>
                <w:rFonts w:asciiTheme="minorHAnsi" w:hAnsiTheme="minorHAnsi" w:cstheme="minorHAnsi"/>
              </w:rPr>
              <w:t>etails of proposed cost an</w:t>
            </w:r>
            <w:r>
              <w:rPr>
                <w:rFonts w:asciiTheme="minorHAnsi" w:hAnsiTheme="minorHAnsi" w:cstheme="minorHAnsi"/>
              </w:rPr>
              <w:t>d associated effort assumptions;</w:t>
            </w:r>
          </w:p>
          <w:p w:rsidR="00971BA8" w:rsidRPr="00D97F14" w:rsidRDefault="00314635" w:rsidP="00314635">
            <w:pPr>
              <w:pStyle w:val="TSBullet1Square"/>
              <w:rPr>
                <w:rFonts w:asciiTheme="minorHAnsi" w:hAnsiTheme="minorHAnsi" w:cstheme="minorHAnsi"/>
              </w:rPr>
            </w:pPr>
            <w:r>
              <w:rPr>
                <w:rFonts w:asciiTheme="minorHAnsi" w:hAnsiTheme="minorHAnsi" w:cstheme="minorHAnsi"/>
              </w:rPr>
              <w:t>A</w:t>
            </w:r>
            <w:r w:rsidR="007F73FA">
              <w:rPr>
                <w:rFonts w:asciiTheme="minorHAnsi" w:hAnsiTheme="minorHAnsi" w:cstheme="minorHAnsi"/>
              </w:rPr>
              <w:t xml:space="preserve"> </w:t>
            </w:r>
            <w:r w:rsidR="00971BA8" w:rsidRPr="00D97F14">
              <w:rPr>
                <w:rFonts w:asciiTheme="minorHAnsi" w:hAnsiTheme="minorHAnsi" w:cstheme="minorHAnsi"/>
              </w:rPr>
              <w:t>project delivery plan sh</w:t>
            </w:r>
            <w:r>
              <w:rPr>
                <w:rFonts w:asciiTheme="minorHAnsi" w:hAnsiTheme="minorHAnsi" w:cstheme="minorHAnsi"/>
              </w:rPr>
              <w:t>owing activities and milestones;</w:t>
            </w:r>
          </w:p>
          <w:p w:rsidR="00971BA8" w:rsidRPr="00D97F14" w:rsidRDefault="00314635" w:rsidP="00314635">
            <w:pPr>
              <w:pStyle w:val="TSBullet1Square"/>
              <w:rPr>
                <w:rFonts w:asciiTheme="minorHAnsi" w:hAnsiTheme="minorHAnsi" w:cstheme="minorHAnsi"/>
              </w:rPr>
            </w:pPr>
            <w:r>
              <w:rPr>
                <w:rFonts w:asciiTheme="minorHAnsi" w:hAnsiTheme="minorHAnsi" w:cstheme="minorHAnsi"/>
              </w:rPr>
              <w:t>A</w:t>
            </w:r>
            <w:r w:rsidR="00971BA8" w:rsidRPr="00D97F14">
              <w:rPr>
                <w:rFonts w:asciiTheme="minorHAnsi" w:hAnsiTheme="minorHAnsi" w:cstheme="minorHAnsi"/>
              </w:rPr>
              <w:t xml:space="preserve"> planned invoice schedule</w:t>
            </w:r>
            <w:r>
              <w:rPr>
                <w:rFonts w:asciiTheme="minorHAnsi" w:hAnsiTheme="minorHAnsi" w:cstheme="minorHAnsi"/>
              </w:rPr>
              <w:t>; and,</w:t>
            </w:r>
          </w:p>
          <w:p w:rsidR="00D97F14" w:rsidRDefault="00314635" w:rsidP="00314635">
            <w:pPr>
              <w:pStyle w:val="TSBullet1Square"/>
              <w:rPr>
                <w:rFonts w:asciiTheme="minorHAnsi" w:hAnsiTheme="minorHAnsi" w:cstheme="minorHAnsi"/>
              </w:rPr>
            </w:pPr>
            <w:r w:rsidRPr="00D97F14">
              <w:rPr>
                <w:rFonts w:asciiTheme="minorHAnsi" w:hAnsiTheme="minorHAnsi" w:cstheme="minorHAnsi"/>
              </w:rPr>
              <w:t>Details</w:t>
            </w:r>
            <w:r w:rsidR="00971BA8" w:rsidRPr="00D97F14">
              <w:rPr>
                <w:rFonts w:asciiTheme="minorHAnsi" w:hAnsiTheme="minorHAnsi" w:cstheme="minorHAnsi"/>
              </w:rPr>
              <w:t xml:space="preserve"> of any assumptions or constraints</w:t>
            </w:r>
            <w:r w:rsidR="00C056B7">
              <w:rPr>
                <w:rFonts w:asciiTheme="minorHAnsi" w:hAnsiTheme="minorHAnsi" w:cstheme="minorHAnsi"/>
              </w:rPr>
              <w:t>.</w:t>
            </w:r>
          </w:p>
          <w:p w:rsidR="00D97F14" w:rsidRDefault="00D97F14" w:rsidP="00D97F14">
            <w:pPr>
              <w:pStyle w:val="TSBullet1Square"/>
              <w:numPr>
                <w:ilvl w:val="0"/>
                <w:numId w:val="0"/>
              </w:numPr>
              <w:tabs>
                <w:tab w:val="left" w:pos="0"/>
              </w:tabs>
              <w:spacing w:after="0"/>
              <w:rPr>
                <w:rFonts w:asciiTheme="minorHAnsi" w:hAnsiTheme="minorHAnsi" w:cstheme="minorHAnsi"/>
              </w:rPr>
            </w:pPr>
          </w:p>
          <w:p w:rsidR="00D63B9E" w:rsidRPr="009333BC" w:rsidRDefault="00D63B9E" w:rsidP="00D63B9E">
            <w:pPr>
              <w:pStyle w:val="TSNumberedParagraph11"/>
              <w:tabs>
                <w:tab w:val="left" w:pos="0"/>
              </w:tabs>
              <w:ind w:left="0" w:firstLine="0"/>
              <w:rPr>
                <w:rFonts w:asciiTheme="minorHAnsi" w:hAnsiTheme="minorHAnsi" w:cstheme="minorHAnsi"/>
              </w:rPr>
            </w:pPr>
            <w:r w:rsidRPr="009333BC">
              <w:rPr>
                <w:rFonts w:asciiTheme="minorHAnsi" w:hAnsiTheme="minorHAnsi" w:cstheme="minorHAnsi"/>
              </w:rPr>
              <w:t xml:space="preserve">One of the means used by </w:t>
            </w:r>
            <w:r w:rsidR="005E7882">
              <w:rPr>
                <w:rFonts w:asciiTheme="minorHAnsi" w:hAnsiTheme="minorHAnsi" w:cstheme="minorHAnsi"/>
              </w:rPr>
              <w:t xml:space="preserve">the </w:t>
            </w:r>
            <w:r w:rsidRPr="009333BC">
              <w:rPr>
                <w:rFonts w:asciiTheme="minorHAnsi" w:hAnsiTheme="minorHAnsi" w:cstheme="minorHAnsi"/>
              </w:rPr>
              <w:t xml:space="preserve">ONR to select the TSC will be by evaluation of submitted CVs. </w:t>
            </w:r>
            <w:r w:rsidR="005E7882">
              <w:rPr>
                <w:rFonts w:asciiTheme="minorHAnsi" w:hAnsiTheme="minorHAnsi" w:cstheme="minorHAnsi"/>
              </w:rPr>
              <w:t>Potential suppliers</w:t>
            </w:r>
            <w:r w:rsidRPr="009333BC">
              <w:rPr>
                <w:rFonts w:asciiTheme="minorHAnsi" w:hAnsiTheme="minorHAnsi" w:cstheme="minorHAnsi"/>
              </w:rPr>
              <w:t xml:space="preserve"> for this work should submit the CVs of the specialist personnel who shall be employed on the review work</w:t>
            </w:r>
            <w:r w:rsidR="00D746AA">
              <w:rPr>
                <w:rFonts w:asciiTheme="minorHAnsi" w:hAnsiTheme="minorHAnsi" w:cstheme="minorHAnsi"/>
              </w:rPr>
              <w:t>,</w:t>
            </w:r>
            <w:r w:rsidRPr="009333BC">
              <w:rPr>
                <w:rFonts w:asciiTheme="minorHAnsi" w:hAnsiTheme="minorHAnsi" w:cstheme="minorHAnsi"/>
              </w:rPr>
              <w:t xml:space="preserve"> together with the charge rate applicable to the specialist(s). Specialists whose CVs are submitted at tender shall only be substituted by prior agreement with</w:t>
            </w:r>
            <w:r w:rsidR="005E7882">
              <w:rPr>
                <w:rFonts w:asciiTheme="minorHAnsi" w:hAnsiTheme="minorHAnsi" w:cstheme="minorHAnsi"/>
              </w:rPr>
              <w:t xml:space="preserve"> the</w:t>
            </w:r>
            <w:r w:rsidRPr="009333BC">
              <w:rPr>
                <w:rFonts w:asciiTheme="minorHAnsi" w:hAnsiTheme="minorHAnsi" w:cstheme="minorHAnsi"/>
              </w:rPr>
              <w:t xml:space="preserve"> ONR. Similarly, any changes in role / responsibility during the project should be discussed and agreed with the ONR project officer. </w:t>
            </w:r>
          </w:p>
          <w:p w:rsidR="00D63B9E" w:rsidRPr="00D97F14" w:rsidRDefault="00D63B9E" w:rsidP="00D97F14">
            <w:pPr>
              <w:pStyle w:val="TSBullet1Square"/>
              <w:numPr>
                <w:ilvl w:val="0"/>
                <w:numId w:val="0"/>
              </w:numPr>
              <w:tabs>
                <w:tab w:val="left" w:pos="0"/>
              </w:tabs>
              <w:spacing w:after="0"/>
              <w:rPr>
                <w:rFonts w:asciiTheme="minorHAnsi" w:hAnsiTheme="minorHAnsi" w:cstheme="minorHAnsi"/>
              </w:rPr>
            </w:pPr>
          </w:p>
        </w:tc>
      </w:tr>
      <w:tr w:rsidR="00661BB2" w:rsidRPr="002C62C2" w:rsidTr="00971BA8">
        <w:trPr>
          <w:jc w:val="center"/>
        </w:trPr>
        <w:tc>
          <w:tcPr>
            <w:tcW w:w="9709" w:type="dxa"/>
            <w:shd w:val="clear" w:color="auto" w:fill="auto"/>
          </w:tcPr>
          <w:p w:rsidR="00661BB2" w:rsidRDefault="00661BB2" w:rsidP="00971BA8">
            <w:pPr>
              <w:pStyle w:val="TSHeadingNumbered1"/>
              <w:tabs>
                <w:tab w:val="left" w:pos="0"/>
              </w:tabs>
              <w:ind w:left="0" w:firstLine="0"/>
              <w:rPr>
                <w:rFonts w:asciiTheme="minorHAnsi" w:hAnsiTheme="minorHAnsi" w:cstheme="minorHAnsi"/>
              </w:rPr>
            </w:pPr>
            <w:r>
              <w:rPr>
                <w:rFonts w:asciiTheme="minorHAnsi" w:hAnsiTheme="minorHAnsi" w:cstheme="minorHAnsi"/>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8601"/>
            </w:tblGrid>
            <w:tr w:rsidR="00314635" w:rsidTr="00314635">
              <w:tc>
                <w:tcPr>
                  <w:tcW w:w="977" w:type="dxa"/>
                </w:tcPr>
                <w:p w:rsidR="00314635" w:rsidRPr="00314635" w:rsidRDefault="00314635" w:rsidP="00314635">
                  <w:pPr>
                    <w:pStyle w:val="TSHeadingNumbered1"/>
                    <w:numPr>
                      <w:ilvl w:val="0"/>
                      <w:numId w:val="0"/>
                    </w:numPr>
                    <w:tabs>
                      <w:tab w:val="left" w:pos="0"/>
                    </w:tabs>
                    <w:spacing w:after="0"/>
                    <w:rPr>
                      <w:rFonts w:asciiTheme="minorHAnsi" w:hAnsiTheme="minorHAnsi" w:cstheme="minorHAnsi"/>
                      <w:b w:val="0"/>
                    </w:rPr>
                  </w:pPr>
                  <w:r w:rsidRPr="00314635">
                    <w:rPr>
                      <w:rFonts w:asciiTheme="minorHAnsi" w:hAnsiTheme="minorHAnsi" w:cstheme="minorHAnsi"/>
                      <w:b w:val="0"/>
                      <w:caps w:val="0"/>
                    </w:rPr>
                    <w:t>Ref. 1</w:t>
                  </w:r>
                </w:p>
              </w:tc>
              <w:tc>
                <w:tcPr>
                  <w:tcW w:w="8601" w:type="dxa"/>
                </w:tcPr>
                <w:p w:rsidR="00314635" w:rsidRPr="00314635" w:rsidRDefault="00314635" w:rsidP="00314635">
                  <w:pPr>
                    <w:pStyle w:val="TSHeadingNumbered1"/>
                    <w:numPr>
                      <w:ilvl w:val="0"/>
                      <w:numId w:val="0"/>
                    </w:numPr>
                    <w:tabs>
                      <w:tab w:val="left" w:pos="0"/>
                    </w:tabs>
                    <w:spacing w:after="0"/>
                    <w:rPr>
                      <w:rFonts w:asciiTheme="minorHAnsi" w:hAnsiTheme="minorHAnsi" w:cstheme="minorHAnsi"/>
                      <w:b w:val="0"/>
                      <w:caps w:val="0"/>
                    </w:rPr>
                  </w:pPr>
                  <w:r>
                    <w:rPr>
                      <w:rFonts w:asciiTheme="minorHAnsi" w:hAnsiTheme="minorHAnsi" w:cstheme="minorHAnsi"/>
                      <w:b w:val="0"/>
                      <w:caps w:val="0"/>
                    </w:rPr>
                    <w:t xml:space="preserve">ONR, </w:t>
                  </w:r>
                  <w:r w:rsidRPr="00314635">
                    <w:rPr>
                      <w:rFonts w:asciiTheme="minorHAnsi" w:hAnsiTheme="minorHAnsi" w:cstheme="minorHAnsi"/>
                      <w:b w:val="0"/>
                      <w:caps w:val="0"/>
                    </w:rPr>
                    <w:t>Safety As</w:t>
                  </w:r>
                  <w:r>
                    <w:rPr>
                      <w:rFonts w:asciiTheme="minorHAnsi" w:hAnsiTheme="minorHAnsi" w:cstheme="minorHAnsi"/>
                      <w:b w:val="0"/>
                      <w:caps w:val="0"/>
                    </w:rPr>
                    <w:t xml:space="preserve">sessment Principles for Nuclear Facilities, </w:t>
                  </w:r>
                  <w:r w:rsidRPr="00314635">
                    <w:rPr>
                      <w:rFonts w:asciiTheme="minorHAnsi" w:hAnsiTheme="minorHAnsi" w:cstheme="minorHAnsi"/>
                      <w:b w:val="0"/>
                      <w:caps w:val="0"/>
                    </w:rPr>
                    <w:t>2014 edition Rev</w:t>
                  </w:r>
                  <w:r>
                    <w:rPr>
                      <w:rFonts w:asciiTheme="minorHAnsi" w:hAnsiTheme="minorHAnsi" w:cstheme="minorHAnsi"/>
                      <w:b w:val="0"/>
                      <w:caps w:val="0"/>
                    </w:rPr>
                    <w:t xml:space="preserve">ision 1, </w:t>
                  </w:r>
                  <w:r w:rsidRPr="00314635">
                    <w:rPr>
                      <w:rFonts w:asciiTheme="minorHAnsi" w:hAnsiTheme="minorHAnsi" w:cstheme="minorHAnsi"/>
                      <w:b w:val="0"/>
                      <w:caps w:val="0"/>
                    </w:rPr>
                    <w:t>January 2020</w:t>
                  </w:r>
                  <w:r>
                    <w:rPr>
                      <w:rFonts w:asciiTheme="minorHAnsi" w:hAnsiTheme="minorHAnsi" w:cstheme="minorHAnsi"/>
                      <w:b w:val="0"/>
                      <w:caps w:val="0"/>
                    </w:rPr>
                    <w:t xml:space="preserve">. </w:t>
                  </w:r>
                </w:p>
              </w:tc>
            </w:tr>
            <w:tr w:rsidR="00314635" w:rsidTr="00314635">
              <w:tc>
                <w:tcPr>
                  <w:tcW w:w="977" w:type="dxa"/>
                </w:tcPr>
                <w:p w:rsidR="00314635" w:rsidRPr="00314635" w:rsidRDefault="00314635" w:rsidP="00314635">
                  <w:pPr>
                    <w:pStyle w:val="TSHeadingNumbered1"/>
                    <w:numPr>
                      <w:ilvl w:val="0"/>
                      <w:numId w:val="0"/>
                    </w:numPr>
                    <w:tabs>
                      <w:tab w:val="left" w:pos="0"/>
                    </w:tabs>
                    <w:spacing w:after="0"/>
                    <w:rPr>
                      <w:rFonts w:asciiTheme="minorHAnsi" w:hAnsiTheme="minorHAnsi" w:cstheme="minorHAnsi"/>
                      <w:b w:val="0"/>
                    </w:rPr>
                  </w:pPr>
                  <w:r>
                    <w:rPr>
                      <w:rFonts w:asciiTheme="minorHAnsi" w:hAnsiTheme="minorHAnsi" w:cstheme="minorHAnsi"/>
                      <w:b w:val="0"/>
                      <w:caps w:val="0"/>
                    </w:rPr>
                    <w:t xml:space="preserve">Ref. 2 </w:t>
                  </w:r>
                </w:p>
              </w:tc>
              <w:tc>
                <w:tcPr>
                  <w:tcW w:w="8601" w:type="dxa"/>
                </w:tcPr>
                <w:p w:rsidR="00314635" w:rsidRPr="00314635" w:rsidRDefault="00314635" w:rsidP="00314635">
                  <w:pPr>
                    <w:pStyle w:val="TSHeadingNumbered1"/>
                    <w:numPr>
                      <w:ilvl w:val="0"/>
                      <w:numId w:val="0"/>
                    </w:numPr>
                    <w:tabs>
                      <w:tab w:val="left" w:pos="0"/>
                    </w:tabs>
                    <w:spacing w:after="0"/>
                    <w:rPr>
                      <w:rFonts w:asciiTheme="minorHAnsi" w:hAnsiTheme="minorHAnsi" w:cstheme="minorHAnsi"/>
                      <w:b w:val="0"/>
                      <w:caps w:val="0"/>
                    </w:rPr>
                  </w:pPr>
                  <w:r>
                    <w:rPr>
                      <w:rFonts w:asciiTheme="minorHAnsi" w:hAnsiTheme="minorHAnsi" w:cstheme="minorHAnsi"/>
                      <w:b w:val="0"/>
                      <w:caps w:val="0"/>
                    </w:rPr>
                    <w:t>ONR, External Hazards, NS-TAST-GD-013 Revision 7, October 2018.</w:t>
                  </w:r>
                </w:p>
              </w:tc>
            </w:tr>
          </w:tbl>
          <w:p w:rsidR="00661BB2" w:rsidRPr="002C62C2" w:rsidRDefault="00661BB2" w:rsidP="00314635">
            <w:pPr>
              <w:pStyle w:val="TSHeadingNumbered1"/>
              <w:numPr>
                <w:ilvl w:val="0"/>
                <w:numId w:val="0"/>
              </w:numPr>
              <w:tabs>
                <w:tab w:val="left" w:pos="0"/>
              </w:tabs>
              <w:rPr>
                <w:rFonts w:asciiTheme="minorHAnsi" w:hAnsiTheme="minorHAnsi" w:cstheme="minorHAnsi"/>
              </w:rPr>
            </w:pPr>
          </w:p>
        </w:tc>
      </w:tr>
    </w:tbl>
    <w:p w:rsidR="00D75DA2" w:rsidRDefault="00D75DA2" w:rsidP="00457068">
      <w:pPr>
        <w:ind w:left="567" w:hanging="567"/>
        <w:rPr>
          <w:rFonts w:asciiTheme="minorHAnsi" w:hAnsiTheme="minorHAnsi" w:cstheme="minorHAnsi"/>
        </w:rPr>
      </w:pPr>
    </w:p>
    <w:p w:rsidR="00661BB2" w:rsidRDefault="00661BB2" w:rsidP="00457068">
      <w:pPr>
        <w:ind w:left="567" w:hanging="567"/>
        <w:rPr>
          <w:rFonts w:asciiTheme="minorHAnsi" w:hAnsiTheme="minorHAnsi" w:cstheme="minorHAnsi"/>
        </w:rPr>
      </w:pPr>
    </w:p>
    <w:p w:rsidR="00661BB2" w:rsidRPr="00661BB2" w:rsidRDefault="00661BB2" w:rsidP="00661BB2">
      <w:pPr>
        <w:ind w:left="567" w:hanging="567"/>
        <w:rPr>
          <w:rFonts w:asciiTheme="minorHAnsi" w:hAnsiTheme="minorHAnsi" w:cstheme="minorHAnsi"/>
        </w:rPr>
      </w:pPr>
    </w:p>
    <w:sectPr w:rsidR="00661BB2" w:rsidRPr="00661BB2"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C89" w:rsidRDefault="00593C89">
      <w:r>
        <w:separator/>
      </w:r>
    </w:p>
  </w:endnote>
  <w:endnote w:type="continuationSeparator" w:id="0">
    <w:p w:rsidR="00593C89" w:rsidRDefault="0059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FB" w:rsidRDefault="00EB69FB" w:rsidP="007D545C">
    <w:pPr>
      <w:pStyle w:val="Header"/>
      <w:jc w:val="center"/>
      <w:rPr>
        <w:b/>
        <w:color w:val="006D68"/>
        <w:sz w:val="14"/>
        <w:szCs w:val="14"/>
      </w:rPr>
    </w:pPr>
    <w:r>
      <w:rPr>
        <w:b/>
        <w:color w:val="006D68"/>
        <w:sz w:val="20"/>
        <w:szCs w:val="20"/>
      </w:rPr>
      <w:t>OFFICIAL</w:t>
    </w:r>
  </w:p>
  <w:p w:rsidR="00EB69FB" w:rsidRDefault="00EB69FB" w:rsidP="00BC5FC8">
    <w:pPr>
      <w:pStyle w:val="Header"/>
      <w:jc w:val="center"/>
      <w:rPr>
        <w:b/>
        <w:color w:val="006D68"/>
        <w:sz w:val="14"/>
        <w:szCs w:val="14"/>
      </w:rPr>
    </w:pPr>
  </w:p>
  <w:p w:rsidR="00EB69FB" w:rsidRDefault="00EB69FB" w:rsidP="00BC5FC8">
    <w:pPr>
      <w:pStyle w:val="Footer"/>
      <w:tabs>
        <w:tab w:val="clear" w:pos="4153"/>
        <w:tab w:val="clear" w:pos="8306"/>
        <w:tab w:val="right" w:pos="9214"/>
      </w:tabs>
      <w:jc w:val="center"/>
      <w:rPr>
        <w:color w:val="006D68"/>
        <w:sz w:val="14"/>
        <w:szCs w:val="14"/>
      </w:rPr>
    </w:pPr>
  </w:p>
  <w:p w:rsidR="00EB69FB" w:rsidRPr="00487A22" w:rsidRDefault="00EB69FB"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5B64E3">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5B64E3">
      <w:rPr>
        <w:b/>
        <w:noProof/>
        <w:color w:val="006D68"/>
        <w:sz w:val="14"/>
        <w:szCs w:val="14"/>
      </w:rPr>
      <w:t>6</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FB" w:rsidRPr="00BD03AE" w:rsidRDefault="00EB69FB" w:rsidP="007D545C">
    <w:pPr>
      <w:pStyle w:val="Header"/>
      <w:jc w:val="center"/>
      <w:rPr>
        <w:b/>
        <w:color w:val="006D68"/>
        <w:sz w:val="10"/>
        <w:szCs w:val="14"/>
      </w:rPr>
    </w:pPr>
    <w:r w:rsidRPr="00BD03AE">
      <w:rPr>
        <w:b/>
        <w:color w:val="006D68"/>
        <w:sz w:val="20"/>
        <w:szCs w:val="14"/>
      </w:rPr>
      <w:t>OFFICIAL</w:t>
    </w:r>
  </w:p>
  <w:p w:rsidR="00EB69FB" w:rsidRDefault="00EB69FB" w:rsidP="00BC5FC8">
    <w:pPr>
      <w:pStyle w:val="Header"/>
      <w:jc w:val="center"/>
      <w:rPr>
        <w:b/>
        <w:color w:val="006D68"/>
        <w:sz w:val="14"/>
        <w:szCs w:val="14"/>
      </w:rPr>
    </w:pPr>
  </w:p>
  <w:p w:rsidR="00EB69FB" w:rsidRDefault="00EB69FB" w:rsidP="00BC5FC8">
    <w:pPr>
      <w:pStyle w:val="Footer"/>
      <w:tabs>
        <w:tab w:val="clear" w:pos="4153"/>
        <w:tab w:val="clear" w:pos="8306"/>
        <w:tab w:val="right" w:pos="9214"/>
      </w:tabs>
      <w:jc w:val="center"/>
      <w:rPr>
        <w:color w:val="006D68"/>
        <w:sz w:val="14"/>
        <w:szCs w:val="14"/>
      </w:rPr>
    </w:pPr>
  </w:p>
  <w:p w:rsidR="00EB69FB" w:rsidRPr="00B56CCE" w:rsidRDefault="00EB69FB"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5B64E3">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5B64E3">
      <w:rPr>
        <w:b/>
        <w:noProof/>
        <w:color w:val="006D68"/>
        <w:sz w:val="14"/>
        <w:szCs w:val="14"/>
      </w:rPr>
      <w:t>6</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C89" w:rsidRDefault="00593C89">
      <w:r>
        <w:separator/>
      </w:r>
    </w:p>
  </w:footnote>
  <w:footnote w:type="continuationSeparator" w:id="0">
    <w:p w:rsidR="00593C89" w:rsidRDefault="00593C89">
      <w:r>
        <w:continuationSeparator/>
      </w:r>
    </w:p>
  </w:footnote>
  <w:footnote w:id="1">
    <w:p w:rsidR="00EB69FB" w:rsidRPr="00314635" w:rsidRDefault="00EB69FB">
      <w:pPr>
        <w:pStyle w:val="FootnoteText"/>
        <w:rPr>
          <w:rFonts w:asciiTheme="minorHAnsi" w:hAnsiTheme="minorHAnsi"/>
        </w:rPr>
      </w:pPr>
      <w:r w:rsidRPr="00314635">
        <w:rPr>
          <w:rStyle w:val="FootnoteReference"/>
          <w:rFonts w:asciiTheme="minorHAnsi" w:hAnsiTheme="minorHAnsi"/>
        </w:rPr>
        <w:footnoteRef/>
      </w:r>
      <w:r w:rsidRPr="00314635">
        <w:rPr>
          <w:rFonts w:asciiTheme="minorHAnsi" w:hAnsiTheme="minorHAnsi"/>
        </w:rPr>
        <w:t xml:space="preserve"> External hazards are defined in the ONR Safety Assessment Principles (SAPs EHA.1 – 19) [Ref. 1] and the Technical Assessment Guide NS-TAST-GD-013 Revision 7 [Ref. 2]</w:t>
      </w:r>
    </w:p>
  </w:footnote>
  <w:footnote w:id="2">
    <w:p w:rsidR="00EB69FB" w:rsidRPr="00314635" w:rsidRDefault="00EB69FB">
      <w:pPr>
        <w:pStyle w:val="FootnoteText"/>
        <w:rPr>
          <w:rFonts w:asciiTheme="minorHAnsi" w:hAnsiTheme="minorHAnsi"/>
        </w:rPr>
      </w:pPr>
      <w:r w:rsidRPr="00314635">
        <w:rPr>
          <w:rStyle w:val="FootnoteReference"/>
          <w:rFonts w:asciiTheme="minorHAnsi" w:hAnsiTheme="minorHAnsi"/>
        </w:rPr>
        <w:footnoteRef/>
      </w:r>
      <w:r w:rsidRPr="00314635">
        <w:rPr>
          <w:rFonts w:asciiTheme="minorHAnsi" w:hAnsiTheme="minorHAnsi"/>
        </w:rPr>
        <w:t xml:space="preserve"> The extant ONR Land Use Planning webpage is available at: </w:t>
      </w:r>
      <w:hyperlink r:id="rId1" w:history="1">
        <w:r w:rsidRPr="00314635">
          <w:rPr>
            <w:rStyle w:val="Hyperlink"/>
            <w:rFonts w:asciiTheme="minorHAnsi" w:hAnsiTheme="minorHAnsi"/>
          </w:rPr>
          <w:t>http://www.onr.org.uk/land-use-planning.htm</w:t>
        </w:r>
      </w:hyperlink>
      <w:r w:rsidRPr="00314635">
        <w:rPr>
          <w:rFonts w:asciiTheme="minorHAnsi" w:hAnsiTheme="minorHAnsi"/>
        </w:rPr>
        <w:t xml:space="preserve"> </w:t>
      </w:r>
    </w:p>
  </w:footnote>
  <w:footnote w:id="3">
    <w:p w:rsidR="00EB69FB" w:rsidRPr="00BD03AE" w:rsidRDefault="00EB69FB">
      <w:pPr>
        <w:pStyle w:val="FootnoteText"/>
        <w:rPr>
          <w:rFonts w:ascii="Calibri" w:hAnsi="Calibri"/>
        </w:rPr>
      </w:pPr>
      <w:r w:rsidRPr="00BD03AE">
        <w:rPr>
          <w:rStyle w:val="FootnoteReference"/>
          <w:rFonts w:ascii="Calibri" w:hAnsi="Calibri"/>
        </w:rPr>
        <w:footnoteRef/>
      </w:r>
      <w:r w:rsidRPr="00BD03AE">
        <w:rPr>
          <w:rFonts w:ascii="Calibri" w:hAnsi="Calibri"/>
        </w:rPr>
        <w:t xml:space="preserve"> For the purposes of </w:t>
      </w:r>
      <w:r>
        <w:rPr>
          <w:rFonts w:ascii="Calibri" w:hAnsi="Calibri"/>
        </w:rPr>
        <w:t>OCZs</w:t>
      </w:r>
      <w:r w:rsidRPr="00BD03AE">
        <w:rPr>
          <w:rFonts w:ascii="Calibri" w:hAnsi="Calibri"/>
        </w:rPr>
        <w:t xml:space="preserve">, the term ‘major hazard facilities’ covers those facilities included within the scope of COMAH (Control of Major Accident Hazard Regulations 2015), the Offshore Installations Regulations 2015, the Offshore Installations (Safety Case) Regulations 2005, or the Pipelines Safety Regulations 1996. </w:t>
      </w:r>
    </w:p>
  </w:footnote>
  <w:footnote w:id="4">
    <w:p w:rsidR="00EB69FB" w:rsidRPr="00314635" w:rsidRDefault="00EB69FB">
      <w:pPr>
        <w:pStyle w:val="FootnoteText"/>
        <w:rPr>
          <w:rFonts w:asciiTheme="minorHAnsi" w:hAnsiTheme="minorHAnsi"/>
          <w:sz w:val="18"/>
          <w:szCs w:val="18"/>
        </w:rPr>
      </w:pPr>
      <w:r w:rsidRPr="00314635">
        <w:rPr>
          <w:rStyle w:val="FootnoteReference"/>
          <w:rFonts w:asciiTheme="minorHAnsi" w:hAnsiTheme="minorHAnsi"/>
          <w:szCs w:val="18"/>
        </w:rPr>
        <w:footnoteRef/>
      </w:r>
      <w:r w:rsidRPr="00314635">
        <w:rPr>
          <w:rFonts w:asciiTheme="minorHAnsi" w:hAnsiTheme="minorHAnsi"/>
          <w:szCs w:val="18"/>
        </w:rPr>
        <w:t xml:space="preserve"> This assessment will be discussed with the successful tenderer at the project kick-off meeting</w:t>
      </w:r>
    </w:p>
  </w:footnote>
  <w:footnote w:id="5">
    <w:p w:rsidR="009F607C" w:rsidRDefault="009F607C" w:rsidP="009F607C">
      <w:pPr>
        <w:pStyle w:val="FootnoteText"/>
      </w:pPr>
      <w:r>
        <w:rPr>
          <w:rStyle w:val="FootnoteReference"/>
        </w:rPr>
        <w:footnoteRef/>
      </w:r>
      <w:r>
        <w:t xml:space="preserve"> </w:t>
      </w:r>
      <w:r w:rsidRPr="00252688">
        <w:rPr>
          <w:rFonts w:asciiTheme="minorHAnsi" w:hAnsiTheme="minorHAnsi" w:cstheme="minorHAnsi"/>
          <w:sz w:val="18"/>
        </w:rPr>
        <w:t xml:space="preserve">Significant developments </w:t>
      </w:r>
      <w:r w:rsidR="00BE5E79">
        <w:rPr>
          <w:rFonts w:asciiTheme="minorHAnsi" w:hAnsiTheme="minorHAnsi" w:cstheme="minorHAnsi"/>
          <w:sz w:val="18"/>
        </w:rPr>
        <w:t xml:space="preserve">include but </w:t>
      </w:r>
      <w:r w:rsidRPr="00252688">
        <w:rPr>
          <w:rFonts w:asciiTheme="minorHAnsi" w:hAnsiTheme="minorHAnsi" w:cstheme="minorHAnsi"/>
          <w:sz w:val="18"/>
        </w:rPr>
        <w:t>are</w:t>
      </w:r>
      <w:r w:rsidR="00BE5E79">
        <w:rPr>
          <w:rFonts w:asciiTheme="minorHAnsi" w:hAnsiTheme="minorHAnsi" w:cstheme="minorHAnsi"/>
          <w:sz w:val="18"/>
        </w:rPr>
        <w:t xml:space="preserve"> not limited to:</w:t>
      </w:r>
      <w:r w:rsidRPr="00252688">
        <w:rPr>
          <w:rFonts w:asciiTheme="minorHAnsi" w:hAnsiTheme="minorHAnsi" w:cstheme="minorHAnsi"/>
          <w:sz w:val="18"/>
        </w:rPr>
        <w:t xml:space="preserve"> airports </w:t>
      </w:r>
      <w:r w:rsidR="00F729E4">
        <w:rPr>
          <w:rFonts w:asciiTheme="minorHAnsi" w:hAnsiTheme="minorHAnsi" w:cstheme="minorHAnsi"/>
          <w:sz w:val="18"/>
        </w:rPr>
        <w:t>and</w:t>
      </w:r>
      <w:r w:rsidR="00F729E4" w:rsidRPr="00252688">
        <w:rPr>
          <w:rFonts w:asciiTheme="minorHAnsi" w:hAnsiTheme="minorHAnsi" w:cstheme="minorHAnsi"/>
          <w:sz w:val="18"/>
        </w:rPr>
        <w:t xml:space="preserve"> </w:t>
      </w:r>
      <w:r w:rsidRPr="00252688">
        <w:rPr>
          <w:rFonts w:asciiTheme="minorHAnsi" w:hAnsiTheme="minorHAnsi" w:cstheme="minorHAnsi"/>
          <w:sz w:val="18"/>
        </w:rPr>
        <w:t>launch facilities, and major hazard facilities, i.e. those included within the scope of the Control of Major Accident Hazard Regulations 2015, the Offshore Installations Regulations 2015, the Offshore Installations (Safety Case) Regulations 2005, or the Pipelines Safety Regulations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FB" w:rsidRDefault="00EB69FB">
    <w:pPr>
      <w:pStyle w:val="Header"/>
      <w:rPr>
        <w:b/>
        <w:color w:val="006D68"/>
        <w:sz w:val="14"/>
        <w:szCs w:val="14"/>
      </w:rPr>
    </w:pPr>
    <w:r w:rsidRPr="00487A22">
      <w:rPr>
        <w:color w:val="006D68"/>
        <w:sz w:val="14"/>
        <w:szCs w:val="14"/>
      </w:rPr>
      <w:t>Office for Nuclear Regulation</w:t>
    </w:r>
  </w:p>
  <w:p w:rsidR="00EB69FB" w:rsidRDefault="00EB69FB">
    <w:pPr>
      <w:pStyle w:val="Header"/>
      <w:rPr>
        <w:b/>
        <w:color w:val="006D68"/>
        <w:sz w:val="14"/>
        <w:szCs w:val="14"/>
      </w:rPr>
    </w:pPr>
  </w:p>
  <w:p w:rsidR="00EB69FB" w:rsidRPr="00AF4C0F" w:rsidRDefault="00EB69FB" w:rsidP="007D545C">
    <w:pPr>
      <w:pStyle w:val="Header"/>
      <w:jc w:val="center"/>
      <w:rPr>
        <w:b/>
        <w:color w:val="006D68"/>
        <w:sz w:val="20"/>
        <w:szCs w:val="20"/>
      </w:rPr>
    </w:pPr>
    <w:r>
      <w:rPr>
        <w:b/>
        <w:color w:val="006D68"/>
        <w:sz w:val="20"/>
        <w:szCs w:val="20"/>
      </w:rPr>
      <w:t>OFFICIAL</w:t>
    </w:r>
  </w:p>
  <w:p w:rsidR="00EB69FB" w:rsidRDefault="00EB69FB"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FB" w:rsidRDefault="00EB69FB" w:rsidP="00457068">
    <w:pPr>
      <w:pStyle w:val="Header"/>
      <w:rPr>
        <w:b/>
        <w:sz w:val="20"/>
        <w:szCs w:val="20"/>
      </w:rPr>
    </w:pPr>
    <w:r>
      <w:rPr>
        <w:b/>
        <w:noProof/>
        <w:sz w:val="20"/>
        <w:szCs w:val="20"/>
        <w:lang w:eastAsia="en-GB"/>
      </w:rPr>
      <w:drawing>
        <wp:inline distT="0" distB="0" distL="0" distR="0" wp14:anchorId="6EB2C6FC" wp14:editId="5B88AADB">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EB69FB" w:rsidRDefault="00EB69FB" w:rsidP="00457068">
    <w:pPr>
      <w:pStyle w:val="Header"/>
      <w:jc w:val="right"/>
      <w:rPr>
        <w:b/>
        <w:sz w:val="20"/>
        <w:szCs w:val="20"/>
      </w:rPr>
    </w:pPr>
    <w:r>
      <w:rPr>
        <w:b/>
        <w:sz w:val="20"/>
        <w:szCs w:val="20"/>
      </w:rPr>
      <w:t>ONR Ref:</w:t>
    </w:r>
    <w:r w:rsidR="002B5ED0">
      <w:rPr>
        <w:b/>
        <w:sz w:val="20"/>
        <w:szCs w:val="20"/>
      </w:rPr>
      <w:t xml:space="preserve"> </w:t>
    </w:r>
    <w:r w:rsidR="00A84A06">
      <w:rPr>
        <w:b/>
        <w:sz w:val="20"/>
        <w:szCs w:val="20"/>
      </w:rPr>
      <w:t>ONR683</w:t>
    </w:r>
  </w:p>
  <w:p w:rsidR="002B5ED0" w:rsidRPr="00C754D7" w:rsidRDefault="005943B8" w:rsidP="00457068">
    <w:pPr>
      <w:pStyle w:val="Header"/>
      <w:jc w:val="right"/>
      <w:rPr>
        <w:b/>
        <w:sz w:val="20"/>
        <w:szCs w:val="20"/>
      </w:rPr>
    </w:pPr>
    <w:r>
      <w:rPr>
        <w:b/>
        <w:sz w:val="20"/>
        <w:szCs w:val="20"/>
      </w:rPr>
      <w:t>SCHEDULE A</w:t>
    </w:r>
  </w:p>
  <w:p w:rsidR="00EB69FB" w:rsidRPr="00D55197" w:rsidRDefault="00EB69FB"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A63DC1"/>
    <w:multiLevelType w:val="hybridMultilevel"/>
    <w:tmpl w:val="519422B0"/>
    <w:lvl w:ilvl="0" w:tplc="B810AFD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9"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0"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70C2195C"/>
    <w:multiLevelType w:val="hybridMultilevel"/>
    <w:tmpl w:val="1B6444E8"/>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B6AA4CFC">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7"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16"/>
  </w:num>
  <w:num w:numId="4">
    <w:abstractNumId w:val="0"/>
  </w:num>
  <w:num w:numId="5">
    <w:abstractNumId w:val="14"/>
  </w:num>
  <w:num w:numId="6">
    <w:abstractNumId w:val="27"/>
  </w:num>
  <w:num w:numId="7">
    <w:abstractNumId w:val="22"/>
  </w:num>
  <w:num w:numId="8">
    <w:abstractNumId w:val="19"/>
  </w:num>
  <w:num w:numId="9">
    <w:abstractNumId w:val="28"/>
  </w:num>
  <w:num w:numId="10">
    <w:abstractNumId w:val="2"/>
  </w:num>
  <w:num w:numId="11">
    <w:abstractNumId w:val="7"/>
  </w:num>
  <w:num w:numId="12">
    <w:abstractNumId w:val="10"/>
  </w:num>
  <w:num w:numId="13">
    <w:abstractNumId w:val="1"/>
  </w:num>
  <w:num w:numId="14">
    <w:abstractNumId w:val="20"/>
  </w:num>
  <w:num w:numId="15">
    <w:abstractNumId w:val="12"/>
  </w:num>
  <w:num w:numId="16">
    <w:abstractNumId w:val="25"/>
  </w:num>
  <w:num w:numId="17">
    <w:abstractNumId w:val="8"/>
  </w:num>
  <w:num w:numId="18">
    <w:abstractNumId w:val="17"/>
  </w:num>
  <w:num w:numId="19">
    <w:abstractNumId w:val="15"/>
  </w:num>
  <w:num w:numId="20">
    <w:abstractNumId w:val="3"/>
  </w:num>
  <w:num w:numId="21">
    <w:abstractNumId w:val="26"/>
  </w:num>
  <w:num w:numId="22">
    <w:abstractNumId w:val="4"/>
  </w:num>
  <w:num w:numId="23">
    <w:abstractNumId w:val="21"/>
  </w:num>
  <w:num w:numId="24">
    <w:abstractNumId w:val="23"/>
  </w:num>
  <w:num w:numId="25">
    <w:abstractNumId w:val="13"/>
  </w:num>
  <w:num w:numId="26">
    <w:abstractNumId w:val="6"/>
  </w:num>
  <w:num w:numId="27">
    <w:abstractNumId w:val="11"/>
  </w:num>
  <w:num w:numId="28">
    <w:abstractNumId w:val="24"/>
  </w:num>
  <w:num w:numId="29">
    <w:abstractNumId w:val="18"/>
  </w:num>
  <w:num w:numId="30">
    <w:abstractNumId w:val="25"/>
  </w:num>
  <w:num w:numId="31">
    <w:abstractNumId w:val="10"/>
  </w:num>
  <w:num w:numId="32">
    <w:abstractNumId w:val="10"/>
  </w:num>
  <w:num w:numId="33">
    <w:abstractNumId w:val="10"/>
  </w:num>
  <w:num w:numId="34">
    <w:abstractNumId w:val="10"/>
  </w:num>
  <w:num w:numId="35">
    <w:abstractNumId w:val="25"/>
  </w:num>
  <w:num w:numId="36">
    <w:abstractNumId w:val="10"/>
  </w:num>
  <w:num w:numId="37">
    <w:abstractNumId w:val="25"/>
  </w:num>
  <w:num w:numId="38">
    <w:abstractNumId w:val="10"/>
  </w:num>
  <w:num w:numId="39">
    <w:abstractNumId w:val="25"/>
  </w:num>
  <w:num w:numId="40">
    <w:abstractNumId w:val="10"/>
  </w:num>
  <w:num w:numId="41">
    <w:abstractNumId w:val="10"/>
  </w:num>
  <w:num w:numId="42">
    <w:abstractNumId w:val="25"/>
  </w:num>
  <w:num w:numId="43">
    <w:abstractNumId w:val="10"/>
  </w:num>
  <w:num w:numId="44">
    <w:abstractNumId w:val="25"/>
  </w:num>
  <w:num w:numId="45">
    <w:abstractNumId w:val="25"/>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2451F"/>
    <w:rsid w:val="00030D3C"/>
    <w:rsid w:val="000312D3"/>
    <w:rsid w:val="00032398"/>
    <w:rsid w:val="000375D1"/>
    <w:rsid w:val="000409EF"/>
    <w:rsid w:val="000554A5"/>
    <w:rsid w:val="000715BD"/>
    <w:rsid w:val="00077D1C"/>
    <w:rsid w:val="00091ED3"/>
    <w:rsid w:val="00096F71"/>
    <w:rsid w:val="000B1830"/>
    <w:rsid w:val="000B4E40"/>
    <w:rsid w:val="000D6244"/>
    <w:rsid w:val="00121C8F"/>
    <w:rsid w:val="00131ECC"/>
    <w:rsid w:val="00144CEA"/>
    <w:rsid w:val="00153D28"/>
    <w:rsid w:val="00155643"/>
    <w:rsid w:val="0016113F"/>
    <w:rsid w:val="00164F4F"/>
    <w:rsid w:val="00193C9A"/>
    <w:rsid w:val="00195448"/>
    <w:rsid w:val="00196F92"/>
    <w:rsid w:val="001A58B1"/>
    <w:rsid w:val="001C3DB8"/>
    <w:rsid w:val="001D78A1"/>
    <w:rsid w:val="001D7BCB"/>
    <w:rsid w:val="00200CB7"/>
    <w:rsid w:val="002040B5"/>
    <w:rsid w:val="0021074A"/>
    <w:rsid w:val="00216018"/>
    <w:rsid w:val="002314E0"/>
    <w:rsid w:val="00252688"/>
    <w:rsid w:val="0028011F"/>
    <w:rsid w:val="0028356A"/>
    <w:rsid w:val="00283CD8"/>
    <w:rsid w:val="00297401"/>
    <w:rsid w:val="002B5ED0"/>
    <w:rsid w:val="002C62C2"/>
    <w:rsid w:val="002E133F"/>
    <w:rsid w:val="00314635"/>
    <w:rsid w:val="0031706E"/>
    <w:rsid w:val="0034598E"/>
    <w:rsid w:val="00345DB7"/>
    <w:rsid w:val="0035417A"/>
    <w:rsid w:val="00397F3C"/>
    <w:rsid w:val="003A3E2B"/>
    <w:rsid w:val="003B336C"/>
    <w:rsid w:val="003B4AA2"/>
    <w:rsid w:val="003D005E"/>
    <w:rsid w:val="003E2CA6"/>
    <w:rsid w:val="003E452E"/>
    <w:rsid w:val="003F0685"/>
    <w:rsid w:val="003F1ED5"/>
    <w:rsid w:val="00411F86"/>
    <w:rsid w:val="00437964"/>
    <w:rsid w:val="00457068"/>
    <w:rsid w:val="00472A74"/>
    <w:rsid w:val="004750A2"/>
    <w:rsid w:val="004771DA"/>
    <w:rsid w:val="00480F89"/>
    <w:rsid w:val="00487A22"/>
    <w:rsid w:val="004928E7"/>
    <w:rsid w:val="004A7B1B"/>
    <w:rsid w:val="004F24BC"/>
    <w:rsid w:val="00505F6E"/>
    <w:rsid w:val="0050655E"/>
    <w:rsid w:val="00521BAA"/>
    <w:rsid w:val="005264AF"/>
    <w:rsid w:val="005322E6"/>
    <w:rsid w:val="005556C6"/>
    <w:rsid w:val="00562F2F"/>
    <w:rsid w:val="00593C89"/>
    <w:rsid w:val="005943B8"/>
    <w:rsid w:val="005A1570"/>
    <w:rsid w:val="005A5A87"/>
    <w:rsid w:val="005B64E3"/>
    <w:rsid w:val="005D0052"/>
    <w:rsid w:val="005E7882"/>
    <w:rsid w:val="005F0722"/>
    <w:rsid w:val="00604F23"/>
    <w:rsid w:val="00607C40"/>
    <w:rsid w:val="00661BB2"/>
    <w:rsid w:val="00691490"/>
    <w:rsid w:val="006A39BB"/>
    <w:rsid w:val="006A667F"/>
    <w:rsid w:val="006B2DA6"/>
    <w:rsid w:val="006B6121"/>
    <w:rsid w:val="006B77DE"/>
    <w:rsid w:val="006C519A"/>
    <w:rsid w:val="006E165B"/>
    <w:rsid w:val="006F1199"/>
    <w:rsid w:val="006F5420"/>
    <w:rsid w:val="00712EF2"/>
    <w:rsid w:val="00715C62"/>
    <w:rsid w:val="0072164C"/>
    <w:rsid w:val="00722381"/>
    <w:rsid w:val="00741D36"/>
    <w:rsid w:val="00753618"/>
    <w:rsid w:val="00776FB4"/>
    <w:rsid w:val="007B4EE0"/>
    <w:rsid w:val="007D545C"/>
    <w:rsid w:val="007F7246"/>
    <w:rsid w:val="007F73FA"/>
    <w:rsid w:val="008042AE"/>
    <w:rsid w:val="00835153"/>
    <w:rsid w:val="0083627D"/>
    <w:rsid w:val="00842FD6"/>
    <w:rsid w:val="00852105"/>
    <w:rsid w:val="00863CDC"/>
    <w:rsid w:val="00891423"/>
    <w:rsid w:val="008A2909"/>
    <w:rsid w:val="008A7BDD"/>
    <w:rsid w:val="008B699C"/>
    <w:rsid w:val="008C1D45"/>
    <w:rsid w:val="008D71E9"/>
    <w:rsid w:val="008E67CB"/>
    <w:rsid w:val="00900650"/>
    <w:rsid w:val="0091041C"/>
    <w:rsid w:val="00932851"/>
    <w:rsid w:val="009471DB"/>
    <w:rsid w:val="009678DE"/>
    <w:rsid w:val="00971BA8"/>
    <w:rsid w:val="009745B4"/>
    <w:rsid w:val="009765DB"/>
    <w:rsid w:val="00987AA6"/>
    <w:rsid w:val="009962B1"/>
    <w:rsid w:val="009B5159"/>
    <w:rsid w:val="009C4F49"/>
    <w:rsid w:val="009D3CD0"/>
    <w:rsid w:val="009F1B6F"/>
    <w:rsid w:val="009F607C"/>
    <w:rsid w:val="00A1019D"/>
    <w:rsid w:val="00A25EB0"/>
    <w:rsid w:val="00A35DC3"/>
    <w:rsid w:val="00A41FDA"/>
    <w:rsid w:val="00A442D1"/>
    <w:rsid w:val="00A44C97"/>
    <w:rsid w:val="00A52071"/>
    <w:rsid w:val="00A84A06"/>
    <w:rsid w:val="00AB2BB0"/>
    <w:rsid w:val="00AB7147"/>
    <w:rsid w:val="00AD5635"/>
    <w:rsid w:val="00AE199F"/>
    <w:rsid w:val="00AF4C0F"/>
    <w:rsid w:val="00B255B3"/>
    <w:rsid w:val="00B43C54"/>
    <w:rsid w:val="00B504F7"/>
    <w:rsid w:val="00B56CCE"/>
    <w:rsid w:val="00B81B18"/>
    <w:rsid w:val="00B8492A"/>
    <w:rsid w:val="00BB0E35"/>
    <w:rsid w:val="00BC24ED"/>
    <w:rsid w:val="00BC5FC8"/>
    <w:rsid w:val="00BD03AE"/>
    <w:rsid w:val="00BD2469"/>
    <w:rsid w:val="00BD4D93"/>
    <w:rsid w:val="00BE5E79"/>
    <w:rsid w:val="00BE6B0B"/>
    <w:rsid w:val="00C056B7"/>
    <w:rsid w:val="00C25583"/>
    <w:rsid w:val="00C67330"/>
    <w:rsid w:val="00C75298"/>
    <w:rsid w:val="00C75A1C"/>
    <w:rsid w:val="00CA3B14"/>
    <w:rsid w:val="00CC22F1"/>
    <w:rsid w:val="00CD7B5F"/>
    <w:rsid w:val="00CD7E16"/>
    <w:rsid w:val="00CE5958"/>
    <w:rsid w:val="00CE6571"/>
    <w:rsid w:val="00D232DB"/>
    <w:rsid w:val="00D3061A"/>
    <w:rsid w:val="00D30EE5"/>
    <w:rsid w:val="00D43596"/>
    <w:rsid w:val="00D55197"/>
    <w:rsid w:val="00D55B89"/>
    <w:rsid w:val="00D55FE7"/>
    <w:rsid w:val="00D63B9E"/>
    <w:rsid w:val="00D746AA"/>
    <w:rsid w:val="00D75DA2"/>
    <w:rsid w:val="00D7747E"/>
    <w:rsid w:val="00D8427D"/>
    <w:rsid w:val="00D95E29"/>
    <w:rsid w:val="00D97F14"/>
    <w:rsid w:val="00DB54B4"/>
    <w:rsid w:val="00DB77A0"/>
    <w:rsid w:val="00DC6611"/>
    <w:rsid w:val="00DE4417"/>
    <w:rsid w:val="00DF3697"/>
    <w:rsid w:val="00E12A39"/>
    <w:rsid w:val="00E32F3B"/>
    <w:rsid w:val="00E566A1"/>
    <w:rsid w:val="00E71B0C"/>
    <w:rsid w:val="00E82450"/>
    <w:rsid w:val="00E87C8C"/>
    <w:rsid w:val="00E9478E"/>
    <w:rsid w:val="00E97293"/>
    <w:rsid w:val="00EA5EB4"/>
    <w:rsid w:val="00EA606F"/>
    <w:rsid w:val="00EB69FB"/>
    <w:rsid w:val="00ED5F2B"/>
    <w:rsid w:val="00F729E4"/>
    <w:rsid w:val="00FB2286"/>
    <w:rsid w:val="00FB6330"/>
    <w:rsid w:val="00FD0C4A"/>
    <w:rsid w:val="00FD2ED7"/>
    <w:rsid w:val="00FD43FB"/>
    <w:rsid w:val="00FE061F"/>
    <w:rsid w:val="00FE147C"/>
    <w:rsid w:val="00FF1AFB"/>
    <w:rsid w:val="00FF3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D05F5D"/>
  <w15:docId w15:val="{8E90684C-EDFD-4542-B248-C79C9BC9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uiPriority w:val="9"/>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uiPriority w:val="9"/>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uiPriority w:val="9"/>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uiPriority w:val="9"/>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FootnoteText">
    <w:name w:val="footnote text"/>
    <w:basedOn w:val="Normal"/>
    <w:link w:val="FootnoteTextChar"/>
    <w:rsid w:val="0050655E"/>
    <w:rPr>
      <w:sz w:val="20"/>
      <w:szCs w:val="20"/>
    </w:rPr>
  </w:style>
  <w:style w:type="character" w:customStyle="1" w:styleId="FootnoteTextChar">
    <w:name w:val="Footnote Text Char"/>
    <w:basedOn w:val="DefaultParagraphFont"/>
    <w:link w:val="FootnoteText"/>
    <w:rsid w:val="0050655E"/>
    <w:rPr>
      <w:rFonts w:ascii="Arial" w:hAnsi="Arial"/>
      <w:lang w:eastAsia="en-US"/>
    </w:rPr>
  </w:style>
  <w:style w:type="character" w:styleId="FootnoteReference">
    <w:name w:val="footnote reference"/>
    <w:basedOn w:val="DefaultParagraphFont"/>
    <w:rsid w:val="0050655E"/>
    <w:rPr>
      <w:vertAlign w:val="superscript"/>
    </w:rPr>
  </w:style>
  <w:style w:type="paragraph" w:styleId="EndnoteText">
    <w:name w:val="endnote text"/>
    <w:basedOn w:val="Normal"/>
    <w:link w:val="EndnoteTextChar"/>
    <w:rsid w:val="009745B4"/>
    <w:rPr>
      <w:sz w:val="20"/>
      <w:szCs w:val="20"/>
    </w:rPr>
  </w:style>
  <w:style w:type="character" w:customStyle="1" w:styleId="EndnoteTextChar">
    <w:name w:val="Endnote Text Char"/>
    <w:basedOn w:val="DefaultParagraphFont"/>
    <w:link w:val="EndnoteText"/>
    <w:rsid w:val="009745B4"/>
    <w:rPr>
      <w:rFonts w:ascii="Arial" w:hAnsi="Arial"/>
      <w:lang w:eastAsia="en-US"/>
    </w:rPr>
  </w:style>
  <w:style w:type="character" w:styleId="EndnoteReference">
    <w:name w:val="endnote reference"/>
    <w:basedOn w:val="DefaultParagraphFont"/>
    <w:rsid w:val="00974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20637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nr.org.uk/research/regulatory-research-register.htm" TargetMode="External"/><Relationship Id="rId4" Type="http://schemas.openxmlformats.org/officeDocument/2006/relationships/styles" Target="styles.xml"/><Relationship Id="rId9" Type="http://schemas.openxmlformats.org/officeDocument/2006/relationships/hyperlink" Target="mailto:ONR.Research@ONR.Gov.u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nr.org.uk/land-use-planning.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92BC-660D-4FEA-8514-74F2B23B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2018-10-29T09:55:00Z</cp:lastPrinted>
  <dcterms:created xsi:type="dcterms:W3CDTF">2020-12-31T11:07:00Z</dcterms:created>
  <dcterms:modified xsi:type="dcterms:W3CDTF">2020-12-31T11:07:00Z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