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7517" w14:textId="77777777" w:rsidR="00B729BF" w:rsidRDefault="00B9661F" w:rsidP="00B9661F">
      <w:pPr>
        <w:shd w:val="clear" w:color="auto" w:fill="FFFFFF"/>
        <w:spacing w:after="300" w:line="240" w:lineRule="auto"/>
        <w:rPr>
          <w:rFonts w:ascii="Arial" w:eastAsia="Times New Roman" w:hAnsi="Arial" w:cs="Arial"/>
          <w:color w:val="0B0C0C"/>
          <w:kern w:val="0"/>
          <w:sz w:val="27"/>
          <w:szCs w:val="27"/>
          <w:lang w:eastAsia="en-GB"/>
          <w14:ligatures w14:val="none"/>
        </w:rPr>
      </w:pPr>
      <w:r w:rsidRPr="00B9661F">
        <w:rPr>
          <w:rFonts w:ascii="Arial" w:eastAsia="Times New Roman" w:hAnsi="Arial" w:cs="Arial"/>
          <w:color w:val="0B0C0C"/>
          <w:kern w:val="0"/>
          <w:sz w:val="27"/>
          <w:szCs w:val="27"/>
          <w:lang w:eastAsia="en-GB"/>
          <w14:ligatures w14:val="none"/>
        </w:rPr>
        <w:t xml:space="preserve">This is a Preliminary Market Engagement (PME) notice. It is not a formal invitation to tender. You will need to respond to the tender notice when published towards end of </w:t>
      </w:r>
      <w:r>
        <w:rPr>
          <w:rFonts w:ascii="Arial" w:eastAsia="Times New Roman" w:hAnsi="Arial" w:cs="Arial"/>
          <w:color w:val="0B0C0C"/>
          <w:kern w:val="0"/>
          <w:sz w:val="27"/>
          <w:szCs w:val="27"/>
          <w:lang w:eastAsia="en-GB"/>
          <w14:ligatures w14:val="none"/>
        </w:rPr>
        <w:t>Ju</w:t>
      </w:r>
      <w:r w:rsidR="003E516E">
        <w:rPr>
          <w:rFonts w:ascii="Arial" w:eastAsia="Times New Roman" w:hAnsi="Arial" w:cs="Arial"/>
          <w:color w:val="0B0C0C"/>
          <w:kern w:val="0"/>
          <w:sz w:val="27"/>
          <w:szCs w:val="27"/>
          <w:lang w:eastAsia="en-GB"/>
          <w14:ligatures w14:val="none"/>
        </w:rPr>
        <w:t>ne</w:t>
      </w:r>
      <w:r>
        <w:rPr>
          <w:rFonts w:ascii="Arial" w:eastAsia="Times New Roman" w:hAnsi="Arial" w:cs="Arial"/>
          <w:color w:val="0B0C0C"/>
          <w:kern w:val="0"/>
          <w:sz w:val="27"/>
          <w:szCs w:val="27"/>
          <w:lang w:eastAsia="en-GB"/>
          <w14:ligatures w14:val="none"/>
        </w:rPr>
        <w:t>/</w:t>
      </w:r>
      <w:r w:rsidR="003E516E">
        <w:rPr>
          <w:rFonts w:ascii="Arial" w:eastAsia="Times New Roman" w:hAnsi="Arial" w:cs="Arial"/>
          <w:color w:val="0B0C0C"/>
          <w:kern w:val="0"/>
          <w:sz w:val="27"/>
          <w:szCs w:val="27"/>
          <w:lang w:eastAsia="en-GB"/>
          <w14:ligatures w14:val="none"/>
        </w:rPr>
        <w:t>July</w:t>
      </w:r>
      <w:r>
        <w:rPr>
          <w:rFonts w:ascii="Arial" w:eastAsia="Times New Roman" w:hAnsi="Arial" w:cs="Arial"/>
          <w:color w:val="0B0C0C"/>
          <w:kern w:val="0"/>
          <w:sz w:val="27"/>
          <w:szCs w:val="27"/>
          <w:lang w:eastAsia="en-GB"/>
          <w14:ligatures w14:val="none"/>
        </w:rPr>
        <w:t xml:space="preserve"> 2025</w:t>
      </w:r>
      <w:r w:rsidRPr="00B9661F">
        <w:rPr>
          <w:rFonts w:ascii="Arial" w:eastAsia="Times New Roman" w:hAnsi="Arial" w:cs="Arial"/>
          <w:color w:val="0B0C0C"/>
          <w:kern w:val="0"/>
          <w:sz w:val="27"/>
          <w:szCs w:val="27"/>
          <w:lang w:eastAsia="en-GB"/>
          <w14:ligatures w14:val="none"/>
        </w:rPr>
        <w:t xml:space="preserve"> </w:t>
      </w:r>
      <w:r w:rsidR="00160BE8" w:rsidRPr="00B9661F">
        <w:rPr>
          <w:rFonts w:ascii="Arial" w:eastAsia="Times New Roman" w:hAnsi="Arial" w:cs="Arial"/>
          <w:color w:val="0B0C0C"/>
          <w:kern w:val="0"/>
          <w:sz w:val="27"/>
          <w:szCs w:val="27"/>
          <w:lang w:eastAsia="en-GB"/>
          <w14:ligatures w14:val="none"/>
        </w:rPr>
        <w:t>to</w:t>
      </w:r>
      <w:r w:rsidRPr="00B9661F">
        <w:rPr>
          <w:rFonts w:ascii="Arial" w:eastAsia="Times New Roman" w:hAnsi="Arial" w:cs="Arial"/>
          <w:color w:val="0B0C0C"/>
          <w:kern w:val="0"/>
          <w:sz w:val="27"/>
          <w:szCs w:val="27"/>
          <w:lang w:eastAsia="en-GB"/>
          <w14:ligatures w14:val="none"/>
        </w:rPr>
        <w:t xml:space="preserve"> be considered for th</w:t>
      </w:r>
      <w:r w:rsidR="00B729BF">
        <w:rPr>
          <w:rFonts w:ascii="Arial" w:eastAsia="Times New Roman" w:hAnsi="Arial" w:cs="Arial"/>
          <w:color w:val="0B0C0C"/>
          <w:kern w:val="0"/>
          <w:sz w:val="27"/>
          <w:szCs w:val="27"/>
          <w:lang w:eastAsia="en-GB"/>
          <w14:ligatures w14:val="none"/>
        </w:rPr>
        <w:t>is</w:t>
      </w:r>
      <w:r w:rsidRPr="00B9661F">
        <w:rPr>
          <w:rFonts w:ascii="Arial" w:eastAsia="Times New Roman" w:hAnsi="Arial" w:cs="Arial"/>
          <w:color w:val="0B0C0C"/>
          <w:kern w:val="0"/>
          <w:sz w:val="27"/>
          <w:szCs w:val="27"/>
          <w:lang w:eastAsia="en-GB"/>
          <w14:ligatures w14:val="none"/>
        </w:rPr>
        <w:t xml:space="preserve"> contract. </w:t>
      </w:r>
    </w:p>
    <w:p w14:paraId="0C6959BC" w14:textId="77777777" w:rsidR="00B729BF" w:rsidRDefault="00B9661F" w:rsidP="00B9661F">
      <w:pPr>
        <w:shd w:val="clear" w:color="auto" w:fill="FFFFFF"/>
        <w:spacing w:after="300" w:line="240" w:lineRule="auto"/>
        <w:rPr>
          <w:rFonts w:ascii="Arial" w:eastAsia="Times New Roman" w:hAnsi="Arial" w:cs="Arial"/>
          <w:color w:val="0B0C0C"/>
          <w:kern w:val="0"/>
          <w:sz w:val="27"/>
          <w:szCs w:val="27"/>
          <w:lang w:eastAsia="en-GB"/>
          <w14:ligatures w14:val="none"/>
        </w:rPr>
      </w:pPr>
      <w:r w:rsidRPr="00B9661F">
        <w:rPr>
          <w:rFonts w:ascii="Arial" w:eastAsia="Times New Roman" w:hAnsi="Arial" w:cs="Arial"/>
          <w:color w:val="0B0C0C"/>
          <w:kern w:val="0"/>
          <w:sz w:val="27"/>
          <w:szCs w:val="27"/>
          <w:lang w:eastAsia="en-GB"/>
          <w14:ligatures w14:val="none"/>
        </w:rPr>
        <w:t>The purpose of this PME is to maximise transparency and competition for the upcoming tender notice. All details in this PME are subject to being updated or changed in the tender notice.</w:t>
      </w:r>
    </w:p>
    <w:p w14:paraId="1D36BF56" w14:textId="7CE21B7F" w:rsidR="00B9661F" w:rsidRDefault="00B9661F" w:rsidP="00B9661F">
      <w:pPr>
        <w:shd w:val="clear" w:color="auto" w:fill="FFFFFF"/>
        <w:spacing w:after="300" w:line="240" w:lineRule="auto"/>
        <w:rPr>
          <w:rFonts w:ascii="Arial" w:eastAsia="Times New Roman" w:hAnsi="Arial" w:cs="Arial"/>
          <w:color w:val="0B0C0C"/>
          <w:kern w:val="0"/>
          <w:sz w:val="27"/>
          <w:szCs w:val="27"/>
          <w:lang w:eastAsia="en-GB"/>
          <w14:ligatures w14:val="none"/>
        </w:rPr>
      </w:pPr>
      <w:r w:rsidRPr="00B9661F">
        <w:rPr>
          <w:rFonts w:ascii="Arial" w:eastAsia="Times New Roman" w:hAnsi="Arial" w:cs="Arial"/>
          <w:color w:val="0B0C0C"/>
          <w:kern w:val="0"/>
          <w:sz w:val="27"/>
          <w:szCs w:val="27"/>
          <w:lang w:eastAsia="en-GB"/>
          <w14:ligatures w14:val="none"/>
        </w:rPr>
        <w:t>Th</w:t>
      </w:r>
      <w:r w:rsidR="00B729BF">
        <w:rPr>
          <w:rFonts w:ascii="Arial" w:eastAsia="Times New Roman" w:hAnsi="Arial" w:cs="Arial"/>
          <w:color w:val="0B0C0C"/>
          <w:kern w:val="0"/>
          <w:sz w:val="27"/>
          <w:szCs w:val="27"/>
          <w:lang w:eastAsia="en-GB"/>
          <w14:ligatures w14:val="none"/>
        </w:rPr>
        <w:t>is</w:t>
      </w:r>
      <w:r w:rsidRPr="00B9661F">
        <w:rPr>
          <w:rFonts w:ascii="Arial" w:eastAsia="Times New Roman" w:hAnsi="Arial" w:cs="Arial"/>
          <w:color w:val="0B0C0C"/>
          <w:kern w:val="0"/>
          <w:sz w:val="27"/>
          <w:szCs w:val="27"/>
          <w:lang w:eastAsia="en-GB"/>
          <w14:ligatures w14:val="none"/>
        </w:rPr>
        <w:t xml:space="preserve"> PME is being published to </w:t>
      </w:r>
      <w:r w:rsidR="00DD381D">
        <w:rPr>
          <w:rFonts w:ascii="Arial" w:eastAsia="Times New Roman" w:hAnsi="Arial" w:cs="Arial"/>
          <w:color w:val="0B0C0C"/>
          <w:kern w:val="0"/>
          <w:sz w:val="27"/>
          <w:szCs w:val="27"/>
          <w:lang w:eastAsia="en-GB"/>
          <w14:ligatures w14:val="none"/>
        </w:rPr>
        <w:t>make the market aware</w:t>
      </w:r>
      <w:r w:rsidR="008B42D5">
        <w:rPr>
          <w:rFonts w:ascii="Arial" w:eastAsia="Times New Roman" w:hAnsi="Arial" w:cs="Arial"/>
          <w:color w:val="0B0C0C"/>
          <w:kern w:val="0"/>
          <w:sz w:val="27"/>
          <w:szCs w:val="27"/>
          <w:lang w:eastAsia="en-GB"/>
          <w14:ligatures w14:val="none"/>
        </w:rPr>
        <w:t xml:space="preserve"> that </w:t>
      </w:r>
      <w:r w:rsidRPr="00B9661F">
        <w:rPr>
          <w:rFonts w:ascii="Arial" w:eastAsia="Times New Roman" w:hAnsi="Arial" w:cs="Arial"/>
          <w:color w:val="0B0C0C"/>
          <w:kern w:val="0"/>
          <w:sz w:val="27"/>
          <w:szCs w:val="27"/>
          <w:lang w:eastAsia="en-GB"/>
          <w14:ligatures w14:val="none"/>
        </w:rPr>
        <w:t xml:space="preserve">Engagement </w:t>
      </w:r>
      <w:r w:rsidR="000D13A6">
        <w:rPr>
          <w:rFonts w:ascii="Arial" w:eastAsia="Times New Roman" w:hAnsi="Arial" w:cs="Arial"/>
          <w:color w:val="0B0C0C"/>
          <w:kern w:val="0"/>
          <w:sz w:val="27"/>
          <w:szCs w:val="27"/>
          <w:lang w:eastAsia="en-GB"/>
          <w14:ligatures w14:val="none"/>
        </w:rPr>
        <w:t>activity</w:t>
      </w:r>
      <w:r w:rsidRPr="00B9661F">
        <w:rPr>
          <w:rFonts w:ascii="Arial" w:eastAsia="Times New Roman" w:hAnsi="Arial" w:cs="Arial"/>
          <w:color w:val="0B0C0C"/>
          <w:kern w:val="0"/>
          <w:sz w:val="27"/>
          <w:szCs w:val="27"/>
          <w:lang w:eastAsia="en-GB"/>
          <w14:ligatures w14:val="none"/>
        </w:rPr>
        <w:t xml:space="preserve"> </w:t>
      </w:r>
      <w:r w:rsidR="00B729BF">
        <w:rPr>
          <w:rFonts w:ascii="Arial" w:eastAsia="Times New Roman" w:hAnsi="Arial" w:cs="Arial"/>
          <w:color w:val="0B0C0C"/>
          <w:kern w:val="0"/>
          <w:sz w:val="27"/>
          <w:szCs w:val="27"/>
          <w:lang w:eastAsia="en-GB"/>
          <w14:ligatures w14:val="none"/>
        </w:rPr>
        <w:t xml:space="preserve">will </w:t>
      </w:r>
      <w:r w:rsidRPr="00B9661F">
        <w:rPr>
          <w:rFonts w:ascii="Arial" w:eastAsia="Times New Roman" w:hAnsi="Arial" w:cs="Arial"/>
          <w:color w:val="0B0C0C"/>
          <w:kern w:val="0"/>
          <w:sz w:val="27"/>
          <w:szCs w:val="27"/>
          <w:lang w:eastAsia="en-GB"/>
          <w14:ligatures w14:val="none"/>
        </w:rPr>
        <w:t xml:space="preserve">be </w:t>
      </w:r>
      <w:r w:rsidR="00B10C7E">
        <w:rPr>
          <w:rFonts w:ascii="Arial" w:eastAsia="Times New Roman" w:hAnsi="Arial" w:cs="Arial"/>
          <w:color w:val="0B0C0C"/>
          <w:kern w:val="0"/>
          <w:sz w:val="27"/>
          <w:szCs w:val="27"/>
          <w:lang w:eastAsia="en-GB"/>
          <w14:ligatures w14:val="none"/>
        </w:rPr>
        <w:t>conducted</w:t>
      </w:r>
      <w:r w:rsidRPr="00B9661F">
        <w:rPr>
          <w:rFonts w:ascii="Arial" w:eastAsia="Times New Roman" w:hAnsi="Arial" w:cs="Arial"/>
          <w:color w:val="0B0C0C"/>
          <w:kern w:val="0"/>
          <w:sz w:val="27"/>
          <w:szCs w:val="27"/>
          <w:lang w:eastAsia="en-GB"/>
          <w14:ligatures w14:val="none"/>
        </w:rPr>
        <w:t xml:space="preserve"> </w:t>
      </w:r>
      <w:r w:rsidR="00BB445F">
        <w:rPr>
          <w:rFonts w:ascii="Arial" w:eastAsia="Times New Roman" w:hAnsi="Arial" w:cs="Arial"/>
          <w:color w:val="0B0C0C"/>
          <w:kern w:val="0"/>
          <w:sz w:val="27"/>
          <w:szCs w:val="27"/>
          <w:lang w:eastAsia="en-GB"/>
          <w14:ligatures w14:val="none"/>
        </w:rPr>
        <w:t>in</w:t>
      </w:r>
      <w:r w:rsidR="00875AC8">
        <w:rPr>
          <w:rFonts w:ascii="Arial" w:eastAsia="Times New Roman" w:hAnsi="Arial" w:cs="Arial"/>
          <w:color w:val="0B0C0C"/>
          <w:kern w:val="0"/>
          <w:sz w:val="27"/>
          <w:szCs w:val="27"/>
          <w:lang w:eastAsia="en-GB"/>
          <w14:ligatures w14:val="none"/>
        </w:rPr>
        <w:t xml:space="preserve"> </w:t>
      </w:r>
      <w:r w:rsidR="00BB445F">
        <w:rPr>
          <w:rFonts w:ascii="Arial" w:eastAsia="Times New Roman" w:hAnsi="Arial" w:cs="Arial"/>
          <w:color w:val="0B0C0C"/>
          <w:kern w:val="0"/>
          <w:sz w:val="27"/>
          <w:szCs w:val="27"/>
          <w:lang w:eastAsia="en-GB"/>
          <w14:ligatures w14:val="none"/>
        </w:rPr>
        <w:t>June</w:t>
      </w:r>
      <w:r w:rsidRPr="00B9661F">
        <w:rPr>
          <w:rFonts w:ascii="Arial" w:eastAsia="Times New Roman" w:hAnsi="Arial" w:cs="Arial"/>
          <w:color w:val="0B0C0C"/>
          <w:kern w:val="0"/>
          <w:sz w:val="27"/>
          <w:szCs w:val="27"/>
          <w:lang w:eastAsia="en-GB"/>
          <w14:ligatures w14:val="none"/>
        </w:rPr>
        <w:t xml:space="preserve"> </w:t>
      </w:r>
      <w:r w:rsidR="00B10C7E">
        <w:rPr>
          <w:rFonts w:ascii="Arial" w:eastAsia="Times New Roman" w:hAnsi="Arial" w:cs="Arial"/>
          <w:color w:val="0B0C0C"/>
          <w:kern w:val="0"/>
          <w:sz w:val="27"/>
          <w:szCs w:val="27"/>
          <w:lang w:eastAsia="en-GB"/>
          <w14:ligatures w14:val="none"/>
        </w:rPr>
        <w:t>and July</w:t>
      </w:r>
      <w:r w:rsidR="00E20DCC">
        <w:rPr>
          <w:rFonts w:ascii="Arial" w:eastAsia="Times New Roman" w:hAnsi="Arial" w:cs="Arial"/>
          <w:color w:val="0B0C0C"/>
          <w:kern w:val="0"/>
          <w:sz w:val="27"/>
          <w:szCs w:val="27"/>
          <w:lang w:eastAsia="en-GB"/>
          <w14:ligatures w14:val="none"/>
        </w:rPr>
        <w:t xml:space="preserve"> with </w:t>
      </w:r>
      <w:r w:rsidR="00F214C1">
        <w:rPr>
          <w:rFonts w:ascii="Arial" w:eastAsia="Times New Roman" w:hAnsi="Arial" w:cs="Arial"/>
          <w:color w:val="0B0C0C"/>
          <w:kern w:val="0"/>
          <w:sz w:val="27"/>
          <w:szCs w:val="27"/>
          <w:lang w:eastAsia="en-GB"/>
          <w14:ligatures w14:val="none"/>
        </w:rPr>
        <w:t>bidders that have declared an interest</w:t>
      </w:r>
      <w:r w:rsidR="00B10C7E">
        <w:rPr>
          <w:rFonts w:ascii="Arial" w:eastAsia="Times New Roman" w:hAnsi="Arial" w:cs="Arial"/>
          <w:color w:val="0B0C0C"/>
          <w:kern w:val="0"/>
          <w:sz w:val="27"/>
          <w:szCs w:val="27"/>
          <w:lang w:eastAsia="en-GB"/>
          <w14:ligatures w14:val="none"/>
        </w:rPr>
        <w:t xml:space="preserve">. </w:t>
      </w:r>
      <w:r w:rsidR="0021112F">
        <w:rPr>
          <w:rFonts w:ascii="Arial" w:eastAsia="Times New Roman" w:hAnsi="Arial" w:cs="Arial"/>
          <w:color w:val="0B0C0C"/>
          <w:kern w:val="0"/>
          <w:sz w:val="27"/>
          <w:szCs w:val="27"/>
          <w:lang w:eastAsia="en-GB"/>
          <w14:ligatures w14:val="none"/>
        </w:rPr>
        <w:t>I</w:t>
      </w:r>
      <w:r w:rsidRPr="00B9661F">
        <w:rPr>
          <w:rFonts w:ascii="Arial" w:eastAsia="Times New Roman" w:hAnsi="Arial" w:cs="Arial"/>
          <w:color w:val="0B0C0C"/>
          <w:kern w:val="0"/>
          <w:sz w:val="27"/>
          <w:szCs w:val="27"/>
          <w:lang w:eastAsia="en-GB"/>
          <w14:ligatures w14:val="none"/>
        </w:rPr>
        <w:t xml:space="preserve">nformation about the </w:t>
      </w:r>
      <w:r w:rsidR="0021112F">
        <w:rPr>
          <w:rFonts w:ascii="Arial" w:eastAsia="Times New Roman" w:hAnsi="Arial" w:cs="Arial"/>
          <w:color w:val="0B0C0C"/>
          <w:kern w:val="0"/>
          <w:sz w:val="27"/>
          <w:szCs w:val="27"/>
          <w:lang w:eastAsia="en-GB"/>
          <w14:ligatures w14:val="none"/>
        </w:rPr>
        <w:t xml:space="preserve">potential requirements </w:t>
      </w:r>
      <w:r w:rsidRPr="00B9661F">
        <w:rPr>
          <w:rFonts w:ascii="Arial" w:eastAsia="Times New Roman" w:hAnsi="Arial" w:cs="Arial"/>
          <w:color w:val="0B0C0C"/>
          <w:kern w:val="0"/>
          <w:sz w:val="27"/>
          <w:szCs w:val="27"/>
          <w:lang w:eastAsia="en-GB"/>
          <w14:ligatures w14:val="none"/>
        </w:rPr>
        <w:t>contract</w:t>
      </w:r>
      <w:r>
        <w:rPr>
          <w:rFonts w:ascii="Arial" w:eastAsia="Times New Roman" w:hAnsi="Arial" w:cs="Arial"/>
          <w:color w:val="0B0C0C"/>
          <w:kern w:val="0"/>
          <w:sz w:val="27"/>
          <w:szCs w:val="27"/>
          <w:lang w:eastAsia="en-GB"/>
          <w14:ligatures w14:val="none"/>
        </w:rPr>
        <w:t xml:space="preserve"> for </w:t>
      </w:r>
      <w:r w:rsidRPr="00B9661F">
        <w:rPr>
          <w:rFonts w:ascii="Arial" w:eastAsia="Times New Roman" w:hAnsi="Arial" w:cs="Arial"/>
          <w:color w:val="0B0C0C"/>
          <w:kern w:val="0"/>
          <w:sz w:val="27"/>
          <w:szCs w:val="27"/>
          <w:lang w:eastAsia="en-GB"/>
          <w14:ligatures w14:val="none"/>
        </w:rPr>
        <w:t xml:space="preserve">a Digital Evidence Management System (DEMS) will be shared. </w:t>
      </w:r>
    </w:p>
    <w:p w14:paraId="246D3C6E" w14:textId="31904265" w:rsidR="004401B6" w:rsidRDefault="004401B6" w:rsidP="00B9661F">
      <w:pPr>
        <w:shd w:val="clear" w:color="auto" w:fill="FFFFFF"/>
        <w:spacing w:after="300" w:line="240" w:lineRule="auto"/>
        <w:rPr>
          <w:rFonts w:ascii="Arial" w:eastAsia="Times New Roman" w:hAnsi="Arial" w:cs="Arial"/>
          <w:color w:val="0B0C0C"/>
          <w:kern w:val="0"/>
          <w:sz w:val="27"/>
          <w:szCs w:val="27"/>
          <w:lang w:eastAsia="en-GB"/>
          <w14:ligatures w14:val="none"/>
        </w:rPr>
      </w:pPr>
      <w:r>
        <w:rPr>
          <w:rFonts w:ascii="Arial" w:eastAsia="Times New Roman" w:hAnsi="Arial" w:cs="Arial"/>
          <w:color w:val="0B0C0C"/>
          <w:kern w:val="0"/>
          <w:sz w:val="27"/>
          <w:szCs w:val="27"/>
          <w:lang w:eastAsia="en-GB"/>
          <w14:ligatures w14:val="none"/>
        </w:rPr>
        <w:t xml:space="preserve">The PME exercise will end by </w:t>
      </w:r>
      <w:r w:rsidR="00760693">
        <w:rPr>
          <w:rFonts w:ascii="Arial" w:eastAsia="Times New Roman" w:hAnsi="Arial" w:cs="Arial"/>
          <w:color w:val="0B0C0C"/>
          <w:kern w:val="0"/>
          <w:sz w:val="27"/>
          <w:szCs w:val="27"/>
          <w:lang w:eastAsia="en-GB"/>
          <w14:ligatures w14:val="none"/>
        </w:rPr>
        <w:t>31</w:t>
      </w:r>
      <w:r w:rsidR="00760693" w:rsidRPr="00760693">
        <w:rPr>
          <w:rFonts w:ascii="Arial" w:eastAsia="Times New Roman" w:hAnsi="Arial" w:cs="Arial"/>
          <w:color w:val="0B0C0C"/>
          <w:kern w:val="0"/>
          <w:sz w:val="27"/>
          <w:szCs w:val="27"/>
          <w:vertAlign w:val="superscript"/>
          <w:lang w:eastAsia="en-GB"/>
          <w14:ligatures w14:val="none"/>
        </w:rPr>
        <w:t>st</w:t>
      </w:r>
      <w:r w:rsidR="00760693">
        <w:rPr>
          <w:rFonts w:ascii="Arial" w:eastAsia="Times New Roman" w:hAnsi="Arial" w:cs="Arial"/>
          <w:color w:val="0B0C0C"/>
          <w:kern w:val="0"/>
          <w:sz w:val="27"/>
          <w:szCs w:val="27"/>
          <w:lang w:eastAsia="en-GB"/>
          <w14:ligatures w14:val="none"/>
        </w:rPr>
        <w:t xml:space="preserve"> July 2025.</w:t>
      </w:r>
    </w:p>
    <w:p w14:paraId="65B8F676" w14:textId="02472BB4" w:rsidR="00237CB2" w:rsidRDefault="008129DA" w:rsidP="00B9661F">
      <w:pPr>
        <w:shd w:val="clear" w:color="auto" w:fill="FFFFFF"/>
        <w:spacing w:after="300" w:line="240" w:lineRule="auto"/>
        <w:rPr>
          <w:rFonts w:ascii="Arial" w:eastAsia="Times New Roman" w:hAnsi="Arial" w:cs="Arial"/>
          <w:color w:val="0B0C0C"/>
          <w:kern w:val="0"/>
          <w:sz w:val="27"/>
          <w:szCs w:val="27"/>
          <w:lang w:eastAsia="en-GB"/>
          <w14:ligatures w14:val="none"/>
        </w:rPr>
      </w:pPr>
      <w:r>
        <w:rPr>
          <w:rFonts w:ascii="Arial" w:eastAsia="Times New Roman" w:hAnsi="Arial" w:cs="Arial"/>
          <w:color w:val="0B0C0C"/>
          <w:kern w:val="0"/>
          <w:sz w:val="27"/>
          <w:szCs w:val="27"/>
          <w:lang w:eastAsia="en-GB"/>
          <w14:ligatures w14:val="none"/>
        </w:rPr>
        <w:t xml:space="preserve">The process will consist of </w:t>
      </w:r>
      <w:r w:rsidR="00237CB2">
        <w:rPr>
          <w:rFonts w:ascii="Arial" w:eastAsia="Times New Roman" w:hAnsi="Arial" w:cs="Arial"/>
          <w:color w:val="0B0C0C"/>
          <w:kern w:val="0"/>
          <w:sz w:val="27"/>
          <w:szCs w:val="27"/>
          <w:lang w:eastAsia="en-GB"/>
          <w14:ligatures w14:val="none"/>
        </w:rPr>
        <w:t>one-to-one</w:t>
      </w:r>
      <w:r w:rsidR="00EE2E61">
        <w:rPr>
          <w:rFonts w:ascii="Arial" w:eastAsia="Times New Roman" w:hAnsi="Arial" w:cs="Arial"/>
          <w:color w:val="0B0C0C"/>
          <w:kern w:val="0"/>
          <w:sz w:val="27"/>
          <w:szCs w:val="27"/>
          <w:lang w:eastAsia="en-GB"/>
          <w14:ligatures w14:val="none"/>
        </w:rPr>
        <w:t xml:space="preserve"> </w:t>
      </w:r>
      <w:r>
        <w:rPr>
          <w:rFonts w:ascii="Arial" w:eastAsia="Times New Roman" w:hAnsi="Arial" w:cs="Arial"/>
          <w:color w:val="0B0C0C"/>
          <w:kern w:val="0"/>
          <w:sz w:val="27"/>
          <w:szCs w:val="27"/>
          <w:lang w:eastAsia="en-GB"/>
          <w14:ligatures w14:val="none"/>
        </w:rPr>
        <w:t>meetings</w:t>
      </w:r>
      <w:r w:rsidR="00EE2E61">
        <w:rPr>
          <w:rFonts w:ascii="Arial" w:eastAsia="Times New Roman" w:hAnsi="Arial" w:cs="Arial"/>
          <w:color w:val="0B0C0C"/>
          <w:kern w:val="0"/>
          <w:sz w:val="27"/>
          <w:szCs w:val="27"/>
          <w:lang w:eastAsia="en-GB"/>
          <w14:ligatures w14:val="none"/>
        </w:rPr>
        <w:t>, workshops</w:t>
      </w:r>
      <w:r>
        <w:rPr>
          <w:rFonts w:ascii="Arial" w:eastAsia="Times New Roman" w:hAnsi="Arial" w:cs="Arial"/>
          <w:color w:val="0B0C0C"/>
          <w:kern w:val="0"/>
          <w:sz w:val="27"/>
          <w:szCs w:val="27"/>
          <w:lang w:eastAsia="en-GB"/>
          <w14:ligatures w14:val="none"/>
        </w:rPr>
        <w:t xml:space="preserve"> </w:t>
      </w:r>
      <w:r w:rsidR="00EE2E61">
        <w:rPr>
          <w:rFonts w:ascii="Arial" w:eastAsia="Times New Roman" w:hAnsi="Arial" w:cs="Arial"/>
          <w:color w:val="0B0C0C"/>
          <w:kern w:val="0"/>
          <w:sz w:val="27"/>
          <w:szCs w:val="27"/>
          <w:lang w:eastAsia="en-GB"/>
          <w14:ligatures w14:val="none"/>
        </w:rPr>
        <w:t>and/or</w:t>
      </w:r>
    </w:p>
    <w:p w14:paraId="03E7340A" w14:textId="7F644724" w:rsidR="008129DA" w:rsidRDefault="00EE2E61" w:rsidP="00B9661F">
      <w:pPr>
        <w:shd w:val="clear" w:color="auto" w:fill="FFFFFF"/>
        <w:spacing w:after="300" w:line="240" w:lineRule="auto"/>
        <w:rPr>
          <w:rFonts w:ascii="Arial" w:eastAsia="Times New Roman" w:hAnsi="Arial" w:cs="Arial"/>
          <w:color w:val="0B0C0C"/>
          <w:kern w:val="0"/>
          <w:sz w:val="27"/>
          <w:szCs w:val="27"/>
          <w:lang w:eastAsia="en-GB"/>
          <w14:ligatures w14:val="none"/>
        </w:rPr>
      </w:pPr>
      <w:r>
        <w:rPr>
          <w:rFonts w:ascii="Arial" w:eastAsia="Times New Roman" w:hAnsi="Arial" w:cs="Arial"/>
          <w:color w:val="0B0C0C"/>
          <w:kern w:val="0"/>
          <w:sz w:val="27"/>
          <w:szCs w:val="27"/>
          <w:lang w:eastAsia="en-GB"/>
          <w14:ligatures w14:val="none"/>
        </w:rPr>
        <w:t xml:space="preserve">presentations </w:t>
      </w:r>
      <w:r w:rsidR="008129DA">
        <w:rPr>
          <w:rFonts w:ascii="Arial" w:eastAsia="Times New Roman" w:hAnsi="Arial" w:cs="Arial"/>
          <w:color w:val="0B0C0C"/>
          <w:kern w:val="0"/>
          <w:sz w:val="27"/>
          <w:szCs w:val="27"/>
          <w:lang w:eastAsia="en-GB"/>
          <w14:ligatures w14:val="none"/>
        </w:rPr>
        <w:t>between the authority and interested parties.</w:t>
      </w:r>
    </w:p>
    <w:p w14:paraId="0E2A11EB" w14:textId="77777777" w:rsidR="00AE186B" w:rsidRDefault="00B9661F" w:rsidP="00B9661F">
      <w:pPr>
        <w:shd w:val="clear" w:color="auto" w:fill="FFFFFF"/>
        <w:spacing w:after="300" w:line="240" w:lineRule="auto"/>
        <w:rPr>
          <w:rFonts w:ascii="Arial" w:eastAsia="Times New Roman" w:hAnsi="Arial" w:cs="Arial"/>
          <w:color w:val="0B0C0C"/>
          <w:kern w:val="0"/>
          <w:sz w:val="27"/>
          <w:szCs w:val="27"/>
          <w:lang w:eastAsia="en-GB"/>
          <w14:ligatures w14:val="none"/>
        </w:rPr>
      </w:pPr>
      <w:r w:rsidRPr="00B9661F">
        <w:rPr>
          <w:rFonts w:ascii="Arial" w:eastAsia="Times New Roman" w:hAnsi="Arial" w:cs="Arial"/>
          <w:color w:val="0B0C0C"/>
          <w:kern w:val="0"/>
          <w:sz w:val="27"/>
          <w:szCs w:val="27"/>
          <w:lang w:eastAsia="en-GB"/>
          <w14:ligatures w14:val="none"/>
        </w:rPr>
        <w:t>Th</w:t>
      </w:r>
      <w:r w:rsidR="000A1BE9">
        <w:rPr>
          <w:rFonts w:ascii="Arial" w:eastAsia="Times New Roman" w:hAnsi="Arial" w:cs="Arial"/>
          <w:color w:val="0B0C0C"/>
          <w:kern w:val="0"/>
          <w:sz w:val="27"/>
          <w:szCs w:val="27"/>
          <w:lang w:eastAsia="en-GB"/>
          <w14:ligatures w14:val="none"/>
        </w:rPr>
        <w:t>is</w:t>
      </w:r>
      <w:r w:rsidRPr="00B9661F">
        <w:rPr>
          <w:rFonts w:ascii="Arial" w:eastAsia="Times New Roman" w:hAnsi="Arial" w:cs="Arial"/>
          <w:color w:val="0B0C0C"/>
          <w:kern w:val="0"/>
          <w:sz w:val="27"/>
          <w:szCs w:val="27"/>
          <w:lang w:eastAsia="en-GB"/>
          <w14:ligatures w14:val="none"/>
        </w:rPr>
        <w:t xml:space="preserve"> PME fulfils the requirement for a Preliminary Market Engagement Notice to be issued under the Procurement Act 2023. </w:t>
      </w:r>
    </w:p>
    <w:p w14:paraId="0EFE14DB" w14:textId="73F15C7E" w:rsidR="00B9661F" w:rsidRPr="00B9661F" w:rsidRDefault="00B9661F" w:rsidP="00B9661F">
      <w:pPr>
        <w:shd w:val="clear" w:color="auto" w:fill="FFFFFF"/>
        <w:spacing w:after="300" w:line="240" w:lineRule="auto"/>
        <w:rPr>
          <w:rFonts w:ascii="Arial" w:eastAsia="Times New Roman" w:hAnsi="Arial" w:cs="Arial"/>
          <w:color w:val="0B0C0C"/>
          <w:kern w:val="0"/>
          <w:sz w:val="27"/>
          <w:szCs w:val="27"/>
          <w:lang w:eastAsia="en-GB"/>
          <w14:ligatures w14:val="none"/>
        </w:rPr>
      </w:pPr>
      <w:r w:rsidRPr="00B9661F">
        <w:rPr>
          <w:rFonts w:ascii="Arial" w:eastAsia="Times New Roman" w:hAnsi="Arial" w:cs="Arial"/>
          <w:color w:val="0B0C0C"/>
          <w:kern w:val="0"/>
          <w:sz w:val="27"/>
          <w:szCs w:val="27"/>
          <w:lang w:eastAsia="en-GB"/>
          <w14:ligatures w14:val="none"/>
        </w:rPr>
        <w:t>Organisations interested in this opportunity should co</w:t>
      </w:r>
      <w:r w:rsidR="00AE186B">
        <w:rPr>
          <w:rFonts w:ascii="Arial" w:eastAsia="Times New Roman" w:hAnsi="Arial" w:cs="Arial"/>
          <w:color w:val="0B0C0C"/>
          <w:kern w:val="0"/>
          <w:sz w:val="27"/>
          <w:szCs w:val="27"/>
          <w:lang w:eastAsia="en-GB"/>
          <w14:ligatures w14:val="none"/>
        </w:rPr>
        <w:t>ntact the Authority via this portal.</w:t>
      </w:r>
      <w:r w:rsidR="00187F24">
        <w:rPr>
          <w:rFonts w:ascii="Arial" w:eastAsia="Times New Roman" w:hAnsi="Arial" w:cs="Arial"/>
          <w:color w:val="0B0C0C"/>
          <w:kern w:val="0"/>
          <w:sz w:val="27"/>
          <w:szCs w:val="27"/>
          <w:lang w:eastAsia="en-GB"/>
          <w14:ligatures w14:val="none"/>
        </w:rPr>
        <w:t xml:space="preserve"> We will be in contact</w:t>
      </w:r>
      <w:r w:rsidRPr="00B9661F">
        <w:rPr>
          <w:rFonts w:ascii="Arial" w:eastAsia="Times New Roman" w:hAnsi="Arial" w:cs="Arial"/>
          <w:color w:val="0B0C0C"/>
          <w:kern w:val="0"/>
          <w:sz w:val="27"/>
          <w:szCs w:val="27"/>
          <w:lang w:eastAsia="en-GB"/>
          <w14:ligatures w14:val="none"/>
        </w:rPr>
        <w:t xml:space="preserve"> </w:t>
      </w:r>
      <w:r w:rsidR="003E608B">
        <w:rPr>
          <w:rFonts w:ascii="Arial" w:eastAsia="Times New Roman" w:hAnsi="Arial" w:cs="Arial"/>
          <w:color w:val="0B0C0C"/>
          <w:kern w:val="0"/>
          <w:sz w:val="27"/>
          <w:szCs w:val="27"/>
          <w:lang w:eastAsia="en-GB"/>
          <w14:ligatures w14:val="none"/>
        </w:rPr>
        <w:t>shortly after</w:t>
      </w:r>
      <w:r w:rsidRPr="00B9661F">
        <w:rPr>
          <w:rFonts w:ascii="Arial" w:eastAsia="Times New Roman" w:hAnsi="Arial" w:cs="Arial"/>
          <w:color w:val="0B0C0C"/>
          <w:kern w:val="0"/>
          <w:sz w:val="27"/>
          <w:szCs w:val="27"/>
          <w:lang w:eastAsia="en-GB"/>
          <w14:ligatures w14:val="none"/>
        </w:rPr>
        <w:t xml:space="preserve"> receipt of</w:t>
      </w:r>
      <w:r w:rsidR="00AE186B">
        <w:rPr>
          <w:rFonts w:ascii="Arial" w:eastAsia="Times New Roman" w:hAnsi="Arial" w:cs="Arial"/>
          <w:color w:val="0B0C0C"/>
          <w:kern w:val="0"/>
          <w:sz w:val="27"/>
          <w:szCs w:val="27"/>
          <w:lang w:eastAsia="en-GB"/>
          <w14:ligatures w14:val="none"/>
        </w:rPr>
        <w:t xml:space="preserve"> your email.</w:t>
      </w:r>
    </w:p>
    <w:p w14:paraId="6A944C36" w14:textId="77777777" w:rsidR="00833034" w:rsidRPr="00833034" w:rsidRDefault="00833034" w:rsidP="00833034">
      <w:p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r w:rsidRPr="00833034">
        <w:rPr>
          <w:rFonts w:ascii="Arial" w:eastAsia="Times New Roman" w:hAnsi="Arial" w:cs="Arial"/>
          <w:color w:val="0B0C0C"/>
          <w:kern w:val="0"/>
          <w:sz w:val="27"/>
          <w:szCs w:val="27"/>
          <w:lang w:eastAsia="en-GB"/>
          <w14:ligatures w14:val="none"/>
        </w:rPr>
        <w:t xml:space="preserve">The Forensic Science Regulator (FSR) came into effect as of Oct 2023 and this led to an urgent need to stand up a solution to meet the minimal levels of this new requirement. This led to the Interim solution, which was tactical cloud storage using existing Digital Evidence Archive (DEA) for working copy analysis through remote access. </w:t>
      </w:r>
    </w:p>
    <w:p w14:paraId="2B75B860" w14:textId="6AD623B4" w:rsidR="00B9661F" w:rsidRDefault="00833034" w:rsidP="00833034">
      <w:p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r w:rsidRPr="00833034">
        <w:rPr>
          <w:rFonts w:ascii="Arial" w:eastAsia="Times New Roman" w:hAnsi="Arial" w:cs="Arial"/>
          <w:color w:val="0B0C0C"/>
          <w:kern w:val="0"/>
          <w:sz w:val="27"/>
          <w:szCs w:val="27"/>
          <w:lang w:eastAsia="en-GB"/>
          <w14:ligatures w14:val="none"/>
        </w:rPr>
        <w:t xml:space="preserve">The next phase of the project is to review a strategic option to provide a long-term Digital Evidence Management </w:t>
      </w:r>
      <w:r w:rsidR="000E169D">
        <w:rPr>
          <w:rFonts w:ascii="Arial" w:eastAsia="Times New Roman" w:hAnsi="Arial" w:cs="Arial"/>
          <w:color w:val="0B0C0C"/>
          <w:kern w:val="0"/>
          <w:sz w:val="27"/>
          <w:szCs w:val="27"/>
          <w:lang w:eastAsia="en-GB"/>
          <w14:ligatures w14:val="none"/>
        </w:rPr>
        <w:t>S</w:t>
      </w:r>
      <w:r w:rsidRPr="00833034">
        <w:rPr>
          <w:rFonts w:ascii="Arial" w:eastAsia="Times New Roman" w:hAnsi="Arial" w:cs="Arial"/>
          <w:color w:val="0B0C0C"/>
          <w:kern w:val="0"/>
          <w:sz w:val="27"/>
          <w:szCs w:val="27"/>
          <w:lang w:eastAsia="en-GB"/>
          <w14:ligatures w14:val="none"/>
        </w:rPr>
        <w:t xml:space="preserve">olution that will be </w:t>
      </w:r>
      <w:r w:rsidR="00777705">
        <w:rPr>
          <w:rFonts w:ascii="Arial" w:eastAsia="Times New Roman" w:hAnsi="Arial" w:cs="Arial"/>
          <w:color w:val="0B0C0C"/>
          <w:kern w:val="0"/>
          <w:sz w:val="27"/>
          <w:szCs w:val="27"/>
          <w:lang w:eastAsia="en-GB"/>
          <w14:ligatures w14:val="none"/>
        </w:rPr>
        <w:t>sc</w:t>
      </w:r>
      <w:r w:rsidR="002055AA">
        <w:rPr>
          <w:rFonts w:ascii="Arial" w:eastAsia="Times New Roman" w:hAnsi="Arial" w:cs="Arial"/>
          <w:color w:val="0B0C0C"/>
          <w:kern w:val="0"/>
          <w:sz w:val="27"/>
          <w:szCs w:val="27"/>
          <w:lang w:eastAsia="en-GB"/>
          <w14:ligatures w14:val="none"/>
        </w:rPr>
        <w:t xml:space="preserve">alable and </w:t>
      </w:r>
      <w:r w:rsidRPr="00833034">
        <w:rPr>
          <w:rFonts w:ascii="Arial" w:eastAsia="Times New Roman" w:hAnsi="Arial" w:cs="Arial"/>
          <w:color w:val="0B0C0C"/>
          <w:kern w:val="0"/>
          <w:sz w:val="27"/>
          <w:szCs w:val="27"/>
          <w:lang w:eastAsia="en-GB"/>
          <w14:ligatures w14:val="none"/>
        </w:rPr>
        <w:t>maintainable going forward.</w:t>
      </w:r>
    </w:p>
    <w:p w14:paraId="2B294089" w14:textId="77777777" w:rsidR="00FB6671" w:rsidRPr="00FB6671" w:rsidRDefault="00FB6671" w:rsidP="00FB6671">
      <w:p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r w:rsidRPr="00FB6671">
        <w:rPr>
          <w:rFonts w:ascii="Arial" w:eastAsia="Times New Roman" w:hAnsi="Arial" w:cs="Arial"/>
          <w:color w:val="0B0C0C"/>
          <w:kern w:val="0"/>
          <w:sz w:val="27"/>
          <w:szCs w:val="27"/>
          <w:lang w:eastAsia="en-GB"/>
          <w14:ligatures w14:val="none"/>
        </w:rPr>
        <w:t>We are seeking a Digital Evidence Management System (DEMS) which will provide a platform to meet the legislative and International Standards stipulated for forensic evidential extractions.</w:t>
      </w:r>
    </w:p>
    <w:p w14:paraId="689D8BF4" w14:textId="77777777" w:rsidR="00FB6671" w:rsidRPr="00FB6671" w:rsidRDefault="00FB6671" w:rsidP="00FB6671">
      <w:p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p>
    <w:p w14:paraId="7F0EF4B7" w14:textId="77777777" w:rsidR="00FB6671" w:rsidRPr="00FB6671" w:rsidRDefault="00FB6671" w:rsidP="00FB6671">
      <w:p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r w:rsidRPr="00FB6671">
        <w:rPr>
          <w:rFonts w:ascii="Arial" w:eastAsia="Times New Roman" w:hAnsi="Arial" w:cs="Arial"/>
          <w:color w:val="0B0C0C"/>
          <w:kern w:val="0"/>
          <w:sz w:val="27"/>
          <w:szCs w:val="27"/>
          <w:lang w:eastAsia="en-GB"/>
          <w14:ligatures w14:val="none"/>
        </w:rPr>
        <w:t xml:space="preserve">Please see </w:t>
      </w:r>
      <w:hyperlink r:id="rId9" w:history="1">
        <w:r w:rsidRPr="00FB6671">
          <w:rPr>
            <w:rStyle w:val="Hyperlink"/>
            <w:rFonts w:ascii="Arial" w:eastAsia="Times New Roman" w:hAnsi="Arial" w:cs="Arial"/>
            <w:kern w:val="0"/>
            <w:sz w:val="27"/>
            <w:szCs w:val="27"/>
            <w:lang w:eastAsia="en-GB"/>
            <w14:ligatures w14:val="none"/>
          </w:rPr>
          <w:t>Extraction of information from electronic devices: code of practice (accessible) - GOV.UK</w:t>
        </w:r>
      </w:hyperlink>
    </w:p>
    <w:p w14:paraId="7BCF11F4" w14:textId="77777777" w:rsidR="00FB6671" w:rsidRPr="00FB6671" w:rsidRDefault="00FB6671" w:rsidP="00FB6671">
      <w:p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r w:rsidRPr="00FB6671">
        <w:rPr>
          <w:rFonts w:ascii="Arial" w:eastAsia="Times New Roman" w:hAnsi="Arial" w:cs="Arial"/>
          <w:color w:val="0B0C0C"/>
          <w:kern w:val="0"/>
          <w:sz w:val="27"/>
          <w:szCs w:val="27"/>
          <w:lang w:eastAsia="en-GB"/>
          <w14:ligatures w14:val="none"/>
        </w:rPr>
        <w:t xml:space="preserve">and </w:t>
      </w:r>
    </w:p>
    <w:p w14:paraId="51F0B90C" w14:textId="77777777" w:rsidR="00FB6671" w:rsidRPr="00FB6671" w:rsidRDefault="004C354D" w:rsidP="00FB6671">
      <w:p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hyperlink r:id="rId10" w:history="1">
        <w:r w:rsidR="00FB6671" w:rsidRPr="00FB6671">
          <w:rPr>
            <w:rStyle w:val="Hyperlink"/>
            <w:rFonts w:ascii="Arial" w:eastAsia="Times New Roman" w:hAnsi="Arial" w:cs="Arial"/>
            <w:kern w:val="0"/>
            <w:sz w:val="27"/>
            <w:szCs w:val="27"/>
            <w:lang w:eastAsia="en-GB"/>
            <w14:ligatures w14:val="none"/>
          </w:rPr>
          <w:t>Forensic science providers: codes of practice and conduct - GOV.UK</w:t>
        </w:r>
      </w:hyperlink>
    </w:p>
    <w:p w14:paraId="1AF7E17F" w14:textId="77777777" w:rsidR="00FB6671" w:rsidRPr="00FB6671" w:rsidRDefault="00FB6671" w:rsidP="00FB6671">
      <w:p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p>
    <w:p w14:paraId="32927A56" w14:textId="77777777" w:rsidR="00FB6671" w:rsidRPr="00FB6671" w:rsidRDefault="00FB6671" w:rsidP="00FB6671">
      <w:p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r w:rsidRPr="00FB6671">
        <w:rPr>
          <w:rFonts w:ascii="Arial" w:eastAsia="Times New Roman" w:hAnsi="Arial" w:cs="Arial"/>
          <w:color w:val="0B0C0C"/>
          <w:kern w:val="0"/>
          <w:sz w:val="27"/>
          <w:szCs w:val="27"/>
          <w:lang w:eastAsia="en-GB"/>
          <w14:ligatures w14:val="none"/>
        </w:rPr>
        <w:t>The chosen strategy of a Forensic Regulatory compliant DEMS solution is based on the following considerations:</w:t>
      </w:r>
    </w:p>
    <w:p w14:paraId="386C0DBC" w14:textId="77777777" w:rsidR="00FB6671" w:rsidRPr="00FB6671" w:rsidRDefault="00FB6671" w:rsidP="00FB6671">
      <w:p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r w:rsidRPr="00FB6671">
        <w:rPr>
          <w:rFonts w:ascii="Arial" w:eastAsia="Times New Roman" w:hAnsi="Arial" w:cs="Arial"/>
          <w:color w:val="0B0C0C"/>
          <w:kern w:val="0"/>
          <w:sz w:val="27"/>
          <w:szCs w:val="27"/>
          <w:lang w:eastAsia="en-GB"/>
          <w14:ligatures w14:val="none"/>
        </w:rPr>
        <w:t>Key features supported by the DEMS will be the following (not a comprehensive list)</w:t>
      </w:r>
    </w:p>
    <w:p w14:paraId="2457ACA1" w14:textId="77777777" w:rsidR="00FB6671" w:rsidRPr="00FB6671" w:rsidRDefault="00FB6671" w:rsidP="00FB6671">
      <w:p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p>
    <w:p w14:paraId="52867354" w14:textId="77777777" w:rsidR="00FB6671" w:rsidRPr="00FB6671" w:rsidRDefault="00FB6671" w:rsidP="00FB6671">
      <w:pPr>
        <w:numPr>
          <w:ilvl w:val="1"/>
          <w:numId w:val="3"/>
        </w:num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r w:rsidRPr="00FB6671">
        <w:rPr>
          <w:rFonts w:ascii="Arial" w:eastAsia="Times New Roman" w:hAnsi="Arial" w:cs="Arial"/>
          <w:color w:val="0B0C0C"/>
          <w:kern w:val="0"/>
          <w:sz w:val="27"/>
          <w:szCs w:val="27"/>
          <w:lang w:eastAsia="en-GB"/>
          <w14:ligatures w14:val="none"/>
        </w:rPr>
        <w:t>Digital evidence collection &amp; submission</w:t>
      </w:r>
    </w:p>
    <w:p w14:paraId="0B034B5D" w14:textId="77777777" w:rsidR="00FB6671" w:rsidRPr="00FB6671" w:rsidRDefault="00FB6671" w:rsidP="00FB6671">
      <w:pPr>
        <w:numPr>
          <w:ilvl w:val="1"/>
          <w:numId w:val="3"/>
        </w:num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r w:rsidRPr="00FB6671">
        <w:rPr>
          <w:rFonts w:ascii="Arial" w:eastAsia="Times New Roman" w:hAnsi="Arial" w:cs="Arial"/>
          <w:color w:val="0B0C0C"/>
          <w:kern w:val="0"/>
          <w:sz w:val="27"/>
          <w:szCs w:val="27"/>
          <w:lang w:eastAsia="en-GB"/>
          <w14:ligatures w14:val="none"/>
        </w:rPr>
        <w:t>Digital evidence scalable cloud storage &amp; security</w:t>
      </w:r>
    </w:p>
    <w:p w14:paraId="186EED34" w14:textId="77777777" w:rsidR="00FB6671" w:rsidRPr="00FB6671" w:rsidRDefault="00FB6671" w:rsidP="00FB6671">
      <w:pPr>
        <w:numPr>
          <w:ilvl w:val="1"/>
          <w:numId w:val="3"/>
        </w:num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r w:rsidRPr="00FB6671">
        <w:rPr>
          <w:rFonts w:ascii="Arial" w:eastAsia="Times New Roman" w:hAnsi="Arial" w:cs="Arial"/>
          <w:color w:val="0B0C0C"/>
          <w:kern w:val="0"/>
          <w:sz w:val="27"/>
          <w:szCs w:val="27"/>
          <w:lang w:eastAsia="en-GB"/>
          <w14:ligatures w14:val="none"/>
        </w:rPr>
        <w:t>Case management &amp; collaboration</w:t>
      </w:r>
    </w:p>
    <w:p w14:paraId="728EA321" w14:textId="77777777" w:rsidR="00FB6671" w:rsidRPr="00FB6671" w:rsidRDefault="00FB6671" w:rsidP="00FB6671">
      <w:pPr>
        <w:numPr>
          <w:ilvl w:val="1"/>
          <w:numId w:val="3"/>
        </w:num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r w:rsidRPr="00FB6671">
        <w:rPr>
          <w:rFonts w:ascii="Arial" w:eastAsia="Times New Roman" w:hAnsi="Arial" w:cs="Arial"/>
          <w:color w:val="0B0C0C"/>
          <w:kern w:val="0"/>
          <w:sz w:val="27"/>
          <w:szCs w:val="27"/>
          <w:lang w:eastAsia="en-GB"/>
          <w14:ligatures w14:val="none"/>
        </w:rPr>
        <w:t>Auditing &amp; reporting capabilities</w:t>
      </w:r>
    </w:p>
    <w:p w14:paraId="65150E84" w14:textId="77777777" w:rsidR="00FB6671" w:rsidRPr="00FB6671" w:rsidRDefault="00FB6671" w:rsidP="00FB6671">
      <w:pPr>
        <w:numPr>
          <w:ilvl w:val="1"/>
          <w:numId w:val="3"/>
        </w:num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r w:rsidRPr="00FB6671">
        <w:rPr>
          <w:rFonts w:ascii="Arial" w:eastAsia="Times New Roman" w:hAnsi="Arial" w:cs="Arial"/>
          <w:color w:val="0B0C0C"/>
          <w:kern w:val="0"/>
          <w:sz w:val="27"/>
          <w:szCs w:val="27"/>
          <w:lang w:eastAsia="en-GB"/>
          <w14:ligatures w14:val="none"/>
        </w:rPr>
        <w:t>Secure evidence sharing</w:t>
      </w:r>
    </w:p>
    <w:p w14:paraId="0AAE38E1" w14:textId="77777777" w:rsidR="00BE7DE7" w:rsidRDefault="00BE7DE7" w:rsidP="00833034">
      <w:p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p>
    <w:p w14:paraId="28F026EA" w14:textId="77777777" w:rsidR="00BE7DE7" w:rsidRDefault="00BE7DE7" w:rsidP="00833034">
      <w:pPr>
        <w:shd w:val="clear" w:color="auto" w:fill="FFFFFF" w:themeFill="background1"/>
        <w:spacing w:after="300" w:line="240" w:lineRule="auto"/>
        <w:rPr>
          <w:rFonts w:ascii="Arial" w:eastAsia="Times New Roman" w:hAnsi="Arial" w:cs="Arial"/>
          <w:color w:val="0B0C0C"/>
          <w:kern w:val="0"/>
          <w:sz w:val="27"/>
          <w:szCs w:val="27"/>
          <w:lang w:eastAsia="en-GB"/>
          <w14:ligatures w14:val="none"/>
        </w:rPr>
      </w:pPr>
    </w:p>
    <w:p w14:paraId="2405B33B" w14:textId="77777777" w:rsidR="00B9661F" w:rsidRDefault="00B9661F" w:rsidP="00B9661F">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B9661F">
        <w:rPr>
          <w:rFonts w:ascii="Arial" w:eastAsia="Times New Roman" w:hAnsi="Arial" w:cs="Arial"/>
          <w:b/>
          <w:bCs/>
          <w:color w:val="0B0C0C"/>
          <w:kern w:val="0"/>
          <w:sz w:val="27"/>
          <w:szCs w:val="27"/>
          <w:lang w:eastAsia="en-GB"/>
          <w14:ligatures w14:val="none"/>
        </w:rPr>
        <w:t>Contract dates (estimated)</w:t>
      </w:r>
    </w:p>
    <w:p w14:paraId="02F03D7B" w14:textId="5EF99B94" w:rsidR="00833034" w:rsidRPr="007962D4" w:rsidRDefault="00D5061F" w:rsidP="00B9661F">
      <w:pPr>
        <w:shd w:val="clear" w:color="auto" w:fill="FFFFFF"/>
        <w:spacing w:after="300" w:line="240" w:lineRule="auto"/>
        <w:outlineLvl w:val="2"/>
        <w:rPr>
          <w:rFonts w:ascii="Arial" w:eastAsia="Times New Roman" w:hAnsi="Arial" w:cs="Arial"/>
          <w:color w:val="0B0C0C"/>
          <w:kern w:val="0"/>
          <w:sz w:val="27"/>
          <w:szCs w:val="27"/>
          <w:lang w:eastAsia="en-GB"/>
          <w14:ligatures w14:val="none"/>
        </w:rPr>
      </w:pPr>
      <w:r w:rsidRPr="007962D4">
        <w:rPr>
          <w:rFonts w:ascii="Arial" w:eastAsia="Times New Roman" w:hAnsi="Arial" w:cs="Arial"/>
          <w:color w:val="0B0C0C"/>
          <w:kern w:val="0"/>
          <w:sz w:val="27"/>
          <w:szCs w:val="27"/>
          <w:lang w:eastAsia="en-GB"/>
          <w14:ligatures w14:val="none"/>
        </w:rPr>
        <w:t xml:space="preserve">Start </w:t>
      </w:r>
      <w:r w:rsidR="00B729BF" w:rsidRPr="007962D4">
        <w:rPr>
          <w:rFonts w:ascii="Arial" w:eastAsia="Times New Roman" w:hAnsi="Arial" w:cs="Arial"/>
          <w:color w:val="0B0C0C"/>
          <w:kern w:val="0"/>
          <w:sz w:val="27"/>
          <w:szCs w:val="27"/>
          <w:lang w:eastAsia="en-GB"/>
          <w14:ligatures w14:val="none"/>
        </w:rPr>
        <w:t>date August</w:t>
      </w:r>
      <w:r w:rsidR="00CB20CD">
        <w:rPr>
          <w:rFonts w:ascii="Arial" w:eastAsia="Times New Roman" w:hAnsi="Arial" w:cs="Arial"/>
          <w:color w:val="0B0C0C"/>
          <w:kern w:val="0"/>
          <w:sz w:val="27"/>
          <w:szCs w:val="27"/>
          <w:lang w:eastAsia="en-GB"/>
          <w14:ligatures w14:val="none"/>
        </w:rPr>
        <w:t xml:space="preserve">/September </w:t>
      </w:r>
      <w:r w:rsidR="007962D4" w:rsidRPr="007962D4">
        <w:rPr>
          <w:rFonts w:ascii="Arial" w:eastAsia="Times New Roman" w:hAnsi="Arial" w:cs="Arial"/>
          <w:color w:val="0B0C0C"/>
          <w:kern w:val="0"/>
          <w:sz w:val="27"/>
          <w:szCs w:val="27"/>
          <w:lang w:eastAsia="en-GB"/>
          <w14:ligatures w14:val="none"/>
        </w:rPr>
        <w:t xml:space="preserve">2025 </w:t>
      </w:r>
    </w:p>
    <w:p w14:paraId="7C6D482D" w14:textId="77777777" w:rsidR="00B9661F" w:rsidRPr="00B9661F" w:rsidRDefault="00B9661F" w:rsidP="00B9661F">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B9661F">
        <w:rPr>
          <w:rFonts w:ascii="Arial" w:eastAsia="Times New Roman" w:hAnsi="Arial" w:cs="Arial"/>
          <w:b/>
          <w:bCs/>
          <w:color w:val="0B0C0C"/>
          <w:kern w:val="0"/>
          <w:sz w:val="27"/>
          <w:szCs w:val="27"/>
          <w:lang w:eastAsia="en-GB"/>
          <w14:ligatures w14:val="none"/>
        </w:rPr>
        <w:t>Main procurement category</w:t>
      </w:r>
    </w:p>
    <w:p w14:paraId="0776EA26" w14:textId="77777777" w:rsidR="00B9661F" w:rsidRPr="00B9661F" w:rsidRDefault="00B9661F" w:rsidP="00B9661F">
      <w:pPr>
        <w:shd w:val="clear" w:color="auto" w:fill="FFFFFF"/>
        <w:spacing w:after="300" w:line="240" w:lineRule="auto"/>
        <w:rPr>
          <w:rFonts w:ascii="Arial" w:eastAsia="Times New Roman" w:hAnsi="Arial" w:cs="Arial"/>
          <w:color w:val="0B0C0C"/>
          <w:kern w:val="0"/>
          <w:sz w:val="27"/>
          <w:szCs w:val="27"/>
          <w:lang w:eastAsia="en-GB"/>
          <w14:ligatures w14:val="none"/>
        </w:rPr>
      </w:pPr>
      <w:r w:rsidRPr="00B9661F">
        <w:rPr>
          <w:rFonts w:ascii="Arial" w:eastAsia="Times New Roman" w:hAnsi="Arial" w:cs="Arial"/>
          <w:color w:val="0B0C0C"/>
          <w:kern w:val="0"/>
          <w:sz w:val="27"/>
          <w:szCs w:val="27"/>
          <w:lang w:eastAsia="en-GB"/>
          <w14:ligatures w14:val="none"/>
        </w:rPr>
        <w:t>Services</w:t>
      </w:r>
    </w:p>
    <w:p w14:paraId="429605CC" w14:textId="05E657E7" w:rsidR="00160BE8" w:rsidRDefault="00B9661F" w:rsidP="00B9661F">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B9661F">
        <w:rPr>
          <w:rFonts w:ascii="Arial" w:eastAsia="Times New Roman" w:hAnsi="Arial" w:cs="Arial"/>
          <w:b/>
          <w:bCs/>
          <w:color w:val="0B0C0C"/>
          <w:kern w:val="0"/>
          <w:sz w:val="27"/>
          <w:szCs w:val="27"/>
          <w:lang w:eastAsia="en-GB"/>
          <w14:ligatures w14:val="none"/>
        </w:rPr>
        <w:t>CPV classifications</w:t>
      </w:r>
    </w:p>
    <w:p w14:paraId="1C561A1F" w14:textId="789ECAD9" w:rsidR="00B729BF" w:rsidRPr="00B9661F" w:rsidRDefault="00B729BF" w:rsidP="00B9661F">
      <w:pPr>
        <w:shd w:val="clear" w:color="auto" w:fill="FFFFFF"/>
        <w:spacing w:after="300" w:line="240" w:lineRule="auto"/>
        <w:outlineLvl w:val="2"/>
        <w:rPr>
          <w:rFonts w:ascii="Arial" w:eastAsia="Times New Roman" w:hAnsi="Arial" w:cs="Arial"/>
          <w:b/>
          <w:bCs/>
          <w:color w:val="0B0C0C"/>
          <w:kern w:val="0"/>
          <w:sz w:val="27"/>
          <w:szCs w:val="27"/>
          <w:lang w:eastAsia="en-GB"/>
          <w14:ligatures w14:val="none"/>
        </w:rPr>
      </w:pPr>
      <w:r w:rsidRPr="00B729BF">
        <w:rPr>
          <w:rFonts w:ascii="Arial" w:eastAsia="Times New Roman" w:hAnsi="Arial" w:cs="Arial"/>
          <w:b/>
          <w:bCs/>
          <w:color w:val="0B0C0C"/>
          <w:kern w:val="0"/>
          <w:sz w:val="27"/>
          <w:szCs w:val="27"/>
          <w:lang w:eastAsia="en-GB"/>
          <w14:ligatures w14:val="none"/>
        </w:rPr>
        <w:t>72317000-0</w:t>
      </w:r>
    </w:p>
    <w:p w14:paraId="0E6A5821" w14:textId="54C29C52" w:rsidR="00B9661F" w:rsidRPr="00B9661F" w:rsidRDefault="00B9661F" w:rsidP="00B9661F">
      <w:pPr>
        <w:shd w:val="clear" w:color="auto" w:fill="FFFFFF"/>
        <w:spacing w:before="450" w:after="450" w:line="240" w:lineRule="auto"/>
        <w:rPr>
          <w:rFonts w:ascii="Arial" w:eastAsia="Times New Roman" w:hAnsi="Arial" w:cs="Arial"/>
          <w:color w:val="000000"/>
          <w:kern w:val="0"/>
          <w:sz w:val="27"/>
          <w:szCs w:val="27"/>
          <w:lang w:eastAsia="en-GB"/>
          <w14:ligatures w14:val="none"/>
        </w:rPr>
      </w:pPr>
    </w:p>
    <w:sectPr w:rsidR="00B9661F" w:rsidRPr="00B966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639BA"/>
    <w:multiLevelType w:val="multilevel"/>
    <w:tmpl w:val="97D8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F58038"/>
    <w:multiLevelType w:val="hybridMultilevel"/>
    <w:tmpl w:val="FFFFFFFF"/>
    <w:lvl w:ilvl="0" w:tplc="1D385756">
      <w:start w:val="1"/>
      <w:numFmt w:val="bullet"/>
      <w:lvlText w:val=""/>
      <w:lvlJc w:val="left"/>
      <w:pPr>
        <w:ind w:left="720" w:hanging="360"/>
      </w:pPr>
      <w:rPr>
        <w:rFonts w:ascii="Symbol" w:hAnsi="Symbol" w:hint="default"/>
      </w:rPr>
    </w:lvl>
    <w:lvl w:ilvl="1" w:tplc="F080F08E">
      <w:start w:val="1"/>
      <w:numFmt w:val="bullet"/>
      <w:lvlText w:val="o"/>
      <w:lvlJc w:val="left"/>
      <w:pPr>
        <w:ind w:left="1440" w:hanging="360"/>
      </w:pPr>
      <w:rPr>
        <w:rFonts w:ascii="Courier New" w:hAnsi="Courier New" w:hint="default"/>
      </w:rPr>
    </w:lvl>
    <w:lvl w:ilvl="2" w:tplc="FACE668C">
      <w:start w:val="1"/>
      <w:numFmt w:val="bullet"/>
      <w:lvlText w:val=""/>
      <w:lvlJc w:val="left"/>
      <w:pPr>
        <w:ind w:left="2160" w:hanging="360"/>
      </w:pPr>
      <w:rPr>
        <w:rFonts w:ascii="Wingdings" w:hAnsi="Wingdings" w:hint="default"/>
      </w:rPr>
    </w:lvl>
    <w:lvl w:ilvl="3" w:tplc="741A79DC">
      <w:start w:val="1"/>
      <w:numFmt w:val="bullet"/>
      <w:lvlText w:val=""/>
      <w:lvlJc w:val="left"/>
      <w:pPr>
        <w:ind w:left="2880" w:hanging="360"/>
      </w:pPr>
      <w:rPr>
        <w:rFonts w:ascii="Symbol" w:hAnsi="Symbol" w:hint="default"/>
      </w:rPr>
    </w:lvl>
    <w:lvl w:ilvl="4" w:tplc="891EE27E">
      <w:start w:val="1"/>
      <w:numFmt w:val="bullet"/>
      <w:lvlText w:val="o"/>
      <w:lvlJc w:val="left"/>
      <w:pPr>
        <w:ind w:left="3600" w:hanging="360"/>
      </w:pPr>
      <w:rPr>
        <w:rFonts w:ascii="Courier New" w:hAnsi="Courier New" w:hint="default"/>
      </w:rPr>
    </w:lvl>
    <w:lvl w:ilvl="5" w:tplc="7B2A9BE4">
      <w:start w:val="1"/>
      <w:numFmt w:val="bullet"/>
      <w:lvlText w:val=""/>
      <w:lvlJc w:val="left"/>
      <w:pPr>
        <w:ind w:left="4320" w:hanging="360"/>
      </w:pPr>
      <w:rPr>
        <w:rFonts w:ascii="Wingdings" w:hAnsi="Wingdings" w:hint="default"/>
      </w:rPr>
    </w:lvl>
    <w:lvl w:ilvl="6" w:tplc="19F41F1E">
      <w:start w:val="1"/>
      <w:numFmt w:val="bullet"/>
      <w:lvlText w:val=""/>
      <w:lvlJc w:val="left"/>
      <w:pPr>
        <w:ind w:left="5040" w:hanging="360"/>
      </w:pPr>
      <w:rPr>
        <w:rFonts w:ascii="Symbol" w:hAnsi="Symbol" w:hint="default"/>
      </w:rPr>
    </w:lvl>
    <w:lvl w:ilvl="7" w:tplc="1D92DC48">
      <w:start w:val="1"/>
      <w:numFmt w:val="bullet"/>
      <w:lvlText w:val="o"/>
      <w:lvlJc w:val="left"/>
      <w:pPr>
        <w:ind w:left="5760" w:hanging="360"/>
      </w:pPr>
      <w:rPr>
        <w:rFonts w:ascii="Courier New" w:hAnsi="Courier New" w:hint="default"/>
      </w:rPr>
    </w:lvl>
    <w:lvl w:ilvl="8" w:tplc="64F6AF3E">
      <w:start w:val="1"/>
      <w:numFmt w:val="bullet"/>
      <w:lvlText w:val=""/>
      <w:lvlJc w:val="left"/>
      <w:pPr>
        <w:ind w:left="6480" w:hanging="360"/>
      </w:pPr>
      <w:rPr>
        <w:rFonts w:ascii="Wingdings" w:hAnsi="Wingdings" w:hint="default"/>
      </w:rPr>
    </w:lvl>
  </w:abstractNum>
  <w:abstractNum w:abstractNumId="2" w15:restartNumberingAfterBreak="0">
    <w:nsid w:val="6B2E0C9B"/>
    <w:multiLevelType w:val="multilevel"/>
    <w:tmpl w:val="AEFE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2410692">
    <w:abstractNumId w:val="0"/>
  </w:num>
  <w:num w:numId="2" w16cid:durableId="1118523612">
    <w:abstractNumId w:val="2"/>
  </w:num>
  <w:num w:numId="3" w16cid:durableId="1429622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1F"/>
    <w:rsid w:val="00007A96"/>
    <w:rsid w:val="00010D71"/>
    <w:rsid w:val="00012116"/>
    <w:rsid w:val="0004290D"/>
    <w:rsid w:val="000A1BE9"/>
    <w:rsid w:val="000D0A06"/>
    <w:rsid w:val="000D13A6"/>
    <w:rsid w:val="000E169D"/>
    <w:rsid w:val="00102F4C"/>
    <w:rsid w:val="00160BE8"/>
    <w:rsid w:val="00187F24"/>
    <w:rsid w:val="002055AA"/>
    <w:rsid w:val="0021112F"/>
    <w:rsid w:val="00237CB2"/>
    <w:rsid w:val="00347C5E"/>
    <w:rsid w:val="003E39D1"/>
    <w:rsid w:val="003E516E"/>
    <w:rsid w:val="003E608B"/>
    <w:rsid w:val="004401B6"/>
    <w:rsid w:val="004C354D"/>
    <w:rsid w:val="006A5D25"/>
    <w:rsid w:val="007067A0"/>
    <w:rsid w:val="00760693"/>
    <w:rsid w:val="00777705"/>
    <w:rsid w:val="007962D4"/>
    <w:rsid w:val="008129DA"/>
    <w:rsid w:val="00833034"/>
    <w:rsid w:val="0085186A"/>
    <w:rsid w:val="00875AC8"/>
    <w:rsid w:val="008B42D5"/>
    <w:rsid w:val="00AB2533"/>
    <w:rsid w:val="00AE186B"/>
    <w:rsid w:val="00B10C7E"/>
    <w:rsid w:val="00B17852"/>
    <w:rsid w:val="00B503F1"/>
    <w:rsid w:val="00B729BF"/>
    <w:rsid w:val="00B9661F"/>
    <w:rsid w:val="00BB445F"/>
    <w:rsid w:val="00BE7DE7"/>
    <w:rsid w:val="00CB20CD"/>
    <w:rsid w:val="00D028E6"/>
    <w:rsid w:val="00D5061F"/>
    <w:rsid w:val="00DD381D"/>
    <w:rsid w:val="00DF2F53"/>
    <w:rsid w:val="00E20DCC"/>
    <w:rsid w:val="00E65207"/>
    <w:rsid w:val="00E84B2A"/>
    <w:rsid w:val="00EE2E61"/>
    <w:rsid w:val="00F214C1"/>
    <w:rsid w:val="00F746B1"/>
    <w:rsid w:val="00FB6671"/>
    <w:rsid w:val="00FB7342"/>
    <w:rsid w:val="00FF5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FD082"/>
  <w15:chartTrackingRefBased/>
  <w15:docId w15:val="{013AC237-A04A-41BD-AB81-01B6C717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1F"/>
    <w:rPr>
      <w:rFonts w:eastAsiaTheme="majorEastAsia" w:cstheme="majorBidi"/>
      <w:color w:val="272727" w:themeColor="text1" w:themeTint="D8"/>
    </w:rPr>
  </w:style>
  <w:style w:type="paragraph" w:styleId="Title">
    <w:name w:val="Title"/>
    <w:basedOn w:val="Normal"/>
    <w:next w:val="Normal"/>
    <w:link w:val="TitleChar"/>
    <w:uiPriority w:val="10"/>
    <w:qFormat/>
    <w:rsid w:val="00B96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1F"/>
    <w:pPr>
      <w:spacing w:before="160"/>
      <w:jc w:val="center"/>
    </w:pPr>
    <w:rPr>
      <w:i/>
      <w:iCs/>
      <w:color w:val="404040" w:themeColor="text1" w:themeTint="BF"/>
    </w:rPr>
  </w:style>
  <w:style w:type="character" w:customStyle="1" w:styleId="QuoteChar">
    <w:name w:val="Quote Char"/>
    <w:basedOn w:val="DefaultParagraphFont"/>
    <w:link w:val="Quote"/>
    <w:uiPriority w:val="29"/>
    <w:rsid w:val="00B9661F"/>
    <w:rPr>
      <w:i/>
      <w:iCs/>
      <w:color w:val="404040" w:themeColor="text1" w:themeTint="BF"/>
    </w:rPr>
  </w:style>
  <w:style w:type="paragraph" w:styleId="ListParagraph">
    <w:name w:val="List Paragraph"/>
    <w:basedOn w:val="Normal"/>
    <w:uiPriority w:val="34"/>
    <w:qFormat/>
    <w:rsid w:val="00B9661F"/>
    <w:pPr>
      <w:ind w:left="720"/>
      <w:contextualSpacing/>
    </w:pPr>
  </w:style>
  <w:style w:type="character" w:styleId="IntenseEmphasis">
    <w:name w:val="Intense Emphasis"/>
    <w:basedOn w:val="DefaultParagraphFont"/>
    <w:uiPriority w:val="21"/>
    <w:qFormat/>
    <w:rsid w:val="00B9661F"/>
    <w:rPr>
      <w:i/>
      <w:iCs/>
      <w:color w:val="0F4761" w:themeColor="accent1" w:themeShade="BF"/>
    </w:rPr>
  </w:style>
  <w:style w:type="paragraph" w:styleId="IntenseQuote">
    <w:name w:val="Intense Quote"/>
    <w:basedOn w:val="Normal"/>
    <w:next w:val="Normal"/>
    <w:link w:val="IntenseQuoteChar"/>
    <w:uiPriority w:val="30"/>
    <w:qFormat/>
    <w:rsid w:val="00B96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61F"/>
    <w:rPr>
      <w:i/>
      <w:iCs/>
      <w:color w:val="0F4761" w:themeColor="accent1" w:themeShade="BF"/>
    </w:rPr>
  </w:style>
  <w:style w:type="character" w:styleId="IntenseReference">
    <w:name w:val="Intense Reference"/>
    <w:basedOn w:val="DefaultParagraphFont"/>
    <w:uiPriority w:val="32"/>
    <w:qFormat/>
    <w:rsid w:val="00B9661F"/>
    <w:rPr>
      <w:b/>
      <w:bCs/>
      <w:smallCaps/>
      <w:color w:val="0F4761" w:themeColor="accent1" w:themeShade="BF"/>
      <w:spacing w:val="5"/>
    </w:rPr>
  </w:style>
  <w:style w:type="character" w:styleId="Hyperlink">
    <w:name w:val="Hyperlink"/>
    <w:basedOn w:val="DefaultParagraphFont"/>
    <w:uiPriority w:val="99"/>
    <w:unhideWhenUsed/>
    <w:rsid w:val="00FB6671"/>
    <w:rPr>
      <w:color w:val="467886" w:themeColor="hyperlink"/>
      <w:u w:val="single"/>
    </w:rPr>
  </w:style>
  <w:style w:type="character" w:styleId="UnresolvedMention">
    <w:name w:val="Unresolved Mention"/>
    <w:basedOn w:val="DefaultParagraphFont"/>
    <w:uiPriority w:val="99"/>
    <w:semiHidden/>
    <w:unhideWhenUsed/>
    <w:rsid w:val="00FB6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6386">
      <w:bodyDiv w:val="1"/>
      <w:marLeft w:val="0"/>
      <w:marRight w:val="0"/>
      <w:marTop w:val="0"/>
      <w:marBottom w:val="0"/>
      <w:divBdr>
        <w:top w:val="none" w:sz="0" w:space="0" w:color="auto"/>
        <w:left w:val="none" w:sz="0" w:space="0" w:color="auto"/>
        <w:bottom w:val="none" w:sz="0" w:space="0" w:color="auto"/>
        <w:right w:val="none" w:sz="0" w:space="0" w:color="auto"/>
      </w:divBdr>
      <w:divsChild>
        <w:div w:id="1247837217">
          <w:marLeft w:val="0"/>
          <w:marRight w:val="0"/>
          <w:marTop w:val="0"/>
          <w:marBottom w:val="0"/>
          <w:divBdr>
            <w:top w:val="none" w:sz="0" w:space="0" w:color="auto"/>
            <w:left w:val="none" w:sz="0" w:space="0" w:color="auto"/>
            <w:bottom w:val="none" w:sz="0" w:space="0" w:color="auto"/>
            <w:right w:val="none" w:sz="0" w:space="0" w:color="auto"/>
          </w:divBdr>
          <w:divsChild>
            <w:div w:id="495725579">
              <w:marLeft w:val="0"/>
              <w:marRight w:val="0"/>
              <w:marTop w:val="0"/>
              <w:marBottom w:val="300"/>
              <w:divBdr>
                <w:top w:val="none" w:sz="0" w:space="0" w:color="auto"/>
                <w:left w:val="none" w:sz="0" w:space="0" w:color="auto"/>
                <w:bottom w:val="none" w:sz="0" w:space="0" w:color="auto"/>
                <w:right w:val="none" w:sz="0" w:space="0" w:color="auto"/>
              </w:divBdr>
            </w:div>
          </w:divsChild>
        </w:div>
        <w:div w:id="1696615029">
          <w:marLeft w:val="0"/>
          <w:marRight w:val="0"/>
          <w:marTop w:val="0"/>
          <w:marBottom w:val="0"/>
          <w:divBdr>
            <w:top w:val="none" w:sz="0" w:space="0" w:color="auto"/>
            <w:left w:val="none" w:sz="0" w:space="0" w:color="auto"/>
            <w:bottom w:val="none" w:sz="0" w:space="0" w:color="auto"/>
            <w:right w:val="none" w:sz="0" w:space="0" w:color="auto"/>
          </w:divBdr>
          <w:divsChild>
            <w:div w:id="8089333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gov.uk/government/collections/forensic-science-providers-codes-of-practice-and-conduct" TargetMode="External"/><Relationship Id="rId4" Type="http://schemas.openxmlformats.org/officeDocument/2006/relationships/customXml" Target="../customXml/item4.xml"/><Relationship Id="rId9" Type="http://schemas.openxmlformats.org/officeDocument/2006/relationships/hyperlink" Target="https://www.gov.uk/government/consultations/extraction-of-information-from-electronic-devices-code-of-practice/extraction-of-information-from-electronic-devices-code-of-practice-accessi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0F712E362B3B334F9BC7FD5BB68AC6ED" ma:contentTypeVersion="20" ma:contentTypeDescription="Create a new document." ma:contentTypeScope="" ma:versionID="791ccbe6a5399955a2b064b92c149906">
  <xsd:schema xmlns:xsd="http://www.w3.org/2001/XMLSchema" xmlns:xs="http://www.w3.org/2001/XMLSchema" xmlns:p="http://schemas.microsoft.com/office/2006/metadata/properties" xmlns:ns2="4e9417ab-6472-4075-af16-7dc6074df91e" xmlns:ns3="52d58cce-f6cd-4d53-be51-2fd7523b1c0d" xmlns:ns4="d32333cd-d584-4454-b96d-286e1ba8789f" targetNamespace="http://schemas.microsoft.com/office/2006/metadata/properties" ma:root="true" ma:fieldsID="7ce25821a38c603365472af186be33d6" ns2:_="" ns3:_="" ns4:_="">
    <xsd:import namespace="4e9417ab-6472-4075-af16-7dc6074df91e"/>
    <xsd:import namespace="52d58cce-f6cd-4d53-be51-2fd7523b1c0d"/>
    <xsd:import namespace="d32333cd-d584-4454-b96d-286e1ba8789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4d00815-eb7a-4b04-a512-5d1bf3aa042c}" ma:internalName="TaxCatchAll" ma:showField="CatchAllData" ma:web="d32333cd-d584-4454-b96d-286e1ba8789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4d00815-eb7a-4b04-a512-5d1bf3aa042c}" ma:internalName="TaxCatchAllLabel" ma:readOnly="true" ma:showField="CatchAllDataLabel" ma:web="d32333cd-d584-4454-b96d-286e1ba8789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127;#MBTP CS Staff Costs Recharge Out Change (P)|55443a93-59e8-4b87-a4ba-ff68128b78b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ject – Significant|17b9121e-b904-41d7-a534-41bc81fb7c96"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d58cce-f6cd-4d53-be51-2fd7523b1c0d"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2333cd-d584-4454-b96d-286e1ba8789f"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4</Value>
      <Value>2</Value>
      <Value>1</Value>
      <Value>127</Value>
    </TaxCatchAll>
    <lcf76f155ced4ddcb4097134ff3c332f xmlns="52d58cce-f6cd-4d53-be51-2fd7523b1c0d">
      <Terms xmlns="http://schemas.microsoft.com/office/infopath/2007/PartnerControls"/>
    </lcf76f155ced4ddcb4097134ff3c332f>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Project – Significant</TermName>
          <TermId xmlns="http://schemas.microsoft.com/office/infopath/2007/PartnerControls">17b9121e-b904-41d7-a534-41bc81fb7c96</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MBTP CS Staff Costs Recharge Out Change (P)</TermName>
          <TermId xmlns="http://schemas.microsoft.com/office/infopath/2007/PartnerControls">55443a93-59e8-4b87-a4ba-ff68128b78bb</TermId>
        </TermInfo>
      </Terms>
    </jb5e598af17141539648acf311d7477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Props1.xml><?xml version="1.0" encoding="utf-8"?>
<ds:datastoreItem xmlns:ds="http://schemas.openxmlformats.org/officeDocument/2006/customXml" ds:itemID="{C112F809-B5CB-4446-B42C-B871D5F0D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d58cce-f6cd-4d53-be51-2fd7523b1c0d"/>
    <ds:schemaRef ds:uri="d32333cd-d584-4454-b96d-286e1ba87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EF033-DE28-4E4E-BB62-8A07F24FCA70}">
  <ds:schemaRefs>
    <ds:schemaRef ds:uri="http://schemas.microsoft.com/office/2006/metadata/properties"/>
    <ds:schemaRef ds:uri="http://schemas.microsoft.com/office/infopath/2007/PartnerControls"/>
    <ds:schemaRef ds:uri="4e9417ab-6472-4075-af16-7dc6074df91e"/>
    <ds:schemaRef ds:uri="52d58cce-f6cd-4d53-be51-2fd7523b1c0d"/>
  </ds:schemaRefs>
</ds:datastoreItem>
</file>

<file path=customXml/itemProps3.xml><?xml version="1.0" encoding="utf-8"?>
<ds:datastoreItem xmlns:ds="http://schemas.openxmlformats.org/officeDocument/2006/customXml" ds:itemID="{3C2A8626-105D-4B26-84C2-1E0BCEDF3B8E}">
  <ds:schemaRefs>
    <ds:schemaRef ds:uri="http://schemas.microsoft.com/sharepoint/v3/contenttype/forms"/>
  </ds:schemaRefs>
</ds:datastoreItem>
</file>

<file path=customXml/itemProps4.xml><?xml version="1.0" encoding="utf-8"?>
<ds:datastoreItem xmlns:ds="http://schemas.openxmlformats.org/officeDocument/2006/customXml" ds:itemID="{AA6113B1-FF22-4E1E-A28E-A3F7CED63E9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McBlain</dc:creator>
  <cp:keywords/>
  <dc:description/>
  <cp:lastModifiedBy>John McBlain</cp:lastModifiedBy>
  <cp:revision>2</cp:revision>
  <dcterms:created xsi:type="dcterms:W3CDTF">2025-06-15T11:57:00Z</dcterms:created>
  <dcterms:modified xsi:type="dcterms:W3CDTF">2025-06-15T11:57:00Z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0x010100A5BF1C78D9F64B679A5EBDE1C6598EBC01000F712E362B3B334F9BC7FD5BB68AC6ED</vt:lpwstr>
  </property>
  <property fmtid="{D5CDD505-2E9C-101B-9397-08002B2CF9AE}" pid="3" name="MediaServiceImageTags">
    <vt:lpwstr/>
  </property>
  <property fmtid="{D5CDD505-2E9C-101B-9397-08002B2CF9AE}" pid="4" name="HOBusinessUnit">
    <vt:lpwstr>127;#MBTP CS Staff Costs Recharge Out Change (P)|55443a93-59e8-4b87-a4ba-ff68128b78bb</vt:lpwstr>
  </property>
  <property fmtid="{D5CDD505-2E9C-101B-9397-08002B2CF9AE}" pid="5" name="HOCopyrightLevel">
    <vt:lpwstr>2;#Crown|69589897-2828-4761-976e-717fd8e631c9</vt:lpwstr>
  </property>
  <property fmtid="{D5CDD505-2E9C-101B-9397-08002B2CF9AE}" pid="6" name="HOGovernmentSecurityClassification">
    <vt:lpwstr>1;#Official|14c80daa-741b-422c-9722-f71693c9ede4</vt:lpwstr>
  </property>
  <property fmtid="{D5CDD505-2E9C-101B-9397-08002B2CF9AE}" pid="7" name="HOSiteType">
    <vt:lpwstr>4;#Project – Significant|17b9121e-b904-41d7-a534-41bc81fb7c96</vt:lpwstr>
  </property>
</Properties>
</file>