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2AF3B" w14:textId="57D6169D" w:rsidR="00B3618C" w:rsidRDefault="007C1DDC" w:rsidP="00E22EC8">
      <w:pPr>
        <w:pStyle w:val="Heading1"/>
      </w:pPr>
      <w:bookmarkStart w:id="0" w:name="_GoBack"/>
      <w:r>
        <w:t xml:space="preserve">Market opportunity: </w:t>
      </w:r>
      <w:r w:rsidR="007F568F">
        <w:t xml:space="preserve">Pupil and </w:t>
      </w:r>
      <w:r w:rsidR="00DB14E7">
        <w:t>School Performance</w:t>
      </w:r>
      <w:r w:rsidR="007D4092">
        <w:t xml:space="preserve"> Data –</w:t>
      </w:r>
      <w:r w:rsidR="00DB14E7">
        <w:t xml:space="preserve"> </w:t>
      </w:r>
      <w:r w:rsidR="007D4092">
        <w:t>Matching and Production Services</w:t>
      </w:r>
    </w:p>
    <w:bookmarkEnd w:id="0"/>
    <w:p w14:paraId="7E7D7F51" w14:textId="77777777" w:rsidR="007D4092" w:rsidRDefault="00C3210D" w:rsidP="00FD0243">
      <w:r>
        <w:t>One of t</w:t>
      </w:r>
      <w:r w:rsidR="003D0A49">
        <w:t xml:space="preserve">he Department </w:t>
      </w:r>
      <w:r w:rsidR="001216F8">
        <w:t>for Education</w:t>
      </w:r>
      <w:r>
        <w:t>’s</w:t>
      </w:r>
      <w:r w:rsidR="00DB14E7">
        <w:t xml:space="preserve"> (DfE)</w:t>
      </w:r>
      <w:r>
        <w:t xml:space="preserve"> goals is to drive educational </w:t>
      </w:r>
      <w:r w:rsidR="00DB14E7">
        <w:t>excellence</w:t>
      </w:r>
      <w:r w:rsidR="007D4092">
        <w:t xml:space="preserve"> – to ensure that every child and young person achieves to the best of his or her ability regardless of prior attainment, location or background.</w:t>
      </w:r>
    </w:p>
    <w:p w14:paraId="0D8674C4" w14:textId="2829EADE" w:rsidR="007F568F" w:rsidRDefault="007D4092" w:rsidP="00FD0243">
      <w:r>
        <w:t xml:space="preserve">A key enabler behind the delivery of this goal is the </w:t>
      </w:r>
      <w:r w:rsidR="00FD5742">
        <w:t xml:space="preserve">timely </w:t>
      </w:r>
      <w:r w:rsidR="007F568F">
        <w:t>production</w:t>
      </w:r>
      <w:r>
        <w:t xml:space="preserve"> of high quality, </w:t>
      </w:r>
      <w:r w:rsidR="00332BFA">
        <w:t xml:space="preserve">robust </w:t>
      </w:r>
      <w:r w:rsidR="007F568F">
        <w:t xml:space="preserve">data relating to </w:t>
      </w:r>
      <w:r w:rsidR="00332BFA">
        <w:t xml:space="preserve">pupil </w:t>
      </w:r>
      <w:r w:rsidR="007F568F">
        <w:t xml:space="preserve">and school </w:t>
      </w:r>
      <w:r w:rsidR="00332BFA">
        <w:t>attainment</w:t>
      </w:r>
      <w:r w:rsidR="007F568F">
        <w:t xml:space="preserve"> </w:t>
      </w:r>
      <w:r w:rsidR="00392DC4">
        <w:t>–</w:t>
      </w:r>
      <w:r w:rsidR="00C008F1">
        <w:t xml:space="preserve"> </w:t>
      </w:r>
      <w:r w:rsidR="00392DC4">
        <w:t xml:space="preserve">this data is used by </w:t>
      </w:r>
      <w:r w:rsidR="00FD5742">
        <w:t>officials</w:t>
      </w:r>
      <w:r w:rsidR="00392DC4">
        <w:t xml:space="preserve"> in the Department to </w:t>
      </w:r>
      <w:r w:rsidR="007F568F">
        <w:t>deliver</w:t>
      </w:r>
      <w:r w:rsidR="00392DC4">
        <w:t xml:space="preserve"> </w:t>
      </w:r>
      <w:r w:rsidR="007F568F">
        <w:t xml:space="preserve">other key </w:t>
      </w:r>
      <w:r w:rsidR="004472B9">
        <w:t xml:space="preserve">services </w:t>
      </w:r>
      <w:r w:rsidR="007F568F">
        <w:t>e.g. the National Pupil Database, Statistical First Releases</w:t>
      </w:r>
      <w:r w:rsidR="00C008F1">
        <w:t xml:space="preserve">, </w:t>
      </w:r>
      <w:r w:rsidR="007F568F">
        <w:t>the School Performance Tables Website</w:t>
      </w:r>
      <w:r w:rsidR="00C008F1">
        <w:t xml:space="preserve"> and </w:t>
      </w:r>
      <w:proofErr w:type="spellStart"/>
      <w:r w:rsidR="00C008F1">
        <w:t>RAISEonline</w:t>
      </w:r>
      <w:proofErr w:type="spellEnd"/>
      <w:r w:rsidR="007F568F">
        <w:t>.</w:t>
      </w:r>
    </w:p>
    <w:p w14:paraId="2AF13670" w14:textId="5D74CCD6" w:rsidR="00DA1BCD" w:rsidRDefault="00392DC4" w:rsidP="00DA1BCD">
      <w:r>
        <w:t xml:space="preserve">Production of the data is a complex </w:t>
      </w:r>
      <w:r w:rsidR="00DA1BCD">
        <w:t xml:space="preserve">annual </w:t>
      </w:r>
      <w:r>
        <w:t>process</w:t>
      </w:r>
      <w:r w:rsidR="00DA1BCD">
        <w:t xml:space="preserve"> and is currently </w:t>
      </w:r>
      <w:r>
        <w:t>delivered under a</w:t>
      </w:r>
      <w:r w:rsidR="00DA1BCD">
        <w:t xml:space="preserve"> </w:t>
      </w:r>
      <w:r>
        <w:t>co</w:t>
      </w:r>
      <w:r w:rsidR="00DA1BCD">
        <w:t xml:space="preserve">ntract </w:t>
      </w:r>
      <w:r>
        <w:t>agreement</w:t>
      </w:r>
      <w:r w:rsidR="00DA1BCD">
        <w:t xml:space="preserve"> with a single </w:t>
      </w:r>
      <w:r w:rsidR="00FD5742">
        <w:t>organisation</w:t>
      </w:r>
      <w:r>
        <w:t>.</w:t>
      </w:r>
      <w:r w:rsidR="00DA1BCD">
        <w:t xml:space="preserve">  The existing contract </w:t>
      </w:r>
      <w:r w:rsidR="004472B9">
        <w:t>agreement is</w:t>
      </w:r>
      <w:r w:rsidR="00DA1BCD">
        <w:t xml:space="preserve"> due to expire in the near future, and the DfE is undertaking </w:t>
      </w:r>
      <w:r w:rsidR="005B330E">
        <w:t xml:space="preserve">some research </w:t>
      </w:r>
      <w:r w:rsidR="00DA1BCD">
        <w:t>to explore how best to provide these services in the future.</w:t>
      </w:r>
    </w:p>
    <w:p w14:paraId="6CD637D6" w14:textId="4AE31FB3" w:rsidR="00551FF7" w:rsidRPr="00551FF7" w:rsidRDefault="00551FF7" w:rsidP="00DA1BCD">
      <w:pPr>
        <w:rPr>
          <w:u w:val="single"/>
        </w:rPr>
      </w:pPr>
      <w:r w:rsidRPr="00551FF7">
        <w:rPr>
          <w:u w:val="single"/>
        </w:rPr>
        <w:t>Considering the future</w:t>
      </w:r>
    </w:p>
    <w:p w14:paraId="0E7DFEE8" w14:textId="6A52DAD3" w:rsidR="00FD5742" w:rsidRDefault="00FD5742" w:rsidP="00DA1BCD">
      <w:r>
        <w:t xml:space="preserve">In considering </w:t>
      </w:r>
      <w:r w:rsidR="004472B9">
        <w:t xml:space="preserve">a </w:t>
      </w:r>
      <w:r w:rsidR="005B330E">
        <w:t>preferred approach</w:t>
      </w:r>
      <w:r>
        <w:t>,</w:t>
      </w:r>
      <w:r w:rsidR="004472B9">
        <w:t xml:space="preserve"> whilst securing a single organisation to deliver the service does remain a viable commercial option, </w:t>
      </w:r>
      <w:r>
        <w:t>t</w:t>
      </w:r>
      <w:r w:rsidR="00DA1BCD">
        <w:t xml:space="preserve">he DfE </w:t>
      </w:r>
      <w:r w:rsidR="00551FF7">
        <w:t xml:space="preserve">would like to </w:t>
      </w:r>
      <w:r w:rsidR="00DA1BCD">
        <w:t xml:space="preserve">develop </w:t>
      </w:r>
      <w:r w:rsidR="006E62D4">
        <w:t xml:space="preserve">a </w:t>
      </w:r>
      <w:r w:rsidR="0082619A">
        <w:t xml:space="preserve">wider market </w:t>
      </w:r>
      <w:r w:rsidR="006E62D4">
        <w:t xml:space="preserve">view </w:t>
      </w:r>
      <w:r>
        <w:t xml:space="preserve">of </w:t>
      </w:r>
      <w:r w:rsidR="00DA1BCD">
        <w:t xml:space="preserve">potential </w:t>
      </w:r>
      <w:r w:rsidR="0082619A">
        <w:t xml:space="preserve">capabilities and </w:t>
      </w:r>
      <w:r>
        <w:t xml:space="preserve">alternative </w:t>
      </w:r>
      <w:r w:rsidR="00DA1BCD">
        <w:t xml:space="preserve">delivery options.  For example, </w:t>
      </w:r>
      <w:r>
        <w:t>is there any merit in separating out component parts of the service</w:t>
      </w:r>
      <w:r w:rsidR="004472B9">
        <w:t xml:space="preserve">?  Can different approaches </w:t>
      </w:r>
      <w:r>
        <w:t>drive efficiencies</w:t>
      </w:r>
      <w:r w:rsidR="006E62D4">
        <w:t xml:space="preserve"> and </w:t>
      </w:r>
      <w:r>
        <w:t xml:space="preserve">continuous improvement?  </w:t>
      </w:r>
      <w:r w:rsidR="001009E4">
        <w:t xml:space="preserve">What are the associated benefits and risks?  The </w:t>
      </w:r>
      <w:r>
        <w:t xml:space="preserve">DfE </w:t>
      </w:r>
      <w:r w:rsidR="006E62D4">
        <w:t xml:space="preserve">also wants to </w:t>
      </w:r>
      <w:r>
        <w:t xml:space="preserve">understand </w:t>
      </w:r>
      <w:r w:rsidR="001009E4">
        <w:t>issues</w:t>
      </w:r>
      <w:r>
        <w:t xml:space="preserve"> associated with </w:t>
      </w:r>
      <w:r w:rsidR="006E62D4">
        <w:t>t</w:t>
      </w:r>
      <w:r>
        <w:t xml:space="preserve">aking on such </w:t>
      </w:r>
      <w:r w:rsidR="001009E4">
        <w:t xml:space="preserve">a </w:t>
      </w:r>
      <w:r>
        <w:t>service (or parts of it)</w:t>
      </w:r>
      <w:r w:rsidR="001009E4">
        <w:t xml:space="preserve"> and how these can be de-risked</w:t>
      </w:r>
      <w:r>
        <w:t>.</w:t>
      </w:r>
    </w:p>
    <w:p w14:paraId="3A762657" w14:textId="025117C4" w:rsidR="005B330E" w:rsidRDefault="006E62D4" w:rsidP="0082619A">
      <w:r>
        <w:t xml:space="preserve">The </w:t>
      </w:r>
      <w:r w:rsidR="00DA1BCD">
        <w:t>DfE would like to invite organisations to</w:t>
      </w:r>
      <w:r w:rsidR="00C92BB7" w:rsidRPr="00C92BB7">
        <w:t xml:space="preserve"> </w:t>
      </w:r>
      <w:r w:rsidR="0082619A">
        <w:t xml:space="preserve">help shape and inform its current thinking and </w:t>
      </w:r>
      <w:r w:rsidR="00C92BB7">
        <w:t xml:space="preserve">provide some </w:t>
      </w:r>
      <w:r w:rsidR="0082619A">
        <w:t xml:space="preserve">further market </w:t>
      </w:r>
      <w:r w:rsidR="00C92BB7">
        <w:t xml:space="preserve">insight </w:t>
      </w:r>
      <w:r>
        <w:t xml:space="preserve">on this matter.  </w:t>
      </w:r>
      <w:r w:rsidR="00C92BB7">
        <w:t>This can be done by</w:t>
      </w:r>
      <w:r w:rsidR="0082619A">
        <w:t xml:space="preserve"> c</w:t>
      </w:r>
      <w:r w:rsidR="00FD5742">
        <w:t>omplet</w:t>
      </w:r>
      <w:r>
        <w:t>ing</w:t>
      </w:r>
      <w:r w:rsidR="00C92BB7">
        <w:t xml:space="preserve"> </w:t>
      </w:r>
      <w:r w:rsidR="00FD5742">
        <w:t>the following survey</w:t>
      </w:r>
      <w:r w:rsidR="0082619A">
        <w:t>:</w:t>
      </w:r>
    </w:p>
    <w:p w14:paraId="78E57535" w14:textId="26E566E8" w:rsidR="000C14B7" w:rsidRDefault="0061302D" w:rsidP="0082619A">
      <w:hyperlink r:id="rId15" w:history="1">
        <w:r w:rsidR="000C14B7" w:rsidRPr="000B24F2">
          <w:rPr>
            <w:rStyle w:val="Hyperlink"/>
          </w:rPr>
          <w:t>http://goo.gl/forms/Y6E3wQ9XhC</w:t>
        </w:r>
      </w:hyperlink>
    </w:p>
    <w:p w14:paraId="2B871574" w14:textId="15CE5D08" w:rsidR="00C92BB7" w:rsidRDefault="0082619A" w:rsidP="0082619A">
      <w:r>
        <w:t>The survey will close at 17:00 on Monday 8</w:t>
      </w:r>
      <w:r w:rsidRPr="0082619A">
        <w:rPr>
          <w:vertAlign w:val="superscript"/>
        </w:rPr>
        <w:t>th</w:t>
      </w:r>
      <w:r>
        <w:t xml:space="preserve"> February.  In advance of</w:t>
      </w:r>
      <w:r w:rsidR="001E3F33">
        <w:t>,</w:t>
      </w:r>
      <w:r>
        <w:t xml:space="preserve"> </w:t>
      </w:r>
      <w:r w:rsidR="001E3F33">
        <w:t xml:space="preserve">and to help inform completion of the </w:t>
      </w:r>
      <w:r>
        <w:t xml:space="preserve">survey, </w:t>
      </w:r>
      <w:r w:rsidR="001E3F33">
        <w:t>organisations can r</w:t>
      </w:r>
      <w:r w:rsidR="00FD5742">
        <w:t>egister</w:t>
      </w:r>
      <w:r w:rsidR="001E3F33">
        <w:t xml:space="preserve"> </w:t>
      </w:r>
      <w:r w:rsidR="00FD5742">
        <w:t xml:space="preserve">to </w:t>
      </w:r>
      <w:r w:rsidR="006E62D4">
        <w:t>have a</w:t>
      </w:r>
      <w:r w:rsidR="001E3F33">
        <w:t xml:space="preserve"> ‘scene setting’</w:t>
      </w:r>
      <w:r w:rsidR="006E62D4">
        <w:t xml:space="preserve"> </w:t>
      </w:r>
      <w:r w:rsidR="00FD5742">
        <w:t xml:space="preserve">telephone </w:t>
      </w:r>
      <w:r w:rsidR="00DA1BCD">
        <w:t>meet</w:t>
      </w:r>
      <w:r w:rsidR="00C92BB7">
        <w:t>ing</w:t>
      </w:r>
      <w:r w:rsidR="001E3F33">
        <w:t xml:space="preserve"> with the DfE</w:t>
      </w:r>
      <w:r w:rsidR="006E62D4">
        <w:t xml:space="preserve"> </w:t>
      </w:r>
      <w:r w:rsidR="00C92BB7">
        <w:t>(see below for further information)</w:t>
      </w:r>
      <w:r w:rsidR="006E62D4">
        <w:t>.</w:t>
      </w:r>
    </w:p>
    <w:p w14:paraId="179B7C78" w14:textId="1636FB9C" w:rsidR="00C92BB7" w:rsidRDefault="00C92BB7" w:rsidP="00C92BB7">
      <w:r>
        <w:t>This insight will be used to help determine the future delivery approach, ahead of commencing any potential procurement activity.</w:t>
      </w:r>
    </w:p>
    <w:p w14:paraId="0A899C27" w14:textId="1258F943" w:rsidR="006E62D4" w:rsidRDefault="005B330E" w:rsidP="00FD0243">
      <w:r>
        <w:t xml:space="preserve">Following conclusion of this activity, </w:t>
      </w:r>
      <w:r w:rsidR="00A20F2A">
        <w:t xml:space="preserve">we </w:t>
      </w:r>
      <w:r w:rsidR="00451CFC">
        <w:t xml:space="preserve">will </w:t>
      </w:r>
      <w:r w:rsidR="00A20F2A">
        <w:t>share a summary of the</w:t>
      </w:r>
      <w:r>
        <w:t xml:space="preserve"> insight</w:t>
      </w:r>
      <w:r w:rsidR="001009E4">
        <w:t xml:space="preserve"> received</w:t>
      </w:r>
      <w:r>
        <w:t xml:space="preserve"> </w:t>
      </w:r>
      <w:r w:rsidR="00A20F2A">
        <w:t>(excluding any supplier specific commercial sensitive information) on this Contract Finder page for all organisations with an interest.</w:t>
      </w:r>
      <w:r w:rsidR="008D718B">
        <w:t xml:space="preserve">  </w:t>
      </w:r>
    </w:p>
    <w:p w14:paraId="05664500" w14:textId="539C4673" w:rsidR="003D0A49" w:rsidRDefault="008D718B" w:rsidP="00FD0243">
      <w:r>
        <w:t xml:space="preserve">As the preferred delivery approach becomes defined, the DfE will further engage with organisations in advance of any </w:t>
      </w:r>
      <w:r w:rsidR="00DC3971">
        <w:t xml:space="preserve">potential </w:t>
      </w:r>
      <w:r>
        <w:t>procurement commencing.</w:t>
      </w:r>
      <w:r w:rsidR="00A20F2A">
        <w:t xml:space="preserve">  </w:t>
      </w:r>
    </w:p>
    <w:p w14:paraId="3F71C381" w14:textId="77777777" w:rsidR="007B0D6A" w:rsidRPr="00FD0509" w:rsidRDefault="00FD0509" w:rsidP="00FD0243">
      <w:pPr>
        <w:rPr>
          <w:u w:val="single"/>
        </w:rPr>
      </w:pPr>
      <w:r w:rsidRPr="00FD0509">
        <w:rPr>
          <w:u w:val="single"/>
        </w:rPr>
        <w:t>Background</w:t>
      </w:r>
    </w:p>
    <w:p w14:paraId="1006C7AE" w14:textId="77787AC6" w:rsidR="008D718B" w:rsidRDefault="008D718B" w:rsidP="007C1DDC">
      <w:pPr>
        <w:spacing w:after="200" w:line="276" w:lineRule="auto"/>
        <w:contextualSpacing/>
      </w:pPr>
      <w:r>
        <w:t xml:space="preserve">The current service, and contract, is more commonly known as NPDATT – National Pupil Data and Attainment.  The primary purpose of the service is to </w:t>
      </w:r>
      <w:r w:rsidR="009B5AF9">
        <w:t xml:space="preserve">collect and match data files </w:t>
      </w:r>
      <w:r w:rsidR="009B5AF9">
        <w:lastRenderedPageBreak/>
        <w:t xml:space="preserve">and </w:t>
      </w:r>
      <w:r>
        <w:t xml:space="preserve">prepare data in line with DfE </w:t>
      </w:r>
      <w:r w:rsidR="009B5AF9">
        <w:t xml:space="preserve">data </w:t>
      </w:r>
      <w:r>
        <w:t xml:space="preserve">specifications, </w:t>
      </w:r>
      <w:r w:rsidR="006E62D4">
        <w:t xml:space="preserve">the </w:t>
      </w:r>
      <w:r>
        <w:t>final outputs are used by the DfE to deliver other related services (</w:t>
      </w:r>
      <w:r w:rsidR="001E3F33">
        <w:t xml:space="preserve">i.e. the </w:t>
      </w:r>
      <w:r>
        <w:t>examples provided above</w:t>
      </w:r>
      <w:r w:rsidR="001E3F33">
        <w:t>)</w:t>
      </w:r>
      <w:r>
        <w:t>.</w:t>
      </w:r>
    </w:p>
    <w:p w14:paraId="60E76D60" w14:textId="77777777" w:rsidR="006E62D4" w:rsidRDefault="006E62D4" w:rsidP="007C1DDC">
      <w:pPr>
        <w:spacing w:after="200" w:line="276" w:lineRule="auto"/>
        <w:contextualSpacing/>
      </w:pPr>
    </w:p>
    <w:p w14:paraId="4CA43328" w14:textId="333B58C3" w:rsidR="008D718B" w:rsidRDefault="008D718B" w:rsidP="007C1DDC">
      <w:pPr>
        <w:spacing w:after="200" w:line="276" w:lineRule="auto"/>
        <w:contextualSpacing/>
      </w:pPr>
      <w:r>
        <w:t>The production of data is an annual process</w:t>
      </w:r>
      <w:r w:rsidR="001009E4">
        <w:t xml:space="preserve">, with strands of work </w:t>
      </w:r>
      <w:r>
        <w:t xml:space="preserve">broken down by relevant educational stages </w:t>
      </w:r>
      <w:r w:rsidR="006E62D4">
        <w:t>i.e. Key Stage 2, Key Stage 4 and Key Stage 5 (16-18).</w:t>
      </w:r>
      <w:r w:rsidR="006D4DB6">
        <w:t xml:space="preserve">  At its basic level the process includes the collection and matching of data</w:t>
      </w:r>
      <w:r w:rsidR="001009E4">
        <w:t xml:space="preserve"> sets</w:t>
      </w:r>
      <w:r w:rsidR="006D4DB6">
        <w:t xml:space="preserve">, followed by the calculation </w:t>
      </w:r>
      <w:r w:rsidR="009B5AF9">
        <w:t>and preparation of data outputs</w:t>
      </w:r>
      <w:r w:rsidR="006D4DB6">
        <w:t>.  It is a complex</w:t>
      </w:r>
      <w:r w:rsidR="002B7716">
        <w:t xml:space="preserve"> process</w:t>
      </w:r>
      <w:r w:rsidR="006D4DB6">
        <w:t xml:space="preserve"> – </w:t>
      </w:r>
      <w:r w:rsidR="009B5AF9">
        <w:t xml:space="preserve">both in terms of </w:t>
      </w:r>
      <w:r w:rsidR="006D4DB6">
        <w:t xml:space="preserve">the </w:t>
      </w:r>
      <w:r w:rsidR="009B5AF9">
        <w:t>volume</w:t>
      </w:r>
      <w:r w:rsidR="006D4DB6">
        <w:t xml:space="preserve"> of data </w:t>
      </w:r>
      <w:r w:rsidR="009B5AF9" w:rsidRPr="0000481F">
        <w:t>items</w:t>
      </w:r>
      <w:r w:rsidR="00DB2558" w:rsidRPr="0000481F">
        <w:t xml:space="preserve"> (for example, for Key Stage 4, the files can be as large as 2GB, covering around 3 million pupils, with over 20 million data </w:t>
      </w:r>
      <w:r w:rsidR="00E14D4B" w:rsidRPr="0000481F">
        <w:t>entries)</w:t>
      </w:r>
      <w:r w:rsidR="009B5AF9" w:rsidRPr="0000481F">
        <w:t>,</w:t>
      </w:r>
      <w:r w:rsidR="009B5AF9">
        <w:t xml:space="preserve"> complexity of data specification </w:t>
      </w:r>
      <w:r w:rsidR="006D4DB6">
        <w:t xml:space="preserve">and </w:t>
      </w:r>
      <w:r w:rsidR="009B5AF9">
        <w:t xml:space="preserve">requirement to be flexible in responding to regular </w:t>
      </w:r>
      <w:r w:rsidR="002B7716">
        <w:t>changes</w:t>
      </w:r>
      <w:r w:rsidR="006D4DB6">
        <w:t xml:space="preserve"> in policy </w:t>
      </w:r>
      <w:r w:rsidR="009B5AF9">
        <w:t>which impact on the data specifications</w:t>
      </w:r>
      <w:r w:rsidR="006D4DB6">
        <w:t xml:space="preserve">.  </w:t>
      </w:r>
      <w:r w:rsidR="009B5AF9">
        <w:t>T</w:t>
      </w:r>
      <w:r w:rsidR="006D4DB6">
        <w:t xml:space="preserve">he process is iterative – </w:t>
      </w:r>
      <w:r w:rsidR="002B7716">
        <w:t xml:space="preserve">after matching there follows a process of </w:t>
      </w:r>
      <w:r w:rsidR="006D4DB6">
        <w:t xml:space="preserve">preparing </w:t>
      </w:r>
      <w:r w:rsidR="002B7716">
        <w:t>initial ‘</w:t>
      </w:r>
      <w:r w:rsidR="006D4DB6">
        <w:t>un</w:t>
      </w:r>
      <w:r w:rsidR="002B7716">
        <w:t>-</w:t>
      </w:r>
      <w:r w:rsidR="006D4DB6">
        <w:t>amended</w:t>
      </w:r>
      <w:r w:rsidR="002B7716">
        <w:t>’ datasets, undertaking checking exercises, and then preparing final ‘amended’ datasets</w:t>
      </w:r>
      <w:r w:rsidR="009B5AF9">
        <w:t xml:space="preserve"> using updated data </w:t>
      </w:r>
      <w:r w:rsidR="002B7716">
        <w:t xml:space="preserve">– all to demanding timescales and </w:t>
      </w:r>
      <w:r w:rsidR="001009E4">
        <w:t xml:space="preserve">working in </w:t>
      </w:r>
      <w:r w:rsidR="002B7716">
        <w:t>close relationship with the DfE.</w:t>
      </w:r>
      <w:r w:rsidR="006D4DB6">
        <w:t xml:space="preserve">  </w:t>
      </w:r>
    </w:p>
    <w:p w14:paraId="05BB1B7F" w14:textId="77777777" w:rsidR="008D718B" w:rsidRDefault="008D718B" w:rsidP="007C1DDC">
      <w:pPr>
        <w:spacing w:after="200" w:line="276" w:lineRule="auto"/>
        <w:contextualSpacing/>
      </w:pPr>
    </w:p>
    <w:p w14:paraId="761A84FD" w14:textId="4F032D49" w:rsidR="008D718B" w:rsidRDefault="008D718B" w:rsidP="007C1DDC">
      <w:pPr>
        <w:spacing w:after="200" w:line="276" w:lineRule="auto"/>
        <w:contextualSpacing/>
      </w:pPr>
      <w:r>
        <w:t xml:space="preserve">The </w:t>
      </w:r>
      <w:r w:rsidR="00F4783A">
        <w:t xml:space="preserve">headline </w:t>
      </w:r>
      <w:r w:rsidR="006D4DB6">
        <w:t xml:space="preserve">functional </w:t>
      </w:r>
      <w:r w:rsidR="00822DAA">
        <w:t xml:space="preserve">aspects of </w:t>
      </w:r>
      <w:r w:rsidR="006D4DB6">
        <w:t>the overall s</w:t>
      </w:r>
      <w:r>
        <w:t>ervice are: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8D718B" w14:paraId="744AF1A5" w14:textId="77777777" w:rsidTr="009A7857">
        <w:tc>
          <w:tcPr>
            <w:tcW w:w="2694" w:type="dxa"/>
          </w:tcPr>
          <w:p w14:paraId="363160C8" w14:textId="31584CBB" w:rsidR="008D718B" w:rsidRDefault="008D718B" w:rsidP="00E903F8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459" w:hanging="425"/>
              <w:contextualSpacing/>
            </w:pPr>
            <w:r>
              <w:t>Secure Data Transfer</w:t>
            </w:r>
          </w:p>
        </w:tc>
        <w:tc>
          <w:tcPr>
            <w:tcW w:w="6945" w:type="dxa"/>
          </w:tcPr>
          <w:p w14:paraId="7DA75D66" w14:textId="77777777" w:rsidR="00D877B9" w:rsidRDefault="00822DAA" w:rsidP="00D877B9">
            <w:pPr>
              <w:spacing w:before="60" w:after="120" w:line="240" w:lineRule="auto"/>
              <w:ind w:left="34"/>
            </w:pPr>
            <w:r>
              <w:t xml:space="preserve">The ability to receive and send multiple large data files containing pupil level information.  </w:t>
            </w:r>
          </w:p>
          <w:p w14:paraId="43275595" w14:textId="47ED1B31" w:rsidR="00D877B9" w:rsidRDefault="00822DAA" w:rsidP="00D877B9">
            <w:pPr>
              <w:spacing w:before="60" w:after="120" w:line="240" w:lineRule="auto"/>
              <w:ind w:left="34"/>
            </w:pPr>
            <w:r>
              <w:t xml:space="preserve">The primary </w:t>
            </w:r>
            <w:r w:rsidR="00D877B9">
              <w:t xml:space="preserve">relationships are with </w:t>
            </w:r>
            <w:r>
              <w:t>Awarding Organisation</w:t>
            </w:r>
            <w:r w:rsidR="00027B3F">
              <w:t>s</w:t>
            </w:r>
            <w:r>
              <w:t xml:space="preserve"> and the DfE</w:t>
            </w:r>
            <w:r w:rsidR="00D877B9">
              <w:t>, who send file</w:t>
            </w:r>
            <w:r w:rsidR="001009E4">
              <w:t>s</w:t>
            </w:r>
            <w:r w:rsidR="00D877B9">
              <w:t xml:space="preserve"> to / receive files from the service</w:t>
            </w:r>
            <w:r>
              <w:t xml:space="preserve">.  </w:t>
            </w:r>
          </w:p>
          <w:p w14:paraId="5D83BAB0" w14:textId="61E3234D" w:rsidR="00D877B9" w:rsidRDefault="00822DAA" w:rsidP="00D877B9">
            <w:pPr>
              <w:spacing w:before="60" w:after="120" w:line="240" w:lineRule="auto"/>
              <w:ind w:left="34"/>
            </w:pPr>
            <w:r>
              <w:t xml:space="preserve">Transferring </w:t>
            </w:r>
            <w:r w:rsidR="00D877B9">
              <w:t xml:space="preserve">files </w:t>
            </w:r>
            <w:r w:rsidR="00027B3F">
              <w:t xml:space="preserve">is </w:t>
            </w:r>
            <w:r w:rsidR="00D877B9">
              <w:t xml:space="preserve">repetitive </w:t>
            </w:r>
            <w:r>
              <w:t>activity tak</w:t>
            </w:r>
            <w:r w:rsidR="00D877B9">
              <w:t xml:space="preserve">ing </w:t>
            </w:r>
            <w:r>
              <w:t xml:space="preserve">place over a period of time.  </w:t>
            </w:r>
          </w:p>
          <w:p w14:paraId="1F5AAA7B" w14:textId="67C71FF5" w:rsidR="008D718B" w:rsidRDefault="00CC7E68" w:rsidP="00CC7E68">
            <w:pPr>
              <w:spacing w:before="60" w:after="120" w:line="240" w:lineRule="auto"/>
              <w:ind w:left="34"/>
            </w:pPr>
            <w:r w:rsidRPr="00CC7E68">
              <w:t>The data must be transferred using controls which meet the ISO27001 standards and the government Security Policy Framework.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D718B" w14:paraId="331EA22A" w14:textId="77777777" w:rsidTr="009A7857">
        <w:tc>
          <w:tcPr>
            <w:tcW w:w="2694" w:type="dxa"/>
          </w:tcPr>
          <w:p w14:paraId="7A253349" w14:textId="77777777" w:rsidR="008D718B" w:rsidRDefault="008D718B" w:rsidP="00E903F8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459" w:hanging="425"/>
              <w:contextualSpacing/>
            </w:pPr>
            <w:r>
              <w:t>Secure Storage / Hosting</w:t>
            </w:r>
          </w:p>
        </w:tc>
        <w:tc>
          <w:tcPr>
            <w:tcW w:w="6945" w:type="dxa"/>
          </w:tcPr>
          <w:p w14:paraId="002D6A8A" w14:textId="4477A9DA" w:rsidR="008D718B" w:rsidRDefault="00F4783A" w:rsidP="00822DAA">
            <w:pPr>
              <w:spacing w:before="60" w:after="120" w:line="240" w:lineRule="auto"/>
              <w:ind w:left="34"/>
            </w:pPr>
            <w:r>
              <w:t xml:space="preserve">The ability to </w:t>
            </w:r>
            <w:r w:rsidR="008D718B">
              <w:t>store/host</w:t>
            </w:r>
            <w:r w:rsidR="00822DAA">
              <w:t xml:space="preserve"> the new</w:t>
            </w:r>
            <w:r w:rsidR="001009E4">
              <w:t xml:space="preserve">ly </w:t>
            </w:r>
            <w:r w:rsidR="00822DAA">
              <w:t xml:space="preserve">received </w:t>
            </w:r>
            <w:r w:rsidR="001009E4">
              <w:t xml:space="preserve">data </w:t>
            </w:r>
            <w:r w:rsidR="00822DAA">
              <w:t>and</w:t>
            </w:r>
            <w:r w:rsidR="001009E4">
              <w:t xml:space="preserve"> any </w:t>
            </w:r>
            <w:r w:rsidR="008D718B">
              <w:t xml:space="preserve">historical </w:t>
            </w:r>
            <w:r w:rsidR="00822DAA">
              <w:t xml:space="preserve">data </w:t>
            </w:r>
            <w:r w:rsidR="001009E4">
              <w:t>that needs to be retained to support service delivery</w:t>
            </w:r>
            <w:r w:rsidR="008D718B">
              <w:t>.</w:t>
            </w:r>
            <w:r>
              <w:t xml:space="preserve">  </w:t>
            </w:r>
          </w:p>
          <w:p w14:paraId="5FE36ECD" w14:textId="0AE0BC69" w:rsidR="008D718B" w:rsidRDefault="009F338D" w:rsidP="009F338D">
            <w:pPr>
              <w:spacing w:before="60" w:after="120" w:line="240" w:lineRule="auto"/>
              <w:ind w:left="34"/>
            </w:pPr>
            <w:r>
              <w:t xml:space="preserve">Some data will be classified as Official Sensitive.  </w:t>
            </w:r>
            <w:r w:rsidRPr="009F338D">
              <w:t xml:space="preserve">The data must be held securely </w:t>
            </w:r>
            <w:r>
              <w:t>using</w:t>
            </w:r>
            <w:r w:rsidRPr="009F338D">
              <w:t xml:space="preserve"> a combination of software and hardware controls which meet the ISO27001 standards and the government Security Policy Framework.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D718B" w14:paraId="69164D58" w14:textId="77777777" w:rsidTr="009A7857">
        <w:tc>
          <w:tcPr>
            <w:tcW w:w="2694" w:type="dxa"/>
          </w:tcPr>
          <w:p w14:paraId="393FEA1E" w14:textId="570F4E0F" w:rsidR="008D718B" w:rsidRDefault="00E903F8" w:rsidP="00E903F8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459" w:hanging="425"/>
              <w:contextualSpacing/>
            </w:pPr>
            <w:r>
              <w:t xml:space="preserve">Data </w:t>
            </w:r>
            <w:r w:rsidR="009B5AF9">
              <w:t xml:space="preserve">Collecting and </w:t>
            </w:r>
            <w:r w:rsidR="008D718B">
              <w:t>Matching</w:t>
            </w:r>
          </w:p>
        </w:tc>
        <w:tc>
          <w:tcPr>
            <w:tcW w:w="6945" w:type="dxa"/>
          </w:tcPr>
          <w:p w14:paraId="289C06F3" w14:textId="652A9D00" w:rsidR="00C20F6C" w:rsidRDefault="00C20F6C" w:rsidP="006165E7">
            <w:pPr>
              <w:spacing w:before="60" w:after="120" w:line="240" w:lineRule="auto"/>
              <w:ind w:left="34"/>
            </w:pPr>
            <w:r>
              <w:t>Manage the process of collecting data from Awarding Organisation and the DfE – so all data required is provide in bulk files, as opposed to having to collect data from individuals.</w:t>
            </w:r>
          </w:p>
          <w:p w14:paraId="4CB239D7" w14:textId="2ED6054F" w:rsidR="00F4783A" w:rsidRDefault="00C20F6C" w:rsidP="006165E7">
            <w:pPr>
              <w:spacing w:before="60" w:after="120" w:line="240" w:lineRule="auto"/>
              <w:ind w:left="34"/>
            </w:pPr>
            <w:r>
              <w:t>T</w:t>
            </w:r>
            <w:r w:rsidR="00822DAA">
              <w:t xml:space="preserve">he </w:t>
            </w:r>
            <w:r w:rsidR="00F4783A">
              <w:t xml:space="preserve">ability to </w:t>
            </w:r>
            <w:r w:rsidR="00822DAA">
              <w:t>match</w:t>
            </w:r>
            <w:r w:rsidR="006165E7">
              <w:t xml:space="preserve"> </w:t>
            </w:r>
            <w:r w:rsidR="00822DAA">
              <w:t xml:space="preserve">the </w:t>
            </w:r>
            <w:r>
              <w:t xml:space="preserve">collected </w:t>
            </w:r>
            <w:r w:rsidR="00822DAA">
              <w:t xml:space="preserve">data received </w:t>
            </w:r>
            <w:r w:rsidR="002B7716">
              <w:t xml:space="preserve">to </w:t>
            </w:r>
            <w:r w:rsidR="00F4783A">
              <w:t xml:space="preserve">create an overarching dataset.  </w:t>
            </w:r>
          </w:p>
          <w:p w14:paraId="28985088" w14:textId="500BB684" w:rsidR="006165E7" w:rsidRDefault="002C44BA" w:rsidP="006165E7">
            <w:pPr>
              <w:spacing w:before="60" w:after="120" w:line="240" w:lineRule="auto"/>
              <w:ind w:left="34"/>
            </w:pPr>
            <w:r>
              <w:t>T</w:t>
            </w:r>
            <w:r w:rsidR="006165E7">
              <w:t>he</w:t>
            </w:r>
            <w:r w:rsidR="008D718B">
              <w:t xml:space="preserve"> majority of matching </w:t>
            </w:r>
            <w:r>
              <w:t>can be delivered by</w:t>
            </w:r>
            <w:r w:rsidR="008D718B">
              <w:t xml:space="preserve"> auto (statistical) matching for processing efficiency purposes.</w:t>
            </w:r>
            <w:r w:rsidR="006165E7">
              <w:t xml:space="preserve">  </w:t>
            </w:r>
          </w:p>
          <w:p w14:paraId="24EB11CB" w14:textId="76C2B7C1" w:rsidR="00C20F6C" w:rsidRDefault="008D718B" w:rsidP="00C20F6C">
            <w:pPr>
              <w:spacing w:before="60" w:after="120" w:line="240" w:lineRule="auto"/>
              <w:ind w:left="34"/>
            </w:pPr>
            <w:r>
              <w:t>But</w:t>
            </w:r>
            <w:r w:rsidR="006165E7">
              <w:t xml:space="preserve"> </w:t>
            </w:r>
            <w:r w:rsidR="002C44BA">
              <w:t xml:space="preserve">there is a </w:t>
            </w:r>
            <w:r w:rsidR="006165E7">
              <w:t xml:space="preserve">need for </w:t>
            </w:r>
            <w:r>
              <w:t>value added (person investigatory) matching.</w:t>
            </w:r>
            <w:r w:rsidR="006165E7">
              <w:t xml:space="preserve">  This may include validating issues with </w:t>
            </w:r>
            <w:r>
              <w:t>A</w:t>
            </w:r>
            <w:r w:rsidR="006165E7">
              <w:t xml:space="preserve">warding </w:t>
            </w:r>
            <w:r>
              <w:t>O</w:t>
            </w:r>
            <w:r w:rsidR="006165E7">
              <w:t>rganisations, or appl</w:t>
            </w:r>
            <w:r w:rsidR="002C44BA">
              <w:t xml:space="preserve">ying </w:t>
            </w:r>
            <w:r>
              <w:t>business rules to enable matching.</w:t>
            </w:r>
          </w:p>
        </w:tc>
      </w:tr>
      <w:tr w:rsidR="008D718B" w14:paraId="0CB64D86" w14:textId="77777777" w:rsidTr="009A7857">
        <w:tc>
          <w:tcPr>
            <w:tcW w:w="2694" w:type="dxa"/>
          </w:tcPr>
          <w:p w14:paraId="17A21671" w14:textId="04C36CBA" w:rsidR="008D718B" w:rsidRDefault="00E903F8" w:rsidP="0090516B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459" w:hanging="425"/>
              <w:contextualSpacing/>
            </w:pPr>
            <w:r>
              <w:t xml:space="preserve">Data </w:t>
            </w:r>
            <w:r w:rsidR="0090516B">
              <w:t>Production</w:t>
            </w:r>
          </w:p>
        </w:tc>
        <w:tc>
          <w:tcPr>
            <w:tcW w:w="6945" w:type="dxa"/>
          </w:tcPr>
          <w:p w14:paraId="142F8570" w14:textId="1C2BA864" w:rsidR="006165E7" w:rsidRDefault="006165E7" w:rsidP="00027B3F">
            <w:pPr>
              <w:spacing w:before="60" w:after="120" w:line="240" w:lineRule="auto"/>
              <w:ind w:left="34"/>
            </w:pPr>
            <w:r>
              <w:t xml:space="preserve">The ability to apply </w:t>
            </w:r>
            <w:r w:rsidR="00C20F6C">
              <w:t>data</w:t>
            </w:r>
            <w:r>
              <w:t xml:space="preserve"> specifications to the matched data in order to produce the final outputs for the DfE.</w:t>
            </w:r>
            <w:r w:rsidR="00027B3F">
              <w:t xml:space="preserve">  This, at a basic </w:t>
            </w:r>
            <w:r w:rsidR="00027B3F">
              <w:lastRenderedPageBreak/>
              <w:t>level</w:t>
            </w:r>
            <w:r w:rsidR="002C44BA">
              <w:t>,</w:t>
            </w:r>
            <w:r w:rsidR="00027B3F">
              <w:t xml:space="preserve"> includes preparation of pupil level data which is also aggregated up to school, local authority and national level</w:t>
            </w:r>
            <w:r w:rsidR="002C44BA">
              <w:t>.</w:t>
            </w:r>
          </w:p>
          <w:p w14:paraId="51E7BF12" w14:textId="2D8BC94B" w:rsidR="00C20F6C" w:rsidRDefault="002C44BA" w:rsidP="00027B3F">
            <w:pPr>
              <w:spacing w:before="60" w:after="120" w:line="240" w:lineRule="auto"/>
              <w:ind w:left="34"/>
            </w:pPr>
            <w:r>
              <w:t xml:space="preserve">The production process </w:t>
            </w:r>
            <w:r w:rsidR="00027B3F">
              <w:t>includes applying various indicators and measures that are determined by the DfE</w:t>
            </w:r>
            <w:r w:rsidR="009A7857">
              <w:t xml:space="preserve">, and </w:t>
            </w:r>
            <w:r w:rsidR="00C20F6C">
              <w:t>also undertaking specific calculations to produce data measures (e.g. Progress 8)</w:t>
            </w:r>
          </w:p>
          <w:p w14:paraId="4043AEFD" w14:textId="6D26DAAB" w:rsidR="008D718B" w:rsidRDefault="00C20F6C" w:rsidP="00027B3F">
            <w:pPr>
              <w:spacing w:before="60" w:after="120" w:line="240" w:lineRule="auto"/>
              <w:ind w:left="34"/>
            </w:pPr>
            <w:r>
              <w:t>D</w:t>
            </w:r>
            <w:r w:rsidR="009A7857">
              <w:t xml:space="preserve">elivering ‘dry-run’ activity to provide assurance that </w:t>
            </w:r>
            <w:r w:rsidR="00551FF7">
              <w:t>specifications have</w:t>
            </w:r>
            <w:r w:rsidR="009A7857">
              <w:t xml:space="preserve"> been applied correctly</w:t>
            </w:r>
            <w:r>
              <w:t xml:space="preserve"> is required</w:t>
            </w:r>
            <w:r w:rsidR="00027B3F">
              <w:t>.</w:t>
            </w:r>
          </w:p>
          <w:p w14:paraId="434016C5" w14:textId="36F1CD7E" w:rsidR="008D718B" w:rsidRDefault="00027B3F" w:rsidP="00027B3F">
            <w:pPr>
              <w:spacing w:before="60" w:after="120" w:line="240" w:lineRule="auto"/>
              <w:ind w:left="34"/>
            </w:pPr>
            <w:r w:rsidRPr="00027B3F">
              <w:t xml:space="preserve">The outputs produced must be </w:t>
            </w:r>
            <w:r w:rsidR="008D718B">
              <w:t>compatible with software used by the DfE (at the moment SQL).</w:t>
            </w:r>
          </w:p>
        </w:tc>
      </w:tr>
      <w:tr w:rsidR="008D718B" w14:paraId="303BE3A5" w14:textId="77777777" w:rsidTr="009A7857">
        <w:tc>
          <w:tcPr>
            <w:tcW w:w="2694" w:type="dxa"/>
          </w:tcPr>
          <w:p w14:paraId="48C8CBDF" w14:textId="17B2AEFB" w:rsidR="008D718B" w:rsidRDefault="009A7857" w:rsidP="00E903F8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459" w:hanging="425"/>
              <w:contextualSpacing/>
            </w:pPr>
            <w:r>
              <w:lastRenderedPageBreak/>
              <w:t xml:space="preserve">Data Checking </w:t>
            </w:r>
            <w:r w:rsidR="008D718B">
              <w:t xml:space="preserve">Services </w:t>
            </w:r>
          </w:p>
        </w:tc>
        <w:tc>
          <w:tcPr>
            <w:tcW w:w="6945" w:type="dxa"/>
          </w:tcPr>
          <w:p w14:paraId="17045E26" w14:textId="74184162" w:rsidR="009A7857" w:rsidRDefault="009A7857" w:rsidP="00551FF7">
            <w:pPr>
              <w:spacing w:before="60" w:after="120" w:line="240" w:lineRule="auto"/>
              <w:ind w:left="34"/>
            </w:pPr>
            <w:r>
              <w:t>A key step in the process, once data has been initially calculated, is providing schools and local authorities with the ability to view, check and propose amendments to the</w:t>
            </w:r>
            <w:r w:rsidR="00C20F6C">
              <w:t>ir own schools</w:t>
            </w:r>
            <w:r>
              <w:t xml:space="preserve"> data during specified windows.  This is currently delivered via a </w:t>
            </w:r>
            <w:r w:rsidR="00C20F6C">
              <w:t xml:space="preserve">secure </w:t>
            </w:r>
            <w:r>
              <w:t>web-service</w:t>
            </w:r>
            <w:r w:rsidR="002C44BA">
              <w:t>, with accepted amendments applied to the data</w:t>
            </w:r>
            <w:r>
              <w:t>.</w:t>
            </w:r>
          </w:p>
          <w:p w14:paraId="5A41FAB5" w14:textId="2E1DEC63" w:rsidR="008D718B" w:rsidRDefault="009A7857" w:rsidP="00551FF7">
            <w:pPr>
              <w:spacing w:before="60" w:after="120" w:line="240" w:lineRule="auto"/>
              <w:ind w:left="34"/>
            </w:pPr>
            <w:r>
              <w:t>It is expected that a helpdesk service is required to support this processes.</w:t>
            </w:r>
          </w:p>
        </w:tc>
      </w:tr>
    </w:tbl>
    <w:p w14:paraId="7FD37053" w14:textId="77777777" w:rsidR="008D718B" w:rsidRDefault="008D718B" w:rsidP="007C1DDC">
      <w:pPr>
        <w:spacing w:after="200" w:line="276" w:lineRule="auto"/>
        <w:contextualSpacing/>
      </w:pPr>
    </w:p>
    <w:p w14:paraId="7DA7FD57" w14:textId="600E43E1" w:rsidR="00370CBC" w:rsidRDefault="00370CBC" w:rsidP="009A7857">
      <w:pPr>
        <w:spacing w:after="200" w:line="276" w:lineRule="auto"/>
        <w:contextualSpacing/>
        <w:rPr>
          <w:u w:val="single"/>
        </w:rPr>
      </w:pPr>
      <w:r>
        <w:rPr>
          <w:u w:val="single"/>
        </w:rPr>
        <w:t xml:space="preserve">Areas for </w:t>
      </w:r>
      <w:r w:rsidR="00D21B8E">
        <w:rPr>
          <w:u w:val="single"/>
        </w:rPr>
        <w:t>Exploration</w:t>
      </w:r>
    </w:p>
    <w:p w14:paraId="133B2BDC" w14:textId="77777777" w:rsidR="00D21B8E" w:rsidRDefault="00D21B8E" w:rsidP="009A7857">
      <w:pPr>
        <w:spacing w:after="200" w:line="276" w:lineRule="auto"/>
        <w:contextualSpacing/>
        <w:rPr>
          <w:u w:val="single"/>
        </w:rPr>
      </w:pPr>
    </w:p>
    <w:p w14:paraId="2C2C483C" w14:textId="13D49FCC" w:rsidR="00D21B8E" w:rsidRDefault="00D21B8E" w:rsidP="00756DAD">
      <w:r>
        <w:t xml:space="preserve">The purpose of the survey </w:t>
      </w:r>
      <w:r w:rsidR="002C21AD">
        <w:t xml:space="preserve">is to </w:t>
      </w:r>
      <w:r>
        <w:t>obtain views in the following key areas:</w:t>
      </w:r>
    </w:p>
    <w:p w14:paraId="5CCE8537" w14:textId="77777777" w:rsidR="00D21B8E" w:rsidRDefault="00D21B8E" w:rsidP="00D21B8E">
      <w:pPr>
        <w:pStyle w:val="ListParagraph"/>
        <w:numPr>
          <w:ilvl w:val="0"/>
          <w:numId w:val="18"/>
        </w:numPr>
      </w:pPr>
      <w:r>
        <w:t>The potential delivery options</w:t>
      </w:r>
    </w:p>
    <w:p w14:paraId="770633C6" w14:textId="07B5E7D2" w:rsidR="00D21B8E" w:rsidRDefault="00BA734C" w:rsidP="00D21B8E">
      <w:pPr>
        <w:pStyle w:val="ListParagraph"/>
        <w:numPr>
          <w:ilvl w:val="0"/>
          <w:numId w:val="19"/>
        </w:numPr>
      </w:pPr>
      <w:r>
        <w:t xml:space="preserve">Your views </w:t>
      </w:r>
      <w:r w:rsidR="00D21B8E">
        <w:t xml:space="preserve">on the proposed </w:t>
      </w:r>
      <w:r>
        <w:t xml:space="preserve">delivery </w:t>
      </w:r>
      <w:r w:rsidR="00D21B8E">
        <w:t>options presented.</w:t>
      </w:r>
    </w:p>
    <w:p w14:paraId="64F86194" w14:textId="788EF32E" w:rsidR="00D21B8E" w:rsidRDefault="00BA734C" w:rsidP="00D21B8E">
      <w:pPr>
        <w:pStyle w:val="ListParagraph"/>
        <w:numPr>
          <w:ilvl w:val="0"/>
          <w:numId w:val="19"/>
        </w:numPr>
      </w:pPr>
      <w:r>
        <w:t xml:space="preserve">Your views </w:t>
      </w:r>
      <w:r w:rsidR="00D21B8E">
        <w:t>on alternative delivery options.</w:t>
      </w:r>
    </w:p>
    <w:p w14:paraId="07876BF3" w14:textId="1B21D154" w:rsidR="00D21B8E" w:rsidRDefault="00BA734C" w:rsidP="00D21B8E">
      <w:pPr>
        <w:pStyle w:val="ListParagraph"/>
        <w:numPr>
          <w:ilvl w:val="0"/>
          <w:numId w:val="19"/>
        </w:numPr>
      </w:pPr>
      <w:r>
        <w:t xml:space="preserve">Your views on </w:t>
      </w:r>
      <w:r w:rsidR="00D21B8E">
        <w:t>perceived benefits and risks.</w:t>
      </w:r>
    </w:p>
    <w:p w14:paraId="19577FB0" w14:textId="77777777" w:rsidR="00D21B8E" w:rsidRDefault="00D21B8E" w:rsidP="00D21B8E">
      <w:pPr>
        <w:pStyle w:val="ListParagraph"/>
        <w:numPr>
          <w:ilvl w:val="0"/>
          <w:numId w:val="18"/>
        </w:numPr>
      </w:pPr>
      <w:r>
        <w:t>Being ready to deliver</w:t>
      </w:r>
    </w:p>
    <w:p w14:paraId="7B296481" w14:textId="6F41AF14" w:rsidR="00BA734C" w:rsidRDefault="00BA734C" w:rsidP="00BA734C">
      <w:pPr>
        <w:pStyle w:val="ListParagraph"/>
        <w:numPr>
          <w:ilvl w:val="0"/>
          <w:numId w:val="19"/>
        </w:numPr>
      </w:pPr>
      <w:r>
        <w:t xml:space="preserve">Your views on the </w:t>
      </w:r>
      <w:r w:rsidR="00D21B8E">
        <w:t xml:space="preserve">information </w:t>
      </w:r>
      <w:r>
        <w:t xml:space="preserve">and timescales </w:t>
      </w:r>
      <w:r w:rsidR="00D21B8E">
        <w:t xml:space="preserve">needed to </w:t>
      </w:r>
      <w:r>
        <w:t>enable production of proposals in the event of procurement.</w:t>
      </w:r>
    </w:p>
    <w:p w14:paraId="1F152B65" w14:textId="1330FA00" w:rsidR="00BA734C" w:rsidRDefault="00BA734C" w:rsidP="00BA734C">
      <w:pPr>
        <w:pStyle w:val="ListParagraph"/>
        <w:numPr>
          <w:ilvl w:val="0"/>
          <w:numId w:val="19"/>
        </w:numPr>
      </w:pPr>
      <w:r>
        <w:rPr>
          <w:lang w:val="en-US"/>
        </w:rPr>
        <w:t xml:space="preserve">Your view on </w:t>
      </w:r>
      <w:r w:rsidR="00D90D9E">
        <w:rPr>
          <w:lang w:val="en-US"/>
        </w:rPr>
        <w:t xml:space="preserve">key activity, </w:t>
      </w:r>
      <w:r w:rsidRPr="004D75B1">
        <w:rPr>
          <w:lang w:val="en-US"/>
        </w:rPr>
        <w:t>timescales</w:t>
      </w:r>
      <w:r w:rsidR="00D90D9E">
        <w:rPr>
          <w:lang w:val="en-US"/>
        </w:rPr>
        <w:t xml:space="preserve"> and support</w:t>
      </w:r>
      <w:r w:rsidR="00C20F6C">
        <w:rPr>
          <w:lang w:val="en-US"/>
        </w:rPr>
        <w:t xml:space="preserve"> (post contract award)</w:t>
      </w:r>
      <w:r w:rsidR="00D90D9E">
        <w:rPr>
          <w:lang w:val="en-US"/>
        </w:rPr>
        <w:t xml:space="preserve"> necessary to </w:t>
      </w:r>
      <w:r>
        <w:rPr>
          <w:lang w:val="en-US"/>
        </w:rPr>
        <w:t xml:space="preserve">deliver </w:t>
      </w:r>
      <w:r w:rsidR="00D90D9E">
        <w:rPr>
          <w:lang w:val="en-US"/>
        </w:rPr>
        <w:t xml:space="preserve">effective </w:t>
      </w:r>
      <w:r>
        <w:rPr>
          <w:lang w:val="en-US"/>
        </w:rPr>
        <w:t xml:space="preserve">service </w:t>
      </w:r>
      <w:r w:rsidR="00C20F6C">
        <w:rPr>
          <w:lang w:val="en-US"/>
        </w:rPr>
        <w:t xml:space="preserve">set-up, </w:t>
      </w:r>
      <w:r>
        <w:rPr>
          <w:lang w:val="en-US"/>
        </w:rPr>
        <w:t>transition</w:t>
      </w:r>
      <w:r w:rsidR="00D90D9E">
        <w:rPr>
          <w:lang w:val="en-US"/>
        </w:rPr>
        <w:t xml:space="preserve"> and </w:t>
      </w:r>
      <w:r>
        <w:rPr>
          <w:lang w:val="en-US"/>
        </w:rPr>
        <w:t>dual run activity</w:t>
      </w:r>
      <w:r w:rsidR="00D90D9E">
        <w:rPr>
          <w:lang w:val="en-US"/>
        </w:rPr>
        <w:t xml:space="preserve">. </w:t>
      </w:r>
    </w:p>
    <w:p w14:paraId="7DD24576" w14:textId="45441D68" w:rsidR="00370CBC" w:rsidRPr="00BA734C" w:rsidRDefault="00BA734C" w:rsidP="00BA734C">
      <w:pPr>
        <w:spacing w:after="200" w:line="276" w:lineRule="auto"/>
        <w:contextualSpacing/>
        <w:rPr>
          <w:u w:val="single"/>
        </w:rPr>
      </w:pPr>
      <w:r w:rsidRPr="00BA734C">
        <w:rPr>
          <w:u w:val="single"/>
        </w:rPr>
        <w:t>Telephone Meeting</w:t>
      </w:r>
      <w:r w:rsidR="000D3E90">
        <w:rPr>
          <w:u w:val="single"/>
        </w:rPr>
        <w:t>s</w:t>
      </w:r>
    </w:p>
    <w:p w14:paraId="09D83C5D" w14:textId="77777777" w:rsidR="00BA734C" w:rsidRDefault="00BA734C" w:rsidP="00315ABD">
      <w:pPr>
        <w:spacing w:after="0" w:line="240" w:lineRule="auto"/>
        <w:rPr>
          <w:rFonts w:asciiTheme="minorHAnsi" w:hAnsiTheme="minorHAnsi"/>
        </w:rPr>
      </w:pPr>
    </w:p>
    <w:p w14:paraId="301C91EE" w14:textId="53045CF3" w:rsidR="00BA734C" w:rsidRDefault="00BA734C" w:rsidP="00BA734C">
      <w:r w:rsidRPr="00BA734C">
        <w:t xml:space="preserve">Where organisations would like </w:t>
      </w:r>
      <w:r w:rsidR="002C21AD">
        <w:t xml:space="preserve">a discussion </w:t>
      </w:r>
      <w:r w:rsidRPr="00BA734C">
        <w:t xml:space="preserve">in advance of completing the survey, telephone appointments can be arranged.  These will be held over two days – </w:t>
      </w:r>
      <w:r w:rsidR="00D90D9E">
        <w:t>2</w:t>
      </w:r>
      <w:r w:rsidR="00D90D9E" w:rsidRPr="00D90D9E">
        <w:rPr>
          <w:vertAlign w:val="superscript"/>
        </w:rPr>
        <w:t>nd</w:t>
      </w:r>
      <w:r w:rsidR="00D90D9E">
        <w:t xml:space="preserve"> </w:t>
      </w:r>
      <w:r w:rsidRPr="00BA734C">
        <w:t xml:space="preserve">and </w:t>
      </w:r>
      <w:r w:rsidR="00D90D9E">
        <w:t>3</w:t>
      </w:r>
      <w:r w:rsidR="00D90D9E" w:rsidRPr="00D90D9E">
        <w:rPr>
          <w:vertAlign w:val="superscript"/>
        </w:rPr>
        <w:t>rd</w:t>
      </w:r>
      <w:r w:rsidR="00D90D9E">
        <w:t xml:space="preserve"> </w:t>
      </w:r>
      <w:r w:rsidRPr="00BA734C">
        <w:t>of February</w:t>
      </w:r>
      <w:r w:rsidR="002C21AD">
        <w:t>, and will be arranged on a first come, first serve basis</w:t>
      </w:r>
      <w:r w:rsidRPr="00BA734C">
        <w:t>.</w:t>
      </w:r>
    </w:p>
    <w:p w14:paraId="61006851" w14:textId="09859DBA" w:rsidR="000D3E90" w:rsidRDefault="000D3E90" w:rsidP="00BA734C">
      <w:r>
        <w:t xml:space="preserve">The appointment will be limited to 30 minutes.  The intention of this process is not to get into detailed presentation and debate about the service requirement, but </w:t>
      </w:r>
      <w:r w:rsidR="002C21AD">
        <w:t xml:space="preserve">to </w:t>
      </w:r>
      <w:r>
        <w:t xml:space="preserve">obtain high level views on </w:t>
      </w:r>
      <w:r w:rsidR="002C21AD">
        <w:t xml:space="preserve">delivery </w:t>
      </w:r>
      <w:r>
        <w:t xml:space="preserve">options, benefits and risks to </w:t>
      </w:r>
      <w:r w:rsidR="001E3F33">
        <w:t xml:space="preserve">help shape and </w:t>
      </w:r>
      <w:r>
        <w:t>inform internal thinking about a preferred delivery approach.  Therefore the focus will be on scene setting to help organisation</w:t>
      </w:r>
      <w:r w:rsidR="002C21AD">
        <w:t>s</w:t>
      </w:r>
      <w:r>
        <w:t xml:space="preserve"> </w:t>
      </w:r>
      <w:r w:rsidR="001E3F33">
        <w:t xml:space="preserve">better understand the overarching objectives, scale and scope of service to </w:t>
      </w:r>
      <w:r w:rsidR="001E3F33">
        <w:lastRenderedPageBreak/>
        <w:t xml:space="preserve">enable an effective response to the </w:t>
      </w:r>
      <w:r w:rsidR="002C21AD">
        <w:t>survey</w:t>
      </w:r>
      <w:r>
        <w:t xml:space="preserve">.  Detailed discussions about the service requirement and delivery approach will be held in due course.  </w:t>
      </w:r>
    </w:p>
    <w:p w14:paraId="56A87D58" w14:textId="50B53466" w:rsidR="001736CB" w:rsidRPr="00BA734C" w:rsidRDefault="001736CB" w:rsidP="00BA734C">
      <w:r>
        <w:t xml:space="preserve">Six appointments will be held for each of the two days.  </w:t>
      </w:r>
      <w:r w:rsidR="009F338D">
        <w:t>A notice</w:t>
      </w:r>
      <w:r w:rsidR="00DC3971">
        <w:t xml:space="preserve"> will be placed on Contracts Finder o</w:t>
      </w:r>
      <w:r w:rsidR="009F338D">
        <w:t>nce</w:t>
      </w:r>
      <w:r>
        <w:t xml:space="preserve"> all appointments are taken</w:t>
      </w:r>
      <w:r w:rsidR="00DC3971">
        <w:t>.</w:t>
      </w:r>
    </w:p>
    <w:p w14:paraId="062F792B" w14:textId="0C7D050C" w:rsidR="00FA48D6" w:rsidRDefault="000D3E90" w:rsidP="00FD0243">
      <w:r>
        <w:t>Any organisation that would like to have telephone conversation</w:t>
      </w:r>
      <w:r w:rsidR="001E3F33">
        <w:t xml:space="preserve"> in advanced of completing the survey </w:t>
      </w:r>
      <w:r w:rsidR="00640F87">
        <w:t>is</w:t>
      </w:r>
      <w:r w:rsidR="007C1DDC">
        <w:t xml:space="preserve"> asked to email Robert Rodney (</w:t>
      </w:r>
      <w:hyperlink r:id="rId16" w:history="1">
        <w:r w:rsidR="007C1DDC" w:rsidRPr="00D47C5A">
          <w:rPr>
            <w:rStyle w:val="Hyperlink"/>
          </w:rPr>
          <w:t>Robert.rodney@education.gsi.gov.uk</w:t>
        </w:r>
      </w:hyperlink>
      <w:r w:rsidR="007C1DDC">
        <w:t xml:space="preserve">) no later than </w:t>
      </w:r>
      <w:r w:rsidR="00D90D9E">
        <w:t>1</w:t>
      </w:r>
      <w:r w:rsidR="00D90D9E" w:rsidRPr="00D90D9E">
        <w:rPr>
          <w:vertAlign w:val="superscript"/>
        </w:rPr>
        <w:t>st</w:t>
      </w:r>
      <w:r w:rsidR="00D90D9E">
        <w:t xml:space="preserve"> </w:t>
      </w:r>
      <w:r>
        <w:t>February 2016</w:t>
      </w:r>
      <w:r w:rsidR="007C1DDC">
        <w:t>.</w:t>
      </w:r>
      <w:r w:rsidR="00FA48D6">
        <w:t xml:space="preserve">  </w:t>
      </w:r>
    </w:p>
    <w:p w14:paraId="0DD62835" w14:textId="3345A116" w:rsidR="002C21AD" w:rsidRDefault="002C21AD">
      <w:pPr>
        <w:spacing w:after="0" w:line="240" w:lineRule="auto"/>
      </w:pPr>
    </w:p>
    <w:sectPr w:rsidR="002C21AD" w:rsidSect="00DD3235">
      <w:footerReference w:type="default" r:id="rId17"/>
      <w:footerReference w:type="first" r:id="rId18"/>
      <w:type w:val="continuous"/>
      <w:pgSz w:w="11906" w:h="16838" w:code="9"/>
      <w:pgMar w:top="851" w:right="1133" w:bottom="993" w:left="1080" w:header="426" w:footer="39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E7AFF" w14:textId="77777777" w:rsidR="00EF0460" w:rsidRDefault="00EF0460" w:rsidP="00E22EC8">
      <w:r>
        <w:separator/>
      </w:r>
    </w:p>
  </w:endnote>
  <w:endnote w:type="continuationSeparator" w:id="0">
    <w:p w14:paraId="25363F0C" w14:textId="77777777" w:rsidR="00EF0460" w:rsidRDefault="00EF0460" w:rsidP="00E2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816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205502" w14:textId="77777777" w:rsidR="00C76325" w:rsidRDefault="00C76325" w:rsidP="00D574F1">
        <w:pPr>
          <w:pStyle w:val="BodyText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B6F7" w14:textId="77777777" w:rsidR="00C76325" w:rsidRPr="006E6ADB" w:rsidRDefault="00C76325" w:rsidP="00E22EC8">
    <w:pPr>
      <w:pStyle w:val="CopyrightBox"/>
    </w:pPr>
    <w:r w:rsidRPr="006E6AD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7E166" w14:textId="77777777" w:rsidR="00EF0460" w:rsidRDefault="00EF0460" w:rsidP="00E22EC8">
      <w:r>
        <w:separator/>
      </w:r>
    </w:p>
  </w:footnote>
  <w:footnote w:type="continuationSeparator" w:id="0">
    <w:p w14:paraId="0CE3569B" w14:textId="77777777" w:rsidR="00EF0460" w:rsidRDefault="00EF0460" w:rsidP="00E2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528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pStyle w:val="ListParagraph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A644DA"/>
    <w:multiLevelType w:val="hybridMultilevel"/>
    <w:tmpl w:val="ECB692A6"/>
    <w:lvl w:ilvl="0" w:tplc="0D1C39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80529"/>
    <w:multiLevelType w:val="hybridMultilevel"/>
    <w:tmpl w:val="524A42E6"/>
    <w:lvl w:ilvl="0" w:tplc="503C8066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D8A2280"/>
    <w:multiLevelType w:val="hybridMultilevel"/>
    <w:tmpl w:val="7E5C18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6D66"/>
    <w:multiLevelType w:val="hybridMultilevel"/>
    <w:tmpl w:val="82EE7858"/>
    <w:lvl w:ilvl="0" w:tplc="7E169244">
      <w:start w:val="1"/>
      <w:numFmt w:val="bullet"/>
      <w:pStyle w:val="ListBullet1"/>
      <w:lvlText w:val=""/>
      <w:lvlJc w:val="left"/>
      <w:pPr>
        <w:ind w:left="709" w:hanging="360"/>
      </w:pPr>
      <w:rPr>
        <w:rFonts w:ascii="Wingdings" w:hAnsi="Wingdings" w:hint="default"/>
        <w:color w:val="104F75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A416E94"/>
    <w:multiLevelType w:val="hybridMultilevel"/>
    <w:tmpl w:val="5B763176"/>
    <w:lvl w:ilvl="0" w:tplc="D3BA3B5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3701A7"/>
    <w:multiLevelType w:val="hybridMultilevel"/>
    <w:tmpl w:val="F8B4C510"/>
    <w:lvl w:ilvl="0" w:tplc="692651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393B"/>
    <w:multiLevelType w:val="hybridMultilevel"/>
    <w:tmpl w:val="34CCDF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21CEF"/>
    <w:multiLevelType w:val="multilevel"/>
    <w:tmpl w:val="6276BC8A"/>
    <w:lvl w:ilvl="0">
      <w:start w:val="1"/>
      <w:numFmt w:val="decimal"/>
      <w:pStyle w:val="Lvl1bulle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353" w:hanging="360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right"/>
      <w:pPr>
        <w:ind w:left="2495" w:firstLine="22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3842B53"/>
    <w:multiLevelType w:val="hybridMultilevel"/>
    <w:tmpl w:val="ECB692A6"/>
    <w:lvl w:ilvl="0" w:tplc="0D1C39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15F05"/>
    <w:multiLevelType w:val="hybridMultilevel"/>
    <w:tmpl w:val="049894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31EED"/>
    <w:multiLevelType w:val="multilevel"/>
    <w:tmpl w:val="4BDED30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Lvl2bullet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vl4bullet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4">
    <w:nsid w:val="32DE3285"/>
    <w:multiLevelType w:val="hybridMultilevel"/>
    <w:tmpl w:val="0F0C8CC0"/>
    <w:lvl w:ilvl="0" w:tplc="94BA09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D7252"/>
    <w:multiLevelType w:val="hybridMultilevel"/>
    <w:tmpl w:val="906ABF52"/>
    <w:lvl w:ilvl="0" w:tplc="4B4054B4">
      <w:start w:val="1"/>
      <w:numFmt w:val="bullet"/>
      <w:pStyle w:val="ListBullet2"/>
      <w:lvlText w:val=""/>
      <w:lvlJc w:val="left"/>
      <w:pPr>
        <w:ind w:left="1497" w:hanging="360"/>
      </w:pPr>
      <w:rPr>
        <w:rFonts w:ascii="Wingdings" w:hAnsi="Wingdings" w:hint="default"/>
        <w:color w:val="104F75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6">
    <w:nsid w:val="3C5E18AE"/>
    <w:multiLevelType w:val="hybridMultilevel"/>
    <w:tmpl w:val="0CD25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E07AE"/>
    <w:multiLevelType w:val="hybridMultilevel"/>
    <w:tmpl w:val="F1B0A9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D3514"/>
    <w:multiLevelType w:val="hybridMultilevel"/>
    <w:tmpl w:val="851ADF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>
    <w:nsid w:val="5DB35B57"/>
    <w:multiLevelType w:val="hybridMultilevel"/>
    <w:tmpl w:val="22C68EE4"/>
    <w:lvl w:ilvl="0" w:tplc="2C2284BA">
      <w:start w:val="1"/>
      <w:numFmt w:val="bullet"/>
      <w:pStyle w:val="ListBullet4"/>
      <w:lvlText w:val=""/>
      <w:lvlJc w:val="left"/>
      <w:pPr>
        <w:ind w:left="2279" w:hanging="360"/>
      </w:pPr>
      <w:rPr>
        <w:rFonts w:ascii="Wingdings" w:hAnsi="Wingdings" w:hint="default"/>
        <w:color w:val="104F75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>
    <w:nsid w:val="62A232E5"/>
    <w:multiLevelType w:val="multilevel"/>
    <w:tmpl w:val="4228834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vl3bullet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>
    <w:nsid w:val="6F93220B"/>
    <w:multiLevelType w:val="hybridMultilevel"/>
    <w:tmpl w:val="DD9AEF0A"/>
    <w:lvl w:ilvl="0" w:tplc="E2F8E2C2">
      <w:start w:val="1"/>
      <w:numFmt w:val="bullet"/>
      <w:pStyle w:val="ListBullet3"/>
      <w:lvlText w:val=""/>
      <w:lvlJc w:val="left"/>
      <w:pPr>
        <w:ind w:left="1854" w:hanging="360"/>
      </w:pPr>
      <w:rPr>
        <w:rFonts w:ascii="Wingdings" w:hAnsi="Wingdings" w:hint="default"/>
        <w:color w:val="104F75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6C830E7"/>
    <w:multiLevelType w:val="hybridMultilevel"/>
    <w:tmpl w:val="4C501AA6"/>
    <w:lvl w:ilvl="0" w:tplc="8F2AB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E4572"/>
    <w:multiLevelType w:val="hybridMultilevel"/>
    <w:tmpl w:val="311A4314"/>
    <w:lvl w:ilvl="0" w:tplc="213A2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5"/>
  </w:num>
  <w:num w:numId="5">
    <w:abstractNumId w:val="23"/>
  </w:num>
  <w:num w:numId="6">
    <w:abstractNumId w:val="0"/>
  </w:num>
  <w:num w:numId="7">
    <w:abstractNumId w:val="20"/>
  </w:num>
  <w:num w:numId="8">
    <w:abstractNumId w:val="22"/>
  </w:num>
  <w:num w:numId="9">
    <w:abstractNumId w:val="13"/>
  </w:num>
  <w:num w:numId="10">
    <w:abstractNumId w:val="21"/>
  </w:num>
  <w:num w:numId="11">
    <w:abstractNumId w:val="6"/>
  </w:num>
  <w:num w:numId="12">
    <w:abstractNumId w:val="19"/>
  </w:num>
  <w:num w:numId="13">
    <w:abstractNumId w:val="12"/>
  </w:num>
  <w:num w:numId="14">
    <w:abstractNumId w:val="17"/>
  </w:num>
  <w:num w:numId="15">
    <w:abstractNumId w:val="16"/>
  </w:num>
  <w:num w:numId="16">
    <w:abstractNumId w:val="24"/>
  </w:num>
  <w:num w:numId="17">
    <w:abstractNumId w:val="8"/>
  </w:num>
  <w:num w:numId="18">
    <w:abstractNumId w:val="14"/>
  </w:num>
  <w:num w:numId="19">
    <w:abstractNumId w:val="7"/>
  </w:num>
  <w:num w:numId="20">
    <w:abstractNumId w:val="1"/>
  </w:num>
  <w:num w:numId="21">
    <w:abstractNumId w:val="9"/>
  </w:num>
  <w:num w:numId="22">
    <w:abstractNumId w:val="1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8"/>
  </w:num>
  <w:num w:numId="28">
    <w:abstractNumId w:val="3"/>
  </w:num>
  <w:num w:numId="29">
    <w:abstractNumId w:val="4"/>
  </w:num>
  <w:num w:numId="30">
    <w:abstractNumId w:val="25"/>
  </w:num>
  <w:num w:numId="3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2769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3A"/>
    <w:rsid w:val="0000481F"/>
    <w:rsid w:val="0001183B"/>
    <w:rsid w:val="00011A88"/>
    <w:rsid w:val="00012381"/>
    <w:rsid w:val="00013A6E"/>
    <w:rsid w:val="00016501"/>
    <w:rsid w:val="0002203B"/>
    <w:rsid w:val="00027B3F"/>
    <w:rsid w:val="00031F36"/>
    <w:rsid w:val="000378BE"/>
    <w:rsid w:val="000442BD"/>
    <w:rsid w:val="00057100"/>
    <w:rsid w:val="00066B1C"/>
    <w:rsid w:val="00083A73"/>
    <w:rsid w:val="000A10F4"/>
    <w:rsid w:val="000B3DE0"/>
    <w:rsid w:val="000C14B7"/>
    <w:rsid w:val="000D1D30"/>
    <w:rsid w:val="000D3E90"/>
    <w:rsid w:val="000D4433"/>
    <w:rsid w:val="000E3350"/>
    <w:rsid w:val="000F73F3"/>
    <w:rsid w:val="001009E4"/>
    <w:rsid w:val="00103E77"/>
    <w:rsid w:val="0011494F"/>
    <w:rsid w:val="001216F8"/>
    <w:rsid w:val="00121C6C"/>
    <w:rsid w:val="00133075"/>
    <w:rsid w:val="00147214"/>
    <w:rsid w:val="001534B2"/>
    <w:rsid w:val="001540AB"/>
    <w:rsid w:val="001736CB"/>
    <w:rsid w:val="001747E2"/>
    <w:rsid w:val="00176EB9"/>
    <w:rsid w:val="0017793A"/>
    <w:rsid w:val="00190C3A"/>
    <w:rsid w:val="00196306"/>
    <w:rsid w:val="001975D1"/>
    <w:rsid w:val="001A3A04"/>
    <w:rsid w:val="001A6A33"/>
    <w:rsid w:val="001B04C0"/>
    <w:rsid w:val="001B2AE2"/>
    <w:rsid w:val="001B4452"/>
    <w:rsid w:val="001B5C15"/>
    <w:rsid w:val="001B796F"/>
    <w:rsid w:val="001C5A63"/>
    <w:rsid w:val="001C5EB6"/>
    <w:rsid w:val="001D5770"/>
    <w:rsid w:val="001E3F33"/>
    <w:rsid w:val="00203EC9"/>
    <w:rsid w:val="002113CF"/>
    <w:rsid w:val="0022255C"/>
    <w:rsid w:val="0022489D"/>
    <w:rsid w:val="002262F3"/>
    <w:rsid w:val="00230559"/>
    <w:rsid w:val="002332F8"/>
    <w:rsid w:val="00234F75"/>
    <w:rsid w:val="00237A95"/>
    <w:rsid w:val="00240F4B"/>
    <w:rsid w:val="002563A0"/>
    <w:rsid w:val="0025657B"/>
    <w:rsid w:val="002575C5"/>
    <w:rsid w:val="002621AF"/>
    <w:rsid w:val="0027252F"/>
    <w:rsid w:val="002839B5"/>
    <w:rsid w:val="00287788"/>
    <w:rsid w:val="002A28F7"/>
    <w:rsid w:val="002A3153"/>
    <w:rsid w:val="002B6D93"/>
    <w:rsid w:val="002B7716"/>
    <w:rsid w:val="002C0F38"/>
    <w:rsid w:val="002C21AD"/>
    <w:rsid w:val="002C27F2"/>
    <w:rsid w:val="002C3AA4"/>
    <w:rsid w:val="002C44BA"/>
    <w:rsid w:val="002E463F"/>
    <w:rsid w:val="002E4E9A"/>
    <w:rsid w:val="002E508B"/>
    <w:rsid w:val="002E5F9F"/>
    <w:rsid w:val="002E7849"/>
    <w:rsid w:val="002E7952"/>
    <w:rsid w:val="002F7128"/>
    <w:rsid w:val="00300F99"/>
    <w:rsid w:val="00315ABD"/>
    <w:rsid w:val="00332BFA"/>
    <w:rsid w:val="00336A04"/>
    <w:rsid w:val="00361752"/>
    <w:rsid w:val="00370CBC"/>
    <w:rsid w:val="0037282E"/>
    <w:rsid w:val="00374981"/>
    <w:rsid w:val="0037767D"/>
    <w:rsid w:val="003810D8"/>
    <w:rsid w:val="0038268C"/>
    <w:rsid w:val="003853A4"/>
    <w:rsid w:val="00387C88"/>
    <w:rsid w:val="00392DC4"/>
    <w:rsid w:val="003A1CC2"/>
    <w:rsid w:val="003A4C24"/>
    <w:rsid w:val="003C5EFD"/>
    <w:rsid w:val="003C60B5"/>
    <w:rsid w:val="003D0A49"/>
    <w:rsid w:val="003D1EFE"/>
    <w:rsid w:val="003E1329"/>
    <w:rsid w:val="003E57CC"/>
    <w:rsid w:val="003E7B0A"/>
    <w:rsid w:val="00400D43"/>
    <w:rsid w:val="00400E1D"/>
    <w:rsid w:val="00403D1C"/>
    <w:rsid w:val="004216FF"/>
    <w:rsid w:val="004242C5"/>
    <w:rsid w:val="004339FB"/>
    <w:rsid w:val="004472B9"/>
    <w:rsid w:val="004509BE"/>
    <w:rsid w:val="00451CFC"/>
    <w:rsid w:val="00456560"/>
    <w:rsid w:val="00470223"/>
    <w:rsid w:val="00476CC7"/>
    <w:rsid w:val="00477891"/>
    <w:rsid w:val="004866AD"/>
    <w:rsid w:val="004A3626"/>
    <w:rsid w:val="004A3E98"/>
    <w:rsid w:val="004C31F2"/>
    <w:rsid w:val="004C549E"/>
    <w:rsid w:val="004C5600"/>
    <w:rsid w:val="004D13A3"/>
    <w:rsid w:val="004D75B1"/>
    <w:rsid w:val="004E6CD9"/>
    <w:rsid w:val="004F20E3"/>
    <w:rsid w:val="004F211A"/>
    <w:rsid w:val="004F3159"/>
    <w:rsid w:val="004F4AEF"/>
    <w:rsid w:val="00503282"/>
    <w:rsid w:val="005247AD"/>
    <w:rsid w:val="005360B7"/>
    <w:rsid w:val="00536E0B"/>
    <w:rsid w:val="00547B0F"/>
    <w:rsid w:val="00551FF7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A07FF"/>
    <w:rsid w:val="005B330E"/>
    <w:rsid w:val="005C0B41"/>
    <w:rsid w:val="005C1770"/>
    <w:rsid w:val="005C2D94"/>
    <w:rsid w:val="005C657D"/>
    <w:rsid w:val="005F107C"/>
    <w:rsid w:val="005F47F1"/>
    <w:rsid w:val="0060702F"/>
    <w:rsid w:val="006108B3"/>
    <w:rsid w:val="0061302D"/>
    <w:rsid w:val="006165E7"/>
    <w:rsid w:val="006237FB"/>
    <w:rsid w:val="00635D57"/>
    <w:rsid w:val="00640F87"/>
    <w:rsid w:val="006418B2"/>
    <w:rsid w:val="00642404"/>
    <w:rsid w:val="00647EFA"/>
    <w:rsid w:val="00652973"/>
    <w:rsid w:val="006558CA"/>
    <w:rsid w:val="00657E79"/>
    <w:rsid w:val="006606F5"/>
    <w:rsid w:val="006706F6"/>
    <w:rsid w:val="0067185E"/>
    <w:rsid w:val="00671D5B"/>
    <w:rsid w:val="006775FA"/>
    <w:rsid w:val="0068544D"/>
    <w:rsid w:val="00695D08"/>
    <w:rsid w:val="006A27AA"/>
    <w:rsid w:val="006A3602"/>
    <w:rsid w:val="006B1F9F"/>
    <w:rsid w:val="006B697E"/>
    <w:rsid w:val="006C382D"/>
    <w:rsid w:val="006D1162"/>
    <w:rsid w:val="006D4DB6"/>
    <w:rsid w:val="006E62D4"/>
    <w:rsid w:val="006E6ADB"/>
    <w:rsid w:val="006E7F39"/>
    <w:rsid w:val="006F1F96"/>
    <w:rsid w:val="00700B01"/>
    <w:rsid w:val="00702EBF"/>
    <w:rsid w:val="00712329"/>
    <w:rsid w:val="00713414"/>
    <w:rsid w:val="00727EC4"/>
    <w:rsid w:val="00730350"/>
    <w:rsid w:val="0073516C"/>
    <w:rsid w:val="007403F5"/>
    <w:rsid w:val="00740501"/>
    <w:rsid w:val="007426B3"/>
    <w:rsid w:val="00743353"/>
    <w:rsid w:val="0075096B"/>
    <w:rsid w:val="00751648"/>
    <w:rsid w:val="00756DAD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2C3"/>
    <w:rsid w:val="00783D2C"/>
    <w:rsid w:val="00794F29"/>
    <w:rsid w:val="007A2250"/>
    <w:rsid w:val="007A5759"/>
    <w:rsid w:val="007B0D6A"/>
    <w:rsid w:val="007B3CFE"/>
    <w:rsid w:val="007C19E4"/>
    <w:rsid w:val="007C1DDC"/>
    <w:rsid w:val="007C41A5"/>
    <w:rsid w:val="007C574E"/>
    <w:rsid w:val="007C58BE"/>
    <w:rsid w:val="007D080B"/>
    <w:rsid w:val="007D4092"/>
    <w:rsid w:val="007E692E"/>
    <w:rsid w:val="007F568F"/>
    <w:rsid w:val="00816E77"/>
    <w:rsid w:val="00822DAA"/>
    <w:rsid w:val="0082619A"/>
    <w:rsid w:val="00831263"/>
    <w:rsid w:val="00831DB7"/>
    <w:rsid w:val="00832EBF"/>
    <w:rsid w:val="008366CB"/>
    <w:rsid w:val="00837F3A"/>
    <w:rsid w:val="008620F3"/>
    <w:rsid w:val="00863986"/>
    <w:rsid w:val="00866257"/>
    <w:rsid w:val="00873627"/>
    <w:rsid w:val="00874F24"/>
    <w:rsid w:val="00876230"/>
    <w:rsid w:val="00877D5B"/>
    <w:rsid w:val="00880441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C6B79"/>
    <w:rsid w:val="008D15AA"/>
    <w:rsid w:val="008D6968"/>
    <w:rsid w:val="008D718B"/>
    <w:rsid w:val="008E3F07"/>
    <w:rsid w:val="008E5F36"/>
    <w:rsid w:val="008F2757"/>
    <w:rsid w:val="008F2E4F"/>
    <w:rsid w:val="008F7436"/>
    <w:rsid w:val="0090516B"/>
    <w:rsid w:val="009055E4"/>
    <w:rsid w:val="00915754"/>
    <w:rsid w:val="00917E9C"/>
    <w:rsid w:val="0093027C"/>
    <w:rsid w:val="0093578A"/>
    <w:rsid w:val="00951C56"/>
    <w:rsid w:val="0095599F"/>
    <w:rsid w:val="0096424B"/>
    <w:rsid w:val="00966699"/>
    <w:rsid w:val="0099163A"/>
    <w:rsid w:val="009A7857"/>
    <w:rsid w:val="009B32FA"/>
    <w:rsid w:val="009B5AF9"/>
    <w:rsid w:val="009C73CF"/>
    <w:rsid w:val="009E00AE"/>
    <w:rsid w:val="009E09D3"/>
    <w:rsid w:val="009E2840"/>
    <w:rsid w:val="009E6E74"/>
    <w:rsid w:val="009F338D"/>
    <w:rsid w:val="00A20F2A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63CB"/>
    <w:rsid w:val="00A801D1"/>
    <w:rsid w:val="00A81F69"/>
    <w:rsid w:val="00A8623D"/>
    <w:rsid w:val="00A91A36"/>
    <w:rsid w:val="00AA3484"/>
    <w:rsid w:val="00AA7E7B"/>
    <w:rsid w:val="00AB34AA"/>
    <w:rsid w:val="00AB6D0F"/>
    <w:rsid w:val="00AB7858"/>
    <w:rsid w:val="00AC61A6"/>
    <w:rsid w:val="00AD1DD2"/>
    <w:rsid w:val="00AD2062"/>
    <w:rsid w:val="00AD2F1D"/>
    <w:rsid w:val="00AE1E46"/>
    <w:rsid w:val="00AE361F"/>
    <w:rsid w:val="00AF0989"/>
    <w:rsid w:val="00AF2191"/>
    <w:rsid w:val="00AF785C"/>
    <w:rsid w:val="00B22181"/>
    <w:rsid w:val="00B336AF"/>
    <w:rsid w:val="00B3498C"/>
    <w:rsid w:val="00B3618C"/>
    <w:rsid w:val="00B43CAD"/>
    <w:rsid w:val="00B55A49"/>
    <w:rsid w:val="00B64265"/>
    <w:rsid w:val="00B66F94"/>
    <w:rsid w:val="00B67F76"/>
    <w:rsid w:val="00B70EFF"/>
    <w:rsid w:val="00B7558C"/>
    <w:rsid w:val="00B9194F"/>
    <w:rsid w:val="00BA003B"/>
    <w:rsid w:val="00BA734C"/>
    <w:rsid w:val="00BB05E2"/>
    <w:rsid w:val="00BB7244"/>
    <w:rsid w:val="00BD1111"/>
    <w:rsid w:val="00BD26B6"/>
    <w:rsid w:val="00BE01C6"/>
    <w:rsid w:val="00BE4DAC"/>
    <w:rsid w:val="00BF13F8"/>
    <w:rsid w:val="00C008F1"/>
    <w:rsid w:val="00C01CFF"/>
    <w:rsid w:val="00C026F2"/>
    <w:rsid w:val="00C02D89"/>
    <w:rsid w:val="00C15B78"/>
    <w:rsid w:val="00C20F6C"/>
    <w:rsid w:val="00C2207B"/>
    <w:rsid w:val="00C2496D"/>
    <w:rsid w:val="00C278D7"/>
    <w:rsid w:val="00C3210D"/>
    <w:rsid w:val="00C46129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199D"/>
    <w:rsid w:val="00C92AD3"/>
    <w:rsid w:val="00C92BB7"/>
    <w:rsid w:val="00CA1009"/>
    <w:rsid w:val="00CA30B4"/>
    <w:rsid w:val="00CA72FC"/>
    <w:rsid w:val="00CB56F5"/>
    <w:rsid w:val="00CB6E04"/>
    <w:rsid w:val="00CC2512"/>
    <w:rsid w:val="00CC547F"/>
    <w:rsid w:val="00CC7E68"/>
    <w:rsid w:val="00CD5D21"/>
    <w:rsid w:val="00CE2652"/>
    <w:rsid w:val="00CE7906"/>
    <w:rsid w:val="00CF0E19"/>
    <w:rsid w:val="00D21B8E"/>
    <w:rsid w:val="00D24361"/>
    <w:rsid w:val="00D27D9B"/>
    <w:rsid w:val="00D376DB"/>
    <w:rsid w:val="00D408A5"/>
    <w:rsid w:val="00D40DE9"/>
    <w:rsid w:val="00D41212"/>
    <w:rsid w:val="00D42B45"/>
    <w:rsid w:val="00D479D2"/>
    <w:rsid w:val="00D574F1"/>
    <w:rsid w:val="00D660A1"/>
    <w:rsid w:val="00D70199"/>
    <w:rsid w:val="00D877B9"/>
    <w:rsid w:val="00D90D9E"/>
    <w:rsid w:val="00D92274"/>
    <w:rsid w:val="00D94339"/>
    <w:rsid w:val="00D9707F"/>
    <w:rsid w:val="00DA1B01"/>
    <w:rsid w:val="00DA1BCD"/>
    <w:rsid w:val="00DA1F8E"/>
    <w:rsid w:val="00DA3FB8"/>
    <w:rsid w:val="00DA57A4"/>
    <w:rsid w:val="00DB0D07"/>
    <w:rsid w:val="00DB14E7"/>
    <w:rsid w:val="00DB2558"/>
    <w:rsid w:val="00DB56EB"/>
    <w:rsid w:val="00DC3971"/>
    <w:rsid w:val="00DC39E8"/>
    <w:rsid w:val="00DC4922"/>
    <w:rsid w:val="00DD3235"/>
    <w:rsid w:val="00DD3A4E"/>
    <w:rsid w:val="00DD51B7"/>
    <w:rsid w:val="00DD788A"/>
    <w:rsid w:val="00DE2205"/>
    <w:rsid w:val="00DE6998"/>
    <w:rsid w:val="00DF0054"/>
    <w:rsid w:val="00DF22BD"/>
    <w:rsid w:val="00DF3309"/>
    <w:rsid w:val="00DF5124"/>
    <w:rsid w:val="00DF7F39"/>
    <w:rsid w:val="00E14D4B"/>
    <w:rsid w:val="00E1702C"/>
    <w:rsid w:val="00E22EC8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4F52"/>
    <w:rsid w:val="00E66B4F"/>
    <w:rsid w:val="00E741D5"/>
    <w:rsid w:val="00E74474"/>
    <w:rsid w:val="00E87A6A"/>
    <w:rsid w:val="00E9005F"/>
    <w:rsid w:val="00E903F8"/>
    <w:rsid w:val="00E9232A"/>
    <w:rsid w:val="00EA4D1B"/>
    <w:rsid w:val="00EA56B9"/>
    <w:rsid w:val="00EB1D11"/>
    <w:rsid w:val="00EC45F3"/>
    <w:rsid w:val="00ED2F1C"/>
    <w:rsid w:val="00ED3D05"/>
    <w:rsid w:val="00EE64AE"/>
    <w:rsid w:val="00EF0460"/>
    <w:rsid w:val="00F06445"/>
    <w:rsid w:val="00F07114"/>
    <w:rsid w:val="00F17807"/>
    <w:rsid w:val="00F206A7"/>
    <w:rsid w:val="00F3105E"/>
    <w:rsid w:val="00F41591"/>
    <w:rsid w:val="00F41A63"/>
    <w:rsid w:val="00F45BEB"/>
    <w:rsid w:val="00F4783A"/>
    <w:rsid w:val="00F54523"/>
    <w:rsid w:val="00F54B50"/>
    <w:rsid w:val="00F7089D"/>
    <w:rsid w:val="00F84544"/>
    <w:rsid w:val="00F954FA"/>
    <w:rsid w:val="00F95B1F"/>
    <w:rsid w:val="00FA05B2"/>
    <w:rsid w:val="00FA48D6"/>
    <w:rsid w:val="00FA68A7"/>
    <w:rsid w:val="00FC0C51"/>
    <w:rsid w:val="00FD0243"/>
    <w:rsid w:val="00FD0509"/>
    <w:rsid w:val="00FD1CD8"/>
    <w:rsid w:val="00FD5742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6246B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E22EC8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EC8"/>
    <w:pPr>
      <w:spacing w:before="360" w:line="240" w:lineRule="auto"/>
      <w:outlineLvl w:val="0"/>
    </w:pPr>
    <w:rPr>
      <w:b/>
      <w:color w:val="000000" w:themeColor="text1"/>
    </w:rPr>
  </w:style>
  <w:style w:type="paragraph" w:styleId="Heading2">
    <w:name w:val="heading 2"/>
    <w:basedOn w:val="Heading1"/>
    <w:next w:val="Normal"/>
    <w:link w:val="Heading2Char"/>
    <w:qFormat/>
    <w:rsid w:val="00E22EC8"/>
    <w:pPr>
      <w:outlineLvl w:val="1"/>
    </w:pPr>
  </w:style>
  <w:style w:type="paragraph" w:styleId="Heading3">
    <w:name w:val="heading 3"/>
    <w:basedOn w:val="Heading2"/>
    <w:next w:val="Normal"/>
    <w:link w:val="Heading3Char"/>
    <w:rsid w:val="00E22EC8"/>
    <w:pPr>
      <w:outlineLvl w:val="2"/>
    </w:pPr>
  </w:style>
  <w:style w:type="paragraph" w:styleId="Heading4">
    <w:name w:val="heading 4"/>
    <w:basedOn w:val="Heading2"/>
    <w:next w:val="Normal"/>
    <w:link w:val="Heading4Char"/>
    <w:rsid w:val="008C46DC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2EC8"/>
    <w:rPr>
      <w:b/>
      <w:color w:val="000000" w:themeColor="text1"/>
      <w:sz w:val="24"/>
      <w:szCs w:val="24"/>
    </w:rPr>
  </w:style>
  <w:style w:type="character" w:customStyle="1" w:styleId="Heading2Char">
    <w:name w:val="Heading 2 Char"/>
    <w:link w:val="Heading2"/>
    <w:rsid w:val="00E22EC8"/>
    <w:rPr>
      <w:b/>
      <w:color w:val="000000" w:themeColor="text1"/>
      <w:sz w:val="24"/>
      <w:szCs w:val="24"/>
    </w:rPr>
  </w:style>
  <w:style w:type="character" w:customStyle="1" w:styleId="Heading3Char">
    <w:name w:val="Heading 3 Char"/>
    <w:link w:val="Heading3"/>
    <w:rsid w:val="00E22EC8"/>
    <w:rPr>
      <w:b/>
      <w:color w:val="000000" w:themeColor="text1"/>
      <w:sz w:val="24"/>
      <w:szCs w:val="24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sid w:val="005247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customStyle="1" w:styleId="SubtitleText">
    <w:name w:val="SubtitleText"/>
    <w:basedOn w:val="Normal"/>
    <w:link w:val="SubtitleTextChar"/>
    <w:semiHidden/>
    <w:unhideWhenUsed/>
    <w:qFormat/>
    <w:rsid w:val="00DF7F39"/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semiHidden/>
    <w:rsid w:val="00FE1B88"/>
    <w:rPr>
      <w:rFonts w:ascii="Arial" w:hAnsi="Arial" w:cs="Arial"/>
      <w:b/>
      <w:color w:val="104F75"/>
      <w:sz w:val="48"/>
      <w:szCs w:val="48"/>
      <w:lang w:eastAsia="en-US"/>
    </w:rPr>
  </w:style>
  <w:style w:type="paragraph" w:styleId="ListParagraph">
    <w:name w:val="List Paragraph"/>
    <w:uiPriority w:val="34"/>
    <w:unhideWhenUsed/>
    <w:qFormat/>
    <w:rsid w:val="00816E77"/>
    <w:pPr>
      <w:numPr>
        <w:ilvl w:val="1"/>
        <w:numId w:val="2"/>
      </w:numPr>
      <w:spacing w:after="120" w:line="288" w:lineRule="auto"/>
    </w:pPr>
    <w:rPr>
      <w:rFonts w:cs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40AB"/>
    <w:pPr>
      <w:tabs>
        <w:tab w:val="right" w:pos="949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540AB"/>
    <w:pPr>
      <w:tabs>
        <w:tab w:val="right" w:pos="9498"/>
      </w:tabs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540AB"/>
    <w:pPr>
      <w:tabs>
        <w:tab w:val="right" w:pos="9498"/>
      </w:tabs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rsid w:val="00F3105E"/>
  </w:style>
  <w:style w:type="character" w:customStyle="1" w:styleId="CopyrightBoxChar">
    <w:name w:val="CopyrightBox Char"/>
    <w:link w:val="CopyrightBox"/>
    <w:rsid w:val="00F3105E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semiHidden/>
    <w:unhideWhenUsed/>
    <w:rsid w:val="005C0B41"/>
    <w:pPr>
      <w:spacing w:before="7400"/>
    </w:pPr>
  </w:style>
  <w:style w:type="character" w:customStyle="1" w:styleId="CopyrightSpacingChar">
    <w:name w:val="CopyrightSpacing Char"/>
    <w:link w:val="Copyright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customStyle="1" w:styleId="TitleSpacing">
    <w:name w:val="TitleSpacing"/>
    <w:basedOn w:val="Normal"/>
    <w:link w:val="TitleSpacingChar"/>
    <w:semiHidden/>
    <w:unhideWhenUsed/>
    <w:qFormat/>
    <w:rsid w:val="005C0B41"/>
    <w:pPr>
      <w:spacing w:before="3600"/>
    </w:pPr>
  </w:style>
  <w:style w:type="character" w:customStyle="1" w:styleId="TitleSpacingChar">
    <w:name w:val="TitleSpacing Char"/>
    <w:link w:val="Title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ListBullet1">
    <w:name w:val="List Bullet 1"/>
    <w:basedOn w:val="ListBullet"/>
    <w:qFormat/>
    <w:rsid w:val="00ED2F1C"/>
    <w:pPr>
      <w:numPr>
        <w:numId w:val="1"/>
      </w:numPr>
      <w:tabs>
        <w:tab w:val="left" w:pos="426"/>
      </w:tabs>
      <w:ind w:hanging="357"/>
      <w:contextualSpacing w:val="0"/>
    </w:pPr>
  </w:style>
  <w:style w:type="paragraph" w:styleId="ListBullet2">
    <w:name w:val="List Bullet 2"/>
    <w:basedOn w:val="Normal"/>
    <w:qFormat/>
    <w:rsid w:val="0017793A"/>
    <w:pPr>
      <w:numPr>
        <w:numId w:val="4"/>
      </w:numPr>
      <w:spacing w:after="60"/>
      <w:ind w:left="1134"/>
    </w:pPr>
  </w:style>
  <w:style w:type="paragraph" w:styleId="ListBullet3">
    <w:name w:val="List Bullet 3"/>
    <w:basedOn w:val="ListBullet"/>
    <w:link w:val="ListBullet3Char"/>
    <w:rsid w:val="007C58BE"/>
    <w:pPr>
      <w:numPr>
        <w:numId w:val="5"/>
      </w:numPr>
      <w:tabs>
        <w:tab w:val="left" w:pos="1560"/>
      </w:tabs>
      <w:spacing w:after="60"/>
      <w:ind w:left="1559" w:hanging="425"/>
      <w:contextualSpacing w:val="0"/>
    </w:pPr>
  </w:style>
  <w:style w:type="paragraph" w:styleId="ListBullet4">
    <w:name w:val="List Bullet 4"/>
    <w:basedOn w:val="ListBullet"/>
    <w:link w:val="ListBullet4Char"/>
    <w:rsid w:val="007C58BE"/>
    <w:pPr>
      <w:numPr>
        <w:numId w:val="7"/>
      </w:numPr>
      <w:tabs>
        <w:tab w:val="left" w:pos="1985"/>
      </w:tabs>
      <w:spacing w:after="120"/>
      <w:ind w:left="1984" w:hanging="425"/>
      <w:contextualSpacing w:val="0"/>
    </w:pPr>
  </w:style>
  <w:style w:type="paragraph" w:styleId="Caption">
    <w:name w:val="caption"/>
    <w:basedOn w:val="Normal"/>
    <w:next w:val="Normal"/>
    <w:rsid w:val="00713414"/>
    <w:pPr>
      <w:spacing w:before="120"/>
      <w:jc w:val="center"/>
    </w:pPr>
    <w:rPr>
      <w:b/>
      <w:bCs/>
      <w:color w:val="808080"/>
      <w:sz w:val="20"/>
      <w:szCs w:val="20"/>
    </w:rPr>
  </w:style>
  <w:style w:type="character" w:customStyle="1" w:styleId="Heading4Char">
    <w:name w:val="Heading 4 Char"/>
    <w:link w:val="Heading4"/>
    <w:rsid w:val="008C46DC"/>
    <w:rPr>
      <w:b/>
      <w:bCs/>
      <w:color w:val="000000" w:themeColor="text1"/>
      <w:sz w:val="24"/>
      <w:szCs w:val="28"/>
    </w:rPr>
  </w:style>
  <w:style w:type="paragraph" w:styleId="ListBullet">
    <w:name w:val="List Bullet"/>
    <w:basedOn w:val="Normal"/>
    <w:unhideWhenUsed/>
    <w:rsid w:val="00876230"/>
    <w:pPr>
      <w:numPr>
        <w:numId w:val="6"/>
      </w:numPr>
      <w:contextualSpacing/>
    </w:pPr>
  </w:style>
  <w:style w:type="paragraph" w:customStyle="1" w:styleId="Lvl1bullet">
    <w:name w:val="Lvl 1 bullet"/>
    <w:autoRedefine/>
    <w:qFormat/>
    <w:rsid w:val="00D574F1"/>
    <w:pPr>
      <w:numPr>
        <w:numId w:val="3"/>
      </w:numPr>
      <w:tabs>
        <w:tab w:val="left" w:pos="1134"/>
      </w:tabs>
      <w:spacing w:after="160" w:line="288" w:lineRule="auto"/>
      <w:ind w:left="1134" w:hanging="720"/>
      <w:contextualSpacing/>
    </w:pPr>
    <w:rPr>
      <w:rFonts w:cs="Arial"/>
      <w:sz w:val="24"/>
      <w:szCs w:val="24"/>
      <w:lang w:eastAsia="en-US"/>
    </w:rPr>
  </w:style>
  <w:style w:type="character" w:customStyle="1" w:styleId="ListBullet3Char">
    <w:name w:val="List Bullet 3 Char"/>
    <w:link w:val="ListBullet3"/>
    <w:rsid w:val="007C58BE"/>
    <w:rPr>
      <w:sz w:val="24"/>
      <w:szCs w:val="24"/>
    </w:rPr>
  </w:style>
  <w:style w:type="paragraph" w:customStyle="1" w:styleId="Lvl2bullet">
    <w:name w:val="Lvl 2 bullet"/>
    <w:autoRedefine/>
    <w:qFormat/>
    <w:rsid w:val="0025657B"/>
    <w:pPr>
      <w:numPr>
        <w:ilvl w:val="1"/>
        <w:numId w:val="9"/>
      </w:numPr>
      <w:tabs>
        <w:tab w:val="clear" w:pos="1440"/>
        <w:tab w:val="num" w:pos="1843"/>
      </w:tabs>
      <w:spacing w:after="120" w:line="288" w:lineRule="auto"/>
      <w:ind w:left="1843" w:hanging="709"/>
    </w:pPr>
    <w:rPr>
      <w:rFonts w:cs="Arial"/>
      <w:sz w:val="22"/>
      <w:szCs w:val="24"/>
      <w:lang w:eastAsia="en-US"/>
    </w:rPr>
  </w:style>
  <w:style w:type="paragraph" w:customStyle="1" w:styleId="Lvl4bullet">
    <w:name w:val="Lvl 4 bullet"/>
    <w:basedOn w:val="Normal"/>
    <w:autoRedefine/>
    <w:rsid w:val="00713414"/>
    <w:pPr>
      <w:numPr>
        <w:ilvl w:val="3"/>
        <w:numId w:val="9"/>
      </w:numPr>
      <w:spacing w:after="120"/>
    </w:pPr>
  </w:style>
  <w:style w:type="character" w:customStyle="1" w:styleId="ListBullet4Char">
    <w:name w:val="List Bullet 4 Char"/>
    <w:link w:val="ListBullet4"/>
    <w:rsid w:val="007C58BE"/>
    <w:rPr>
      <w:sz w:val="24"/>
      <w:szCs w:val="24"/>
    </w:rPr>
  </w:style>
  <w:style w:type="paragraph" w:customStyle="1" w:styleId="Lvl3bullet">
    <w:name w:val="Lvl 3 bullet"/>
    <w:basedOn w:val="Normal"/>
    <w:link w:val="Lvl3bulletChar"/>
    <w:autoRedefine/>
    <w:rsid w:val="00A763CB"/>
    <w:pPr>
      <w:numPr>
        <w:ilvl w:val="2"/>
        <w:numId w:val="10"/>
      </w:numPr>
      <w:spacing w:after="120"/>
      <w:contextualSpacing/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Lvl3bulletChar">
    <w:name w:val="Lvl 3 bullet Char"/>
    <w:link w:val="Lvl3bullet"/>
    <w:rsid w:val="00A763CB"/>
    <w:rPr>
      <w:sz w:val="24"/>
      <w:szCs w:val="24"/>
    </w:rPr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qFormat/>
    <w:rsid w:val="00AA3484"/>
    <w:pPr>
      <w:spacing w:after="0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DfESOutNumbered">
    <w:name w:val="DfESOutNumbered"/>
    <w:basedOn w:val="Normal"/>
    <w:link w:val="DfESOutNumberedChar"/>
    <w:rsid w:val="00C2496D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Heading4Char"/>
    <w:link w:val="DfESOutNumbered"/>
    <w:rsid w:val="00C2496D"/>
    <w:rPr>
      <w:rFonts w:cs="Arial"/>
      <w:b w:val="0"/>
      <w:bCs w:val="0"/>
      <w:color w:val="000000" w:themeColor="text1"/>
      <w:sz w:val="24"/>
      <w:szCs w:val="28"/>
      <w:lang w:eastAsia="en-US"/>
    </w:rPr>
  </w:style>
  <w:style w:type="paragraph" w:customStyle="1" w:styleId="DeptBullets">
    <w:name w:val="DeptBullets"/>
    <w:basedOn w:val="Normal"/>
    <w:link w:val="DeptBulletsChar"/>
    <w:rsid w:val="00C2496D"/>
    <w:pPr>
      <w:widowControl w:val="0"/>
      <w:numPr>
        <w:numId w:val="1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Heading4Char"/>
    <w:link w:val="DeptBullets"/>
    <w:rsid w:val="00C2496D"/>
    <w:rPr>
      <w:b w:val="0"/>
      <w:bCs w:val="0"/>
      <w:color w:val="000000" w:themeColor="text1"/>
      <w:sz w:val="24"/>
      <w:szCs w:val="28"/>
      <w:lang w:eastAsia="en-US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semiHidden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Revision">
    <w:name w:val="Revision"/>
    <w:hidden/>
    <w:uiPriority w:val="99"/>
    <w:semiHidden/>
    <w:rsid w:val="00476CC7"/>
    <w:rPr>
      <w:sz w:val="24"/>
      <w:szCs w:val="24"/>
    </w:rPr>
  </w:style>
  <w:style w:type="character" w:styleId="FootnoteReference">
    <w:name w:val="footnote reference"/>
    <w:basedOn w:val="DefaultParagraphFont"/>
    <w:rsid w:val="00DC3971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E22EC8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EC8"/>
    <w:pPr>
      <w:spacing w:before="360" w:line="240" w:lineRule="auto"/>
      <w:outlineLvl w:val="0"/>
    </w:pPr>
    <w:rPr>
      <w:b/>
      <w:color w:val="000000" w:themeColor="text1"/>
    </w:rPr>
  </w:style>
  <w:style w:type="paragraph" w:styleId="Heading2">
    <w:name w:val="heading 2"/>
    <w:basedOn w:val="Heading1"/>
    <w:next w:val="Normal"/>
    <w:link w:val="Heading2Char"/>
    <w:qFormat/>
    <w:rsid w:val="00E22EC8"/>
    <w:pPr>
      <w:outlineLvl w:val="1"/>
    </w:pPr>
  </w:style>
  <w:style w:type="paragraph" w:styleId="Heading3">
    <w:name w:val="heading 3"/>
    <w:basedOn w:val="Heading2"/>
    <w:next w:val="Normal"/>
    <w:link w:val="Heading3Char"/>
    <w:rsid w:val="00E22EC8"/>
    <w:pPr>
      <w:outlineLvl w:val="2"/>
    </w:pPr>
  </w:style>
  <w:style w:type="paragraph" w:styleId="Heading4">
    <w:name w:val="heading 4"/>
    <w:basedOn w:val="Heading2"/>
    <w:next w:val="Normal"/>
    <w:link w:val="Heading4Char"/>
    <w:rsid w:val="008C46DC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2EC8"/>
    <w:rPr>
      <w:b/>
      <w:color w:val="000000" w:themeColor="text1"/>
      <w:sz w:val="24"/>
      <w:szCs w:val="24"/>
    </w:rPr>
  </w:style>
  <w:style w:type="character" w:customStyle="1" w:styleId="Heading2Char">
    <w:name w:val="Heading 2 Char"/>
    <w:link w:val="Heading2"/>
    <w:rsid w:val="00E22EC8"/>
    <w:rPr>
      <w:b/>
      <w:color w:val="000000" w:themeColor="text1"/>
      <w:sz w:val="24"/>
      <w:szCs w:val="24"/>
    </w:rPr>
  </w:style>
  <w:style w:type="character" w:customStyle="1" w:styleId="Heading3Char">
    <w:name w:val="Heading 3 Char"/>
    <w:link w:val="Heading3"/>
    <w:rsid w:val="00E22EC8"/>
    <w:rPr>
      <w:b/>
      <w:color w:val="000000" w:themeColor="text1"/>
      <w:sz w:val="24"/>
      <w:szCs w:val="24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sid w:val="005247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customStyle="1" w:styleId="SubtitleText">
    <w:name w:val="SubtitleText"/>
    <w:basedOn w:val="Normal"/>
    <w:link w:val="SubtitleTextChar"/>
    <w:semiHidden/>
    <w:unhideWhenUsed/>
    <w:qFormat/>
    <w:rsid w:val="00DF7F39"/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semiHidden/>
    <w:rsid w:val="00FE1B88"/>
    <w:rPr>
      <w:rFonts w:ascii="Arial" w:hAnsi="Arial" w:cs="Arial"/>
      <w:b/>
      <w:color w:val="104F75"/>
      <w:sz w:val="48"/>
      <w:szCs w:val="48"/>
      <w:lang w:eastAsia="en-US"/>
    </w:rPr>
  </w:style>
  <w:style w:type="paragraph" w:styleId="ListParagraph">
    <w:name w:val="List Paragraph"/>
    <w:uiPriority w:val="34"/>
    <w:unhideWhenUsed/>
    <w:qFormat/>
    <w:rsid w:val="00816E77"/>
    <w:pPr>
      <w:numPr>
        <w:ilvl w:val="1"/>
        <w:numId w:val="2"/>
      </w:numPr>
      <w:spacing w:after="120" w:line="288" w:lineRule="auto"/>
    </w:pPr>
    <w:rPr>
      <w:rFonts w:cs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40AB"/>
    <w:pPr>
      <w:tabs>
        <w:tab w:val="right" w:pos="949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540AB"/>
    <w:pPr>
      <w:tabs>
        <w:tab w:val="right" w:pos="9498"/>
      </w:tabs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540AB"/>
    <w:pPr>
      <w:tabs>
        <w:tab w:val="right" w:pos="9498"/>
      </w:tabs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rsid w:val="00F3105E"/>
  </w:style>
  <w:style w:type="character" w:customStyle="1" w:styleId="CopyrightBoxChar">
    <w:name w:val="CopyrightBox Char"/>
    <w:link w:val="CopyrightBox"/>
    <w:rsid w:val="00F3105E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semiHidden/>
    <w:unhideWhenUsed/>
    <w:rsid w:val="005C0B41"/>
    <w:pPr>
      <w:spacing w:before="7400"/>
    </w:pPr>
  </w:style>
  <w:style w:type="character" w:customStyle="1" w:styleId="CopyrightSpacingChar">
    <w:name w:val="CopyrightSpacing Char"/>
    <w:link w:val="Copyright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customStyle="1" w:styleId="TitleSpacing">
    <w:name w:val="TitleSpacing"/>
    <w:basedOn w:val="Normal"/>
    <w:link w:val="TitleSpacingChar"/>
    <w:semiHidden/>
    <w:unhideWhenUsed/>
    <w:qFormat/>
    <w:rsid w:val="005C0B41"/>
    <w:pPr>
      <w:spacing w:before="3600"/>
    </w:pPr>
  </w:style>
  <w:style w:type="character" w:customStyle="1" w:styleId="TitleSpacingChar">
    <w:name w:val="TitleSpacing Char"/>
    <w:link w:val="Title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ListBullet1">
    <w:name w:val="List Bullet 1"/>
    <w:basedOn w:val="ListBullet"/>
    <w:qFormat/>
    <w:rsid w:val="00ED2F1C"/>
    <w:pPr>
      <w:numPr>
        <w:numId w:val="1"/>
      </w:numPr>
      <w:tabs>
        <w:tab w:val="left" w:pos="426"/>
      </w:tabs>
      <w:ind w:hanging="357"/>
      <w:contextualSpacing w:val="0"/>
    </w:pPr>
  </w:style>
  <w:style w:type="paragraph" w:styleId="ListBullet2">
    <w:name w:val="List Bullet 2"/>
    <w:basedOn w:val="Normal"/>
    <w:qFormat/>
    <w:rsid w:val="0017793A"/>
    <w:pPr>
      <w:numPr>
        <w:numId w:val="4"/>
      </w:numPr>
      <w:spacing w:after="60"/>
      <w:ind w:left="1134"/>
    </w:pPr>
  </w:style>
  <w:style w:type="paragraph" w:styleId="ListBullet3">
    <w:name w:val="List Bullet 3"/>
    <w:basedOn w:val="ListBullet"/>
    <w:link w:val="ListBullet3Char"/>
    <w:rsid w:val="007C58BE"/>
    <w:pPr>
      <w:numPr>
        <w:numId w:val="5"/>
      </w:numPr>
      <w:tabs>
        <w:tab w:val="left" w:pos="1560"/>
      </w:tabs>
      <w:spacing w:after="60"/>
      <w:ind w:left="1559" w:hanging="425"/>
      <w:contextualSpacing w:val="0"/>
    </w:pPr>
  </w:style>
  <w:style w:type="paragraph" w:styleId="ListBullet4">
    <w:name w:val="List Bullet 4"/>
    <w:basedOn w:val="ListBullet"/>
    <w:link w:val="ListBullet4Char"/>
    <w:rsid w:val="007C58BE"/>
    <w:pPr>
      <w:numPr>
        <w:numId w:val="7"/>
      </w:numPr>
      <w:tabs>
        <w:tab w:val="left" w:pos="1985"/>
      </w:tabs>
      <w:spacing w:after="120"/>
      <w:ind w:left="1984" w:hanging="425"/>
      <w:contextualSpacing w:val="0"/>
    </w:pPr>
  </w:style>
  <w:style w:type="paragraph" w:styleId="Caption">
    <w:name w:val="caption"/>
    <w:basedOn w:val="Normal"/>
    <w:next w:val="Normal"/>
    <w:rsid w:val="00713414"/>
    <w:pPr>
      <w:spacing w:before="120"/>
      <w:jc w:val="center"/>
    </w:pPr>
    <w:rPr>
      <w:b/>
      <w:bCs/>
      <w:color w:val="808080"/>
      <w:sz w:val="20"/>
      <w:szCs w:val="20"/>
    </w:rPr>
  </w:style>
  <w:style w:type="character" w:customStyle="1" w:styleId="Heading4Char">
    <w:name w:val="Heading 4 Char"/>
    <w:link w:val="Heading4"/>
    <w:rsid w:val="008C46DC"/>
    <w:rPr>
      <w:b/>
      <w:bCs/>
      <w:color w:val="000000" w:themeColor="text1"/>
      <w:sz w:val="24"/>
      <w:szCs w:val="28"/>
    </w:rPr>
  </w:style>
  <w:style w:type="paragraph" w:styleId="ListBullet">
    <w:name w:val="List Bullet"/>
    <w:basedOn w:val="Normal"/>
    <w:unhideWhenUsed/>
    <w:rsid w:val="00876230"/>
    <w:pPr>
      <w:numPr>
        <w:numId w:val="6"/>
      </w:numPr>
      <w:contextualSpacing/>
    </w:pPr>
  </w:style>
  <w:style w:type="paragraph" w:customStyle="1" w:styleId="Lvl1bullet">
    <w:name w:val="Lvl 1 bullet"/>
    <w:autoRedefine/>
    <w:qFormat/>
    <w:rsid w:val="00D574F1"/>
    <w:pPr>
      <w:numPr>
        <w:numId w:val="3"/>
      </w:numPr>
      <w:tabs>
        <w:tab w:val="left" w:pos="1134"/>
      </w:tabs>
      <w:spacing w:after="160" w:line="288" w:lineRule="auto"/>
      <w:ind w:left="1134" w:hanging="720"/>
      <w:contextualSpacing/>
    </w:pPr>
    <w:rPr>
      <w:rFonts w:cs="Arial"/>
      <w:sz w:val="24"/>
      <w:szCs w:val="24"/>
      <w:lang w:eastAsia="en-US"/>
    </w:rPr>
  </w:style>
  <w:style w:type="character" w:customStyle="1" w:styleId="ListBullet3Char">
    <w:name w:val="List Bullet 3 Char"/>
    <w:link w:val="ListBullet3"/>
    <w:rsid w:val="007C58BE"/>
    <w:rPr>
      <w:sz w:val="24"/>
      <w:szCs w:val="24"/>
    </w:rPr>
  </w:style>
  <w:style w:type="paragraph" w:customStyle="1" w:styleId="Lvl2bullet">
    <w:name w:val="Lvl 2 bullet"/>
    <w:autoRedefine/>
    <w:qFormat/>
    <w:rsid w:val="0025657B"/>
    <w:pPr>
      <w:numPr>
        <w:ilvl w:val="1"/>
        <w:numId w:val="9"/>
      </w:numPr>
      <w:tabs>
        <w:tab w:val="clear" w:pos="1440"/>
        <w:tab w:val="num" w:pos="1843"/>
      </w:tabs>
      <w:spacing w:after="120" w:line="288" w:lineRule="auto"/>
      <w:ind w:left="1843" w:hanging="709"/>
    </w:pPr>
    <w:rPr>
      <w:rFonts w:cs="Arial"/>
      <w:sz w:val="22"/>
      <w:szCs w:val="24"/>
      <w:lang w:eastAsia="en-US"/>
    </w:rPr>
  </w:style>
  <w:style w:type="paragraph" w:customStyle="1" w:styleId="Lvl4bullet">
    <w:name w:val="Lvl 4 bullet"/>
    <w:basedOn w:val="Normal"/>
    <w:autoRedefine/>
    <w:rsid w:val="00713414"/>
    <w:pPr>
      <w:numPr>
        <w:ilvl w:val="3"/>
        <w:numId w:val="9"/>
      </w:numPr>
      <w:spacing w:after="120"/>
    </w:pPr>
  </w:style>
  <w:style w:type="character" w:customStyle="1" w:styleId="ListBullet4Char">
    <w:name w:val="List Bullet 4 Char"/>
    <w:link w:val="ListBullet4"/>
    <w:rsid w:val="007C58BE"/>
    <w:rPr>
      <w:sz w:val="24"/>
      <w:szCs w:val="24"/>
    </w:rPr>
  </w:style>
  <w:style w:type="paragraph" w:customStyle="1" w:styleId="Lvl3bullet">
    <w:name w:val="Lvl 3 bullet"/>
    <w:basedOn w:val="Normal"/>
    <w:link w:val="Lvl3bulletChar"/>
    <w:autoRedefine/>
    <w:rsid w:val="00A763CB"/>
    <w:pPr>
      <w:numPr>
        <w:ilvl w:val="2"/>
        <w:numId w:val="10"/>
      </w:numPr>
      <w:spacing w:after="120"/>
      <w:contextualSpacing/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Lvl3bulletChar">
    <w:name w:val="Lvl 3 bullet Char"/>
    <w:link w:val="Lvl3bullet"/>
    <w:rsid w:val="00A763CB"/>
    <w:rPr>
      <w:sz w:val="24"/>
      <w:szCs w:val="24"/>
    </w:rPr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qFormat/>
    <w:rsid w:val="00AA3484"/>
    <w:pPr>
      <w:spacing w:after="0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DfESOutNumbered">
    <w:name w:val="DfESOutNumbered"/>
    <w:basedOn w:val="Normal"/>
    <w:link w:val="DfESOutNumberedChar"/>
    <w:rsid w:val="00C2496D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Heading4Char"/>
    <w:link w:val="DfESOutNumbered"/>
    <w:rsid w:val="00C2496D"/>
    <w:rPr>
      <w:rFonts w:cs="Arial"/>
      <w:b w:val="0"/>
      <w:bCs w:val="0"/>
      <w:color w:val="000000" w:themeColor="text1"/>
      <w:sz w:val="24"/>
      <w:szCs w:val="28"/>
      <w:lang w:eastAsia="en-US"/>
    </w:rPr>
  </w:style>
  <w:style w:type="paragraph" w:customStyle="1" w:styleId="DeptBullets">
    <w:name w:val="DeptBullets"/>
    <w:basedOn w:val="Normal"/>
    <w:link w:val="DeptBulletsChar"/>
    <w:rsid w:val="00C2496D"/>
    <w:pPr>
      <w:widowControl w:val="0"/>
      <w:numPr>
        <w:numId w:val="1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Heading4Char"/>
    <w:link w:val="DeptBullets"/>
    <w:rsid w:val="00C2496D"/>
    <w:rPr>
      <w:b w:val="0"/>
      <w:bCs w:val="0"/>
      <w:color w:val="000000" w:themeColor="text1"/>
      <w:sz w:val="24"/>
      <w:szCs w:val="28"/>
      <w:lang w:eastAsia="en-US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semiHidden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Revision">
    <w:name w:val="Revision"/>
    <w:hidden/>
    <w:uiPriority w:val="99"/>
    <w:semiHidden/>
    <w:rsid w:val="00476CC7"/>
    <w:rPr>
      <w:sz w:val="24"/>
      <w:szCs w:val="24"/>
    </w:rPr>
  </w:style>
  <w:style w:type="character" w:styleId="FootnoteReference">
    <w:name w:val="footnote reference"/>
    <w:basedOn w:val="DefaultParagraphFont"/>
    <w:rsid w:val="00DC397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obert.rodney@education.gsi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goo.gl/forms/Y6E3wQ9XhC" TargetMode="Externa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3</Value>
      <Value>2</Value>
      <Value>1</Value>
    </TaxCatchAll>
    <IWPSubjectTaxHTField0 xmlns="aa5ff84b-3a25-4a96-8505-eac8e64e78ed">
      <Terms xmlns="http://schemas.microsoft.com/office/infopath/2007/PartnerControls"/>
    </IWPSubjectTaxHTField0>
    <IWPSiteTypeTaxHTField0 xmlns="aa5ff84b-3a25-4a96-8505-eac8e64e78ed">
      <Terms xmlns="http://schemas.microsoft.com/office/infopath/2007/PartnerControls"/>
    </IWPSiteTypeTaxHTField0>
    <IWPContributor xmlns="aa5ff84b-3a25-4a96-8505-eac8e64e78ed">
      <UserInfo>
        <DisplayName/>
        <AccountId xsi:nil="true"/>
        <AccountType/>
      </UserInfo>
    </IWPContributor>
    <IWPRightsProtectiveMarkingTaxHTField0 xmlns="aa5ff84b-3a25-4a96-8505-eac8e64e78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OrganisationalUnitTaxHTField0 xmlns="aa5ff84b-3a25-4a96-8505-eac8e64e78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IWPOrganisationalUnitTaxHTField0>
    <Comments xmlns="http://schemas.microsoft.com/sharepoint/v3" xsi:nil="true"/>
    <IWPFunctionTaxHTField0 xmlns="aa5ff84b-3a25-4a96-8505-eac8e64e78ed">
      <Terms xmlns="http://schemas.microsoft.com/office/infopath/2007/PartnerControls"/>
    </IWPFunctionTaxHTField0>
    <IWPOwnerTaxHTField0 xmlns="aa5ff84b-3a25-4a96-8505-eac8e64e78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_dlc_DocId xmlns="b8cb3cbd-ce5c-4a72-9da4-9013f91c5903">P7KZZNC7UQ35-5-30543</_dlc_DocId>
    <_dlc_DocIdUrl xmlns="b8cb3cbd-ce5c-4a72-9da4-9013f91c5903">
      <Url>http://workplaces/sites/sa/b/_layouts/DocIdRedir.aspx?ID=P7KZZNC7UQ35-5-30543</Url>
      <Description>P7KZZNC7UQ35-5-30543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761E2F94F74F5540BC24B163CD836703" ma:contentTypeVersion="9" ma:contentTypeDescription="For programme or project documents. Records retained for 10 years." ma:contentTypeScope="" ma:versionID="b8e32a1b36cfa111503634468e3bd8fb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aa5ff84b-3a25-4a96-8505-eac8e64e78ed" targetNamespace="http://schemas.microsoft.com/office/2006/metadata/properties" ma:root="true" ma:fieldsID="fa1c90a11f0e72741d4769108e4f8363" ns1:_="" ns2:_="" ns3:_="">
    <xsd:import namespace="http://schemas.microsoft.com/sharepoint/v3"/>
    <xsd:import namespace="b8cb3cbd-ce5c-4a72-9da4-9013f91c5903"/>
    <xsd:import namespace="aa5ff84b-3a25-4a96-8505-eac8e64e78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48af73a-76e6-44c9-8813-a3da9b59b934}" ma:internalName="TaxCatchAll" ma:showField="CatchAllData" ma:web="aa5ff84b-3a25-4a96-8505-eac8e64e7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48af73a-76e6-44c9-8813-a3da9b59b934}" ma:internalName="TaxCatchAllLabel" ma:readOnly="true" ma:showField="CatchAllDataLabel" ma:web="aa5ff84b-3a25-4a96-8505-eac8e64e7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f84b-3a25-4a96-8505-eac8e64e78e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DfE|a484111e-5b24-4ad9-9778-c536c8c88985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DfE|cc08a6d4-dfde-4d0f-bd85-069ebcef80d5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purl.org/dc/dcmitype/"/>
    <ds:schemaRef ds:uri="http://purl.org/dc/terms/"/>
    <ds:schemaRef ds:uri="b8cb3cbd-ce5c-4a72-9da4-9013f91c590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aa5ff84b-3a25-4a96-8505-eac8e64e78ed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A68F34-E3D5-4D5C-95A4-48395D9019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B020D9-EE34-41AF-9A07-30E39578ED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C3882B8-B691-4C9B-889A-EC426EC9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aa5ff84b-3a25-4a96-8505-eac8e64e7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8306C4E-9536-4E8A-BAEF-979FC20D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NPDATT Market Engagement PIN</vt:lpstr>
    </vt:vector>
  </TitlesOfParts>
  <Company>Department for Education</Company>
  <LinksUpToDate>false</LinksUpToDate>
  <CharactersWithSpaces>8253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NPDATT Market Engagement PIN</dc:title>
  <dc:creator>Publishing.TEAM@education.gsi.gov.uk</dc:creator>
  <dc:description>Master-Letter-V1.0</dc:description>
  <cp:lastModifiedBy>ARROWSMITH, Morgan</cp:lastModifiedBy>
  <cp:revision>2</cp:revision>
  <dcterms:created xsi:type="dcterms:W3CDTF">2016-01-26T17:23:00Z</dcterms:created>
  <dcterms:modified xsi:type="dcterms:W3CDTF">2016-01-26T17:23:00Z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0x0101007F645D6FBA204A029FECB8BFC6578C39005279853530254253B886E13194843F8A003AA4A7828D8545A79A9356801581235000761E2F94F74F5540BC24B163CD836703</vt:lpwstr>
  </property>
  <property fmtid="{D5CDD505-2E9C-101B-9397-08002B2CF9AE}" pid="4" name="IWPOrganisationalUnit">
    <vt:lpwstr>3;#DfE|cc08a6d4-dfde-4d0f-bd85-069ebcef80d5</vt:lpwstr>
  </property>
  <property fmtid="{D5CDD505-2E9C-101B-9397-08002B2CF9AE}" pid="5" name="IWPOwner">
    <vt:lpwstr>1;#DfE|a484111e-5b24-4ad9-9778-c536c8c88985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2;#Official|0884c477-2e62-47ea-b19c-5af6e91124c5</vt:lpwstr>
  </property>
  <property fmtid="{D5CDD505-2E9C-101B-9397-08002B2CF9AE}" pid="10" name="_dlc_DocIdItemGuid">
    <vt:lpwstr>2832f351-7c2b-4209-a857-7ebb59058418</vt:lpwstr>
  </property>
</Properties>
</file>